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16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right="2619" w:firstLine="8"/>
        <w:spacing w:after="0" w:line="34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QUARTERLY REPORT PURSUANT TO SECTION 13 OR 15(d) OF THE SECURITIES EXCHANGE ACT OF 1934</w:t>
      </w:r>
    </w:p>
    <w:p>
      <w:pPr>
        <w:spacing w:after="0" w:line="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THE QUARTERLY PERIOD ENDED SEPTEMBER 30, 1996</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right="2519" w:firstLine="8"/>
        <w:spacing w:after="0" w:line="34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ind w:left="1580"/>
              <w:spacing w:after="0"/>
              <w:rPr>
                <w:sz w:val="20"/>
                <w:szCs w:val="20"/>
                <w:color w:val="auto"/>
              </w:rPr>
            </w:pPr>
            <w:r>
              <w:rPr>
                <w:rFonts w:ascii="Courier New" w:cs="Courier New" w:eastAsia="Courier New" w:hAnsi="Courier New"/>
                <w:sz w:val="18"/>
                <w:szCs w:val="18"/>
                <w:color w:val="auto"/>
              </w:rPr>
              <w:t>DELAWARE</w:t>
            </w:r>
          </w:p>
        </w:tc>
        <w:tc>
          <w:tcPr>
            <w:tcW w:w="1160" w:type="dxa"/>
            <w:vAlign w:val="bottom"/>
          </w:tcPr>
          <w:p>
            <w:pPr>
              <w:spacing w:after="0"/>
              <w:rPr>
                <w:sz w:val="17"/>
                <w:szCs w:val="17"/>
                <w:color w:val="auto"/>
              </w:rPr>
            </w:pP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95-1934119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4060" w:type="dxa"/>
            <w:vAlign w:val="bottom"/>
            <w:gridSpan w:val="2"/>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(I.R.S. Employer Identification No.)</w:t>
            </w:r>
          </w:p>
        </w:tc>
      </w:tr>
      <w:tr>
        <w:trPr>
          <w:trHeight w:val="296"/>
        </w:trPr>
        <w:tc>
          <w:tcPr>
            <w:tcW w:w="4380" w:type="dxa"/>
            <w:vAlign w:val="bottom"/>
          </w:tcPr>
          <w:p>
            <w:pPr>
              <w:ind w:left="120"/>
              <w:spacing w:after="0"/>
              <w:rPr>
                <w:sz w:val="20"/>
                <w:szCs w:val="20"/>
                <w:color w:val="auto"/>
              </w:rPr>
            </w:pPr>
            <w:r>
              <w:rPr>
                <w:rFonts w:ascii="Courier New" w:cs="Courier New" w:eastAsia="Courier New" w:hAnsi="Courier New"/>
                <w:sz w:val="18"/>
                <w:szCs w:val="18"/>
                <w:color w:val="auto"/>
              </w:rPr>
              <w:t>Incorporation or Organization)</w:t>
            </w:r>
          </w:p>
        </w:tc>
        <w:tc>
          <w:tcPr>
            <w:tcW w:w="11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514"/>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5755 KEARNY VILLA ROAD, SAN DIEGO, CALIFORNIA</w:t>
            </w:r>
          </w:p>
        </w:tc>
        <w:tc>
          <w:tcPr>
            <w:tcW w:w="290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92123</w:t>
            </w:r>
          </w:p>
        </w:tc>
      </w:tr>
      <w:tr>
        <w:trPr>
          <w:trHeight w:val="296"/>
        </w:trPr>
        <w:tc>
          <w:tcPr>
            <w:tcW w:w="4380" w:type="dxa"/>
            <w:vAlign w:val="bottom"/>
          </w:tcPr>
          <w:p>
            <w:pPr>
              <w:spacing w:after="0"/>
              <w:rPr>
                <w:sz w:val="20"/>
                <w:szCs w:val="20"/>
                <w:color w:val="auto"/>
              </w:rPr>
            </w:pPr>
            <w:r>
              <w:rPr>
                <w:rFonts w:ascii="Courier New" w:cs="Courier New" w:eastAsia="Courier New" w:hAnsi="Courier New"/>
                <w:sz w:val="18"/>
                <w:szCs w:val="18"/>
                <w:color w:val="auto"/>
              </w:rPr>
              <w:t>(Address of principal executive office)</w:t>
            </w:r>
          </w:p>
        </w:tc>
        <w:tc>
          <w:tcPr>
            <w:tcW w:w="1160" w:type="dxa"/>
            <w:vAlign w:val="bottom"/>
          </w:tcPr>
          <w:p>
            <w:pPr>
              <w:spacing w:after="0"/>
              <w:rPr>
                <w:sz w:val="24"/>
                <w:szCs w:val="24"/>
                <w:color w:val="auto"/>
              </w:rPr>
            </w:pP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(Zip Code)</w:t>
            </w:r>
          </w:p>
        </w:tc>
      </w:tr>
      <w:tr>
        <w:trPr>
          <w:trHeight w:val="405"/>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Registrant's telephone number, including area code</w:t>
            </w:r>
          </w:p>
        </w:tc>
        <w:tc>
          <w:tcPr>
            <w:tcW w:w="29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(619) 277-6700</w:t>
            </w:r>
          </w:p>
        </w:tc>
      </w:tr>
    </w:tbl>
    <w:p>
      <w:pPr>
        <w:spacing w:after="0" w:line="109"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0" w:lineRule="exact"/>
        <w:rPr>
          <w:sz w:val="24"/>
          <w:szCs w:val="24"/>
          <w:color w:val="auto"/>
        </w:rPr>
      </w:pPr>
    </w:p>
    <w:p>
      <w:pPr>
        <w:ind w:left="6320"/>
        <w:spacing w:after="0"/>
        <w:tabs>
          <w:tab w:leader="none" w:pos="7260" w:val="left"/>
        </w:tabs>
        <w:rPr>
          <w:sz w:val="20"/>
          <w:szCs w:val="20"/>
          <w:color w:val="auto"/>
        </w:rPr>
      </w:pPr>
      <w:r>
        <w:rPr>
          <w:rFonts w:ascii="Courier New" w:cs="Courier New" w:eastAsia="Courier New" w:hAnsi="Courier New"/>
          <w:sz w:val="18"/>
          <w:szCs w:val="18"/>
          <w:color w:val="auto"/>
        </w:rPr>
        <w:t>Yes _X_</w:t>
      </w:r>
      <w:r>
        <w:rPr>
          <w:sz w:val="20"/>
          <w:szCs w:val="20"/>
          <w:color w:val="auto"/>
        </w:rPr>
        <w:tab/>
      </w:r>
      <w:r>
        <w:rPr>
          <w:rFonts w:ascii="Courier New" w:cs="Courier New" w:eastAsia="Courier New" w:hAnsi="Courier New"/>
          <w:sz w:val="16"/>
          <w:szCs w:val="16"/>
          <w:color w:val="auto"/>
        </w:rPr>
        <w:t>No___</w:t>
      </w:r>
    </w:p>
    <w:p>
      <w:pPr>
        <w:spacing w:after="0" w:line="200" w:lineRule="exact"/>
        <w:rPr>
          <w:sz w:val="24"/>
          <w:szCs w:val="24"/>
          <w:color w:val="auto"/>
        </w:rPr>
      </w:pPr>
    </w:p>
    <w:p>
      <w:pPr>
        <w:spacing w:after="0" w:line="204" w:lineRule="exact"/>
        <w:rPr>
          <w:sz w:val="24"/>
          <w:szCs w:val="24"/>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As of September 30, 1996, the Registrant had 9,295,701 shares of its $1.00 par value common stock outstanding.</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tbl>
      <w:tblPr>
        <w:tblLayout w:type="fixed"/>
        <w:tblInd w:w="0" w:type="dxa"/>
        <w:tblCellMar>
          <w:top w:w="0" w:type="dxa"/>
          <w:left w:w="0" w:type="dxa"/>
          <w:bottom w:w="0" w:type="dxa"/>
          <w:right w:w="0" w:type="dxa"/>
        </w:tblCellMar>
      </w:tblPr>
      <w:tr>
        <w:trPr>
          <w:trHeight w:val="201"/>
        </w:trPr>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740" w:type="dxa"/>
            <w:vAlign w:val="bottom"/>
          </w:tcPr>
          <w:p>
            <w:pPr>
              <w:ind w:left="1800"/>
              <w:spacing w:after="0" w:line="201" w:lineRule="exact"/>
              <w:rPr>
                <w:sz w:val="20"/>
                <w:szCs w:val="20"/>
                <w:color w:val="auto"/>
              </w:rPr>
            </w:pPr>
            <w:r>
              <w:rPr>
                <w:rFonts w:ascii="Courier New" w:cs="Courier New" w:eastAsia="Courier New" w:hAnsi="Courier New"/>
                <w:sz w:val="18"/>
                <w:szCs w:val="18"/>
                <w:color w:val="auto"/>
              </w:rPr>
              <w:t>COHU, INC.</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740" w:type="dxa"/>
            <w:vAlign w:val="bottom"/>
          </w:tcPr>
          <w:p>
            <w:pPr>
              <w:jc w:val="center"/>
              <w:ind w:right="892"/>
              <w:spacing w:after="0" w:line="203" w:lineRule="exact"/>
              <w:rPr>
                <w:sz w:val="20"/>
                <w:szCs w:val="20"/>
                <w:color w:val="auto"/>
              </w:rPr>
            </w:pPr>
            <w:r>
              <w:rPr>
                <w:rFonts w:ascii="Courier New" w:cs="Courier New" w:eastAsia="Courier New" w:hAnsi="Courier New"/>
                <w:sz w:val="18"/>
                <w:szCs w:val="18"/>
                <w:color w:val="auto"/>
                <w:w w:val="96"/>
              </w:rPr>
              <w:t>INDEX</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740" w:type="dxa"/>
            <w:vAlign w:val="bottom"/>
          </w:tcPr>
          <w:p>
            <w:pPr>
              <w:jc w:val="center"/>
              <w:ind w:right="912"/>
              <w:spacing w:after="0" w:line="203" w:lineRule="exact"/>
              <w:rPr>
                <w:sz w:val="20"/>
                <w:szCs w:val="20"/>
                <w:color w:val="auto"/>
              </w:rPr>
            </w:pPr>
            <w:r>
              <w:rPr>
                <w:rFonts w:ascii="Courier New" w:cs="Courier New" w:eastAsia="Courier New" w:hAnsi="Courier New"/>
                <w:sz w:val="18"/>
                <w:szCs w:val="18"/>
                <w:color w:val="auto"/>
                <w:w w:val="96"/>
              </w:rPr>
              <w:t>FORM 10-Q</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740" w:type="dxa"/>
            <w:vAlign w:val="bottom"/>
          </w:tcPr>
          <w:p>
            <w:pPr>
              <w:ind w:left="1380"/>
              <w:spacing w:after="0"/>
              <w:rPr>
                <w:sz w:val="20"/>
                <w:szCs w:val="20"/>
                <w:color w:val="auto"/>
              </w:rPr>
            </w:pPr>
            <w:r>
              <w:rPr>
                <w:rFonts w:ascii="Courier New" w:cs="Courier New" w:eastAsia="Courier New" w:hAnsi="Courier New"/>
                <w:sz w:val="18"/>
                <w:szCs w:val="18"/>
                <w:color w:val="auto"/>
              </w:rPr>
              <w:t>SEPTEMBER 30, 1996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80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FINANCIAL</w:t>
            </w:r>
          </w:p>
        </w:tc>
        <w:tc>
          <w:tcPr>
            <w:tcW w:w="5740" w:type="dxa"/>
            <w:vAlign w:val="bottom"/>
          </w:tcPr>
          <w:p>
            <w:pPr>
              <w:spacing w:after="0"/>
              <w:rPr>
                <w:sz w:val="20"/>
                <w:szCs w:val="20"/>
                <w:color w:val="auto"/>
              </w:rPr>
            </w:pPr>
            <w:r>
              <w:rPr>
                <w:rFonts w:ascii="Courier New" w:cs="Courier New" w:eastAsia="Courier New" w:hAnsi="Courier New"/>
                <w:sz w:val="18"/>
                <w:szCs w:val="18"/>
                <w:color w:val="auto"/>
              </w:rPr>
              <w:t>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Condensed</w:t>
            </w:r>
          </w:p>
        </w:tc>
        <w:tc>
          <w:tcPr>
            <w:tcW w:w="5740" w:type="dxa"/>
            <w:vAlign w:val="bottom"/>
          </w:tcPr>
          <w:p>
            <w:pPr>
              <w:spacing w:after="0"/>
              <w:rPr>
                <w:sz w:val="20"/>
                <w:szCs w:val="20"/>
                <w:color w:val="auto"/>
              </w:rPr>
            </w:pPr>
            <w:r>
              <w:rPr>
                <w:rFonts w:ascii="Courier New" w:cs="Courier New" w:eastAsia="Courier New" w:hAnsi="Courier New"/>
                <w:sz w:val="18"/>
                <w:szCs w:val="18"/>
                <w:color w:val="auto"/>
              </w:rPr>
              <w:t>Consolidated Balance Sheets (Unaudited)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September</w:t>
            </w:r>
          </w:p>
        </w:tc>
        <w:tc>
          <w:tcPr>
            <w:tcW w:w="5740" w:type="dxa"/>
            <w:vAlign w:val="bottom"/>
          </w:tcPr>
          <w:p>
            <w:pPr>
              <w:spacing w:after="0"/>
              <w:rPr>
                <w:sz w:val="20"/>
                <w:szCs w:val="20"/>
                <w:color w:val="auto"/>
              </w:rPr>
            </w:pPr>
            <w:r>
              <w:rPr>
                <w:rFonts w:ascii="Courier New" w:cs="Courier New" w:eastAsia="Courier New" w:hAnsi="Courier New"/>
                <w:sz w:val="18"/>
                <w:szCs w:val="18"/>
                <w:color w:val="auto"/>
                <w:w w:val="99"/>
              </w:rPr>
              <w:t>30, 1996 and December 31, 1995.......................</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0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Condensed</w:t>
            </w:r>
          </w:p>
        </w:tc>
        <w:tc>
          <w:tcPr>
            <w:tcW w:w="5740" w:type="dxa"/>
            <w:vAlign w:val="bottom"/>
          </w:tcPr>
          <w:p>
            <w:pPr>
              <w:spacing w:after="0"/>
              <w:rPr>
                <w:sz w:val="20"/>
                <w:szCs w:val="20"/>
                <w:color w:val="auto"/>
              </w:rPr>
            </w:pPr>
            <w:r>
              <w:rPr>
                <w:rFonts w:ascii="Courier New" w:cs="Courier New" w:eastAsia="Courier New" w:hAnsi="Courier New"/>
                <w:sz w:val="18"/>
                <w:szCs w:val="18"/>
                <w:color w:val="auto"/>
              </w:rPr>
              <w:t>Consolidated Statements of Income (Unaudited)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Three and</w:t>
            </w:r>
          </w:p>
        </w:tc>
        <w:tc>
          <w:tcPr>
            <w:tcW w:w="5740" w:type="dxa"/>
            <w:vAlign w:val="bottom"/>
          </w:tcPr>
          <w:p>
            <w:pPr>
              <w:spacing w:after="0"/>
              <w:rPr>
                <w:sz w:val="20"/>
                <w:szCs w:val="20"/>
                <w:color w:val="auto"/>
              </w:rPr>
            </w:pPr>
            <w:r>
              <w:rPr>
                <w:rFonts w:ascii="Courier New" w:cs="Courier New" w:eastAsia="Courier New" w:hAnsi="Courier New"/>
                <w:sz w:val="18"/>
                <w:szCs w:val="18"/>
                <w:color w:val="auto"/>
                <w:w w:val="99"/>
              </w:rPr>
              <w:t>Nine Months Ended September 30, 1996 and 1995........</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0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Condensed</w:t>
            </w:r>
          </w:p>
        </w:tc>
        <w:tc>
          <w:tcPr>
            <w:tcW w:w="5740" w:type="dxa"/>
            <w:vAlign w:val="bottom"/>
          </w:tcPr>
          <w:p>
            <w:pPr>
              <w:spacing w:after="0"/>
              <w:rPr>
                <w:sz w:val="20"/>
                <w:szCs w:val="20"/>
                <w:color w:val="auto"/>
              </w:rPr>
            </w:pPr>
            <w:r>
              <w:rPr>
                <w:rFonts w:ascii="Courier New" w:cs="Courier New" w:eastAsia="Courier New" w:hAnsi="Courier New"/>
                <w:sz w:val="18"/>
                <w:szCs w:val="18"/>
                <w:color w:val="auto"/>
              </w:rPr>
              <w:t>Consolidated Statements of Cash Flows (Unaudited)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68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Nine Months Ended September 30, 1996 and 1995..................</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00" w:type="dxa"/>
            <w:vAlign w:val="bottom"/>
          </w:tcPr>
          <w:p>
            <w:pPr>
              <w:spacing w:after="0"/>
              <w:rPr>
                <w:sz w:val="24"/>
                <w:szCs w:val="24"/>
                <w:color w:val="auto"/>
              </w:rPr>
            </w:pPr>
          </w:p>
        </w:tc>
        <w:tc>
          <w:tcPr>
            <w:tcW w:w="68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Notes to Unaudited Condensed Consolidated Financial Statements.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51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Management's Discussion and Analysis of</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Financial</w:t>
            </w:r>
          </w:p>
        </w:tc>
        <w:tc>
          <w:tcPr>
            <w:tcW w:w="5740" w:type="dxa"/>
            <w:vAlign w:val="bottom"/>
          </w:tcPr>
          <w:p>
            <w:pPr>
              <w:spacing w:after="0"/>
              <w:rPr>
                <w:sz w:val="20"/>
                <w:szCs w:val="20"/>
                <w:color w:val="auto"/>
              </w:rPr>
            </w:pPr>
            <w:r>
              <w:rPr>
                <w:rFonts w:ascii="Courier New" w:cs="Courier New" w:eastAsia="Courier New" w:hAnsi="Courier New"/>
                <w:sz w:val="18"/>
                <w:szCs w:val="18"/>
                <w:color w:val="auto"/>
                <w:w w:val="99"/>
              </w:rPr>
              <w:t>Condition and Results of Operations..................</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13"/>
        </w:trPr>
        <w:tc>
          <w:tcPr>
            <w:tcW w:w="80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OTHER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8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Exhibits and Reports on Form 8-K...............................</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405"/>
        </w:trPr>
        <w:tc>
          <w:tcPr>
            <w:tcW w:w="7640" w:type="dxa"/>
            <w:vAlign w:val="bottom"/>
            <w:gridSpan w:val="3"/>
          </w:tcPr>
          <w:p>
            <w:pPr>
              <w:spacing w:after="0"/>
              <w:rPr>
                <w:sz w:val="20"/>
                <w:szCs w:val="20"/>
                <w:color w:val="auto"/>
              </w:rPr>
            </w:pPr>
            <w:r>
              <w:rPr>
                <w:rFonts w:ascii="Courier New" w:cs="Courier New" w:eastAsia="Courier New" w:hAnsi="Courier New"/>
                <w:sz w:val="18"/>
                <w:szCs w:val="18"/>
                <w:color w:val="auto"/>
                <w:w w:val="99"/>
              </w:rPr>
              <w:t>Signatures.............................................................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608"/>
        </w:trPr>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74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2"/>
              </w:rPr>
              <w:t>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tbl>
      <w:tblPr>
        <w:tblLayout w:type="fixed"/>
        <w:tblInd w:w="0" w:type="dxa"/>
        <w:tblCellMar>
          <w:top w:w="0" w:type="dxa"/>
          <w:left w:w="0" w:type="dxa"/>
          <w:bottom w:w="0" w:type="dxa"/>
          <w:right w:w="0" w:type="dxa"/>
        </w:tblCellMar>
      </w:tblPr>
      <w:tr>
        <w:trPr>
          <w:trHeight w:val="201"/>
        </w:trPr>
        <w:tc>
          <w:tcPr>
            <w:tcW w:w="5600" w:type="dxa"/>
            <w:vAlign w:val="bottom"/>
          </w:tcPr>
          <w:p>
            <w:pPr>
              <w:ind w:left="3700"/>
              <w:spacing w:after="0" w:line="201" w:lineRule="exact"/>
              <w:rPr>
                <w:sz w:val="20"/>
                <w:szCs w:val="20"/>
                <w:color w:val="auto"/>
              </w:rPr>
            </w:pPr>
            <w:r>
              <w:rPr>
                <w:rFonts w:ascii="Courier New" w:cs="Courier New" w:eastAsia="Courier New" w:hAnsi="Courier New"/>
                <w:sz w:val="18"/>
                <w:szCs w:val="18"/>
                <w:color w:val="auto"/>
              </w:rPr>
              <w:t>COHU, INC.</w:t>
            </w:r>
          </w:p>
        </w:tc>
        <w:tc>
          <w:tcPr>
            <w:tcW w:w="1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40" w:type="dxa"/>
            <w:vAlign w:val="bottom"/>
            <w:gridSpan w:val="2"/>
          </w:tcPr>
          <w:p>
            <w:pPr>
              <w:jc w:val="right"/>
              <w:ind w:right="1232"/>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(Unaudited)</w:t>
            </w:r>
          </w:p>
        </w:tc>
        <w:tc>
          <w:tcPr>
            <w:tcW w:w="1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600" w:type="dxa"/>
            <w:vAlign w:val="bottom"/>
          </w:tcPr>
          <w:p>
            <w:pPr>
              <w:ind w:left="3480"/>
              <w:spacing w:after="0"/>
              <w:rPr>
                <w:sz w:val="20"/>
                <w:szCs w:val="20"/>
                <w:color w:val="auto"/>
              </w:rPr>
            </w:pPr>
            <w:r>
              <w:rPr>
                <w:rFonts w:ascii="Courier New" w:cs="Courier New" w:eastAsia="Courier New" w:hAnsi="Courier New"/>
                <w:sz w:val="18"/>
                <w:szCs w:val="18"/>
                <w:color w:val="auto"/>
              </w:rPr>
              <w:t>(in thousands)</w:t>
            </w:r>
          </w:p>
        </w:tc>
        <w:tc>
          <w:tcPr>
            <w:tcW w:w="1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56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SEPTEMBER 30, 1996 DECEMBER 31, 1995</w:t>
            </w:r>
          </w:p>
        </w:tc>
        <w:tc>
          <w:tcPr>
            <w:tcW w:w="0" w:type="dxa"/>
            <w:vAlign w:val="bottom"/>
          </w:tcPr>
          <w:p>
            <w:pPr>
              <w:spacing w:after="0"/>
              <w:rPr>
                <w:sz w:val="1"/>
                <w:szCs w:val="1"/>
                <w:color w:val="auto"/>
              </w:rPr>
            </w:pPr>
          </w:p>
        </w:tc>
      </w:tr>
      <w:tr>
        <w:trPr>
          <w:trHeight w:val="296"/>
        </w:trPr>
        <w:tc>
          <w:tcPr>
            <w:tcW w:w="5600" w:type="dxa"/>
            <w:vAlign w:val="bottom"/>
          </w:tcPr>
          <w:p>
            <w:pPr>
              <w:spacing w:after="0"/>
              <w:rPr>
                <w:sz w:val="24"/>
                <w:szCs w:val="24"/>
                <w:color w:val="auto"/>
              </w:rPr>
            </w:pPr>
          </w:p>
        </w:tc>
        <w:tc>
          <w:tcPr>
            <w:tcW w:w="3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311"/>
        </w:trPr>
        <w:tc>
          <w:tcPr>
            <w:tcW w:w="56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9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$ 45,360</w:t>
            </w:r>
          </w:p>
        </w:tc>
        <w:tc>
          <w:tcPr>
            <w:tcW w:w="18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$ 28,874</w:t>
            </w: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94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 less allowance</w:t>
            </w:r>
          </w:p>
        </w:tc>
        <w:tc>
          <w:tcPr>
            <w:tcW w:w="19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22,353</w:t>
            </w:r>
          </w:p>
        </w:tc>
        <w:tc>
          <w:tcPr>
            <w:tcW w:w="18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27,572</w:t>
            </w:r>
          </w:p>
        </w:tc>
        <w:tc>
          <w:tcPr>
            <w:tcW w:w="0" w:type="dxa"/>
            <w:vAlign w:val="bottom"/>
          </w:tcPr>
          <w:p>
            <w:pPr>
              <w:spacing w:after="0"/>
              <w:rPr>
                <w:sz w:val="1"/>
                <w:szCs w:val="1"/>
                <w:color w:val="auto"/>
              </w:rPr>
            </w:pPr>
          </w:p>
        </w:tc>
      </w:tr>
      <w:tr>
        <w:trPr>
          <w:trHeight w:val="203"/>
        </w:trPr>
        <w:tc>
          <w:tcPr>
            <w:tcW w:w="56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for doubtful accounts</w:t>
            </w:r>
          </w:p>
        </w:tc>
        <w:tc>
          <w:tcPr>
            <w:tcW w:w="194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7"/>
              </w:rPr>
              <w:t>Inventories, at lower of average cost or market:</w:t>
            </w:r>
          </w:p>
        </w:tc>
        <w:tc>
          <w:tcPr>
            <w:tcW w:w="19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3,652</w:t>
            </w:r>
          </w:p>
        </w:tc>
        <w:tc>
          <w:tcPr>
            <w:tcW w:w="18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3,466</w:t>
            </w:r>
          </w:p>
        </w:tc>
        <w:tc>
          <w:tcPr>
            <w:tcW w:w="0" w:type="dxa"/>
            <w:vAlign w:val="bottom"/>
          </w:tcPr>
          <w:p>
            <w:pPr>
              <w:spacing w:after="0"/>
              <w:rPr>
                <w:sz w:val="1"/>
                <w:szCs w:val="1"/>
                <w:color w:val="auto"/>
              </w:rPr>
            </w:pPr>
          </w:p>
        </w:tc>
      </w:tr>
      <w:tr>
        <w:trPr>
          <w:trHeight w:val="203"/>
        </w:trPr>
        <w:tc>
          <w:tcPr>
            <w:tcW w:w="5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Finished goods</w:t>
            </w:r>
          </w:p>
        </w:tc>
        <w:tc>
          <w:tcPr>
            <w:tcW w:w="194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Work in process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4,159</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7,759</w:t>
            </w:r>
          </w:p>
        </w:tc>
        <w:tc>
          <w:tcPr>
            <w:tcW w:w="0" w:type="dxa"/>
            <w:vAlign w:val="bottom"/>
          </w:tcPr>
          <w:p>
            <w:pPr>
              <w:spacing w:after="0"/>
              <w:rPr>
                <w:sz w:val="1"/>
                <w:szCs w:val="1"/>
                <w:color w:val="auto"/>
              </w:rPr>
            </w:pPr>
          </w:p>
        </w:tc>
      </w:tr>
      <w:tr>
        <w:trPr>
          <w:trHeight w:val="203"/>
        </w:trPr>
        <w:tc>
          <w:tcPr>
            <w:tcW w:w="5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Raw materials and purchased parts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8,769</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10,019</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Deferred income taxes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16,580</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21,244</w:t>
            </w:r>
          </w:p>
        </w:tc>
        <w:tc>
          <w:tcPr>
            <w:tcW w:w="0" w:type="dxa"/>
            <w:vAlign w:val="bottom"/>
          </w:tcPr>
          <w:p>
            <w:pPr>
              <w:spacing w:after="0"/>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9,413</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9,413</w:t>
            </w: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955</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973</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Total current assets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600" w:type="dxa"/>
            <w:vAlign w:val="bottom"/>
            <w:vMerge w:val="continue"/>
          </w:tcPr>
          <w:p>
            <w:pPr>
              <w:spacing w:after="0"/>
              <w:rPr>
                <w:sz w:val="24"/>
                <w:szCs w:val="24"/>
                <w:color w:val="auto"/>
              </w:rPr>
            </w:pP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94,661</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88,076</w:t>
            </w:r>
          </w:p>
        </w:tc>
        <w:tc>
          <w:tcPr>
            <w:tcW w:w="0" w:type="dxa"/>
            <w:vAlign w:val="bottom"/>
          </w:tcPr>
          <w:p>
            <w:pPr>
              <w:spacing w:after="0"/>
              <w:rPr>
                <w:sz w:val="1"/>
                <w:szCs w:val="1"/>
                <w:color w:val="auto"/>
              </w:rPr>
            </w:pPr>
          </w:p>
        </w:tc>
      </w:tr>
      <w:tr>
        <w:trPr>
          <w:trHeight w:val="311"/>
        </w:trPr>
        <w:tc>
          <w:tcPr>
            <w:tcW w:w="56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9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2,114</w:t>
            </w:r>
          </w:p>
        </w:tc>
        <w:tc>
          <w:tcPr>
            <w:tcW w:w="18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1,150</w:t>
            </w: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194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11,723</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10,355</w:t>
            </w: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14,008</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11,697</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Less accumulated depreciation and amortization</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27,845</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23,202</w:t>
            </w:r>
          </w:p>
        </w:tc>
        <w:tc>
          <w:tcPr>
            <w:tcW w:w="0" w:type="dxa"/>
            <w:vAlign w:val="bottom"/>
          </w:tcPr>
          <w:p>
            <w:pPr>
              <w:spacing w:after="0"/>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11,140</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10,031</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property, plant and equipment</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16,705</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13,171</w:t>
            </w:r>
          </w:p>
        </w:tc>
        <w:tc>
          <w:tcPr>
            <w:tcW w:w="0" w:type="dxa"/>
            <w:vAlign w:val="bottom"/>
          </w:tcPr>
          <w:p>
            <w:pPr>
              <w:spacing w:after="0"/>
              <w:rPr>
                <w:sz w:val="1"/>
                <w:szCs w:val="1"/>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2,508</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2,626</w:t>
            </w:r>
          </w:p>
        </w:tc>
        <w:tc>
          <w:tcPr>
            <w:tcW w:w="0" w:type="dxa"/>
            <w:vAlign w:val="bottom"/>
          </w:tcPr>
          <w:p>
            <w:pPr>
              <w:spacing w:after="0"/>
              <w:rPr>
                <w:sz w:val="1"/>
                <w:szCs w:val="1"/>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61</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$113,935</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$103,934</w:t>
            </w:r>
          </w:p>
        </w:tc>
        <w:tc>
          <w:tcPr>
            <w:tcW w:w="0" w:type="dxa"/>
            <w:vAlign w:val="bottom"/>
          </w:tcPr>
          <w:p>
            <w:pPr>
              <w:spacing w:after="0"/>
              <w:rPr>
                <w:sz w:val="1"/>
                <w:szCs w:val="1"/>
                <w:color w:val="auto"/>
              </w:rPr>
            </w:pPr>
          </w:p>
        </w:tc>
      </w:tr>
      <w:tr>
        <w:trPr>
          <w:trHeight w:val="296"/>
        </w:trPr>
        <w:tc>
          <w:tcPr>
            <w:tcW w:w="5600" w:type="dxa"/>
            <w:vAlign w:val="bottom"/>
            <w:vMerge w:val="restart"/>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56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9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  3,285</w:t>
            </w:r>
          </w:p>
        </w:tc>
        <w:tc>
          <w:tcPr>
            <w:tcW w:w="18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  7,453</w:t>
            </w: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94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2,917</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7,062</w:t>
            </w: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14,463</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16,333</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Total current liabilities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600" w:type="dxa"/>
            <w:vAlign w:val="bottom"/>
            <w:vMerge w:val="continue"/>
          </w:tcPr>
          <w:p>
            <w:pPr>
              <w:spacing w:after="0"/>
              <w:rPr>
                <w:sz w:val="24"/>
                <w:szCs w:val="24"/>
                <w:color w:val="auto"/>
              </w:rPr>
            </w:pP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20,665</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30,848</w:t>
            </w:r>
          </w:p>
        </w:tc>
        <w:tc>
          <w:tcPr>
            <w:tcW w:w="0" w:type="dxa"/>
            <w:vAlign w:val="bottom"/>
          </w:tcPr>
          <w:p>
            <w:pPr>
              <w:spacing w:after="0"/>
              <w:rPr>
                <w:sz w:val="1"/>
                <w:szCs w:val="1"/>
                <w:color w:val="auto"/>
              </w:rPr>
            </w:pPr>
          </w:p>
        </w:tc>
      </w:tr>
      <w:tr>
        <w:trPr>
          <w:trHeight w:val="311"/>
        </w:trPr>
        <w:tc>
          <w:tcPr>
            <w:tcW w:w="560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925</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859</w:t>
            </w:r>
          </w:p>
        </w:tc>
        <w:tc>
          <w:tcPr>
            <w:tcW w:w="0" w:type="dxa"/>
            <w:vAlign w:val="bottom"/>
          </w:tcPr>
          <w:p>
            <w:pPr>
              <w:spacing w:after="0"/>
              <w:rPr>
                <w:sz w:val="1"/>
                <w:szCs w:val="1"/>
                <w:color w:val="auto"/>
              </w:rPr>
            </w:pPr>
          </w:p>
        </w:tc>
      </w:tr>
      <w:tr>
        <w:trPr>
          <w:trHeight w:val="296"/>
        </w:trPr>
        <w:tc>
          <w:tcPr>
            <w:tcW w:w="560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198</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198</w:t>
            </w:r>
          </w:p>
        </w:tc>
        <w:tc>
          <w:tcPr>
            <w:tcW w:w="0" w:type="dxa"/>
            <w:vAlign w:val="bottom"/>
          </w:tcPr>
          <w:p>
            <w:pPr>
              <w:spacing w:after="0"/>
              <w:rPr>
                <w:sz w:val="1"/>
                <w:szCs w:val="1"/>
                <w:color w:val="auto"/>
              </w:rPr>
            </w:pPr>
          </w:p>
        </w:tc>
      </w:tr>
      <w:tr>
        <w:trPr>
          <w:trHeight w:val="311"/>
        </w:trPr>
        <w:tc>
          <w:tcPr>
            <w:tcW w:w="56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94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8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w:t>
            </w:r>
          </w:p>
        </w:tc>
        <w:tc>
          <w:tcPr>
            <w:tcW w:w="194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9,296</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9,092</w:t>
            </w: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4,890</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4,252</w:t>
            </w:r>
          </w:p>
        </w:tc>
        <w:tc>
          <w:tcPr>
            <w:tcW w:w="0" w:type="dxa"/>
            <w:vAlign w:val="bottom"/>
          </w:tcPr>
          <w:p>
            <w:pPr>
              <w:spacing w:after="0"/>
              <w:rPr>
                <w:sz w:val="1"/>
                <w:szCs w:val="1"/>
                <w:color w:val="auto"/>
              </w:rPr>
            </w:pP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77,961</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58,685</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Total stockholders' equity</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92,147</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72,029</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$113,935</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$103,934</w:t>
            </w:r>
          </w:p>
        </w:tc>
        <w:tc>
          <w:tcPr>
            <w:tcW w:w="0" w:type="dxa"/>
            <w:vAlign w:val="bottom"/>
          </w:tcPr>
          <w:p>
            <w:pPr>
              <w:spacing w:after="0"/>
              <w:rPr>
                <w:sz w:val="1"/>
                <w:szCs w:val="1"/>
                <w:color w:val="auto"/>
              </w:rPr>
            </w:pPr>
          </w:p>
        </w:tc>
      </w:tr>
      <w:tr>
        <w:trPr>
          <w:trHeight w:val="296"/>
        </w:trPr>
        <w:tc>
          <w:tcPr>
            <w:tcW w:w="5600" w:type="dxa"/>
            <w:vAlign w:val="bottom"/>
          </w:tcPr>
          <w:p>
            <w:pPr>
              <w:spacing w:after="0"/>
              <w:rPr>
                <w:sz w:val="24"/>
                <w:szCs w:val="24"/>
                <w:color w:val="auto"/>
              </w:rPr>
            </w:pP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85"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COHU, INC.</w:t>
      </w:r>
    </w:p>
    <w:p>
      <w:pPr>
        <w:jc w:val="center"/>
        <w:ind w:right="1900"/>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jc w:val="center"/>
        <w:ind w:right="1900"/>
        <w:spacing w:after="0"/>
        <w:rPr>
          <w:sz w:val="20"/>
          <w:szCs w:val="20"/>
          <w:color w:val="auto"/>
        </w:rPr>
      </w:pPr>
      <w:r>
        <w:rPr>
          <w:rFonts w:ascii="Courier New" w:cs="Courier New" w:eastAsia="Courier New" w:hAnsi="Courier New"/>
          <w:sz w:val="18"/>
          <w:szCs w:val="18"/>
          <w:color w:val="auto"/>
        </w:rPr>
        <w:t>(Unaudited)</w:t>
      </w:r>
    </w:p>
    <w:p>
      <w:pPr>
        <w:jc w:val="center"/>
        <w:ind w:right="2000"/>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96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THREE MONTHS ENDED</w:t>
            </w:r>
          </w:p>
        </w:tc>
        <w:tc>
          <w:tcPr>
            <w:tcW w:w="300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29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SEPTEMBER 30,</w:t>
            </w:r>
          </w:p>
        </w:tc>
        <w:tc>
          <w:tcPr>
            <w:tcW w:w="300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2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5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4"/>
                <w:szCs w:val="24"/>
                <w:color w:val="auto"/>
              </w:rPr>
            </w:pP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$34,763</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$49,035</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$130,859</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$ 126,429</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14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19,887</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30,130</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72,033</w:t>
            </w:r>
          </w:p>
        </w:tc>
        <w:tc>
          <w:tcPr>
            <w:tcW w:w="58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77,975</w:t>
            </w:r>
          </w:p>
        </w:tc>
        <w:tc>
          <w:tcPr>
            <w:tcW w:w="0" w:type="dxa"/>
            <w:vAlign w:val="bottom"/>
          </w:tcPr>
          <w:p>
            <w:pPr>
              <w:spacing w:after="0"/>
              <w:rPr>
                <w:sz w:val="1"/>
                <w:szCs w:val="1"/>
                <w:color w:val="auto"/>
              </w:rPr>
            </w:pP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 of sales</w:t>
            </w:r>
          </w:p>
        </w:tc>
        <w:tc>
          <w:tcPr>
            <w:tcW w:w="14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3,340</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2,635</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10,691</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7,560</w:t>
            </w:r>
          </w:p>
        </w:tc>
        <w:tc>
          <w:tcPr>
            <w:tcW w:w="0" w:type="dxa"/>
            <w:vAlign w:val="bottom"/>
          </w:tcPr>
          <w:p>
            <w:pPr>
              <w:spacing w:after="0"/>
              <w:rPr>
                <w:sz w:val="1"/>
                <w:szCs w:val="1"/>
                <w:color w:val="auto"/>
              </w:rPr>
            </w:pP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3,758</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5,808</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16,061</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16,727</w:t>
            </w:r>
          </w:p>
        </w:tc>
        <w:tc>
          <w:tcPr>
            <w:tcW w:w="0" w:type="dxa"/>
            <w:vAlign w:val="bottom"/>
          </w:tcPr>
          <w:p>
            <w:pPr>
              <w:spacing w:after="0"/>
              <w:rPr>
                <w:sz w:val="1"/>
                <w:szCs w:val="1"/>
                <w:color w:val="auto"/>
              </w:rPr>
            </w:pPr>
          </w:p>
        </w:tc>
      </w:tr>
      <w:tr>
        <w:trPr>
          <w:trHeight w:val="203"/>
        </w:trPr>
        <w:tc>
          <w:tcPr>
            <w:tcW w:w="4480" w:type="dxa"/>
            <w:vAlign w:val="bottom"/>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7,778</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10,462</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32,074</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24,167</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513</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238</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1,293</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365</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203"/>
        </w:trPr>
        <w:tc>
          <w:tcPr>
            <w:tcW w:w="448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8,291</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10,700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33,367</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24,520</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3,100</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4,200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12,700</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9,600</w:t>
            </w:r>
          </w:p>
        </w:tc>
        <w:tc>
          <w:tcPr>
            <w:tcW w:w="0" w:type="dxa"/>
            <w:vAlign w:val="bottom"/>
          </w:tcPr>
          <w:p>
            <w:pPr>
              <w:spacing w:after="0"/>
              <w:rPr>
                <w:sz w:val="1"/>
                <w:szCs w:val="1"/>
                <w:color w:val="auto"/>
              </w:rPr>
            </w:pPr>
          </w:p>
        </w:tc>
      </w:tr>
      <w:tr>
        <w:trPr>
          <w:trHeight w:val="203"/>
        </w:trPr>
        <w:tc>
          <w:tcPr>
            <w:tcW w:w="448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$ 5,191</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$ 6,500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$ 20,667</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14,920</w:t>
            </w:r>
          </w:p>
        </w:tc>
        <w:tc>
          <w:tcPr>
            <w:tcW w:w="0" w:type="dxa"/>
            <w:vAlign w:val="bottom"/>
          </w:tcPr>
          <w:p>
            <w:pPr>
              <w:spacing w:after="0"/>
              <w:rPr>
                <w:sz w:val="1"/>
                <w:szCs w:val="1"/>
                <w:color w:val="auto"/>
              </w:rPr>
            </w:pPr>
          </w:p>
        </w:tc>
      </w:tr>
      <w:tr>
        <w:trPr>
          <w:trHeight w:val="203"/>
        </w:trPr>
        <w:tc>
          <w:tcPr>
            <w:tcW w:w="448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per share</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.54</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.67</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2.13</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w:t>
            </w:r>
          </w:p>
        </w:tc>
        <w:tc>
          <w:tcPr>
            <w:tcW w:w="0" w:type="dxa"/>
            <w:vAlign w:val="bottom"/>
          </w:tcPr>
          <w:p>
            <w:pPr>
              <w:spacing w:after="0"/>
              <w:rPr>
                <w:sz w:val="1"/>
                <w:szCs w:val="1"/>
                <w:color w:val="auto"/>
              </w:rPr>
            </w:pPr>
          </w:p>
        </w:tc>
      </w:tr>
      <w:tr>
        <w:trPr>
          <w:trHeight w:val="203"/>
        </w:trPr>
        <w:tc>
          <w:tcPr>
            <w:tcW w:w="4480" w:type="dxa"/>
            <w:vAlign w:val="bottom"/>
            <w:vMerge w:val="restart"/>
          </w:tcPr>
          <w:p>
            <w:pPr>
              <w:spacing w:after="0"/>
              <w:rPr>
                <w:sz w:val="20"/>
                <w:szCs w:val="20"/>
                <w:color w:val="auto"/>
              </w:rPr>
            </w:pPr>
            <w:r>
              <w:rPr>
                <w:rFonts w:ascii="Courier New" w:cs="Courier New" w:eastAsia="Courier New" w:hAnsi="Courier New"/>
                <w:sz w:val="18"/>
                <w:szCs w:val="18"/>
                <w:color w:val="auto"/>
              </w:rPr>
              <w:t>Average common shares and equivalents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9,642</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9,670</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9,683</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9,535</w:t>
            </w: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4"/>
                <w:szCs w:val="24"/>
                <w:color w:val="auto"/>
              </w:rPr>
            </w:pP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440"/>
          </w:cols>
          <w:pgMar w:left="240" w:top="285" w:right="121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jc w:val="center"/>
        <w:ind w:right="1679"/>
        <w:spacing w:after="0"/>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96"/>
        </w:trPr>
        <w:tc>
          <w:tcPr>
            <w:tcW w:w="7020" w:type="dxa"/>
            <w:vAlign w:val="bottom"/>
          </w:tcPr>
          <w:p>
            <w:pPr>
              <w:ind w:left="3480"/>
              <w:spacing w:after="0"/>
              <w:rPr>
                <w:sz w:val="20"/>
                <w:szCs w:val="20"/>
                <w:color w:val="auto"/>
              </w:rPr>
            </w:pPr>
            <w:r>
              <w:rPr>
                <w:rFonts w:ascii="Courier New" w:cs="Courier New" w:eastAsia="Courier New" w:hAnsi="Courier New"/>
                <w:sz w:val="18"/>
                <w:szCs w:val="18"/>
                <w:color w:val="auto"/>
              </w:rPr>
              <w:t>(in thousands)</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7020" w:type="dxa"/>
            <w:vAlign w:val="bottom"/>
          </w:tcPr>
          <w:p>
            <w:pPr>
              <w:spacing w:after="0"/>
              <w:rPr>
                <w:sz w:val="24"/>
                <w:szCs w:val="24"/>
                <w:color w:val="auto"/>
              </w:rPr>
            </w:pPr>
          </w:p>
        </w:tc>
        <w:tc>
          <w:tcPr>
            <w:tcW w:w="30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NINE MONTHS ENDED</w:t>
            </w:r>
          </w:p>
        </w:tc>
        <w:tc>
          <w:tcPr>
            <w:tcW w:w="0" w:type="dxa"/>
            <w:vAlign w:val="bottom"/>
          </w:tcPr>
          <w:p>
            <w:pPr>
              <w:spacing w:after="0"/>
              <w:rPr>
                <w:sz w:val="1"/>
                <w:szCs w:val="1"/>
                <w:color w:val="auto"/>
              </w:rPr>
            </w:pPr>
          </w:p>
        </w:tc>
      </w:tr>
      <w:tr>
        <w:trPr>
          <w:trHeight w:val="203"/>
        </w:trPr>
        <w:tc>
          <w:tcPr>
            <w:tcW w:w="7020" w:type="dxa"/>
            <w:vAlign w:val="bottom"/>
          </w:tcPr>
          <w:p>
            <w:pPr>
              <w:spacing w:after="0"/>
              <w:rPr>
                <w:sz w:val="17"/>
                <w:szCs w:val="17"/>
                <w:color w:val="auto"/>
              </w:rPr>
            </w:pPr>
          </w:p>
        </w:tc>
        <w:tc>
          <w:tcPr>
            <w:tcW w:w="3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702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0" w:type="dxa"/>
            <w:vAlign w:val="bottom"/>
          </w:tcPr>
          <w:p>
            <w:pPr>
              <w:spacing w:after="0"/>
              <w:rPr>
                <w:sz w:val="1"/>
                <w:szCs w:val="1"/>
                <w:color w:val="auto"/>
              </w:rPr>
            </w:pPr>
          </w:p>
        </w:tc>
      </w:tr>
      <w:tr>
        <w:trPr>
          <w:trHeight w:val="296"/>
        </w:trPr>
        <w:tc>
          <w:tcPr>
            <w:tcW w:w="7020" w:type="dxa"/>
            <w:vAlign w:val="bottom"/>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70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6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$ 20,667</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$ 14,920</w:t>
            </w:r>
          </w:p>
        </w:tc>
        <w:tc>
          <w:tcPr>
            <w:tcW w:w="0" w:type="dxa"/>
            <w:vAlign w:val="bottom"/>
          </w:tcPr>
          <w:p>
            <w:pPr>
              <w:spacing w:after="0"/>
              <w:rPr>
                <w:sz w:val="1"/>
                <w:szCs w:val="1"/>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16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16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1,254</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1,457</w:t>
            </w:r>
          </w:p>
        </w:tc>
        <w:tc>
          <w:tcPr>
            <w:tcW w:w="0" w:type="dxa"/>
            <w:vAlign w:val="bottom"/>
          </w:tcPr>
          <w:p>
            <w:pPr>
              <w:spacing w:after="0"/>
              <w:rPr>
                <w:sz w:val="1"/>
                <w:szCs w:val="1"/>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Purchase consideration to be paid in stock</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Increase in accrued retiree medical benefits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6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5,219</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(7,637)</w:t>
            </w:r>
          </w:p>
        </w:tc>
        <w:tc>
          <w:tcPr>
            <w:tcW w:w="0" w:type="dxa"/>
            <w:vAlign w:val="bottom"/>
          </w:tcPr>
          <w:p>
            <w:pPr>
              <w:spacing w:after="0"/>
              <w:rPr>
                <w:sz w:val="1"/>
                <w:szCs w:val="1"/>
                <w:color w:val="auto"/>
              </w:rPr>
            </w:pPr>
          </w:p>
        </w:tc>
      </w:tr>
      <w:tr>
        <w:trPr>
          <w:trHeight w:val="203"/>
        </w:trPr>
        <w:tc>
          <w:tcPr>
            <w:tcW w:w="7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6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Inventories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4,664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2,997</w:t>
            </w:r>
          </w:p>
        </w:tc>
        <w:tc>
          <w:tcPr>
            <w:tcW w:w="0" w:type="dxa"/>
            <w:vAlign w:val="bottom"/>
          </w:tcPr>
          <w:p>
            <w:pPr>
              <w:spacing w:after="0"/>
              <w:rPr>
                <w:sz w:val="1"/>
                <w:szCs w:val="1"/>
                <w:color w:val="auto"/>
              </w:rPr>
            </w:pPr>
          </w:p>
        </w:tc>
      </w:tr>
      <w:tr>
        <w:trPr>
          <w:trHeight w:val="203"/>
        </w:trPr>
        <w:tc>
          <w:tcPr>
            <w:tcW w:w="7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03"/>
        </w:trPr>
        <w:tc>
          <w:tcPr>
            <w:tcW w:w="7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(4,168)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6,448</w:t>
            </w:r>
          </w:p>
        </w:tc>
        <w:tc>
          <w:tcPr>
            <w:tcW w:w="0" w:type="dxa"/>
            <w:vAlign w:val="bottom"/>
          </w:tcPr>
          <w:p>
            <w:pPr>
              <w:spacing w:after="0"/>
              <w:rPr>
                <w:sz w:val="1"/>
                <w:szCs w:val="1"/>
                <w:color w:val="auto"/>
              </w:rPr>
            </w:pPr>
          </w:p>
        </w:tc>
      </w:tr>
      <w:tr>
        <w:trPr>
          <w:trHeight w:val="203"/>
        </w:trPr>
        <w:tc>
          <w:tcPr>
            <w:tcW w:w="7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(4,145)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(1,337)</w:t>
            </w:r>
          </w:p>
        </w:tc>
        <w:tc>
          <w:tcPr>
            <w:tcW w:w="0" w:type="dxa"/>
            <w:vAlign w:val="bottom"/>
          </w:tcPr>
          <w:p>
            <w:pPr>
              <w:spacing w:after="0"/>
              <w:rPr>
                <w:sz w:val="1"/>
                <w:szCs w:val="1"/>
                <w:color w:val="auto"/>
              </w:rPr>
            </w:pPr>
          </w:p>
        </w:tc>
      </w:tr>
      <w:tr>
        <w:trPr>
          <w:trHeight w:val="203"/>
        </w:trPr>
        <w:tc>
          <w:tcPr>
            <w:tcW w:w="7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(2,476)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2,891</w:t>
            </w:r>
          </w:p>
        </w:tc>
        <w:tc>
          <w:tcPr>
            <w:tcW w:w="0" w:type="dxa"/>
            <w:vAlign w:val="bottom"/>
          </w:tcPr>
          <w:p>
            <w:pPr>
              <w:spacing w:after="0"/>
              <w:rPr>
                <w:sz w:val="1"/>
                <w:szCs w:val="1"/>
                <w:color w:val="auto"/>
              </w:rPr>
            </w:pPr>
          </w:p>
        </w:tc>
      </w:tr>
      <w:tr>
        <w:trPr>
          <w:trHeight w:val="203"/>
        </w:trPr>
        <w:tc>
          <w:tcPr>
            <w:tcW w:w="702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provided from  operating activities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020" w:type="dxa"/>
            <w:vAlign w:val="bottom"/>
            <w:vMerge w:val="continue"/>
          </w:tcPr>
          <w:p>
            <w:pPr>
              <w:spacing w:after="0"/>
              <w:rPr>
                <w:sz w:val="24"/>
                <w:szCs w:val="24"/>
                <w:color w:val="auto"/>
              </w:rPr>
            </w:pP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21,705</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19,798</w:t>
            </w:r>
          </w:p>
        </w:tc>
        <w:tc>
          <w:tcPr>
            <w:tcW w:w="0" w:type="dxa"/>
            <w:vAlign w:val="bottom"/>
          </w:tcPr>
          <w:p>
            <w:pPr>
              <w:spacing w:after="0"/>
              <w:rPr>
                <w:sz w:val="1"/>
                <w:szCs w:val="1"/>
                <w:color w:val="auto"/>
              </w:rPr>
            </w:pPr>
          </w:p>
        </w:tc>
      </w:tr>
      <w:tr>
        <w:trPr>
          <w:trHeight w:val="311"/>
        </w:trPr>
        <w:tc>
          <w:tcPr>
            <w:tcW w:w="70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(4,670)</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(770)</w:t>
            </w:r>
          </w:p>
        </w:tc>
        <w:tc>
          <w:tcPr>
            <w:tcW w:w="0" w:type="dxa"/>
            <w:vAlign w:val="bottom"/>
          </w:tcPr>
          <w:p>
            <w:pPr>
              <w:spacing w:after="0"/>
              <w:rPr>
                <w:sz w:val="1"/>
                <w:szCs w:val="1"/>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Purchases of property, plant, equipment and other assets</w:t>
            </w:r>
          </w:p>
        </w:tc>
        <w:tc>
          <w:tcPr>
            <w:tcW w:w="16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used for investing activities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020" w:type="dxa"/>
            <w:vAlign w:val="bottom"/>
            <w:vMerge w:val="continue"/>
          </w:tcPr>
          <w:p>
            <w:pPr>
              <w:spacing w:after="0"/>
              <w:rPr>
                <w:sz w:val="24"/>
                <w:szCs w:val="24"/>
                <w:color w:val="auto"/>
              </w:rPr>
            </w:pPr>
          </w:p>
        </w:tc>
        <w:tc>
          <w:tcPr>
            <w:tcW w:w="1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(4,670)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(770)</w:t>
            </w:r>
          </w:p>
        </w:tc>
        <w:tc>
          <w:tcPr>
            <w:tcW w:w="0" w:type="dxa"/>
            <w:vAlign w:val="bottom"/>
          </w:tcPr>
          <w:p>
            <w:pPr>
              <w:spacing w:after="0"/>
              <w:rPr>
                <w:sz w:val="1"/>
                <w:szCs w:val="1"/>
                <w:color w:val="auto"/>
              </w:rPr>
            </w:pPr>
          </w:p>
        </w:tc>
      </w:tr>
      <w:tr>
        <w:trPr>
          <w:trHeight w:val="311"/>
        </w:trPr>
        <w:tc>
          <w:tcPr>
            <w:tcW w:w="70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(1,400)</w:t>
            </w:r>
          </w:p>
        </w:tc>
        <w:tc>
          <w:tcPr>
            <w:tcW w:w="0" w:type="dxa"/>
            <w:vAlign w:val="bottom"/>
          </w:tcPr>
          <w:p>
            <w:pPr>
              <w:spacing w:after="0"/>
              <w:rPr>
                <w:sz w:val="1"/>
                <w:szCs w:val="1"/>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Reduction in long-term borrowings</w:t>
            </w:r>
          </w:p>
        </w:tc>
        <w:tc>
          <w:tcPr>
            <w:tcW w:w="16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842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699</w:t>
            </w:r>
          </w:p>
        </w:tc>
        <w:tc>
          <w:tcPr>
            <w:tcW w:w="0" w:type="dxa"/>
            <w:vAlign w:val="bottom"/>
          </w:tcPr>
          <w:p>
            <w:pPr>
              <w:spacing w:after="0"/>
              <w:rPr>
                <w:sz w:val="1"/>
                <w:szCs w:val="1"/>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Cash dividends</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(1,391)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(1,032)</w:t>
            </w:r>
          </w:p>
        </w:tc>
        <w:tc>
          <w:tcPr>
            <w:tcW w:w="0" w:type="dxa"/>
            <w:vAlign w:val="bottom"/>
          </w:tcPr>
          <w:p>
            <w:pPr>
              <w:spacing w:after="0"/>
              <w:rPr>
                <w:sz w:val="1"/>
                <w:szCs w:val="1"/>
                <w:color w:val="auto"/>
              </w:rPr>
            </w:pPr>
          </w:p>
        </w:tc>
      </w:tr>
      <w:tr>
        <w:trPr>
          <w:trHeight w:val="203"/>
        </w:trPr>
        <w:tc>
          <w:tcPr>
            <w:tcW w:w="702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used for financing activities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(549)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c>
          <w:tcPr>
            <w:tcW w:w="0" w:type="dxa"/>
            <w:vAlign w:val="bottom"/>
          </w:tcPr>
          <w:p>
            <w:pPr>
              <w:spacing w:after="0"/>
              <w:rPr>
                <w:sz w:val="1"/>
                <w:szCs w:val="1"/>
                <w:color w:val="auto"/>
              </w:rPr>
            </w:pPr>
          </w:p>
        </w:tc>
      </w:tr>
      <w:tr>
        <w:trPr>
          <w:trHeight w:val="203"/>
        </w:trPr>
        <w:tc>
          <w:tcPr>
            <w:tcW w:w="7020" w:type="dxa"/>
            <w:vAlign w:val="bottom"/>
            <w:vMerge w:val="restart"/>
          </w:tcPr>
          <w:p>
            <w:pPr>
              <w:spacing w:after="0"/>
              <w:rPr>
                <w:sz w:val="20"/>
                <w:szCs w:val="20"/>
                <w:color w:val="auto"/>
              </w:rPr>
            </w:pPr>
            <w:r>
              <w:rPr>
                <w:rFonts w:ascii="Courier New" w:cs="Courier New" w:eastAsia="Courier New" w:hAnsi="Courier New"/>
                <w:sz w:val="18"/>
                <w:szCs w:val="18"/>
                <w:color w:val="auto"/>
              </w:rPr>
              <w:t>Net increase  in cash and cash equivalents</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16,486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17,295</w:t>
            </w:r>
          </w:p>
        </w:tc>
        <w:tc>
          <w:tcPr>
            <w:tcW w:w="0" w:type="dxa"/>
            <w:vAlign w:val="bottom"/>
          </w:tcPr>
          <w:p>
            <w:pPr>
              <w:spacing w:after="0"/>
              <w:rPr>
                <w:sz w:val="1"/>
                <w:szCs w:val="1"/>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28,874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3,096</w:t>
            </w:r>
          </w:p>
        </w:tc>
        <w:tc>
          <w:tcPr>
            <w:tcW w:w="0" w:type="dxa"/>
            <w:vAlign w:val="bottom"/>
          </w:tcPr>
          <w:p>
            <w:pPr>
              <w:spacing w:after="0"/>
              <w:rPr>
                <w:sz w:val="1"/>
                <w:szCs w:val="1"/>
                <w:color w:val="auto"/>
              </w:rPr>
            </w:pPr>
          </w:p>
        </w:tc>
      </w:tr>
      <w:tr>
        <w:trPr>
          <w:trHeight w:val="203"/>
        </w:trPr>
        <w:tc>
          <w:tcPr>
            <w:tcW w:w="702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at end of  period</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$ 45,360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$ 20,391</w:t>
            </w:r>
          </w:p>
        </w:tc>
        <w:tc>
          <w:tcPr>
            <w:tcW w:w="0" w:type="dxa"/>
            <w:vAlign w:val="bottom"/>
          </w:tcPr>
          <w:p>
            <w:pPr>
              <w:spacing w:after="0"/>
              <w:rPr>
                <w:sz w:val="1"/>
                <w:szCs w:val="1"/>
                <w:color w:val="auto"/>
              </w:rPr>
            </w:pPr>
          </w:p>
        </w:tc>
      </w:tr>
      <w:tr>
        <w:trPr>
          <w:trHeight w:val="296"/>
        </w:trPr>
        <w:tc>
          <w:tcPr>
            <w:tcW w:w="7020" w:type="dxa"/>
            <w:vAlign w:val="bottom"/>
            <w:vMerge w:val="restart"/>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702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6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$ 16,821</w:t>
            </w:r>
          </w:p>
        </w:tc>
        <w:tc>
          <w:tcPr>
            <w:tcW w:w="1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$ 10,901</w:t>
            </w:r>
          </w:p>
        </w:tc>
        <w:tc>
          <w:tcPr>
            <w:tcW w:w="0" w:type="dxa"/>
            <w:vAlign w:val="bottom"/>
          </w:tcPr>
          <w:p>
            <w:pPr>
              <w:spacing w:after="0"/>
              <w:rPr>
                <w:sz w:val="1"/>
                <w:szCs w:val="1"/>
                <w:color w:val="auto"/>
              </w:rPr>
            </w:pPr>
          </w:p>
        </w:tc>
      </w:tr>
      <w:tr>
        <w:trPr>
          <w:trHeight w:val="203"/>
        </w:trPr>
        <w:tc>
          <w:tcPr>
            <w:tcW w:w="7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Income taxes</w:t>
            </w:r>
          </w:p>
        </w:tc>
        <w:tc>
          <w:tcPr>
            <w:tcW w:w="16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020" w:type="dxa"/>
            <w:vAlign w:val="bottom"/>
          </w:tcPr>
          <w:p>
            <w:pPr>
              <w:ind w:left="740"/>
              <w:spacing w:after="0"/>
              <w:rPr>
                <w:sz w:val="20"/>
                <w:szCs w:val="20"/>
                <w:color w:val="auto"/>
              </w:rPr>
            </w:pPr>
            <w:r>
              <w:rPr>
                <w:rFonts w:ascii="Courier New" w:cs="Courier New" w:eastAsia="Courier New" w:hAnsi="Courier New"/>
                <w:sz w:val="18"/>
                <w:szCs w:val="18"/>
                <w:color w:val="auto"/>
              </w:rPr>
              <w:t>Interest</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right="1779"/>
        <w:spacing w:after="0"/>
        <w:rPr>
          <w:sz w:val="20"/>
          <w:szCs w:val="20"/>
          <w:color w:val="auto"/>
        </w:rPr>
      </w:pPr>
      <w:r>
        <w:rPr>
          <w:rFonts w:ascii="Courier New" w:cs="Courier New" w:eastAsia="Courier New" w:hAnsi="Courier New"/>
          <w:sz w:val="18"/>
          <w:szCs w:val="18"/>
          <w:color w:val="auto"/>
        </w:rPr>
        <w:t>SEPTEMBER 30, 1996</w:t>
      </w:r>
    </w:p>
    <w:p>
      <w:pPr>
        <w:spacing w:after="0" w:line="372" w:lineRule="exact"/>
        <w:rPr>
          <w:sz w:val="20"/>
          <w:szCs w:val="20"/>
          <w:color w:val="auto"/>
        </w:rPr>
      </w:pPr>
    </w:p>
    <w:p>
      <w:pPr>
        <w:ind w:left="540" w:right="1779" w:hanging="526"/>
        <w:spacing w:after="0" w:line="250" w:lineRule="auto"/>
        <w:tabs>
          <w:tab w:leader="none" w:pos="520" w:val="left"/>
        </w:tabs>
        <w:rPr>
          <w:sz w:val="20"/>
          <w:szCs w:val="20"/>
          <w:color w:val="auto"/>
        </w:rPr>
      </w:pPr>
      <w:r>
        <w:rPr>
          <w:rFonts w:ascii="Courier New" w:cs="Courier New" w:eastAsia="Courier New" w:hAnsi="Courier New"/>
          <w:sz w:val="18"/>
          <w:szCs w:val="18"/>
          <w:color w:val="auto"/>
        </w:rPr>
        <w:t>1 -</w:t>
        <w:tab/>
        <w:t>The accompanying interim financial statements are unaudited but include all adjustments (consisting of normal recurring adjustments) which the Company considers necessary for a fair statement of the results for the period. The operating results for the three and nine months ended September 30, 1996 are not necessarily indicative of the operating results for the entire year or any future period. These financial statements should be read in conjunction with the consolidated financial statements included in the Company's Annual Report on Form 10-K for the year ended December 31, 1995. Reclassification has been made to certain prior year and period amounts to conform to the 1996 presentation.</w:t>
      </w:r>
    </w:p>
    <w:p>
      <w:pPr>
        <w:spacing w:after="0" w:line="104" w:lineRule="exact"/>
        <w:rPr>
          <w:sz w:val="20"/>
          <w:szCs w:val="20"/>
          <w:color w:val="auto"/>
        </w:rPr>
      </w:pPr>
    </w:p>
    <w:p>
      <w:pPr>
        <w:ind w:left="540" w:right="2199" w:hanging="526"/>
        <w:spacing w:after="0" w:line="292" w:lineRule="auto"/>
        <w:tabs>
          <w:tab w:leader="none" w:pos="520" w:val="left"/>
        </w:tabs>
        <w:rPr>
          <w:sz w:val="20"/>
          <w:szCs w:val="20"/>
          <w:color w:val="auto"/>
        </w:rPr>
      </w:pPr>
      <w:r>
        <w:rPr>
          <w:rFonts w:ascii="Courier New" w:cs="Courier New" w:eastAsia="Courier New" w:hAnsi="Courier New"/>
          <w:sz w:val="18"/>
          <w:szCs w:val="18"/>
          <w:color w:val="auto"/>
        </w:rPr>
        <w:t>2 -</w:t>
        <w:tab/>
        <w:t>Per share information is based on the weighted average number of shares outstanding during each period and the dilutive effect of the assumed exercise of stock options.</w:t>
      </w:r>
    </w:p>
    <w:p>
      <w:pPr>
        <w:spacing w:after="0" w:line="66" w:lineRule="exact"/>
        <w:rPr>
          <w:sz w:val="20"/>
          <w:szCs w:val="20"/>
          <w:color w:val="auto"/>
        </w:rPr>
      </w:pPr>
    </w:p>
    <w:p>
      <w:pPr>
        <w:ind w:left="540" w:right="1999" w:hanging="526"/>
        <w:spacing w:after="0" w:line="274" w:lineRule="auto"/>
        <w:tabs>
          <w:tab w:leader="none" w:pos="520" w:val="left"/>
        </w:tabs>
        <w:rPr>
          <w:sz w:val="20"/>
          <w:szCs w:val="20"/>
          <w:color w:val="auto"/>
        </w:rPr>
      </w:pPr>
      <w:r>
        <w:rPr>
          <w:rFonts w:ascii="Courier New" w:cs="Courier New" w:eastAsia="Courier New" w:hAnsi="Courier New"/>
          <w:sz w:val="18"/>
          <w:szCs w:val="18"/>
          <w:color w:val="auto"/>
        </w:rPr>
        <w:t>3 -</w:t>
        <w:tab/>
        <w:t>In May 1996, the Company entered into a $5,000,000 unsecured bank line of credit agreement with its primary bank. The agreement expires in May 1998 and requires compliance with certain financial covenants. No borrowings were outstanding at September 30, 1996.</w:t>
      </w:r>
    </w:p>
    <w:p>
      <w:pPr>
        <w:spacing w:after="0" w:line="82" w:lineRule="exact"/>
        <w:rPr>
          <w:sz w:val="20"/>
          <w:szCs w:val="20"/>
          <w:color w:val="auto"/>
        </w:rPr>
      </w:pPr>
    </w:p>
    <w:p>
      <w:pPr>
        <w:ind w:left="540" w:right="1879" w:hanging="526"/>
        <w:spacing w:after="0" w:line="274" w:lineRule="auto"/>
        <w:tabs>
          <w:tab w:leader="none" w:pos="520" w:val="left"/>
        </w:tabs>
        <w:rPr>
          <w:sz w:val="20"/>
          <w:szCs w:val="20"/>
          <w:color w:val="auto"/>
        </w:rPr>
      </w:pPr>
      <w:r>
        <w:rPr>
          <w:rFonts w:ascii="Courier New" w:cs="Courier New" w:eastAsia="Courier New" w:hAnsi="Courier New"/>
          <w:sz w:val="18"/>
          <w:szCs w:val="18"/>
          <w:color w:val="auto"/>
        </w:rPr>
        <w:t>4 -</w:t>
        <w:tab/>
        <w:t>In May 1996, Cohu, Inc. stockholders approved an increase in the Company's authorized shares of common stock from 10,000,000 to 25,000,000 shares and the adoption of the Cohu, Inc. 1996 Stock Option Plan providing for the issuance of up to 450,000 shares of common stock.</w:t>
      </w:r>
    </w:p>
    <w:p>
      <w:pPr>
        <w:spacing w:after="0" w:line="2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659"/>
        <w:spacing w:after="0"/>
        <w:rPr>
          <w:sz w:val="20"/>
          <w:szCs w:val="20"/>
          <w:color w:val="auto"/>
        </w:rPr>
      </w:pPr>
      <w:r>
        <w:rPr>
          <w:rFonts w:ascii="Courier New" w:cs="Courier New" w:eastAsia="Courier New" w:hAnsi="Courier New"/>
          <w:sz w:val="18"/>
          <w:szCs w:val="18"/>
          <w:color w:val="auto"/>
        </w:rPr>
        <w:t>AND RESULTS OF OPERATIONS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QUARTER 1996 COMPARED TO THIRD QUARTER 1995</w:t>
      </w:r>
    </w:p>
    <w:p>
      <w:pPr>
        <w:spacing w:after="0" w:line="20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Net sales decreased 29% to $34.8 million in the third quarter of 1996 compared to net sales of $49.0 million in the third quarter of 1995. Sales of semiconductor test handling equipment declined 34% in the third quarter of 1996 compared to the third quarter of 1995 and accounted for 78% of consolidated net sales in the third quarter of 1996. Sales of television cameras and equipment decreased 6% while the combined sales of metal detection and microwave equipment decreased 9% compared to 1995. Gross margin as a percentage of net sales improved to 43% in the third quarter of 1996 versus 39% in 1995, primarily as a result of improved margins in the semiconductor equipment business. Within the semiconductor equipment segment, margins improved due to a significant reduction in provisions for excess and obsolete inventories. Research and development expense as a percentage of net sales was 10% in the third quarter of 1996 up from 5% in 1995 and reflected the Company's continued investment in new product development in the semiconductor equipment business. Selling, general and administrative expense decreased as a percentage of net sales from 12% to 11% in part due to a reduction in certain performance based compensation charges in the 1996 period. Interest income in the quarter increased to $.5 million due to the significant increase in cash and cash equivalents. The provision for income taxes expressed as a percentage of pre-tax income was 37% in the third quarter of 1996 and 39% for the year ended December 31, 1995. For the third quarter, as a result of the factors set forth above, net income decreased 20% to $5.2 million in 1996 from $6.5 million in 1995.</w:t>
      </w:r>
    </w:p>
    <w:p>
      <w:pPr>
        <w:spacing w:after="0" w:line="200" w:lineRule="exact"/>
        <w:rPr>
          <w:sz w:val="20"/>
          <w:szCs w:val="20"/>
          <w:color w:val="auto"/>
        </w:rPr>
      </w:pPr>
    </w:p>
    <w:p>
      <w:pPr>
        <w:spacing w:after="0" w:line="306"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NINE MONTHS ENDED SEPTEMBER 30, 1996 COMPARED TO NINE MONTHS ENDED SEPTEMBER 30, 1995</w:t>
      </w:r>
    </w:p>
    <w:p>
      <w:pPr>
        <w:spacing w:after="0" w:line="18"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6"/>
          <w:szCs w:val="16"/>
          <w:color w:val="auto"/>
        </w:rPr>
        <w:t>Net sales increased 4% to $130.9 million in the first nine months of 1996 compared to net sales of $126.4 million in the first nine months of 1995. Despite the sales decline in the third quarter, sales of semiconductor test handling equipment increased an aggregate of 4% over sales in the first nine months of 1995 and accounted for 81% of consolidated net sales in the first nine months of 1996. Sales of television cameras and equipment and the combined sales of metal detection and microwave equipment in the first nine months of 1996 increased 3% and 2%, respectively, over 1995. Gross margin as a percentage of net sales improved to 45% in the first nine months of 1996 versus 38% in the first nine months of 1995, primarily as a result of improved margins in the semiconductor equipment business. Within the semiconductor equipment segment, margins improved due to a significant reduction in provisions for excess and obsolete inventories and, to a lesser extent, production efficiencies. Research and development expense as a percentage of net sales increased to 8% in the first nine months of 1996 from 6% in 1995 and reflected the Company's continued investment in new product development in the semiconductor equipment business. Selling, general and administrative expense decreased as a percentage of net sales from 13% to 12% in part due to a reduction in certain performance based compensation charges in the 1996 period. Interest income in the period increased to $1.3 million due to the significant increase in cash and cash equivalents. The provision for income taxes expressed as a percentage of pre-tax income was 38% in the first nine months of 1996 down from 39% for the year ended December 31, 1995. For the nine month period, as a result of the factors set forth above, net income increased 39% to $20.7 million in 1996 from $14.9 million in 1995.</w:t>
      </w:r>
    </w:p>
    <w:p>
      <w:pPr>
        <w:spacing w:after="0" w:line="200" w:lineRule="exact"/>
        <w:rPr>
          <w:sz w:val="20"/>
          <w:szCs w:val="20"/>
          <w:color w:val="auto"/>
        </w:rPr>
      </w:pPr>
    </w:p>
    <w:p>
      <w:pPr>
        <w:spacing w:after="0" w:line="3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659"/>
        <w:spacing w:after="0"/>
        <w:rPr>
          <w:sz w:val="20"/>
          <w:szCs w:val="20"/>
          <w:color w:val="auto"/>
        </w:rPr>
      </w:pPr>
      <w:r>
        <w:rPr>
          <w:rFonts w:ascii="Courier New" w:cs="Courier New" w:eastAsia="Courier New" w:hAnsi="Courier New"/>
          <w:sz w:val="18"/>
          <w:szCs w:val="18"/>
          <w:color w:val="auto"/>
        </w:rPr>
        <w:t>AND RESULTS OF OPERATIONS (cont.)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net cash flows generated from operating activities in the first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nine months of 1996 totaled $21.7 million. The major components of cash flows</w:t>
      </w:r>
    </w:p>
    <w:p>
      <w:pPr>
        <w:spacing w:after="0" w:line="238" w:lineRule="auto"/>
        <w:rPr>
          <w:sz w:val="20"/>
          <w:szCs w:val="20"/>
          <w:color w:val="auto"/>
        </w:rPr>
      </w:pPr>
      <w:r>
        <w:rPr>
          <w:rFonts w:ascii="Courier New" w:cs="Courier New" w:eastAsia="Courier New" w:hAnsi="Courier New"/>
          <w:sz w:val="18"/>
          <w:szCs w:val="18"/>
          <w:color w:val="auto"/>
        </w:rPr>
        <w:t>from operating activities were net income of $20.7 million and decreases in</w:t>
      </w:r>
    </w:p>
    <w:p>
      <w:pPr>
        <w:spacing w:after="0"/>
        <w:rPr>
          <w:sz w:val="20"/>
          <w:szCs w:val="20"/>
          <w:color w:val="auto"/>
        </w:rPr>
      </w:pPr>
      <w:r>
        <w:rPr>
          <w:rFonts w:ascii="Courier New" w:cs="Courier New" w:eastAsia="Courier New" w:hAnsi="Courier New"/>
          <w:sz w:val="18"/>
          <w:szCs w:val="18"/>
          <w:color w:val="auto"/>
        </w:rPr>
        <w:t>accounts receivable of $5.2 million and inventories of $4.7 million offset by</w:t>
      </w:r>
    </w:p>
    <w:p>
      <w:pPr>
        <w:spacing w:after="0" w:line="238" w:lineRule="auto"/>
        <w:rPr>
          <w:sz w:val="20"/>
          <w:szCs w:val="20"/>
          <w:color w:val="auto"/>
        </w:rPr>
      </w:pPr>
      <w:r>
        <w:rPr>
          <w:rFonts w:ascii="Courier New" w:cs="Courier New" w:eastAsia="Courier New" w:hAnsi="Courier New"/>
          <w:sz w:val="18"/>
          <w:szCs w:val="18"/>
          <w:color w:val="auto"/>
        </w:rPr>
        <w:t>decreases in accounts payable, income taxes payable and other accrued</w:t>
      </w:r>
    </w:p>
    <w:p>
      <w:pPr>
        <w:spacing w:after="0"/>
        <w:rPr>
          <w:sz w:val="20"/>
          <w:szCs w:val="20"/>
          <w:color w:val="auto"/>
        </w:rPr>
      </w:pPr>
      <w:r>
        <w:rPr>
          <w:rFonts w:ascii="Courier New" w:cs="Courier New" w:eastAsia="Courier New" w:hAnsi="Courier New"/>
          <w:sz w:val="18"/>
          <w:szCs w:val="18"/>
          <w:color w:val="auto"/>
        </w:rPr>
        <w:t>liabilities totaling $10.8 million. Net cash used for investing activities was</w:t>
      </w:r>
    </w:p>
    <w:p>
      <w:pPr>
        <w:spacing w:after="0"/>
        <w:rPr>
          <w:sz w:val="20"/>
          <w:szCs w:val="20"/>
          <w:color w:val="auto"/>
        </w:rPr>
      </w:pPr>
      <w:r>
        <w:rPr>
          <w:rFonts w:ascii="Courier New" w:cs="Courier New" w:eastAsia="Courier New" w:hAnsi="Courier New"/>
          <w:sz w:val="16"/>
          <w:szCs w:val="16"/>
          <w:color w:val="auto"/>
        </w:rPr>
        <w:t>$4.7 million and was used for the purchase of property, plant and equipment. Net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used for financing activities was $.5 million. Cash used for financing</w:t>
      </w:r>
    </w:p>
    <w:p>
      <w:pPr>
        <w:spacing w:after="0" w:line="238" w:lineRule="auto"/>
        <w:rPr>
          <w:sz w:val="20"/>
          <w:szCs w:val="20"/>
          <w:color w:val="auto"/>
        </w:rPr>
      </w:pPr>
      <w:r>
        <w:rPr>
          <w:rFonts w:ascii="Courier New" w:cs="Courier New" w:eastAsia="Courier New" w:hAnsi="Courier New"/>
          <w:sz w:val="18"/>
          <w:szCs w:val="18"/>
          <w:color w:val="auto"/>
        </w:rPr>
        <w:t>activities included $1.4 million for the payment of dividends offset by $.8</w:t>
      </w:r>
    </w:p>
    <w:p>
      <w:pPr>
        <w:spacing w:after="0"/>
        <w:rPr>
          <w:sz w:val="20"/>
          <w:szCs w:val="20"/>
          <w:color w:val="auto"/>
        </w:rPr>
      </w:pPr>
      <w:r>
        <w:rPr>
          <w:rFonts w:ascii="Courier New" w:cs="Courier New" w:eastAsia="Courier New" w:hAnsi="Courier New"/>
          <w:sz w:val="16"/>
          <w:szCs w:val="16"/>
          <w:color w:val="auto"/>
        </w:rPr>
        <w:t>million received from the issuance of stock upon the exercise of stock options.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has $5 million available under its bank line of credit and working</w:t>
      </w:r>
    </w:p>
    <w:p>
      <w:pPr>
        <w:spacing w:after="0" w:line="238" w:lineRule="auto"/>
        <w:rPr>
          <w:sz w:val="20"/>
          <w:szCs w:val="20"/>
          <w:color w:val="auto"/>
        </w:rPr>
      </w:pPr>
      <w:r>
        <w:rPr>
          <w:rFonts w:ascii="Courier New" w:cs="Courier New" w:eastAsia="Courier New" w:hAnsi="Courier New"/>
          <w:sz w:val="18"/>
          <w:szCs w:val="18"/>
          <w:color w:val="auto"/>
        </w:rPr>
        <w:t>capital of $74 million at September 30, 1996. It is anticipated that present</w:t>
      </w:r>
    </w:p>
    <w:p>
      <w:pPr>
        <w:spacing w:after="0"/>
        <w:rPr>
          <w:sz w:val="20"/>
          <w:szCs w:val="20"/>
          <w:color w:val="auto"/>
        </w:rPr>
      </w:pPr>
      <w:r>
        <w:rPr>
          <w:rFonts w:ascii="Courier New" w:cs="Courier New" w:eastAsia="Courier New" w:hAnsi="Courier New"/>
          <w:sz w:val="18"/>
          <w:szCs w:val="18"/>
          <w:color w:val="auto"/>
        </w:rPr>
        <w:t>working capital and cash generated from operations will be sufficient to meet</w:t>
      </w:r>
    </w:p>
    <w:p>
      <w:pPr>
        <w:spacing w:after="0"/>
        <w:rPr>
          <w:sz w:val="20"/>
          <w:szCs w:val="20"/>
          <w:color w:val="auto"/>
        </w:rPr>
      </w:pPr>
      <w:r>
        <w:rPr>
          <w:rFonts w:ascii="Courier New" w:cs="Courier New" w:eastAsia="Courier New" w:hAnsi="Courier New"/>
          <w:sz w:val="16"/>
          <w:szCs w:val="16"/>
          <w:color w:val="auto"/>
        </w:rPr>
        <w:t>the Company's 1996 operating requirements and the remaining anticipated capital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expenditures for 1996 of approximately $1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w:t>
      </w:r>
    </w:p>
    <w:p>
      <w:pPr>
        <w:spacing w:after="0" w:line="200" w:lineRule="exact"/>
        <w:rPr>
          <w:sz w:val="20"/>
          <w:szCs w:val="20"/>
          <w:color w:val="auto"/>
        </w:rPr>
      </w:pPr>
    </w:p>
    <w:p>
      <w:pPr>
        <w:spacing w:after="0" w:line="204" w:lineRule="exact"/>
        <w:rPr>
          <w:sz w:val="20"/>
          <w:szCs w:val="20"/>
          <w:color w:val="auto"/>
        </w:rPr>
      </w:pPr>
    </w:p>
    <w:p>
      <w:pPr>
        <w:ind w:right="1779"/>
        <w:spacing w:after="0" w:line="283" w:lineRule="auto"/>
        <w:rPr>
          <w:sz w:val="20"/>
          <w:szCs w:val="20"/>
          <w:color w:val="auto"/>
        </w:rPr>
      </w:pPr>
      <w:r>
        <w:rPr>
          <w:rFonts w:ascii="Courier New" w:cs="Courier New" w:eastAsia="Courier New" w:hAnsi="Courier New"/>
          <w:sz w:val="16"/>
          <w:szCs w:val="16"/>
          <w:color w:val="auto"/>
        </w:rPr>
        <w:t>The Company's operating results are substantially dependent on the semiconductor test handling equipment business conducted through its Delta Design and Daymarc subsidiaries. This capital equipment business is in turn highly dependent on the overall strength of the semiconductor industry. Historically, the semiconductor industry has been highly cyclical with recurring periods of oversupply,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fluctuations. Reductions in capital equipment investment by semiconductor manufacturers adversely affect the Company's results of operations.</w:t>
      </w:r>
    </w:p>
    <w:p>
      <w:pPr>
        <w:spacing w:after="0" w:line="294" w:lineRule="exact"/>
        <w:rPr>
          <w:sz w:val="20"/>
          <w:szCs w:val="20"/>
          <w:color w:val="auto"/>
        </w:rPr>
      </w:pPr>
    </w:p>
    <w:p>
      <w:pPr>
        <w:ind w:right="1779"/>
        <w:spacing w:after="0" w:line="281" w:lineRule="auto"/>
        <w:rPr>
          <w:sz w:val="20"/>
          <w:szCs w:val="20"/>
          <w:color w:val="auto"/>
        </w:rPr>
      </w:pPr>
      <w:r>
        <w:rPr>
          <w:rFonts w:ascii="Courier New" w:cs="Courier New" w:eastAsia="Courier New" w:hAnsi="Courier New"/>
          <w:sz w:val="16"/>
          <w:szCs w:val="16"/>
          <w:color w:val="auto"/>
        </w:rPr>
        <w:t>The Company's order backlog declined to $27.3 million at September 30, 1996 from $45.4 million at December 31, 1995. This reduction in backlog is principally related to the Company's semiconductor equipment business. The decline in the Company's backlog and announcements by certain semiconductor and semiconductor equipment manufacturers indicate there has been a slowdown in demand for semiconductor related equipment including equipment of the type manufactured and marketed by the Company. In addition, continued DRAM price declines in recent months have negatively impacted the profitability of DRAM manufacturers which has impacted capital equipment purchases. These factors negatively affected the Company's operating results in the third quarter of 1996. The recovery in the semiconductor equipment business is not expected for some time and the reduced level of backlog indicates that the Company's downward trend in sales and net income will continue in the 1996 fourth quarter.</w:t>
      </w:r>
    </w:p>
    <w:p>
      <w:pPr>
        <w:spacing w:after="0" w:line="290"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Earlier in 1996, in response to the changing environment in the semiconductor equipment industry, the Company reduced its work force. The Company will attempt to keep its production capacity, labor force and other aspects of its cost structure in line with expected demand. If the slowdown in the semiconductor equipment industry continues, it is likely that the Company will further reduce its work force. Cost reduction programs may have a temporary negative impact on the Company's operations and operating results. Furthermore, no assurance can be made that such cost reduction programs will be implemented successfully.</w:t>
      </w:r>
    </w:p>
    <w:p>
      <w:pPr>
        <w:spacing w:after="0" w:line="2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659"/>
        <w:spacing w:after="0"/>
        <w:rPr>
          <w:sz w:val="20"/>
          <w:szCs w:val="20"/>
          <w:color w:val="auto"/>
        </w:rPr>
      </w:pPr>
      <w:r>
        <w:rPr>
          <w:rFonts w:ascii="Courier New" w:cs="Courier New" w:eastAsia="Courier New" w:hAnsi="Courier New"/>
          <w:sz w:val="18"/>
          <w:szCs w:val="18"/>
          <w:color w:val="auto"/>
        </w:rPr>
        <w:t>AND RESULTS OF OPERATIONS (cont.)</w:t>
      </w:r>
    </w:p>
    <w:p>
      <w:pPr>
        <w:spacing w:after="0" w:line="372"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As is common in the semiconductor equipment industry, the Company relies on a limited number of customers for a substantial percentage of its net sales (two customers accounted for approximately 28% of net sales in the first nine months of 1996 and also 35% of net sales for the year ended December 31, 1995). The loss of or a significant reduction in orders by either of these or other significant customers not compensated for by other customer orders would adversely impact the Company's results of operations.</w:t>
      </w:r>
    </w:p>
    <w:p>
      <w:pPr>
        <w:spacing w:after="0" w:line="98" w:lineRule="exact"/>
        <w:rPr>
          <w:sz w:val="20"/>
          <w:szCs w:val="20"/>
          <w:color w:val="auto"/>
        </w:rPr>
      </w:pPr>
    </w:p>
    <w:p>
      <w:pPr>
        <w:ind w:right="1779"/>
        <w:spacing w:after="0" w:line="283" w:lineRule="auto"/>
        <w:rPr>
          <w:sz w:val="20"/>
          <w:szCs w:val="20"/>
          <w:color w:val="auto"/>
        </w:rPr>
      </w:pPr>
      <w:r>
        <w:rPr>
          <w:rFonts w:ascii="Courier New" w:cs="Courier New" w:eastAsia="Courier New" w:hAnsi="Courier New"/>
          <w:sz w:val="16"/>
          <w:szCs w:val="16"/>
          <w:color w:val="auto"/>
        </w:rPr>
        <w:t>Semiconductor equipment and processes are subject to rapid technological change. The Company believes that its future success will depend in part on its ability to enhance existing products and develop new products that enable semiconductor manufacturers to more efficiently handle and test semiconductors. Failure to introduce new products in a timely manner, the introduction by competitors of products with perceived or actual advantages or disputes over rights of the Company or its competitors to use certain intellectual property or technology could result in a loss of competitive position and reduced sales of existing products. The Company expects to continue to invest heavily in research and development and must manage product transitions successfully as introductions of new products could adversely impact sales of existing products.</w:t>
      </w:r>
    </w:p>
    <w:p>
      <w:pPr>
        <w:spacing w:after="0" w:line="294" w:lineRule="exact"/>
        <w:rPr>
          <w:sz w:val="20"/>
          <w:szCs w:val="20"/>
          <w:color w:val="auto"/>
        </w:rPr>
      </w:pPr>
    </w:p>
    <w:p>
      <w:pPr>
        <w:ind w:right="1779"/>
        <w:spacing w:after="0" w:line="287" w:lineRule="auto"/>
        <w:rPr>
          <w:sz w:val="20"/>
          <w:szCs w:val="20"/>
          <w:color w:val="auto"/>
        </w:rPr>
      </w:pPr>
      <w:r>
        <w:rPr>
          <w:rFonts w:ascii="Courier New" w:cs="Courier New" w:eastAsia="Courier New" w:hAnsi="Courier New"/>
          <w:sz w:val="16"/>
          <w:szCs w:val="16"/>
          <w:color w:val="auto"/>
        </w:rPr>
        <w:t>Due to these and other factors, historical results may not necessarily be indicative of results of operations for any future period. In addition, certain matters discussed above are forward looking statements that are subject to the risks and uncertainties noted herein and the other risks and uncertainties listed from time to time in the Company's filings with the Securities and Exchange Commission, including but not limited to the 1995 Annual Report on Form 10-K, that could cause actual results to differ materially from those projected or forecasted. The Company undertakes no obligation to update the information, including the forward looking statements, in this Form 10-Q.</w:t>
      </w:r>
    </w:p>
    <w:p>
      <w:pPr>
        <w:spacing w:after="0" w:line="2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3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Exhibits:</w:t>
      </w:r>
    </w:p>
    <w:p>
      <w:pPr>
        <w:spacing w:after="0" w:line="201" w:lineRule="exact"/>
        <w:rPr>
          <w:sz w:val="20"/>
          <w:szCs w:val="20"/>
          <w:color w:val="auto"/>
        </w:rPr>
      </w:pPr>
    </w:p>
    <w:p>
      <w:pPr>
        <w:ind w:left="2540" w:right="2319" w:hanging="842"/>
        <w:spacing w:after="0" w:line="347" w:lineRule="auto"/>
        <w:tabs>
          <w:tab w:leader="none" w:pos="2520" w:val="left"/>
        </w:tabs>
        <w:rPr>
          <w:sz w:val="20"/>
          <w:szCs w:val="20"/>
          <w:color w:val="auto"/>
        </w:rPr>
      </w:pPr>
      <w:r>
        <w:rPr>
          <w:rFonts w:ascii="Courier New" w:cs="Courier New" w:eastAsia="Courier New" w:hAnsi="Courier New"/>
          <w:sz w:val="18"/>
          <w:szCs w:val="18"/>
          <w:color w:val="auto"/>
        </w:rPr>
        <w:t>3(i) -</w:t>
        <w:tab/>
        <w:t>Certificate of Amendment of Restated Certificate of Incorporation</w:t>
      </w:r>
    </w:p>
    <w:p>
      <w:pPr>
        <w:spacing w:after="0" w:line="18"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27.1 -</w:t>
      </w:r>
      <w:r>
        <w:rPr>
          <w:sz w:val="20"/>
          <w:szCs w:val="20"/>
          <w:color w:val="auto"/>
        </w:rPr>
        <w:tab/>
      </w:r>
      <w:r>
        <w:rPr>
          <w:rFonts w:ascii="Courier New" w:cs="Courier New" w:eastAsia="Courier New" w:hAnsi="Courier New"/>
          <w:sz w:val="16"/>
          <w:szCs w:val="16"/>
          <w:color w:val="auto"/>
        </w:rPr>
        <w:t>Financial Data Schedule</w:t>
      </w:r>
    </w:p>
    <w:p>
      <w:pPr>
        <w:spacing w:after="0" w:line="201" w:lineRule="exact"/>
        <w:rPr>
          <w:sz w:val="20"/>
          <w:szCs w:val="20"/>
          <w:color w:val="auto"/>
        </w:rPr>
      </w:pPr>
    </w:p>
    <w:p>
      <w:pPr>
        <w:ind w:left="1480" w:right="1879" w:hanging="419"/>
        <w:spacing w:after="0" w:line="347" w:lineRule="auto"/>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The Company did not file any reports on Form 8-K during the quarter ended September 30, 1996.</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169"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COHU, INC.</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October 30, 1996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Charles A. Schwan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238" w:lineRule="auto"/>
        <w:rPr>
          <w:sz w:val="20"/>
          <w:szCs w:val="20"/>
          <w:color w:val="auto"/>
        </w:rPr>
      </w:pPr>
      <w:r>
        <w:rPr>
          <w:rFonts w:ascii="Courier New" w:cs="Courier New" w:eastAsia="Courier New" w:hAnsi="Courier New"/>
          <w:sz w:val="18"/>
          <w:szCs w:val="18"/>
          <w:color w:val="auto"/>
        </w:rPr>
        <w:t>President &amp; Chief Executive Officer</w:t>
      </w:r>
    </w:p>
    <w:p>
      <w:pPr>
        <w:spacing w:after="0"/>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960" w:space="100"/>
            <w:col w:w="2840" w:space="540"/>
            <w:col w:w="5779"/>
          </w:cols>
          <w:pgMar w:left="240" w:top="285" w:right="1440" w:bottom="1440" w:gutter="0" w:footer="0" w:header="0"/>
          <w:type w:val="continuous"/>
        </w:sectPr>
      </w:pPr>
    </w:p>
    <w:p>
      <w:pPr>
        <w:spacing w:after="0" w:line="37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October 30, 1996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John H. Allen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 Chief</w:t>
      </w:r>
    </w:p>
    <w:p>
      <w:pPr>
        <w:spacing w:after="0"/>
        <w:rPr>
          <w:sz w:val="20"/>
          <w:szCs w:val="20"/>
          <w:color w:val="auto"/>
        </w:rPr>
      </w:pPr>
      <w:r>
        <w:rPr>
          <w:rFonts w:ascii="Courier New" w:cs="Courier New" w:eastAsia="Courier New" w:hAnsi="Courier New"/>
          <w:sz w:val="18"/>
          <w:szCs w:val="18"/>
          <w:color w:val="auto"/>
        </w:rPr>
        <w:t>Financial Officer</w:t>
      </w:r>
    </w:p>
    <w:p>
      <w:pPr>
        <w:spacing w:after="0" w:line="238" w:lineRule="auto"/>
        <w:rPr>
          <w:sz w:val="20"/>
          <w:szCs w:val="20"/>
          <w:color w:val="auto"/>
        </w:rPr>
      </w:pPr>
      <w:r>
        <w:rPr>
          <w:rFonts w:ascii="Courier New" w:cs="Courier New" w:eastAsia="Courier New" w:hAnsi="Courier New"/>
          <w:sz w:val="18"/>
          <w:szCs w:val="18"/>
          <w:color w:val="auto"/>
        </w:rPr>
        <w:t>(Principal Financial and Accounting</w:t>
      </w: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3">
            <w:col w:w="960" w:space="100"/>
            <w:col w:w="2840" w:space="540"/>
            <w:col w:w="5779"/>
          </w:cols>
          <w:pgMar w:left="240" w:top="285" w:right="1440" w:bottom="1440" w:gutter="0" w:footer="0" w:header="0"/>
          <w:type w:val="continuous"/>
        </w:sectPr>
      </w:pPr>
    </w:p>
    <w:p>
      <w:pPr>
        <w:spacing w:after="0" w:line="17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85"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3(i)</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CERTIFICATE OF AMENDMENT</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jc w:val="center"/>
        <w:ind w:right="1659"/>
        <w:spacing w:after="0"/>
        <w:rPr>
          <w:sz w:val="20"/>
          <w:szCs w:val="20"/>
          <w:color w:val="auto"/>
        </w:rPr>
      </w:pPr>
      <w:r>
        <w:rPr>
          <w:rFonts w:ascii="Courier New" w:cs="Courier New" w:eastAsia="Courier New" w:hAnsi="Courier New"/>
          <w:sz w:val="18"/>
          <w:szCs w:val="18"/>
          <w:color w:val="auto"/>
        </w:rPr>
        <w:t>RESTATED CERTIFICATE OF INCORPORATION</w:t>
      </w:r>
    </w:p>
    <w:p>
      <w:pPr>
        <w:spacing w:after="0" w:line="372" w:lineRule="exact"/>
        <w:rPr>
          <w:sz w:val="20"/>
          <w:szCs w:val="20"/>
          <w:color w:val="auto"/>
        </w:rPr>
      </w:pPr>
    </w:p>
    <w:p>
      <w:pPr>
        <w:ind w:right="1879" w:firstLine="1369"/>
        <w:spacing w:after="0" w:line="402" w:lineRule="auto"/>
        <w:rPr>
          <w:sz w:val="20"/>
          <w:szCs w:val="20"/>
          <w:color w:val="auto"/>
        </w:rPr>
      </w:pPr>
      <w:r>
        <w:rPr>
          <w:rFonts w:ascii="Courier New" w:cs="Courier New" w:eastAsia="Courier New" w:hAnsi="Courier New"/>
          <w:sz w:val="16"/>
          <w:szCs w:val="16"/>
          <w:color w:val="auto"/>
        </w:rPr>
        <w:t>Cohu, Inc., a corporation organized and existing under and by virtue of the General Corporation Law of the State of Delaware (the "Company"),</w:t>
      </w: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DOES HEREBY CERTIFY:</w:t>
      </w:r>
    </w:p>
    <w:p>
      <w:pPr>
        <w:spacing w:after="0" w:line="201" w:lineRule="exact"/>
        <w:rPr>
          <w:sz w:val="20"/>
          <w:szCs w:val="20"/>
          <w:color w:val="auto"/>
        </w:rPr>
      </w:pPr>
    </w:p>
    <w:p>
      <w:pPr>
        <w:ind w:right="1779" w:firstLine="1369"/>
        <w:spacing w:after="0" w:line="260" w:lineRule="auto"/>
        <w:rPr>
          <w:sz w:val="20"/>
          <w:szCs w:val="20"/>
          <w:color w:val="auto"/>
        </w:rPr>
      </w:pPr>
      <w:r>
        <w:rPr>
          <w:rFonts w:ascii="Courier New" w:cs="Courier New" w:eastAsia="Courier New" w:hAnsi="Courier New"/>
          <w:sz w:val="18"/>
          <w:szCs w:val="18"/>
          <w:color w:val="auto"/>
        </w:rPr>
        <w:t>FIRST: That at a meeting of the Board of Directors of the Company, resolutions were duly adopted setting forth a proposed amendment of the Restated Certificate of Incorporation of the Company, declaring said amendment to be advisable and calling a meeting of the stockholders of the Company for consideration thereof. The resolution setting forth the proposed amendment is as follows:</w:t>
      </w:r>
    </w:p>
    <w:p>
      <w:pPr>
        <w:spacing w:after="0" w:line="93" w:lineRule="exact"/>
        <w:rPr>
          <w:sz w:val="20"/>
          <w:szCs w:val="20"/>
          <w:color w:val="auto"/>
        </w:rPr>
      </w:pPr>
    </w:p>
    <w:p>
      <w:pPr>
        <w:ind w:left="1380" w:right="2199"/>
        <w:spacing w:after="0" w:line="274" w:lineRule="auto"/>
        <w:rPr>
          <w:sz w:val="20"/>
          <w:szCs w:val="20"/>
          <w:color w:val="auto"/>
        </w:rPr>
      </w:pPr>
      <w:r>
        <w:rPr>
          <w:rFonts w:ascii="Courier New" w:cs="Courier New" w:eastAsia="Courier New" w:hAnsi="Courier New"/>
          <w:sz w:val="18"/>
          <w:szCs w:val="18"/>
          <w:color w:val="auto"/>
        </w:rPr>
        <w:t>RESOLVED, that the Restated Certificate of Incorporation of the Company be amended by changing the first paragraph of Article Fourth so that, as amended, said paragraph shall be and read as follows:</w:t>
      </w:r>
    </w:p>
    <w:p>
      <w:pPr>
        <w:spacing w:after="0" w:line="82" w:lineRule="exact"/>
        <w:rPr>
          <w:sz w:val="20"/>
          <w:szCs w:val="20"/>
          <w:color w:val="auto"/>
        </w:rPr>
      </w:pPr>
    </w:p>
    <w:p>
      <w:pPr>
        <w:ind w:left="1380" w:right="1879"/>
        <w:spacing w:after="0" w:line="260" w:lineRule="auto"/>
        <w:rPr>
          <w:sz w:val="20"/>
          <w:szCs w:val="20"/>
          <w:color w:val="auto"/>
        </w:rPr>
      </w:pPr>
      <w:r>
        <w:rPr>
          <w:rFonts w:ascii="Courier New" w:cs="Courier New" w:eastAsia="Courier New" w:hAnsi="Courier New"/>
          <w:sz w:val="18"/>
          <w:szCs w:val="18"/>
          <w:color w:val="auto"/>
        </w:rPr>
        <w:t>"FOURTH: The total number of shares of all classes of stock which the corporation shall have authority to issue is Twenty- six Million (26,000,000) of which 1,000,000 shares shall constitute Preferred Stock having a par value of $1.00 per share and 25,000,000 shares shall constitute Common Stock having a par value of $1.00 per share."</w:t>
      </w:r>
    </w:p>
    <w:p>
      <w:pPr>
        <w:spacing w:after="0" w:line="93" w:lineRule="exact"/>
        <w:rPr>
          <w:sz w:val="20"/>
          <w:szCs w:val="20"/>
          <w:color w:val="auto"/>
        </w:rPr>
      </w:pPr>
    </w:p>
    <w:p>
      <w:pPr>
        <w:ind w:right="1779" w:firstLine="1369"/>
        <w:spacing w:after="0" w:line="265" w:lineRule="auto"/>
        <w:rPr>
          <w:sz w:val="20"/>
          <w:szCs w:val="20"/>
          <w:color w:val="auto"/>
        </w:rPr>
      </w:pPr>
      <w:r>
        <w:rPr>
          <w:rFonts w:ascii="Courier New" w:cs="Courier New" w:eastAsia="Courier New" w:hAnsi="Courier New"/>
          <w:sz w:val="18"/>
          <w:szCs w:val="18"/>
          <w:color w:val="auto"/>
        </w:rPr>
        <w:t>SECOND: That thereafter, pursuant to resolution of its Board of Directors, a special meeting of the stockholders of the Company was duly called and held, upon notice in accordance with Section 222 of the General Corporation law of the State of Delaware, at which meeting the necessary number of shares as required by statute were voted in favor of the amendment.</w:t>
      </w:r>
    </w:p>
    <w:p>
      <w:pPr>
        <w:spacing w:after="0" w:line="90" w:lineRule="exact"/>
        <w:rPr>
          <w:sz w:val="20"/>
          <w:szCs w:val="20"/>
          <w:color w:val="auto"/>
        </w:rPr>
      </w:pPr>
    </w:p>
    <w:p>
      <w:pPr>
        <w:ind w:right="1879" w:firstLine="1369"/>
        <w:spacing w:after="0" w:line="292" w:lineRule="auto"/>
        <w:rPr>
          <w:sz w:val="20"/>
          <w:szCs w:val="20"/>
          <w:color w:val="auto"/>
        </w:rPr>
      </w:pPr>
      <w:r>
        <w:rPr>
          <w:rFonts w:ascii="Courier New" w:cs="Courier New" w:eastAsia="Courier New" w:hAnsi="Courier New"/>
          <w:sz w:val="18"/>
          <w:szCs w:val="18"/>
          <w:color w:val="auto"/>
        </w:rPr>
        <w:t>THIRD: That said amendment was duly adopted in accordance with the provisions of Section 242 of the General Corporation Law of the State of Delaware.</w:t>
      </w:r>
    </w:p>
    <w:p>
      <w:pPr>
        <w:spacing w:after="0" w:line="66" w:lineRule="exact"/>
        <w:rPr>
          <w:sz w:val="20"/>
          <w:szCs w:val="20"/>
          <w:color w:val="auto"/>
        </w:rPr>
      </w:pPr>
    </w:p>
    <w:p>
      <w:pPr>
        <w:ind w:right="1879" w:firstLine="1369"/>
        <w:spacing w:after="0" w:line="292" w:lineRule="auto"/>
        <w:rPr>
          <w:sz w:val="20"/>
          <w:szCs w:val="20"/>
          <w:color w:val="auto"/>
        </w:rPr>
      </w:pPr>
      <w:r>
        <w:rPr>
          <w:rFonts w:ascii="Courier New" w:cs="Courier New" w:eastAsia="Courier New" w:hAnsi="Courier New"/>
          <w:sz w:val="18"/>
          <w:szCs w:val="18"/>
          <w:color w:val="auto"/>
        </w:rPr>
        <w:t>IN WITNESS WHEREOF, the Company has caused this certificate to be signed by Charles A. Schwan , its President, and John H. Allen , its Secretary, this 7th day of May , 1996.</w:t>
      </w:r>
    </w:p>
    <w:p>
      <w:pPr>
        <w:spacing w:after="0" w:line="269" w:lineRule="exact"/>
        <w:rPr>
          <w:sz w:val="20"/>
          <w:szCs w:val="20"/>
          <w:color w:val="auto"/>
        </w:rPr>
      </w:pP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Charles A. Schwan</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President</w:t>
      </w:r>
    </w:p>
    <w:p>
      <w:pPr>
        <w:spacing w:after="0" w:line="372" w:lineRule="exact"/>
        <w:rPr>
          <w:sz w:val="20"/>
          <w:szCs w:val="20"/>
          <w:color w:val="auto"/>
        </w:rPr>
      </w:pPr>
    </w:p>
    <w:p>
      <w:pPr>
        <w:ind w:left="4120"/>
        <w:spacing w:after="0"/>
        <w:tabs>
          <w:tab w:leader="none" w:pos="5360" w:val="left"/>
        </w:tabs>
        <w:rPr>
          <w:sz w:val="20"/>
          <w:szCs w:val="20"/>
          <w:color w:val="auto"/>
        </w:rPr>
      </w:pPr>
      <w:r>
        <w:rPr>
          <w:rFonts w:ascii="Courier New" w:cs="Courier New" w:eastAsia="Courier New" w:hAnsi="Courier New"/>
          <w:sz w:val="18"/>
          <w:szCs w:val="18"/>
          <w:color w:val="auto"/>
        </w:rPr>
        <w:t>ATTEST:</w:t>
      </w:r>
      <w:r>
        <w:rPr>
          <w:sz w:val="20"/>
          <w:szCs w:val="20"/>
          <w:color w:val="auto"/>
        </w:rPr>
        <w:tab/>
      </w:r>
      <w:r>
        <w:rPr>
          <w:rFonts w:ascii="Courier New" w:cs="Courier New" w:eastAsia="Courier New" w:hAnsi="Courier New"/>
          <w:sz w:val="18"/>
          <w:szCs w:val="18"/>
          <w:color w:val="auto"/>
        </w:rPr>
        <w:t>/s/ John H. Allen</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10" w:right="1440" w:bottom="1440" w:gutter="0" w:footer="0" w:header="0"/>
        </w:sectPr>
      </w:pPr>
    </w:p>
    <w:bookmarkStart w:id="12" w:name="page13"/>
    <w:bookmarkEnd w:id="12"/>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right="1859"/>
        <w:spacing w:after="0" w:line="292" w:lineRule="auto"/>
        <w:rPr>
          <w:sz w:val="20"/>
          <w:szCs w:val="20"/>
          <w:color w:val="auto"/>
        </w:rPr>
      </w:pPr>
      <w:r>
        <w:rPr>
          <w:rFonts w:ascii="Courier New" w:cs="Courier New" w:eastAsia="Courier New" w:hAnsi="Courier New"/>
          <w:sz w:val="18"/>
          <w:szCs w:val="18"/>
          <w:color w:val="auto"/>
        </w:rPr>
        <w:t>THIS SCHEDULE CONTAINS SUMMARY FINANCIAL INFORMATION EXTRACTED FROM 1995 AND 1996 FINANCIAL STATEMENTS AND IS QUALIFIED IN ITS ENTIRETY BY REFERENCE TO SUCH FINANCIAL STATEMENTS.</w:t>
      </w:r>
    </w:p>
    <w:p>
      <w:pPr>
        <w:spacing w:after="0" w:line="66"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spacing w:after="0" w:line="29"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DEC-31-1995</w:t>
      </w:r>
    </w:p>
    <w:p>
      <w:pPr>
        <w:ind w:left="3020"/>
        <w:spacing w:after="0" w:line="238" w:lineRule="auto"/>
        <w:rPr>
          <w:sz w:val="20"/>
          <w:szCs w:val="20"/>
          <w:color w:val="auto"/>
        </w:rPr>
      </w:pPr>
      <w:r>
        <w:rPr>
          <w:rFonts w:ascii="Courier New" w:cs="Courier New" w:eastAsia="Courier New" w:hAnsi="Courier New"/>
          <w:sz w:val="18"/>
          <w:szCs w:val="18"/>
          <w:color w:val="auto"/>
        </w:rPr>
        <w:t>JAN-01-1996</w:t>
      </w:r>
    </w:p>
    <w:p>
      <w:pPr>
        <w:ind w:left="3240"/>
        <w:spacing w:after="0"/>
        <w:rPr>
          <w:sz w:val="20"/>
          <w:szCs w:val="20"/>
          <w:color w:val="auto"/>
        </w:rPr>
      </w:pPr>
      <w:r>
        <w:rPr>
          <w:rFonts w:ascii="Courier New" w:cs="Courier New" w:eastAsia="Courier New" w:hAnsi="Courier New"/>
          <w:sz w:val="18"/>
          <w:szCs w:val="18"/>
          <w:color w:val="auto"/>
        </w:rPr>
        <w:t>SEP-30-1996</w:t>
      </w:r>
    </w:p>
    <w:p>
      <w:pPr>
        <w:ind w:left="4400"/>
        <w:spacing w:after="0" w:line="238" w:lineRule="auto"/>
        <w:rPr>
          <w:sz w:val="20"/>
          <w:szCs w:val="20"/>
          <w:color w:val="auto"/>
        </w:rPr>
      </w:pPr>
      <w:r>
        <w:rPr>
          <w:rFonts w:ascii="Courier New" w:cs="Courier New" w:eastAsia="Courier New" w:hAnsi="Courier New"/>
          <w:sz w:val="18"/>
          <w:szCs w:val="18"/>
          <w:color w:val="auto"/>
        </w:rPr>
        <w:t>45,360</w:t>
      </w:r>
    </w:p>
    <w:p>
      <w:pPr>
        <w:ind w:left="4280"/>
        <w:spacing w:after="0"/>
        <w:rPr>
          <w:sz w:val="20"/>
          <w:szCs w:val="20"/>
          <w:color w:val="auto"/>
        </w:rPr>
      </w:pPr>
      <w:r>
        <w:rPr>
          <w:rFonts w:ascii="Courier New" w:cs="Courier New" w:eastAsia="Courier New" w:hAnsi="Courier New"/>
          <w:sz w:val="18"/>
          <w:szCs w:val="18"/>
          <w:color w:val="auto"/>
        </w:rPr>
        <w:t>0</w:t>
      </w:r>
    </w:p>
    <w:p>
      <w:pPr>
        <w:ind w:left="3660"/>
        <w:spacing w:after="0" w:line="238" w:lineRule="auto"/>
        <w:rPr>
          <w:sz w:val="20"/>
          <w:szCs w:val="20"/>
          <w:color w:val="auto"/>
        </w:rPr>
      </w:pPr>
      <w:r>
        <w:rPr>
          <w:rFonts w:ascii="Courier New" w:cs="Courier New" w:eastAsia="Courier New" w:hAnsi="Courier New"/>
          <w:sz w:val="18"/>
          <w:szCs w:val="18"/>
          <w:color w:val="auto"/>
        </w:rPr>
        <w:t>22,353</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8" w:lineRule="auto"/>
        <w:rPr>
          <w:sz w:val="20"/>
          <w:szCs w:val="20"/>
          <w:color w:val="auto"/>
        </w:rPr>
      </w:pPr>
      <w:r>
        <w:rPr>
          <w:rFonts w:ascii="Courier New" w:cs="Courier New" w:eastAsia="Courier New" w:hAnsi="Courier New"/>
          <w:sz w:val="18"/>
          <w:szCs w:val="18"/>
          <w:color w:val="auto"/>
        </w:rPr>
        <w:t>16,580</w:t>
      </w:r>
    </w:p>
    <w:p>
      <w:pPr>
        <w:ind w:left="3340"/>
        <w:spacing w:after="0"/>
        <w:rPr>
          <w:sz w:val="20"/>
          <w:szCs w:val="20"/>
          <w:color w:val="auto"/>
        </w:rPr>
      </w:pPr>
      <w:r>
        <w:rPr>
          <w:rFonts w:ascii="Courier New" w:cs="Courier New" w:eastAsia="Courier New" w:hAnsi="Courier New"/>
          <w:sz w:val="18"/>
          <w:szCs w:val="18"/>
          <w:color w:val="auto"/>
        </w:rPr>
        <w:t>94,661</w:t>
      </w:r>
    </w:p>
    <w:p>
      <w:pPr>
        <w:ind w:left="4400"/>
        <w:spacing w:after="0" w:line="238" w:lineRule="auto"/>
        <w:rPr>
          <w:sz w:val="20"/>
          <w:szCs w:val="20"/>
          <w:color w:val="auto"/>
        </w:rPr>
      </w:pPr>
      <w:r>
        <w:rPr>
          <w:rFonts w:ascii="Courier New" w:cs="Courier New" w:eastAsia="Courier New" w:hAnsi="Courier New"/>
          <w:sz w:val="18"/>
          <w:szCs w:val="18"/>
          <w:color w:val="auto"/>
        </w:rPr>
        <w:t>27,845</w:t>
      </w:r>
    </w:p>
    <w:p>
      <w:pPr>
        <w:ind w:left="3540"/>
        <w:spacing w:after="0"/>
        <w:rPr>
          <w:sz w:val="20"/>
          <w:szCs w:val="20"/>
          <w:color w:val="auto"/>
        </w:rPr>
      </w:pPr>
      <w:r>
        <w:rPr>
          <w:rFonts w:ascii="Courier New" w:cs="Courier New" w:eastAsia="Courier New" w:hAnsi="Courier New"/>
          <w:sz w:val="18"/>
          <w:szCs w:val="18"/>
          <w:color w:val="auto"/>
        </w:rPr>
        <w:t>11,140</w:t>
      </w:r>
    </w:p>
    <w:p>
      <w:pPr>
        <w:ind w:left="3440"/>
        <w:spacing w:after="0" w:line="238" w:lineRule="auto"/>
        <w:rPr>
          <w:sz w:val="20"/>
          <w:szCs w:val="20"/>
          <w:color w:val="auto"/>
        </w:rPr>
      </w:pPr>
      <w:r>
        <w:rPr>
          <w:rFonts w:ascii="Courier New" w:cs="Courier New" w:eastAsia="Courier New" w:hAnsi="Courier New"/>
          <w:sz w:val="18"/>
          <w:szCs w:val="18"/>
          <w:color w:val="auto"/>
        </w:rPr>
        <w:t>113,935</w:t>
      </w:r>
    </w:p>
    <w:p>
      <w:pPr>
        <w:ind w:left="2820"/>
        <w:spacing w:after="0"/>
        <w:rPr>
          <w:sz w:val="20"/>
          <w:szCs w:val="20"/>
          <w:color w:val="auto"/>
        </w:rPr>
      </w:pPr>
      <w:r>
        <w:rPr>
          <w:rFonts w:ascii="Courier New" w:cs="Courier New" w:eastAsia="Courier New" w:hAnsi="Courier New"/>
          <w:sz w:val="18"/>
          <w:szCs w:val="18"/>
          <w:color w:val="auto"/>
        </w:rPr>
        <w:t>20,665</w:t>
      </w:r>
    </w:p>
    <w:p>
      <w:pPr>
        <w:jc w:val="center"/>
        <w:ind w:right="439"/>
        <w:spacing w:after="0" w:line="238"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8" w:lineRule="auto"/>
        <w:rPr>
          <w:sz w:val="20"/>
          <w:szCs w:val="20"/>
          <w:color w:val="auto"/>
        </w:rPr>
      </w:pPr>
      <w:r>
        <w:rPr>
          <w:rFonts w:ascii="Courier New" w:cs="Courier New" w:eastAsia="Courier New" w:hAnsi="Courier New"/>
          <w:sz w:val="18"/>
          <w:szCs w:val="18"/>
          <w:color w:val="auto"/>
        </w:rPr>
        <w:t>0</w:t>
      </w:r>
    </w:p>
    <w:p>
      <w:pPr>
        <w:ind w:left="4280"/>
        <w:spacing w:after="0"/>
        <w:rPr>
          <w:sz w:val="20"/>
          <w:szCs w:val="20"/>
          <w:color w:val="auto"/>
        </w:rPr>
      </w:pPr>
      <w:r>
        <w:rPr>
          <w:rFonts w:ascii="Courier New" w:cs="Courier New" w:eastAsia="Courier New" w:hAnsi="Courier New"/>
          <w:sz w:val="18"/>
          <w:szCs w:val="18"/>
          <w:color w:val="auto"/>
        </w:rPr>
        <w:t>9,296</w:t>
      </w:r>
    </w:p>
    <w:p>
      <w:pPr>
        <w:ind w:left="3980"/>
        <w:spacing w:after="0" w:line="238" w:lineRule="auto"/>
        <w:rPr>
          <w:sz w:val="20"/>
          <w:szCs w:val="20"/>
          <w:color w:val="auto"/>
        </w:rPr>
      </w:pPr>
      <w:r>
        <w:rPr>
          <w:rFonts w:ascii="Courier New" w:cs="Courier New" w:eastAsia="Courier New" w:hAnsi="Courier New"/>
          <w:sz w:val="18"/>
          <w:szCs w:val="18"/>
          <w:color w:val="auto"/>
        </w:rPr>
        <w:t>82,851</w:t>
      </w:r>
    </w:p>
    <w:p>
      <w:pPr>
        <w:ind w:left="1960"/>
        <w:spacing w:after="0"/>
        <w:rPr>
          <w:sz w:val="20"/>
          <w:szCs w:val="20"/>
          <w:color w:val="auto"/>
        </w:rPr>
      </w:pPr>
      <w:r>
        <w:rPr>
          <w:rFonts w:ascii="Courier New" w:cs="Courier New" w:eastAsia="Courier New" w:hAnsi="Courier New"/>
          <w:sz w:val="18"/>
          <w:szCs w:val="18"/>
          <w:color w:val="auto"/>
        </w:rPr>
        <w:t>113,935</w:t>
      </w:r>
    </w:p>
    <w:p>
      <w:pPr>
        <w:ind w:left="4180"/>
        <w:spacing w:after="0" w:line="238" w:lineRule="auto"/>
        <w:rPr>
          <w:sz w:val="20"/>
          <w:szCs w:val="20"/>
          <w:color w:val="auto"/>
        </w:rPr>
      </w:pPr>
      <w:r>
        <w:rPr>
          <w:rFonts w:ascii="Courier New" w:cs="Courier New" w:eastAsia="Courier New" w:hAnsi="Courier New"/>
          <w:sz w:val="18"/>
          <w:szCs w:val="18"/>
          <w:color w:val="auto"/>
        </w:rPr>
        <w:t>130,859</w:t>
      </w:r>
    </w:p>
    <w:p>
      <w:pPr>
        <w:ind w:left="3240"/>
        <w:spacing w:after="0"/>
        <w:rPr>
          <w:sz w:val="20"/>
          <w:szCs w:val="20"/>
          <w:color w:val="auto"/>
        </w:rPr>
      </w:pPr>
      <w:r>
        <w:rPr>
          <w:rFonts w:ascii="Courier New" w:cs="Courier New" w:eastAsia="Courier New" w:hAnsi="Courier New"/>
          <w:sz w:val="18"/>
          <w:szCs w:val="18"/>
          <w:color w:val="auto"/>
        </w:rPr>
        <w:t>130,859</w:t>
      </w:r>
    </w:p>
    <w:p>
      <w:pPr>
        <w:ind w:left="4500"/>
        <w:spacing w:after="0" w:line="238" w:lineRule="auto"/>
        <w:rPr>
          <w:sz w:val="20"/>
          <w:szCs w:val="20"/>
          <w:color w:val="auto"/>
        </w:rPr>
      </w:pPr>
      <w:r>
        <w:rPr>
          <w:rFonts w:ascii="Courier New" w:cs="Courier New" w:eastAsia="Courier New" w:hAnsi="Courier New"/>
          <w:sz w:val="18"/>
          <w:szCs w:val="18"/>
          <w:color w:val="auto"/>
        </w:rPr>
        <w:t>72,033</w:t>
      </w:r>
    </w:p>
    <w:p>
      <w:pPr>
        <w:ind w:left="3660"/>
        <w:spacing w:after="0"/>
        <w:rPr>
          <w:sz w:val="20"/>
          <w:szCs w:val="20"/>
          <w:color w:val="auto"/>
        </w:rPr>
      </w:pPr>
      <w:r>
        <w:rPr>
          <w:rFonts w:ascii="Courier New" w:cs="Courier New" w:eastAsia="Courier New" w:hAnsi="Courier New"/>
          <w:sz w:val="18"/>
          <w:szCs w:val="18"/>
          <w:color w:val="auto"/>
        </w:rPr>
        <w:t>72,033</w:t>
      </w:r>
    </w:p>
    <w:p>
      <w:pPr>
        <w:ind w:left="3860"/>
        <w:spacing w:after="0" w:line="238"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0</w:t>
      </w:r>
    </w:p>
    <w:p>
      <w:pPr>
        <w:ind w:left="3660"/>
        <w:spacing w:after="0" w:line="238"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33,367</w:t>
      </w:r>
    </w:p>
    <w:p>
      <w:pPr>
        <w:ind w:left="3760"/>
        <w:spacing w:after="0" w:line="238" w:lineRule="auto"/>
        <w:rPr>
          <w:sz w:val="20"/>
          <w:szCs w:val="20"/>
          <w:color w:val="auto"/>
        </w:rPr>
      </w:pPr>
      <w:r>
        <w:rPr>
          <w:rFonts w:ascii="Courier New" w:cs="Courier New" w:eastAsia="Courier New" w:hAnsi="Courier New"/>
          <w:sz w:val="18"/>
          <w:szCs w:val="18"/>
          <w:color w:val="auto"/>
        </w:rPr>
        <w:t>12,700</w:t>
      </w:r>
    </w:p>
    <w:p>
      <w:pPr>
        <w:ind w:left="3020"/>
        <w:spacing w:after="0"/>
        <w:rPr>
          <w:sz w:val="20"/>
          <w:szCs w:val="20"/>
          <w:color w:val="auto"/>
        </w:rPr>
      </w:pPr>
      <w:r>
        <w:rPr>
          <w:rFonts w:ascii="Courier New" w:cs="Courier New" w:eastAsia="Courier New" w:hAnsi="Courier New"/>
          <w:sz w:val="18"/>
          <w:szCs w:val="18"/>
          <w:color w:val="auto"/>
        </w:rPr>
        <w:t>20,667</w:t>
      </w:r>
    </w:p>
    <w:p>
      <w:pPr>
        <w:ind w:left="4080"/>
        <w:spacing w:after="0" w:line="238"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8" w:lineRule="auto"/>
        <w:rPr>
          <w:sz w:val="20"/>
          <w:szCs w:val="20"/>
          <w:color w:val="auto"/>
        </w:rPr>
      </w:pPr>
      <w:r>
        <w:rPr>
          <w:rFonts w:ascii="Courier New" w:cs="Courier New" w:eastAsia="Courier New" w:hAnsi="Courier New"/>
          <w:sz w:val="18"/>
          <w:szCs w:val="18"/>
          <w:color w:val="auto"/>
        </w:rPr>
        <w:t>0</w:t>
      </w:r>
    </w:p>
    <w:p>
      <w:pPr>
        <w:jc w:val="center"/>
        <w:ind w:right="2019"/>
        <w:spacing w:after="0"/>
        <w:rPr>
          <w:sz w:val="20"/>
          <w:szCs w:val="20"/>
          <w:color w:val="auto"/>
        </w:rPr>
      </w:pPr>
      <w:r>
        <w:rPr>
          <w:rFonts w:ascii="Courier New" w:cs="Courier New" w:eastAsia="Courier New" w:hAnsi="Courier New"/>
          <w:sz w:val="18"/>
          <w:szCs w:val="18"/>
          <w:color w:val="auto"/>
        </w:rPr>
        <w:t>20,667</w:t>
      </w:r>
    </w:p>
    <w:p>
      <w:pPr>
        <w:jc w:val="center"/>
        <w:ind w:right="2019"/>
        <w:spacing w:after="0" w:line="238" w:lineRule="auto"/>
        <w:rPr>
          <w:sz w:val="20"/>
          <w:szCs w:val="20"/>
          <w:color w:val="auto"/>
        </w:rPr>
      </w:pPr>
      <w:r>
        <w:rPr>
          <w:rFonts w:ascii="Courier New" w:cs="Courier New" w:eastAsia="Courier New" w:hAnsi="Courier New"/>
          <w:sz w:val="18"/>
          <w:szCs w:val="18"/>
          <w:color w:val="auto"/>
        </w:rPr>
        <w:t>2.13</w:t>
      </w:r>
    </w:p>
    <w:p>
      <w:pPr>
        <w:jc w:val="center"/>
        <w:ind w:right="2019"/>
        <w:spacing w:after="0"/>
        <w:rPr>
          <w:sz w:val="20"/>
          <w:szCs w:val="20"/>
          <w:color w:val="auto"/>
        </w:rPr>
      </w:pPr>
      <w:r>
        <w:rPr>
          <w:rFonts w:ascii="Courier New" w:cs="Courier New" w:eastAsia="Courier New" w:hAnsi="Courier New"/>
          <w:sz w:val="18"/>
          <w:szCs w:val="18"/>
          <w:color w:val="auto"/>
        </w:rPr>
        <w:t>2.13</w:t>
      </w:r>
    </w:p>
    <w:sectPr>
      <w:pgSz w:w="11900" w:h="16838" w:orient="portrait"/>
      <w:cols w:equalWidth="0" w:num="1">
        <w:col w:w="10179"/>
      </w:cols>
      <w:pgMar w:left="28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2019-12-12T22:55:22Z</dcterms:created>
  <dcterms:modified xsi:type="dcterms:W3CDTF">2019-12-12T22:55:22Z</dcterms:modified>
</cp:coreProperties>
</file>