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11/21/2017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7,433</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77,751</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5,252 Restricted Stock Units (RSUs) and 72,499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0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4"/>
              </w:rPr>
              <w:t>11/22/2017</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2019-12-24T03:50:12Z</dcterms:created>
  <dcterms:modified xsi:type="dcterms:W3CDTF">2019-12-24T03:50:12Z</dcterms:modified>
</cp:coreProperties>
</file>