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Security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Under the Securities Act of 1934</w:t>
      </w:r>
    </w:p>
    <w:p>
      <w:pPr>
        <w:spacing w:after="0" w:line="18" w:lineRule="exact"/>
        <w:rPr>
          <w:sz w:val="24"/>
          <w:szCs w:val="24"/>
          <w:color w:val="auto"/>
        </w:rPr>
      </w:pPr>
    </w:p>
    <w:p>
      <w:pPr>
        <w:jc w:val="center"/>
        <w:ind w:right="-99"/>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58" w:lineRule="exact"/>
        <w:rPr>
          <w:sz w:val="24"/>
          <w:szCs w:val="24"/>
          <w:color w:val="auto"/>
        </w:rPr>
      </w:pPr>
    </w:p>
    <w:p>
      <w:pPr>
        <w:ind w:left="220" w:hanging="212"/>
        <w:spacing w:after="0" w:line="275"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1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CUSIP No. 192576106</w:t>
            </w:r>
          </w:p>
        </w:tc>
        <w:tc>
          <w:tcPr>
            <w:tcW w:w="248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0"/>
              </w:rPr>
              <w:t>13G</w:t>
            </w: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80" w:hanging="184"/>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REPORTING PERSON</w:t>
      </w:r>
    </w:p>
    <w:p>
      <w:pPr>
        <w:spacing w:after="0" w:line="23"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DePrince, Race &amp; Zollo, Inc.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59-3299598</w:t>
      </w:r>
    </w:p>
    <w:p>
      <w:pPr>
        <w:spacing w:after="0" w:line="6" w:lineRule="exact"/>
        <w:rPr>
          <w:sz w:val="20"/>
          <w:szCs w:val="20"/>
          <w:color w:val="auto"/>
        </w:rPr>
      </w:pPr>
    </w:p>
    <w:p>
      <w:pPr>
        <w:ind w:left="280" w:hanging="184"/>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w:t>
      </w:r>
    </w:p>
    <w:p>
      <w:pPr>
        <w:spacing w:after="0" w:line="22" w:lineRule="exact"/>
        <w:rPr>
          <w:rFonts w:ascii="Times New Roman" w:cs="Times New Roman" w:eastAsia="Times New Roman" w:hAnsi="Times New Roman"/>
          <w:sz w:val="18"/>
          <w:szCs w:val="18"/>
          <w:color w:val="auto"/>
        </w:rPr>
      </w:pPr>
    </w:p>
    <w:p>
      <w:pPr>
        <w:ind w:left="560" w:hanging="282"/>
        <w:spacing w:after="0" w:line="207" w:lineRule="exact"/>
        <w:tabs>
          <w:tab w:leader="none" w:pos="5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580" w:hanging="302"/>
        <w:spacing w:after="0" w:line="207" w:lineRule="exact"/>
        <w:tabs>
          <w:tab w:leader="none" w:pos="5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80" w:hanging="184"/>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177" w:lineRule="exact"/>
        <w:rPr>
          <w:sz w:val="20"/>
          <w:szCs w:val="20"/>
          <w:color w:val="auto"/>
        </w:rPr>
      </w:pPr>
    </w:p>
    <w:p>
      <w:pPr>
        <w:ind w:left="280" w:hanging="184"/>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in the State of Florida</w:t>
      </w:r>
    </w:p>
    <w:p>
      <w:pPr>
        <w:spacing w:after="0" w:line="30" w:lineRule="exact"/>
        <w:rPr>
          <w:sz w:val="20"/>
          <w:szCs w:val="20"/>
          <w:color w:val="auto"/>
        </w:rPr>
      </w:pPr>
    </w:p>
    <w:p>
      <w:pPr>
        <w:ind w:left="1960" w:hanging="257"/>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1,722,817</w:t>
            </w:r>
          </w:p>
        </w:tc>
        <w:tc>
          <w:tcPr>
            <w:tcW w:w="0" w:type="dxa"/>
            <w:vAlign w:val="bottom"/>
          </w:tcPr>
          <w:p>
            <w:pPr>
              <w:spacing w:after="0"/>
              <w:rPr>
                <w:sz w:val="1"/>
                <w:szCs w:val="1"/>
                <w:color w:val="auto"/>
              </w:rPr>
            </w:pPr>
          </w:p>
        </w:tc>
      </w:tr>
      <w:tr>
        <w:trPr>
          <w:trHeight w:val="96"/>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7"/>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161"/>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5"/>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4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134"/>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7"/>
              </w:rPr>
              <w:t>OWNED BY</w:t>
            </w:r>
          </w:p>
        </w:tc>
        <w:tc>
          <w:tcPr>
            <w:tcW w:w="260" w:type="dxa"/>
            <w:vAlign w:val="bottom"/>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480" w:type="dxa"/>
            <w:vAlign w:val="bottom"/>
          </w:tcPr>
          <w:p>
            <w:pPr>
              <w:jc w:val="center"/>
              <w:ind w:right="172"/>
              <w:spacing w:after="0" w:line="184" w:lineRule="exact"/>
              <w:rPr>
                <w:sz w:val="20"/>
                <w:szCs w:val="20"/>
                <w:color w:val="auto"/>
              </w:rPr>
            </w:pPr>
            <w:r>
              <w:rPr>
                <w:rFonts w:ascii="Times New Roman" w:cs="Times New Roman" w:eastAsia="Times New Roman" w:hAnsi="Times New Roman"/>
                <w:sz w:val="18"/>
                <w:szCs w:val="18"/>
                <w:color w:val="auto"/>
                <w:w w:val="93"/>
              </w:rPr>
              <w:t>EACH</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34"/>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6"/>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48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PERSON</w:t>
            </w:r>
          </w:p>
        </w:tc>
        <w:tc>
          <w:tcPr>
            <w:tcW w:w="260" w:type="dxa"/>
            <w:vAlign w:val="bottom"/>
          </w:tcPr>
          <w:p>
            <w:pPr>
              <w:spacing w:after="0"/>
              <w:rPr>
                <w:sz w:val="22"/>
                <w:szCs w:val="22"/>
                <w:color w:val="auto"/>
              </w:rPr>
            </w:pPr>
          </w:p>
        </w:tc>
        <w:tc>
          <w:tcPr>
            <w:tcW w:w="95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1,722,817</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Times New Roman" w:cs="Times New Roman" w:eastAsia="Times New Roman" w:hAnsi="Times New Roman"/>
                <w:sz w:val="18"/>
                <w:szCs w:val="18"/>
                <w:color w:val="auto"/>
                <w:w w:val="97"/>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none</w:t>
      </w:r>
    </w:p>
    <w:p>
      <w:pPr>
        <w:spacing w:after="0" w:line="30" w:lineRule="exact"/>
        <w:rPr>
          <w:sz w:val="20"/>
          <w:szCs w:val="20"/>
          <w:color w:val="auto"/>
        </w:rPr>
      </w:pPr>
    </w:p>
    <w:p>
      <w:pPr>
        <w:ind w:left="280" w:hanging="184"/>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1,722,817</w:t>
      </w:r>
    </w:p>
    <w:p>
      <w:pPr>
        <w:spacing w:after="0" w:line="30"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w:t>
      </w:r>
    </w:p>
    <w:p>
      <w:pPr>
        <w:spacing w:after="0" w:line="30"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7.99%</w:t>
      </w:r>
    </w:p>
    <w:p>
      <w:pPr>
        <w:spacing w:after="0" w:line="30"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158" w:lineRule="exact"/>
        <w:rPr>
          <w:sz w:val="20"/>
          <w:szCs w:val="20"/>
          <w:color w:val="auto"/>
        </w:rPr>
      </w:pPr>
    </w:p>
    <w:p>
      <w:pPr>
        <w:spacing w:after="0"/>
        <w:tabs>
          <w:tab w:leader="none" w:pos="700" w:val="left"/>
          <w:tab w:leader="none" w:pos="14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Cohu Inc.</w:t>
      </w:r>
    </w:p>
    <w:p>
      <w:pPr>
        <w:spacing w:after="0" w:line="119" w:lineRule="exact"/>
        <w:rPr>
          <w:sz w:val="20"/>
          <w:szCs w:val="20"/>
          <w:color w:val="auto"/>
        </w:rPr>
      </w:pPr>
    </w:p>
    <w:p>
      <w:pPr>
        <w:ind w:left="1420" w:right="6999" w:hanging="710"/>
        <w:spacing w:after="0" w:line="339"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12367 Crosthwaite Circle Poway, CA 92064-6817</w:t>
      </w:r>
    </w:p>
    <w:p>
      <w:pPr>
        <w:spacing w:after="0" w:line="18" w:lineRule="exact"/>
        <w:rPr>
          <w:sz w:val="20"/>
          <w:szCs w:val="20"/>
          <w:color w:val="auto"/>
        </w:rPr>
      </w:pPr>
    </w:p>
    <w:p>
      <w:pPr>
        <w:spacing w:after="0"/>
        <w:tabs>
          <w:tab w:leader="none" w:pos="700" w:val="left"/>
          <w:tab w:leader="none" w:pos="14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DePrince, Race &amp; Zollo, Inc.</w:t>
      </w:r>
    </w:p>
    <w:p>
      <w:pPr>
        <w:spacing w:after="0" w:line="119" w:lineRule="exact"/>
        <w:rPr>
          <w:sz w:val="20"/>
          <w:szCs w:val="20"/>
          <w:color w:val="auto"/>
        </w:rPr>
      </w:pPr>
    </w:p>
    <w:p>
      <w:pPr>
        <w:ind w:left="1420" w:right="6719" w:hanging="710"/>
        <w:spacing w:after="0" w:line="275"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S. Orange Ave, Suite 850 Orlando, FL 32801</w:t>
      </w:r>
    </w:p>
    <w:p>
      <w:pPr>
        <w:spacing w:after="0" w:line="65" w:lineRule="exact"/>
        <w:rPr>
          <w:rFonts w:ascii="Times New Roman" w:cs="Times New Roman" w:eastAsia="Times New Roman" w:hAnsi="Times New Roman"/>
          <w:sz w:val="18"/>
          <w:szCs w:val="18"/>
          <w:color w:val="auto"/>
        </w:rPr>
      </w:pPr>
    </w:p>
    <w:p>
      <w:pPr>
        <w:ind w:left="1420" w:hanging="710"/>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117" w:lineRule="exact"/>
        <w:rPr>
          <w:rFonts w:ascii="Times New Roman" w:cs="Times New Roman" w:eastAsia="Times New Roman" w:hAnsi="Times New Roman"/>
          <w:sz w:val="18"/>
          <w:szCs w:val="18"/>
          <w:color w:val="auto"/>
        </w:rPr>
      </w:pPr>
    </w:p>
    <w:p>
      <w:pPr>
        <w:ind w:left="1420" w:hanging="710"/>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17" w:lineRule="exact"/>
        <w:rPr>
          <w:rFonts w:ascii="Times New Roman" w:cs="Times New Roman" w:eastAsia="Times New Roman" w:hAnsi="Times New Roman"/>
          <w:sz w:val="18"/>
          <w:szCs w:val="18"/>
          <w:color w:val="auto"/>
        </w:rPr>
      </w:pPr>
    </w:p>
    <w:p>
      <w:pPr>
        <w:ind w:left="1420" w:hanging="710"/>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192576106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36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324"/>
        </w:trPr>
        <w:tc>
          <w:tcPr>
            <w:tcW w:w="6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1,722,817 shares</w:t>
            </w:r>
          </w:p>
        </w:tc>
      </w:tr>
      <w:tr>
        <w:trPr>
          <w:trHeight w:val="324"/>
        </w:trPr>
        <w:tc>
          <w:tcPr>
            <w:tcW w:w="6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7.99%</w:t>
            </w:r>
          </w:p>
        </w:tc>
      </w:tr>
      <w:tr>
        <w:trPr>
          <w:trHeight w:val="324"/>
        </w:trPr>
        <w:tc>
          <w:tcPr>
            <w:tcW w:w="6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1,722,817 shares</w:t>
            </w:r>
          </w:p>
        </w:tc>
      </w:tr>
      <w:tr>
        <w:trPr>
          <w:trHeight w:val="32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(iii)</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1,722,817 shares</w:t>
            </w:r>
          </w:p>
        </w:tc>
      </w:tr>
    </w:tbl>
    <w:p>
      <w:pPr>
        <w:spacing w:after="0" w:line="9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Ownership of Five Percent or Less of a Class</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w:t>
      </w:r>
    </w:p>
    <w:p>
      <w:pPr>
        <w:spacing w:after="0" w:line="1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Ownership of More than Five Percent on Behalf of Another Person.</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w:t>
      </w:r>
    </w:p>
    <w:p>
      <w:pPr>
        <w:spacing w:after="0" w:line="115" w:lineRule="exact"/>
        <w:rPr>
          <w:sz w:val="20"/>
          <w:szCs w:val="20"/>
          <w:color w:val="auto"/>
        </w:rPr>
      </w:pPr>
    </w:p>
    <w:p>
      <w:pPr>
        <w:ind w:left="700" w:right="399" w:hanging="688"/>
        <w:spacing w:after="0" w:line="277"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w:t>
      </w:r>
    </w:p>
    <w:p>
      <w:pPr>
        <w:spacing w:after="0" w:line="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w:t>
      </w:r>
    </w:p>
    <w:p>
      <w:pPr>
        <w:spacing w:after="0" w:line="1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Identification and Classification of Members of the Group</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w:t>
      </w:r>
    </w:p>
    <w:p>
      <w:pPr>
        <w:spacing w:after="0" w:line="1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Notice of Dissolution of Group</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1">
            <w:col w:w="10219"/>
          </w:cols>
          <w:pgMar w:left="240" w:top="27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 Certification</w:t>
      </w:r>
    </w:p>
    <w:p>
      <w:pPr>
        <w:spacing w:after="0" w:line="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1/07/2005</w:t>
      </w:r>
    </w:p>
    <w:p>
      <w:pPr>
        <w:spacing w:after="0" w:line="225"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Victor A. Zollo, Jr. - President</w:t>
      </w:r>
    </w:p>
    <w:sectPr>
      <w:pgSz w:w="11900" w:h="16838" w:orient="portrait"/>
      <w:cols w:equalWidth="0" w:num="1">
        <w:col w:w="11360"/>
      </w:cols>
      <w:pgMar w:left="240" w:top="27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2"/>
      <w:numFmt w:val="bullet"/>
      <w:start w:val="1"/>
    </w:lvl>
    <w:lvl w:ilvl="1">
      <w:lvlJc w:val="left"/>
      <w:lvlText w:val="(%2)"/>
      <w:numFmt w:val="lowerLetter"/>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4"/>
      <w:numFmt w:val="bullet"/>
      <w:start w:val="1"/>
    </w:lvl>
  </w:abstractNum>
  <w:abstractNum w:abstractNumId="7">
    <w:nsid w:val="1F16E9E8"/>
    <w:multiLevelType w:val="hybridMultilevel"/>
    <w:lvl w:ilvl="0">
      <w:lvlJc w:val="left"/>
      <w:lvlText w:val="5"/>
      <w:numFmt w:val="bullet"/>
      <w:start w:val="1"/>
    </w:lvl>
  </w:abstractNum>
  <w:abstractNum w:abstractNumId="8">
    <w:nsid w:val="1190CDE7"/>
    <w:multiLevelType w:val="hybridMultilevel"/>
    <w:lvl w:ilvl="0">
      <w:lvlJc w:val="left"/>
      <w:lvlText w:val="9"/>
      <w:numFmt w:val="bullet"/>
      <w:start w:val="1"/>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2019-12-12T22:35:05Z</dcterms:created>
  <dcterms:modified xsi:type="dcterms:W3CDTF">2019-12-12T22:35:05Z</dcterms:modified>
</cp:coreProperties>
</file>