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May 15,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333-132605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333-160760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333-186973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333-207016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333-233080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333-273711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POST-EFFECTIVE AMENDMENT NO.1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w:t>
      </w:r>
    </w:p>
    <w:p>
      <w:pPr>
        <w:spacing w:after="0" w:line="20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333-132605</w:t>
      </w:r>
    </w:p>
    <w:p>
      <w:pPr>
        <w:spacing w:after="0" w:line="2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333-160760</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333-186973</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333-207016</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Registration Statement No. 333-233080</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Registration Statement No. 333-273711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6"/>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17087 Via Del Campo, San Diego, California</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92127-1711</w:t>
            </w:r>
          </w:p>
        </w:tc>
      </w:tr>
      <w:tr>
        <w:trPr>
          <w:trHeight w:val="234"/>
        </w:trPr>
        <w:tc>
          <w:tcPr>
            <w:tcW w:w="64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(Zip Code)</w:t>
            </w:r>
          </w:p>
        </w:tc>
      </w:tr>
      <w:tr>
        <w:trPr>
          <w:trHeight w:val="410"/>
        </w:trPr>
        <w:tc>
          <w:tcPr>
            <w:tcW w:w="640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Cohu, Inc. 2005 Equity Incentive Plan</w:t>
            </w:r>
          </w:p>
        </w:tc>
        <w:tc>
          <w:tcPr>
            <w:tcW w:w="1700" w:type="dxa"/>
            <w:vAlign w:val="bottom"/>
          </w:tcPr>
          <w:p>
            <w:pPr>
              <w:spacing w:after="0"/>
              <w:rPr>
                <w:sz w:val="24"/>
                <w:szCs w:val="24"/>
                <w:color w:val="auto"/>
              </w:rPr>
            </w:pPr>
          </w:p>
        </w:tc>
      </w:tr>
      <w:tr>
        <w:trPr>
          <w:trHeight w:val="220"/>
        </w:trPr>
        <w:tc>
          <w:tcPr>
            <w:tcW w:w="640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Cohu, Inc. 2026 Equity Incentive Plan</w:t>
            </w:r>
          </w:p>
        </w:tc>
        <w:tc>
          <w:tcPr>
            <w:tcW w:w="1700" w:type="dxa"/>
            <w:vAlign w:val="bottom"/>
          </w:tcPr>
          <w:p>
            <w:pPr>
              <w:spacing w:after="0"/>
              <w:rPr>
                <w:sz w:val="19"/>
                <w:szCs w:val="19"/>
                <w:color w:val="auto"/>
              </w:rPr>
            </w:pPr>
          </w:p>
        </w:tc>
      </w:tr>
      <w:tr>
        <w:trPr>
          <w:trHeight w:val="234"/>
        </w:trPr>
        <w:tc>
          <w:tcPr>
            <w:tcW w:w="640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9"/>
              </w:rPr>
              <w:t>(Full title of the plans)</w:t>
            </w:r>
          </w:p>
        </w:tc>
        <w:tc>
          <w:tcPr>
            <w:tcW w:w="17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Jeffrey D. Jones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Finance and 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17087 Via Del Campo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92127-1711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848-8100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Larry W. Nishnick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4365 Executive Drive, Suite 1100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(858) 677-1400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(858) 677-1401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4"/>
        </w:trPr>
        <w:tc>
          <w:tcPr>
            <w:tcW w:w="33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rPr>
                <w:sz w:val="20"/>
                <w:szCs w:val="20"/>
                <w:color w:val="auto"/>
              </w:rPr>
            </w:pPr>
            <w:r>
              <w:rPr>
                <w:rFonts w:ascii="Wingdings" w:cs="Wingdings" w:eastAsia="Wingdings" w:hAnsi="Wingdings"/>
                <w:sz w:val="18"/>
                <w:szCs w:val="18"/>
                <w:b w:val="1"/>
                <w:bCs w:val="1"/>
                <w:color w:val="auto"/>
                <w:w w:val="86"/>
              </w:rPr>
              <w:t>o</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3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32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Cohu, Inc. (the “Company”) previously filed (i) Registration Statement on Form S-8 (File No. 333-132605) with the Securities and Exchange Commission (the “Commission”) on March 21, 2006, (ii) Registration Statement on Form S-8 (File No. 333-160760) with the Commission on July 23, 2009, (iii) Registration Statement on Form S-8 (File No. 333-186973) with the Commission on February 28, 2013, (iv) Registration Statement on Form S-8 (File No. 333-207016) with the Commission on September 18, 2015, (v) Registration Statement on Form S-8 (File No. 333-233080) with the Commission on August 7, 2019; and (vi) Registration Statement on Form S-8 (File No. 333-273711) with the Commission on August 4, 2023 (collectively, the “Prior Registration Statements”), to register the offer and sale of shares of the Company’s common stock, par value $1.00 per share (the “Common Stock”) issuable under the Company’s 2005 Equity Incentive Plan (the “Prior Plan”).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May 15, 2026 (the “Effective Date”), the Company’s stockholders approved the Company’s 2026 Equity Incentive Plan (the “2026 Plan”) as a successor to the Prior Plan. Effective as of the Effective Date, no additional awards may be granted under the Prior Plan, and all awards granted under the Prior Plan that are outstanding on the Effective Date will remain subject to the terms of the Prior Plan (except to the extent such outstanding awards result in Returning Shares (as defined below) that become available for issuance pursuant to awards granted under the 2026 Plan). Under the terms of the 2026 Plan, a maximum of 3,400,000 shares of Common Stock, </w:t>
      </w:r>
      <w:r>
        <w:rPr>
          <w:rFonts w:ascii="Times New Roman" w:cs="Times New Roman" w:eastAsia="Times New Roman" w:hAnsi="Times New Roman"/>
          <w:sz w:val="18"/>
          <w:szCs w:val="18"/>
          <w:b w:val="1"/>
          <w:bCs w:val="1"/>
          <w:i w:val="1"/>
          <w:iCs w:val="1"/>
          <w:color w:val="auto"/>
        </w:rPr>
        <w:t>less</w:t>
      </w:r>
      <w:r>
        <w:rPr>
          <w:rFonts w:ascii="Times New Roman" w:cs="Times New Roman" w:eastAsia="Times New Roman" w:hAnsi="Times New Roman"/>
          <w:sz w:val="18"/>
          <w:szCs w:val="18"/>
          <w:color w:val="auto"/>
        </w:rPr>
        <w:t xml:space="preserve"> one share for each share subject to any equity award granted under the Prior Plan between March 20, 2026 and prior to the Effective Date (the “Newly Authorized Shares”);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color w:val="auto"/>
        </w:rPr>
        <w:t xml:space="preserve"> any shares of Common Stock subject to share awards granted under the Prior Plan that are outstanding on March 16, 2026 or which are granted and outstanding after March 16, 2026 and prior to the Effective Date, and that:</w:t>
      </w:r>
    </w:p>
    <w:p>
      <w:pPr>
        <w:spacing w:after="0" w:line="3" w:lineRule="exact"/>
        <w:rPr>
          <w:sz w:val="20"/>
          <w:szCs w:val="20"/>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stock options or stock appreciation rights which expire, or for any reason are forfeited, cancelled, or terminated without being exercised;</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share award or any portion thereof expires or otherwise terminates without all of the shares covered by such share award having been issued; (iii) are not issued because such award or any portion thereof is settled in cash; or (iv) are forfeited back to or repurchased by the Company for an amount not greater than the participant's purchase price because of the failure to meet a contingency or condition required for the vesting of such shares (the “Returning Shares”) may be issued under the 2026 Plan. Shares subject to outstanding awards granted under the Prior Plan that are (A) withheld by the Company in satisfaction of the payment of the purchase or exercise price of an option or stock appreciation right, or (B) withheld by the Company in satisfaction of the payment of withholding taxes, are not Returning Shares and will not become available for issuance under the 2026 Plan.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this Post-Effective Amendment No. 1 (the “Post-Effective Amendment”) to the Prior Registration Statements is to register the Returning Shares for issuance under the 2026 Plan (as such shares would no longer be issuable under the Prior Plan), in accordance with Item 512(a)(1)(iii) of Regulation S-K and Securities Act Forms Compliance and Disclosure Interpretation 126.43. No additional securities are being registered by this Post-Effective Amendment.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Contemporaneously with the filing of this Post-Effective Amendment, the Company is filing a Registration Statement on Form S-8 to register the Newly Authorized Shares for offer and sale under the 2026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2026 Plan covered by this Post-Effective Amendment as required by Rule 428(b)(1) of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5" w:lineRule="exact"/>
        <w:rPr>
          <w:sz w:val="20"/>
          <w:szCs w:val="20"/>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7">
        <w:r>
          <w:rPr>
            <w:rFonts w:ascii="Times New Roman" w:cs="Times New Roman" w:eastAsia="Times New Roman" w:hAnsi="Times New Roman"/>
            <w:sz w:val="18"/>
            <w:szCs w:val="18"/>
            <w:u w:val="single" w:color="auto"/>
            <w:color w:val="0000EE"/>
          </w:rPr>
          <w:t>Annual Report on Form 10-K for the fiscal year ended December 27, 2025</w:t>
        </w:r>
      </w:hyperlink>
      <w:r>
        <w:rPr>
          <w:rFonts w:ascii="Times New Roman" w:cs="Times New Roman" w:eastAsia="Times New Roman" w:hAnsi="Times New Roman"/>
          <w:sz w:val="18"/>
          <w:szCs w:val="18"/>
          <w:color w:val="auto"/>
        </w:rPr>
        <w:t>, filed with the Commission on February 17, 2026 (the “Annual Report”);</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The information contained in the Registrant’s definitive proxy statement on 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Commission on April 2, 2026,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into Part III of the Registrant’s Annual Report referred to in (a) above;</w:t>
      </w:r>
    </w:p>
    <w:p>
      <w:pPr>
        <w:spacing w:after="0" w:line="161"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9">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May 15, 2026;</w:t>
      </w:r>
    </w:p>
    <w:p>
      <w:pPr>
        <w:spacing w:after="0" w:line="252"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Sections 13(a) or 15(d) of the Securities Exchange Act of 1934, as amended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par value $1.00, contained in the Registrant’s registration statement on </w:t>
      </w:r>
      <w:hyperlink r:id="rId2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December 12, 1996 (File No. 000-21875), as supplemented by </w:t>
      </w:r>
      <w:hyperlink r:id="rId21">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Commission on February 17, 2023,,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Under no circumstances will any information furnished under current items 2.02 or 7.01 of Form 8-K be deemed incorporated herein by reference unless such Form 8-K expressly provides to the contrary.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Description of Securities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Interests of Named Experts and Counsel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spacing w:after="0" w:line="19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Exemption from Registration Claimed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000" w:type="dxa"/>
            <w:vAlign w:val="bottom"/>
          </w:tcPr>
          <w:p>
            <w:pPr>
              <w:jc w:val="center"/>
              <w:ind w:right="274"/>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gridSpan w:val="1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Certificate of Incorporation of Cohu, Inc. incorporated herein by reference to Exhibit 3.1 from the Cohu, Inc.</w:t>
              </w:r>
            </w:hyperlink>
          </w:p>
        </w:tc>
      </w:tr>
      <w:tr>
        <w:trPr>
          <w:trHeight w:val="196"/>
        </w:trPr>
        <w:tc>
          <w:tcPr>
            <w:tcW w:w="100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Current Report on Form 8-K filed with the Securities and Exchange Commission on May 15, 2026</w:t>
              </w:r>
            </w:hyperlink>
          </w:p>
        </w:tc>
        <w:tc>
          <w:tcPr>
            <w:tcW w:w="2440" w:type="dxa"/>
            <w:vAlign w:val="bottom"/>
            <w:tcBorders>
              <w:top w:val="single" w:sz="8" w:color="0000EE"/>
            </w:tcBorders>
            <w:gridSpan w:val="2"/>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Bylaws of Cohu, Inc. incorporated herein by reference to Exhibit 3.2 from the Cohu, Inc. Current Report on Form</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8-K filed with the Securities and Exchange Commission on May 15, 2026</w:t>
              </w:r>
            </w:hyperlink>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DLA Piper LLP (US).</w:t>
            </w:r>
          </w:p>
        </w:tc>
        <w:tc>
          <w:tcPr>
            <w:tcW w:w="2880" w:type="dxa"/>
            <w:vAlign w:val="bottom"/>
            <w:tcBorders>
              <w:top w:val="single" w:sz="8" w:color="0000EE"/>
            </w:tcBorders>
            <w:gridSpan w:val="3"/>
          </w:tcPr>
          <w:p>
            <w:pPr>
              <w:spacing w:after="0"/>
              <w:rPr>
                <w:sz w:val="17"/>
                <w:szCs w:val="17"/>
                <w:color w:val="auto"/>
              </w:rPr>
            </w:pPr>
          </w:p>
        </w:tc>
        <w:tc>
          <w:tcPr>
            <w:tcW w:w="4640" w:type="dxa"/>
            <w:vAlign w:val="bottom"/>
            <w:gridSpan w:val="8"/>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w w:val="98"/>
              </w:rPr>
              <w:t>23.2*</w:t>
            </w:r>
          </w:p>
        </w:tc>
        <w:tc>
          <w:tcPr>
            <w:tcW w:w="43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Consent of DLA Piper LLP (US) (included in Exhibit 5.1).</w:t>
            </w:r>
          </w:p>
        </w:tc>
        <w:tc>
          <w:tcPr>
            <w:tcW w:w="560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8"/>
                <w:szCs w:val="18"/>
                <w:color w:val="auto"/>
                <w:w w:val="98"/>
              </w:rPr>
              <w:t>24.1*</w:t>
            </w:r>
          </w:p>
        </w:tc>
        <w:tc>
          <w:tcPr>
            <w:tcW w:w="5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Registration Statement).</w:t>
            </w:r>
          </w:p>
        </w:tc>
        <w:tc>
          <w:tcPr>
            <w:tcW w:w="4020" w:type="dxa"/>
            <w:vAlign w:val="bottom"/>
            <w:gridSpan w:val="7"/>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22"/>
                <w:szCs w:val="22"/>
                <w:color w:val="auto"/>
                <w:vertAlign w:val="superscript"/>
              </w:rPr>
              <w:t>#</w:t>
            </w:r>
          </w:p>
        </w:tc>
        <w:tc>
          <w:tcPr>
            <w:tcW w:w="9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Amended and Restated Cohu, Inc. 1997 Employee Stock Purchase Plan, incorporated herein by reference to Appendix D to the Cohu, Inc.</w:t>
              </w:r>
            </w:hyperlink>
          </w:p>
        </w:tc>
      </w:tr>
      <w:tr>
        <w:trPr>
          <w:trHeight w:val="196"/>
        </w:trPr>
        <w:tc>
          <w:tcPr>
            <w:tcW w:w="1000" w:type="dxa"/>
            <w:vAlign w:val="bottom"/>
          </w:tcPr>
          <w:p>
            <w:pPr>
              <w:spacing w:after="0"/>
              <w:rPr>
                <w:sz w:val="17"/>
                <w:szCs w:val="17"/>
                <w:color w:val="auto"/>
              </w:rPr>
            </w:pPr>
          </w:p>
        </w:tc>
        <w:tc>
          <w:tcPr>
            <w:tcW w:w="8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Definitive Proxy Statement on Schedule 14A, filed with the Securities and Exchange Commission on April 2, 2026.</w:t>
              </w:r>
            </w:hyperlink>
          </w:p>
        </w:tc>
        <w:tc>
          <w:tcPr>
            <w:tcW w:w="1600" w:type="dxa"/>
            <w:vAlign w:val="bottom"/>
            <w:gridSpan w:val="4"/>
          </w:tcPr>
          <w:p>
            <w:pPr>
              <w:spacing w:after="0"/>
              <w:rPr>
                <w:sz w:val="17"/>
                <w:szCs w:val="17"/>
                <w:color w:val="auto"/>
              </w:rPr>
            </w:pPr>
          </w:p>
        </w:tc>
      </w:tr>
      <w:tr>
        <w:trPr>
          <w:trHeight w:val="196"/>
        </w:trPr>
        <w:tc>
          <w:tcPr>
            <w:tcW w:w="1000" w:type="dxa"/>
            <w:vAlign w:val="bottom"/>
          </w:tcPr>
          <w:p>
            <w:pPr>
              <w:jc w:val="center"/>
              <w:ind w:right="274"/>
              <w:spacing w:after="0" w:line="196" w:lineRule="exact"/>
              <w:rPr>
                <w:sz w:val="20"/>
                <w:szCs w:val="20"/>
                <w:color w:val="auto"/>
              </w:rPr>
            </w:pPr>
            <w:r>
              <w:rPr>
                <w:rFonts w:ascii="Times New Roman" w:cs="Times New Roman" w:eastAsia="Times New Roman" w:hAnsi="Times New Roman"/>
                <w:sz w:val="14"/>
                <w:szCs w:val="14"/>
                <w:color w:val="auto"/>
              </w:rPr>
              <w:t>99.2</w:t>
            </w:r>
            <w:r>
              <w:rPr>
                <w:rFonts w:ascii="Times New Roman" w:cs="Times New Roman" w:eastAsia="Times New Roman" w:hAnsi="Times New Roman"/>
                <w:sz w:val="22"/>
                <w:szCs w:val="22"/>
                <w:color w:val="auto"/>
                <w:vertAlign w:val="superscript"/>
              </w:rPr>
              <w:t>#</w:t>
            </w:r>
          </w:p>
        </w:tc>
        <w:tc>
          <w:tcPr>
            <w:tcW w:w="9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Cohu, Inc. 2026 Equity Incentive Plan, incorporated herein by reference to Appendix C to the Cohu, Inc. Definitive Proxy Statement on</w:t>
              </w:r>
            </w:hyperlink>
          </w:p>
        </w:tc>
        <w:tc>
          <w:tcPr>
            <w:tcW w:w="1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Schedule 14A, filed with the Securities and Exchange Commission on April 2, 2026.</w:t>
              </w:r>
            </w:hyperlink>
          </w:p>
        </w:tc>
        <w:tc>
          <w:tcPr>
            <w:tcW w:w="3840" w:type="dxa"/>
            <w:vAlign w:val="bottom"/>
            <w:gridSpan w:val="6"/>
          </w:tcPr>
          <w:p>
            <w:pPr>
              <w:spacing w:after="0"/>
              <w:rPr>
                <w:sz w:val="17"/>
                <w:szCs w:val="17"/>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Undertakings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60" w:hanging="569"/>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300" w:right="80" w:firstLine="652"/>
        <w:spacing w:after="0" w:line="255" w:lineRule="auto"/>
        <w:tabs>
          <w:tab w:leader="none" w:pos="257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00" w:firstLine="652"/>
        <w:spacing w:after="0" w:line="282" w:lineRule="auto"/>
        <w:tabs>
          <w:tab w:leader="none" w:pos="25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right="40" w:firstLine="2268"/>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left="660" w:firstLine="644"/>
        <w:spacing w:after="0" w:line="266" w:lineRule="auto"/>
        <w:tabs>
          <w:tab w:leader="none" w:pos="19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660" w:right="80" w:firstLine="644"/>
        <w:spacing w:after="0" w:line="282" w:lineRule="auto"/>
        <w:tabs>
          <w:tab w:leader="none" w:pos="19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 w:name="page7"/>
    <w:bookmarkEnd w:id="6"/>
    <w:p>
      <w:pPr>
        <w:ind w:right="80" w:firstLine="656"/>
        <w:spacing w:after="0" w:line="258" w:lineRule="auto"/>
        <w:tabs>
          <w:tab w:leader="none" w:pos="1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right="20" w:firstLine="656"/>
        <w:spacing w:after="0" w:line="254" w:lineRule="auto"/>
        <w:tabs>
          <w:tab w:leader="none" w:pos="1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San Diego, State of California, on May 15,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D. Jones</w:t>
            </w:r>
          </w:p>
        </w:tc>
      </w:tr>
      <w:tr>
        <w:trPr>
          <w:trHeight w:val="191"/>
        </w:trPr>
        <w:tc>
          <w:tcPr>
            <w:tcW w:w="6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D. Jones</w:t>
            </w:r>
          </w:p>
        </w:tc>
      </w:tr>
      <w:tr>
        <w:trPr>
          <w:trHeight w:val="234"/>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Luis A. Müller and Jeffrey D. Jones, and each of them, as his or her true and lawful attorney-in-fact, proxy and agent with the full power of substitution, for him or her in any and all capacities, to sign any and all amendments (including post-effective amendments) to the Registration Statement on Form S-8, and to file the same, with all exhibits thereto and other documents in connection therewith, with the Securities and Exchange Commission,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substitutes, may lawfully do or cause to be done by virtue hereof.</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2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A. Müller</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Luis A. Müller</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D. Jones</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Finance &amp; Chief Financial Officer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Jeffrey D. Jones</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Donahue</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of the Board</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A. Donahue</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E. Bendush</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William E. Bendush</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J. Bilodeau</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Steven J. Bilodeau</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 Caggia</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Andrew M. Caggia</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Yon Jorden</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Yon Jorden</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W. Mattes</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Andreas W. Mattes</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Nina L. Richardson</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Nina L. Richardson</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M. Rapp</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Karen M. Rapp</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ectPr>
          <w:pgSz w:w="11900" w:h="16838" w:orient="portrait"/>
          <w:cols w:equalWidth="0" w:num="1">
            <w:col w:w="11240"/>
          </w:cols>
          <w:pgMar w:left="320" w:top="580" w:right="339" w:bottom="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71245" cy="6515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4365 Executive Drive, Suite 1100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 Diego, California 92121-2133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 :(858) 677-1400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:(858)-677-1401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www.dlapiper.com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17087 Via Del Campo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92127-1711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Post-Effective Amendment to Registration Statements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legal counsel for Cohu,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rendering this opinion in connection with the Post-Effective Amendment (the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to (i) Registration Statement on Form S-8 (File No. 333-132605)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March 21, 2006, (ii) Registration Statement on Form S-8 (File No. 333-160760) filed with the Commission on July 23, 2009, (iii) Registration Statement on Form S-8 (File No. 333-186973) filed with the Commission on February 28, 2013, (iv) Registration Statement on Form S-8 (File No. 333-207016) filed with the Commission on September 18, 2015, (v) Registration Statement on Form S-8 (File No. 333-233080) filed with the Commission on August 7, 2019; and (vi) Registration Statement on Form S-8 (File No. 333-273711) filed with the Commission on August 4, 2023 (collectively, the “</w:t>
      </w:r>
      <w:r>
        <w:rPr>
          <w:rFonts w:ascii="Times New Roman" w:cs="Times New Roman" w:eastAsia="Times New Roman" w:hAnsi="Times New Roman"/>
          <w:sz w:val="18"/>
          <w:szCs w:val="18"/>
          <w:b w:val="1"/>
          <w:bCs w:val="1"/>
          <w:i w:val="1"/>
          <w:iCs w:val="1"/>
          <w:color w:val="auto"/>
        </w:rPr>
        <w:t>Prior Registration Statements</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Prior Registration Statements registered the issuance of shares of the Company’s common stock pursuant to awards granted under the Company’s 2005 Equity Incentive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The Post-Effective Amendment reflects that any shares (the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that are currently subject to outstanding awards under the Prior Plan will become available for issuance under the Company’s 2026 Equity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if such awards under the Prior Plan subsequently expire, terminate or are otherwise surrendered, canceled or forfeited or are settled in cash in lieu of common stock as set forth in the 2026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such examination, we are of the opinion that the Returning Shares which may be issued under the 2026 Plan, when issued against receipt of the consideration therefor in accordance with the provisions of the 2026 Plan, will be validly issued, fully paid and nonassessable. We hereby consent to the filing of this opinion as Exhibit 5.1 to the Post-Effective Amendment referred to above and the use of our name wherever it appears in the Post-Effective Amendment. In giving this consent, we do not admit that we are within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opinion letter is given to you solely for use in connection with the issuance of the Returning Shares in accordance with the Post-Effective Amendment and is not to be relied on for any other purpose. Our opinion is expressly limited to the matters set forth above, and we render no opinion, whether by implication or otherwise, as to any other matters relating to the Company, the Returning Shares or the Post-Effective Amendment.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DLA Piper LLP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Post-Effective Amendment No. 1 to the Registration Statements (Form S-8 Nos. 333-132605, 333-160760, 333-186973, 333-207016, 333-233080, and 333-273711) pertaining to the Cohu, Inc. 2005 Equity Incentive Plan and the Cohu, Inc. 2026 Equity Incentive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jpeg"/><Relationship Id="rId17" Type="http://schemas.openxmlformats.org/officeDocument/2006/relationships/hyperlink" Target="http://www.sec.gov/ix?doc=/Archives/edgar/data/0000021535/000143774926004339/cohu20251227_10k.htm" TargetMode="External"/><Relationship Id="rId18" Type="http://schemas.openxmlformats.org/officeDocument/2006/relationships/hyperlink" Target="http://www.sec.gov/ix?doc=/Archives/edgar/data/21535/000143774926010960/cohu20260326_def14a.htm" TargetMode="External"/><Relationship Id="rId19" Type="http://schemas.openxmlformats.org/officeDocument/2006/relationships/hyperlink" Target="http://www.sec.gov/ix?doc=/Archives/edgar/data/21535/000143774926017386/cohu20260512_8k.htm" TargetMode="External"/><Relationship Id="rId20" Type="http://schemas.openxmlformats.org/officeDocument/2006/relationships/hyperlink" Target="http://www.sec.gov/Archives/edgar/data/21535/0000936392-96-001175.txt" TargetMode="External"/><Relationship Id="rId21" Type="http://schemas.openxmlformats.org/officeDocument/2006/relationships/hyperlink" Target="http://www.sec.gov/Archives/edgar/data/21535/000143774923003782/ex_474581.htm" TargetMode="External"/><Relationship Id="rId24" Type="http://schemas.openxmlformats.org/officeDocument/2006/relationships/hyperlink" Target="http://www.sec.gov/Archives/edgar/data/21535/000143774926017386/ex_960997.htm" TargetMode="External"/><Relationship Id="rId25" Type="http://schemas.openxmlformats.org/officeDocument/2006/relationships/hyperlink" Target="http://www.sec.gov/Archives/edgar/data/21535/000143774926017386/ex_960998.htm" TargetMode="External"/><Relationship Id="rId26" Type="http://schemas.openxmlformats.org/officeDocument/2006/relationships/hyperlink" Target="http://www.sec.gov/ix?doc=/Archives/edgar/data/0000021535/000143774926010960/cohu20260326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2026-05-15T16:36:48Z</dcterms:created>
  <dcterms:modified xsi:type="dcterms:W3CDTF">2026-05-15T16:36:48Z</dcterms:modified>
</cp:coreProperties>
</file>