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ind w:left="4500"/>
        <w:spacing w:after="0"/>
        <w:tabs>
          <w:tab w:leader="none" w:pos="654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22"/>
          <w:szCs w:val="22"/>
          <w:b w:val="1"/>
          <w:bCs w:val="1"/>
          <w:color w:val="auto"/>
        </w:rPr>
        <w:t>)*</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Cohu, Inc.</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(Name of Issuer)</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(Title of Class of Securities)</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192576106</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(CUSIP Number)</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December 31, 2021</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22"/>
          <w:szCs w:val="22"/>
          <w:color w:val="auto"/>
        </w:rPr>
        <w:t>Check appropriate box to designate the rule pursuant to which this Schedule is filed:</w:t>
      </w:r>
    </w:p>
    <w:p>
      <w:pPr>
        <w:spacing w:after="0" w:line="24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47"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46" w:lineRule="exact"/>
        <w:rPr>
          <w:rFonts w:ascii="MS PGothic" w:cs="MS PGothic" w:eastAsia="MS PGothic" w:hAnsi="MS PGothic"/>
          <w:sz w:val="22"/>
          <w:szCs w:val="22"/>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00" w:lineRule="exact"/>
        <w:rPr>
          <w:sz w:val="24"/>
          <w:szCs w:val="24"/>
          <w:color w:val="auto"/>
        </w:rPr>
      </w:pPr>
    </w:p>
    <w:p>
      <w:pPr>
        <w:spacing w:after="0" w:line="283" w:lineRule="exact"/>
        <w:rPr>
          <w:sz w:val="24"/>
          <w:szCs w:val="24"/>
          <w:color w:val="auto"/>
        </w:rPr>
      </w:pPr>
    </w:p>
    <w:p>
      <w:pPr>
        <w:ind w:left="240" w:right="180" w:hanging="232"/>
        <w:spacing w:after="0" w:line="277"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0"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192576106</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1.NAMES OF REPORTING PERSONS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I.R.S. IDENTIFICATION NOS. OF ABOVE PERSONS (entities only)</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Barrow Hanley Global Investors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752403190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2.CHECK THE APPROPRIATE BOX IF A MEMBER OF A GROUP (See Instructions)</w:t>
      </w:r>
    </w:p>
    <w:p>
      <w:pPr>
        <w:spacing w:after="0" w:line="18" w:lineRule="exact"/>
        <w:rPr>
          <w:sz w:val="20"/>
          <w:szCs w:val="20"/>
          <w:color w:val="auto"/>
        </w:rPr>
      </w:pPr>
    </w:p>
    <w:p>
      <w:pPr>
        <w:ind w:left="1060" w:hanging="296"/>
        <w:spacing w:after="0" w:line="207" w:lineRule="exact"/>
        <w:tabs>
          <w:tab w:leader="none" w:pos="10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5" w:lineRule="exact"/>
        <w:rPr>
          <w:rFonts w:ascii="Arial" w:cs="Arial" w:eastAsia="Arial" w:hAnsi="Arial"/>
          <w:sz w:val="18"/>
          <w:szCs w:val="18"/>
          <w:color w:val="auto"/>
        </w:rPr>
      </w:pPr>
    </w:p>
    <w:p>
      <w:pPr>
        <w:ind w:left="1060" w:hanging="296"/>
        <w:spacing w:after="0" w:line="207" w:lineRule="exact"/>
        <w:tabs>
          <w:tab w:leader="none" w:pos="10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4.CITIZENSHIP OR PLACE OF ORGANIZATION</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2100" w:hanging="315"/>
        <w:spacing w:after="0"/>
        <w:tabs>
          <w:tab w:leader="none" w:pos="2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0" w:lineRule="exact"/>
        <w:rPr>
          <w:sz w:val="20"/>
          <w:szCs w:val="20"/>
          <w:color w:val="auto"/>
        </w:rPr>
      </w:pPr>
    </w:p>
    <w:p>
      <w:pPr>
        <w:spacing w:after="0" w:line="241" w:lineRule="exact"/>
        <w:rPr>
          <w:sz w:val="20"/>
          <w:szCs w:val="20"/>
          <w:color w:val="auto"/>
        </w:rPr>
      </w:pPr>
    </w:p>
    <w:tbl>
      <w:tblPr>
        <w:tblLayout w:type="fixed"/>
        <w:tblInd w:w="220" w:type="dxa"/>
        <w:tblCellMar>
          <w:top w:w="0" w:type="dxa"/>
          <w:left w:w="0" w:type="dxa"/>
          <w:bottom w:w="0" w:type="dxa"/>
          <w:right w:w="0" w:type="dxa"/>
        </w:tblCellMar>
      </w:tblPr>
      <w:tr>
        <w:trPr>
          <w:trHeight w:val="48"/>
        </w:trPr>
        <w:tc>
          <w:tcPr>
            <w:tcW w:w="1480" w:type="dxa"/>
            <w:vAlign w:val="bottom"/>
            <w:vMerge w:val="restart"/>
          </w:tcPr>
          <w:p>
            <w:pPr>
              <w:jc w:val="center"/>
              <w:ind w:right="130"/>
              <w:spacing w:after="0"/>
              <w:rPr>
                <w:sz w:val="20"/>
                <w:szCs w:val="20"/>
                <w:color w:val="auto"/>
              </w:rPr>
            </w:pPr>
            <w:r>
              <w:rPr>
                <w:rFonts w:ascii="Arial" w:cs="Arial" w:eastAsia="Arial" w:hAnsi="Arial"/>
                <w:sz w:val="18"/>
                <w:szCs w:val="18"/>
                <w:color w:val="auto"/>
                <w:w w:val="98"/>
              </w:rPr>
              <w:t>NUMBER OF</w:t>
            </w:r>
          </w:p>
        </w:tc>
        <w:tc>
          <w:tcPr>
            <w:tcW w:w="320" w:type="dxa"/>
            <w:vAlign w:val="bottom"/>
            <w:tcBorders>
              <w:bottom w:val="single" w:sz="8" w:color="auto"/>
            </w:tcBorders>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30"/>
              <w:spacing w:after="0"/>
              <w:rPr>
                <w:sz w:val="20"/>
                <w:szCs w:val="20"/>
                <w:color w:val="auto"/>
              </w:rPr>
            </w:pPr>
            <w:r>
              <w:rPr>
                <w:rFonts w:ascii="Arial" w:cs="Arial" w:eastAsia="Arial" w:hAnsi="Arial"/>
                <w:sz w:val="18"/>
                <w:szCs w:val="18"/>
                <w:color w:val="auto"/>
                <w:w w:val="94"/>
              </w:rPr>
              <w:t>SHARES</w:t>
            </w:r>
          </w:p>
        </w:tc>
        <w:tc>
          <w:tcPr>
            <w:tcW w:w="320" w:type="dxa"/>
            <w:vAlign w:val="bottom"/>
            <w:vMerge w:val="restart"/>
          </w:tcPr>
          <w:p>
            <w:pPr>
              <w:jc w:val="right"/>
              <w:ind w:right="10"/>
              <w:spacing w:after="0"/>
              <w:rPr>
                <w:sz w:val="20"/>
                <w:szCs w:val="20"/>
                <w:color w:val="auto"/>
              </w:rPr>
            </w:pPr>
            <w:r>
              <w:rPr>
                <w:rFonts w:ascii="Arial" w:cs="Arial" w:eastAsia="Arial" w:hAnsi="Arial"/>
                <w:sz w:val="18"/>
                <w:szCs w:val="18"/>
                <w:color w:val="auto"/>
              </w:rPr>
              <w:t>6.</w:t>
            </w:r>
          </w:p>
        </w:tc>
        <w:tc>
          <w:tcPr>
            <w:tcW w:w="922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48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BENEFICIALLY</w:t>
            </w:r>
          </w:p>
        </w:tc>
        <w:tc>
          <w:tcPr>
            <w:tcW w:w="320" w:type="dxa"/>
            <w:vAlign w:val="bottom"/>
            <w:vMerge w:val="continue"/>
          </w:tcPr>
          <w:p>
            <w:pPr>
              <w:spacing w:after="0"/>
              <w:rPr>
                <w:sz w:val="8"/>
                <w:szCs w:val="8"/>
                <w:color w:val="auto"/>
              </w:rPr>
            </w:pPr>
          </w:p>
        </w:tc>
        <w:tc>
          <w:tcPr>
            <w:tcW w:w="9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4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30"/>
              <w:spacing w:after="0"/>
              <w:rPr>
                <w:sz w:val="20"/>
                <w:szCs w:val="20"/>
                <w:color w:val="auto"/>
              </w:rPr>
            </w:pPr>
            <w:r>
              <w:rPr>
                <w:rFonts w:ascii="Arial" w:cs="Arial" w:eastAsia="Arial" w:hAnsi="Arial"/>
                <w:sz w:val="18"/>
                <w:szCs w:val="18"/>
                <w:color w:val="auto"/>
                <w:w w:val="99"/>
              </w:rPr>
              <w:t>OWNED BY</w:t>
            </w:r>
          </w:p>
        </w:tc>
        <w:tc>
          <w:tcPr>
            <w:tcW w:w="3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48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EACH</w:t>
            </w:r>
          </w:p>
        </w:tc>
        <w:tc>
          <w:tcPr>
            <w:tcW w:w="320" w:type="dxa"/>
            <w:vAlign w:val="bottom"/>
            <w:tcBorders>
              <w:bottom w:val="single" w:sz="8" w:color="auto"/>
            </w:tcBorders>
          </w:tcPr>
          <w:p>
            <w:pPr>
              <w:spacing w:after="0"/>
              <w:rPr>
                <w:sz w:val="11"/>
                <w:szCs w:val="11"/>
                <w:color w:val="auto"/>
              </w:rPr>
            </w:pPr>
          </w:p>
        </w:tc>
        <w:tc>
          <w:tcPr>
            <w:tcW w:w="9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480" w:type="dxa"/>
            <w:vAlign w:val="bottom"/>
            <w:vMerge w:val="continue"/>
          </w:tcPr>
          <w:p>
            <w:pPr>
              <w:spacing w:after="0"/>
              <w:rPr>
                <w:sz w:val="5"/>
                <w:szCs w:val="5"/>
                <w:color w:val="auto"/>
              </w:rPr>
            </w:pPr>
          </w:p>
        </w:tc>
        <w:tc>
          <w:tcPr>
            <w:tcW w:w="320" w:type="dxa"/>
            <w:vAlign w:val="bottom"/>
            <w:vMerge w:val="restart"/>
          </w:tcPr>
          <w:p>
            <w:pPr>
              <w:jc w:val="right"/>
              <w:ind w:right="10"/>
              <w:spacing w:after="0"/>
              <w:rPr>
                <w:sz w:val="20"/>
                <w:szCs w:val="20"/>
                <w:color w:val="auto"/>
              </w:rPr>
            </w:pPr>
            <w:r>
              <w:rPr>
                <w:rFonts w:ascii="Arial" w:cs="Arial" w:eastAsia="Arial" w:hAnsi="Arial"/>
                <w:sz w:val="18"/>
                <w:szCs w:val="18"/>
                <w:color w:val="auto"/>
              </w:rPr>
              <w:t>7.</w:t>
            </w:r>
          </w:p>
        </w:tc>
        <w:tc>
          <w:tcPr>
            <w:tcW w:w="922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3"/>
              </w:rPr>
              <w:t>REPORTING</w:t>
            </w:r>
          </w:p>
        </w:tc>
        <w:tc>
          <w:tcPr>
            <w:tcW w:w="320" w:type="dxa"/>
            <w:vAlign w:val="bottom"/>
            <w:vMerge w:val="continue"/>
          </w:tcPr>
          <w:p>
            <w:pPr>
              <w:spacing w:after="0"/>
              <w:rPr>
                <w:sz w:val="14"/>
                <w:szCs w:val="14"/>
                <w:color w:val="auto"/>
              </w:rPr>
            </w:pPr>
          </w:p>
        </w:tc>
        <w:tc>
          <w:tcPr>
            <w:tcW w:w="9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4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9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3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480" w:type="dxa"/>
            <w:vAlign w:val="bottom"/>
          </w:tcPr>
          <w:p>
            <w:pPr>
              <w:jc w:val="center"/>
              <w:ind w:right="130"/>
              <w:spacing w:after="0" w:line="157" w:lineRule="exact"/>
              <w:rPr>
                <w:sz w:val="20"/>
                <w:szCs w:val="20"/>
                <w:color w:val="auto"/>
              </w:rPr>
            </w:pPr>
            <w:r>
              <w:rPr>
                <w:rFonts w:ascii="Arial" w:cs="Arial" w:eastAsia="Arial" w:hAnsi="Arial"/>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9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92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10.CHECK IF THE AGGREGATE AMOUNT IN ROW (9) EXCLUDES CERTAIN SHARES (See Instructions)</w:t>
      </w:r>
    </w:p>
    <w:p>
      <w:pPr>
        <w:spacing w:after="0" w:line="219" w:lineRule="exact"/>
        <w:rPr>
          <w:sz w:val="20"/>
          <w:szCs w:val="20"/>
          <w:color w:val="auto"/>
        </w:rPr>
      </w:pPr>
    </w:p>
    <w:p>
      <w:pPr>
        <w:ind w:left="7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11.PERCENT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12.TYPE OF REPORTING PERSON (See Instructions)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SCHEDULE 13G</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Item 1(a)  Name of Issuer: Cohu, Inc.</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1(b)  Address of Issuer’s Principal Executive Offices:</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12367 CROSTHWAITE CIRCLE</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POWAY CA 92064</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Item 2(a)  Name of Person Filing:</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Barrow Hanley Global Investors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2(b)  Address of Principal Business Office or, if none, Residence:</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2200 Ross Avenue, 31st Floor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Dallas, TX 75201-2761</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2(c)  Citizenship:</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 Delaware limited liability company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2(d)  Title of Class of Securities</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ind w:left="640"/>
        <w:spacing w:after="0"/>
        <w:tabs>
          <w:tab w:leader="none" w:pos="2400" w:val="left"/>
        </w:tabs>
        <w:rPr>
          <w:sz w:val="20"/>
          <w:szCs w:val="20"/>
          <w:color w:val="auto"/>
        </w:rPr>
      </w:pPr>
      <w:r>
        <w:rPr>
          <w:rFonts w:ascii="Arial" w:cs="Arial" w:eastAsia="Arial" w:hAnsi="Arial"/>
          <w:sz w:val="18"/>
          <w:szCs w:val="18"/>
          <w:color w:val="auto"/>
        </w:rPr>
        <w:t>2(e)  CUSIP Number:</w:t>
      </w:r>
      <w:r>
        <w:rPr>
          <w:sz w:val="20"/>
          <w:szCs w:val="20"/>
          <w:color w:val="auto"/>
        </w:rPr>
        <w:tab/>
      </w:r>
      <w:r>
        <w:rPr>
          <w:rFonts w:ascii="Arial" w:cs="Arial" w:eastAsia="Arial" w:hAnsi="Arial"/>
          <w:sz w:val="16"/>
          <w:szCs w:val="16"/>
          <w:color w:val="auto"/>
        </w:rPr>
        <w:t>192576106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3  If this statement is filed pursuant to §§240.13d-1(b), or 240.13d-2(b) or (c), check whether the person filing is a:</w:t>
      </w:r>
    </w:p>
    <w:p>
      <w:pPr>
        <w:spacing w:after="0" w:line="192" w:lineRule="exact"/>
        <w:rPr>
          <w:sz w:val="20"/>
          <w:szCs w:val="20"/>
          <w:color w:val="auto"/>
        </w:rPr>
      </w:pPr>
    </w:p>
    <w:p>
      <w:pPr>
        <w:ind w:left="1620" w:hanging="573"/>
        <w:spacing w:after="0" w:line="207" w:lineRule="exact"/>
        <w:tabs>
          <w:tab w:leader="none" w:pos="16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1620" w:hanging="573"/>
        <w:spacing w:after="0" w:line="207" w:lineRule="exact"/>
        <w:tabs>
          <w:tab w:leader="none" w:pos="16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620" w:hanging="573"/>
        <w:spacing w:after="0" w:line="207" w:lineRule="exact"/>
        <w:tabs>
          <w:tab w:leader="none" w:pos="16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1620" w:hanging="573"/>
        <w:spacing w:after="0" w:line="207" w:lineRule="exact"/>
        <w:tabs>
          <w:tab w:leader="none" w:pos="16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620" w:hanging="573"/>
        <w:spacing w:after="0" w:line="207" w:lineRule="exact"/>
        <w:tabs>
          <w:tab w:leader="none" w:pos="16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1620" w:hanging="573"/>
        <w:spacing w:after="0" w:line="207" w:lineRule="exact"/>
        <w:tabs>
          <w:tab w:leader="none" w:pos="16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1620" w:hanging="573"/>
        <w:spacing w:after="0" w:line="207" w:lineRule="exact"/>
        <w:tabs>
          <w:tab w:leader="none" w:pos="16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§240.13d-1(b)(ii)(G);</w:t>
      </w:r>
    </w:p>
    <w:p>
      <w:pPr>
        <w:spacing w:after="0" w:line="225" w:lineRule="exact"/>
        <w:rPr>
          <w:rFonts w:ascii="Arial" w:cs="Arial" w:eastAsia="Arial" w:hAnsi="Arial"/>
          <w:sz w:val="18"/>
          <w:szCs w:val="18"/>
          <w:color w:val="auto"/>
        </w:rPr>
      </w:pPr>
    </w:p>
    <w:p>
      <w:pPr>
        <w:ind w:left="1620" w:hanging="573"/>
        <w:spacing w:after="0" w:line="207" w:lineRule="exact"/>
        <w:tabs>
          <w:tab w:leader="none" w:pos="16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100" w:hanging="1053"/>
        <w:spacing w:after="0" w:line="239" w:lineRule="exact"/>
        <w:tabs>
          <w:tab w:leader="none" w:pos="1628"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620" w:hanging="573"/>
        <w:spacing w:after="0" w:line="207" w:lineRule="exact"/>
        <w:tabs>
          <w:tab w:leader="none" w:pos="16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 accordance with §240.13d-1(b)(1)(ii)(J).</w:t>
      </w:r>
    </w:p>
    <w:p>
      <w:pPr>
        <w:spacing w:after="0" w:line="200" w:lineRule="exact"/>
        <w:rPr>
          <w:sz w:val="20"/>
          <w:szCs w:val="20"/>
          <w:color w:val="auto"/>
        </w:rPr>
      </w:pP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368" w:right="979" w:bottom="1440" w:gutter="0" w:footer="0" w:header="0"/>
        </w:sectPr>
      </w:pPr>
    </w:p>
    <w:bookmarkStart w:id="3" w:name="page4"/>
    <w:bookmarkEnd w:id="3"/>
    <w:p>
      <w:pPr>
        <w:ind w:left="460"/>
        <w:spacing w:after="0"/>
        <w:rPr>
          <w:sz w:val="20"/>
          <w:szCs w:val="20"/>
          <w:color w:val="auto"/>
        </w:rPr>
      </w:pPr>
      <w:r>
        <w:rPr>
          <w:rFonts w:ascii="Arial" w:cs="Arial" w:eastAsia="Arial" w:hAnsi="Arial"/>
          <w:sz w:val="18"/>
          <w:szCs w:val="18"/>
          <w:color w:val="auto"/>
        </w:rPr>
        <w:t>Item 4  Ownership:</w:t>
      </w:r>
    </w:p>
    <w:p>
      <w:pPr>
        <w:spacing w:after="0" w:line="225"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1060" w:type="dxa"/>
            <w:vAlign w:val="bottom"/>
          </w:tcPr>
          <w:p>
            <w:pPr>
              <w:ind w:left="680"/>
              <w:spacing w:after="0"/>
              <w:rPr>
                <w:sz w:val="20"/>
                <w:szCs w:val="20"/>
                <w:color w:val="auto"/>
              </w:rPr>
            </w:pPr>
            <w:r>
              <w:rPr>
                <w:rFonts w:ascii="Arial" w:cs="Arial" w:eastAsia="Arial" w:hAnsi="Arial"/>
                <w:sz w:val="18"/>
                <w:szCs w:val="18"/>
                <w:color w:val="auto"/>
              </w:rPr>
              <w:t>4(a)</w:t>
            </w: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rPr>
              <w:t>Amount beneficially owned:</w:t>
            </w:r>
          </w:p>
        </w:tc>
      </w:tr>
      <w:tr>
        <w:trPr>
          <w:trHeight w:val="432"/>
        </w:trPr>
        <w:tc>
          <w:tcPr>
            <w:tcW w:w="1060" w:type="dxa"/>
            <w:vAlign w:val="bottom"/>
          </w:tcPr>
          <w:p>
            <w:pPr>
              <w:ind w:left="680"/>
              <w:spacing w:after="0"/>
              <w:rPr>
                <w:sz w:val="20"/>
                <w:szCs w:val="20"/>
                <w:color w:val="auto"/>
              </w:rPr>
            </w:pPr>
            <w:r>
              <w:rPr>
                <w:rFonts w:ascii="Arial" w:cs="Arial" w:eastAsia="Arial" w:hAnsi="Arial"/>
                <w:sz w:val="18"/>
                <w:szCs w:val="18"/>
                <w:color w:val="auto"/>
              </w:rPr>
              <w:t>4(b)</w:t>
            </w: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rPr>
              <w:t>Percent of Class:</w:t>
            </w:r>
          </w:p>
        </w:tc>
      </w:tr>
      <w:tr>
        <w:trPr>
          <w:trHeight w:val="432"/>
        </w:trPr>
        <w:tc>
          <w:tcPr>
            <w:tcW w:w="1060" w:type="dxa"/>
            <w:vAlign w:val="bottom"/>
          </w:tcPr>
          <w:p>
            <w:pPr>
              <w:ind w:left="680"/>
              <w:spacing w:after="0"/>
              <w:rPr>
                <w:sz w:val="20"/>
                <w:szCs w:val="20"/>
                <w:color w:val="auto"/>
              </w:rPr>
            </w:pPr>
            <w:r>
              <w:rPr>
                <w:rFonts w:ascii="Arial" w:cs="Arial" w:eastAsia="Arial" w:hAnsi="Arial"/>
                <w:sz w:val="18"/>
                <w:szCs w:val="18"/>
                <w:color w:val="auto"/>
              </w:rPr>
              <w:t>4(c)</w:t>
            </w:r>
          </w:p>
        </w:tc>
        <w:tc>
          <w:tcPr>
            <w:tcW w:w="9820" w:type="dxa"/>
            <w:vAlign w:val="bottom"/>
            <w:gridSpan w:val="2"/>
          </w:tcPr>
          <w:p>
            <w:pPr>
              <w:ind w:left="200"/>
              <w:spacing w:after="0"/>
              <w:rPr>
                <w:sz w:val="20"/>
                <w:szCs w:val="20"/>
                <w:color w:val="auto"/>
              </w:rPr>
            </w:pPr>
            <w:r>
              <w:rPr>
                <w:rFonts w:ascii="Arial" w:cs="Arial" w:eastAsia="Arial" w:hAnsi="Arial"/>
                <w:sz w:val="18"/>
                <w:szCs w:val="18"/>
                <w:color w:val="auto"/>
              </w:rPr>
              <w:t>Number of shares as to which person has:</w:t>
            </w:r>
          </w:p>
        </w:tc>
      </w:tr>
      <w:tr>
        <w:trPr>
          <w:trHeight w:val="459"/>
        </w:trPr>
        <w:tc>
          <w:tcPr>
            <w:tcW w:w="106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(i)</w:t>
            </w:r>
          </w:p>
        </w:tc>
        <w:tc>
          <w:tcPr>
            <w:tcW w:w="9160" w:type="dxa"/>
            <w:vAlign w:val="bottom"/>
          </w:tcPr>
          <w:p>
            <w:pPr>
              <w:ind w:left="120"/>
              <w:spacing w:after="0"/>
              <w:rPr>
                <w:sz w:val="20"/>
                <w:szCs w:val="20"/>
                <w:color w:val="auto"/>
              </w:rPr>
            </w:pPr>
            <w:r>
              <w:rPr>
                <w:rFonts w:ascii="Arial" w:cs="Arial" w:eastAsia="Arial" w:hAnsi="Arial"/>
                <w:sz w:val="18"/>
                <w:szCs w:val="18"/>
                <w:color w:val="auto"/>
              </w:rPr>
              <w:t>Sole power to vote or to direct the vote:</w:t>
            </w:r>
          </w:p>
        </w:tc>
      </w:tr>
      <w:tr>
        <w:trPr>
          <w:trHeight w:val="459"/>
        </w:trPr>
        <w:tc>
          <w:tcPr>
            <w:tcW w:w="106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(ii)</w:t>
            </w:r>
          </w:p>
        </w:tc>
        <w:tc>
          <w:tcPr>
            <w:tcW w:w="9160" w:type="dxa"/>
            <w:vAlign w:val="bottom"/>
          </w:tcPr>
          <w:p>
            <w:pPr>
              <w:ind w:left="180"/>
              <w:spacing w:after="0"/>
              <w:rPr>
                <w:sz w:val="20"/>
                <w:szCs w:val="20"/>
                <w:color w:val="auto"/>
              </w:rPr>
            </w:pPr>
            <w:r>
              <w:rPr>
                <w:rFonts w:ascii="Arial" w:cs="Arial" w:eastAsia="Arial" w:hAnsi="Arial"/>
                <w:sz w:val="18"/>
                <w:szCs w:val="18"/>
                <w:color w:val="auto"/>
              </w:rPr>
              <w:t>Shared power to vote or to direct the vote:</w:t>
            </w:r>
          </w:p>
        </w:tc>
      </w:tr>
      <w:tr>
        <w:trPr>
          <w:trHeight w:val="432"/>
        </w:trPr>
        <w:tc>
          <w:tcPr>
            <w:tcW w:w="106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(iii)</w:t>
            </w:r>
          </w:p>
        </w:tc>
        <w:tc>
          <w:tcPr>
            <w:tcW w:w="9160" w:type="dxa"/>
            <w:vAlign w:val="bottom"/>
          </w:tcPr>
          <w:p>
            <w:pPr>
              <w:ind w:left="180"/>
              <w:spacing w:after="0"/>
              <w:rPr>
                <w:sz w:val="20"/>
                <w:szCs w:val="20"/>
                <w:color w:val="auto"/>
              </w:rPr>
            </w:pPr>
            <w:r>
              <w:rPr>
                <w:rFonts w:ascii="Arial" w:cs="Arial" w:eastAsia="Arial" w:hAnsi="Arial"/>
                <w:sz w:val="18"/>
                <w:szCs w:val="18"/>
                <w:color w:val="auto"/>
              </w:rPr>
              <w:t>Sole power to dispose or to direct the disposition of:</w:t>
            </w:r>
          </w:p>
        </w:tc>
      </w:tr>
      <w:tr>
        <w:trPr>
          <w:trHeight w:val="432"/>
        </w:trPr>
        <w:tc>
          <w:tcPr>
            <w:tcW w:w="106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(iv)</w:t>
            </w:r>
          </w:p>
        </w:tc>
        <w:tc>
          <w:tcPr>
            <w:tcW w:w="9160" w:type="dxa"/>
            <w:vAlign w:val="bottom"/>
          </w:tcPr>
          <w:p>
            <w:pPr>
              <w:ind w:left="180"/>
              <w:spacing w:after="0"/>
              <w:rPr>
                <w:sz w:val="20"/>
                <w:szCs w:val="20"/>
                <w:color w:val="auto"/>
              </w:rPr>
            </w:pPr>
            <w:r>
              <w:rPr>
                <w:rFonts w:ascii="Arial" w:cs="Arial" w:eastAsia="Arial" w:hAnsi="Arial"/>
                <w:sz w:val="18"/>
                <w:szCs w:val="18"/>
                <w:color w:val="auto"/>
              </w:rPr>
              <w:t>Shared power to dispose or to direct the disposition of:</w:t>
            </w:r>
          </w:p>
        </w:tc>
      </w:tr>
      <w:tr>
        <w:trPr>
          <w:trHeight w:val="432"/>
        </w:trPr>
        <w:tc>
          <w:tcPr>
            <w:tcW w:w="1060" w:type="dxa"/>
            <w:vAlign w:val="bottom"/>
          </w:tcPr>
          <w:p>
            <w:pPr>
              <w:jc w:val="right"/>
              <w:ind w:right="410"/>
              <w:spacing w:after="0"/>
              <w:rPr>
                <w:sz w:val="20"/>
                <w:szCs w:val="20"/>
                <w:color w:val="auto"/>
              </w:rPr>
            </w:pPr>
            <w:r>
              <w:rPr>
                <w:rFonts w:ascii="Arial" w:cs="Arial" w:eastAsia="Arial" w:hAnsi="Arial"/>
                <w:sz w:val="18"/>
                <w:szCs w:val="18"/>
                <w:color w:val="auto"/>
              </w:rPr>
              <w:t>Item 5</w:t>
            </w: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Ownership of Five Percent or Less of a Class:</w:t>
            </w:r>
          </w:p>
        </w:tc>
      </w:tr>
      <w:tr>
        <w:trPr>
          <w:trHeight w:val="243"/>
        </w:trPr>
        <w:tc>
          <w:tcPr>
            <w:tcW w:w="1060" w:type="dxa"/>
            <w:vAlign w:val="bottom"/>
          </w:tcPr>
          <w:p>
            <w:pPr>
              <w:spacing w:after="0"/>
              <w:rPr>
                <w:sz w:val="21"/>
                <w:szCs w:val="21"/>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Yes.</w:t>
            </w:r>
          </w:p>
        </w:tc>
        <w:tc>
          <w:tcPr>
            <w:tcW w:w="9160" w:type="dxa"/>
            <w:vAlign w:val="bottom"/>
          </w:tcPr>
          <w:p>
            <w:pPr>
              <w:spacing w:after="0"/>
              <w:rPr>
                <w:sz w:val="21"/>
                <w:szCs w:val="21"/>
                <w:color w:val="auto"/>
              </w:rPr>
            </w:pPr>
          </w:p>
        </w:tc>
      </w:tr>
      <w:tr>
        <w:trPr>
          <w:trHeight w:val="418"/>
        </w:trPr>
        <w:tc>
          <w:tcPr>
            <w:tcW w:w="1060" w:type="dxa"/>
            <w:vAlign w:val="bottom"/>
          </w:tcPr>
          <w:p>
            <w:pPr>
              <w:jc w:val="right"/>
              <w:ind w:right="410"/>
              <w:spacing w:after="0"/>
              <w:rPr>
                <w:sz w:val="20"/>
                <w:szCs w:val="20"/>
                <w:color w:val="auto"/>
              </w:rPr>
            </w:pPr>
            <w:r>
              <w:rPr>
                <w:rFonts w:ascii="Arial" w:cs="Arial" w:eastAsia="Arial" w:hAnsi="Arial"/>
                <w:sz w:val="18"/>
                <w:szCs w:val="18"/>
                <w:color w:val="auto"/>
              </w:rPr>
              <w:t>Item 6</w:t>
            </w: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216"/>
        </w:trPr>
        <w:tc>
          <w:tcPr>
            <w:tcW w:w="1060" w:type="dxa"/>
            <w:vAlign w:val="bottom"/>
          </w:tcPr>
          <w:p>
            <w:pPr>
              <w:spacing w:after="0"/>
              <w:rPr>
                <w:sz w:val="18"/>
                <w:szCs w:val="18"/>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w w:val="91"/>
              </w:rPr>
              <w:t>The right to receive or the power to direct the receipt of dividends from, or the proceeds from the sale of, the common stock is held by</w:t>
            </w:r>
          </w:p>
        </w:tc>
      </w:tr>
      <w:tr>
        <w:trPr>
          <w:trHeight w:val="216"/>
        </w:trPr>
        <w:tc>
          <w:tcPr>
            <w:tcW w:w="1060" w:type="dxa"/>
            <w:vAlign w:val="bottom"/>
          </w:tcPr>
          <w:p>
            <w:pPr>
              <w:spacing w:after="0"/>
              <w:rPr>
                <w:sz w:val="18"/>
                <w:szCs w:val="18"/>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w w:val="95"/>
              </w:rPr>
              <w:t>certain clients of the reporting person, none of which has such right or power with respect to five percent or more of the common</w:t>
            </w:r>
          </w:p>
        </w:tc>
      </w:tr>
      <w:tr>
        <w:trPr>
          <w:trHeight w:val="230"/>
        </w:trPr>
        <w:tc>
          <w:tcPr>
            <w:tcW w:w="106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stock.</w:t>
            </w:r>
          </w:p>
        </w:tc>
        <w:tc>
          <w:tcPr>
            <w:tcW w:w="9160" w:type="dxa"/>
            <w:vAlign w:val="bottom"/>
          </w:tcPr>
          <w:p>
            <w:pPr>
              <w:spacing w:after="0"/>
              <w:rPr>
                <w:sz w:val="20"/>
                <w:szCs w:val="20"/>
                <w:color w:val="auto"/>
              </w:rPr>
            </w:pPr>
          </w:p>
        </w:tc>
      </w:tr>
      <w:tr>
        <w:trPr>
          <w:trHeight w:val="418"/>
        </w:trPr>
        <w:tc>
          <w:tcPr>
            <w:tcW w:w="1060" w:type="dxa"/>
            <w:vAlign w:val="bottom"/>
          </w:tcPr>
          <w:p>
            <w:pPr>
              <w:jc w:val="right"/>
              <w:ind w:right="410"/>
              <w:spacing w:after="0"/>
              <w:rPr>
                <w:sz w:val="20"/>
                <w:szCs w:val="20"/>
                <w:color w:val="auto"/>
              </w:rPr>
            </w:pPr>
            <w:r>
              <w:rPr>
                <w:rFonts w:ascii="Arial" w:cs="Arial" w:eastAsia="Arial" w:hAnsi="Arial"/>
                <w:sz w:val="18"/>
                <w:szCs w:val="18"/>
                <w:color w:val="auto"/>
              </w:rPr>
              <w:t>Item 7</w:t>
            </w: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w w:val="93"/>
              </w:rPr>
              <w:t>Identification and Classification of the Subsidiary Which Acquired the Security Being Reported on by the Parent Holding Company:</w:t>
            </w:r>
          </w:p>
        </w:tc>
      </w:tr>
      <w:tr>
        <w:trPr>
          <w:trHeight w:val="230"/>
        </w:trPr>
        <w:tc>
          <w:tcPr>
            <w:tcW w:w="1060" w:type="dxa"/>
            <w:vAlign w:val="bottom"/>
          </w:tcPr>
          <w:p>
            <w:pPr>
              <w:spacing w:after="0"/>
              <w:rPr>
                <w:sz w:val="20"/>
                <w:szCs w:val="20"/>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Not Applicable.</w:t>
            </w:r>
          </w:p>
        </w:tc>
      </w:tr>
      <w:tr>
        <w:trPr>
          <w:trHeight w:val="418"/>
        </w:trPr>
        <w:tc>
          <w:tcPr>
            <w:tcW w:w="1060" w:type="dxa"/>
            <w:vAlign w:val="bottom"/>
          </w:tcPr>
          <w:p>
            <w:pPr>
              <w:jc w:val="right"/>
              <w:ind w:right="410"/>
              <w:spacing w:after="0"/>
              <w:rPr>
                <w:sz w:val="20"/>
                <w:szCs w:val="20"/>
                <w:color w:val="auto"/>
              </w:rPr>
            </w:pPr>
            <w:r>
              <w:rPr>
                <w:rFonts w:ascii="Arial" w:cs="Arial" w:eastAsia="Arial" w:hAnsi="Arial"/>
                <w:sz w:val="18"/>
                <w:szCs w:val="18"/>
                <w:color w:val="auto"/>
              </w:rPr>
              <w:t>Item 8</w:t>
            </w: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230"/>
        </w:trPr>
        <w:tc>
          <w:tcPr>
            <w:tcW w:w="1060" w:type="dxa"/>
            <w:vAlign w:val="bottom"/>
          </w:tcPr>
          <w:p>
            <w:pPr>
              <w:spacing w:after="0"/>
              <w:rPr>
                <w:sz w:val="20"/>
                <w:szCs w:val="20"/>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Not Applicable.</w:t>
            </w:r>
          </w:p>
        </w:tc>
      </w:tr>
      <w:tr>
        <w:trPr>
          <w:trHeight w:val="418"/>
        </w:trPr>
        <w:tc>
          <w:tcPr>
            <w:tcW w:w="1060" w:type="dxa"/>
            <w:vAlign w:val="bottom"/>
          </w:tcPr>
          <w:p>
            <w:pPr>
              <w:jc w:val="right"/>
              <w:ind w:right="410"/>
              <w:spacing w:after="0"/>
              <w:rPr>
                <w:sz w:val="20"/>
                <w:szCs w:val="20"/>
                <w:color w:val="auto"/>
              </w:rPr>
            </w:pPr>
            <w:r>
              <w:rPr>
                <w:rFonts w:ascii="Arial" w:cs="Arial" w:eastAsia="Arial" w:hAnsi="Arial"/>
                <w:sz w:val="18"/>
                <w:szCs w:val="18"/>
                <w:color w:val="auto"/>
              </w:rPr>
              <w:t>Item 9</w:t>
            </w: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Notice of Dissolution of Group:</w:t>
            </w:r>
          </w:p>
        </w:tc>
      </w:tr>
      <w:tr>
        <w:trPr>
          <w:trHeight w:val="230"/>
        </w:trPr>
        <w:tc>
          <w:tcPr>
            <w:tcW w:w="1060" w:type="dxa"/>
            <w:vAlign w:val="bottom"/>
          </w:tcPr>
          <w:p>
            <w:pPr>
              <w:spacing w:after="0"/>
              <w:rPr>
                <w:sz w:val="20"/>
                <w:szCs w:val="20"/>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Not Applicable.</w:t>
            </w:r>
          </w:p>
        </w:tc>
      </w:tr>
      <w:tr>
        <w:trPr>
          <w:trHeight w:val="432"/>
        </w:trPr>
        <w:tc>
          <w:tcPr>
            <w:tcW w:w="1060" w:type="dxa"/>
            <w:vAlign w:val="bottom"/>
          </w:tcPr>
          <w:p>
            <w:pPr>
              <w:jc w:val="right"/>
              <w:ind w:right="410"/>
              <w:spacing w:after="0"/>
              <w:rPr>
                <w:sz w:val="20"/>
                <w:szCs w:val="20"/>
                <w:color w:val="auto"/>
              </w:rPr>
            </w:pPr>
            <w:r>
              <w:rPr>
                <w:rFonts w:ascii="Arial" w:cs="Arial" w:eastAsia="Arial" w:hAnsi="Arial"/>
                <w:sz w:val="18"/>
                <w:szCs w:val="18"/>
                <w:color w:val="auto"/>
                <w:w w:val="89"/>
              </w:rPr>
              <w:t>Item 10</w:t>
            </w: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Certification:</w:t>
            </w:r>
          </w:p>
        </w:tc>
      </w:tr>
      <w:tr>
        <w:trPr>
          <w:trHeight w:val="418"/>
        </w:trPr>
        <w:tc>
          <w:tcPr>
            <w:tcW w:w="1060" w:type="dxa"/>
            <w:vAlign w:val="bottom"/>
          </w:tcPr>
          <w:p>
            <w:pPr>
              <w:spacing w:after="0"/>
              <w:rPr>
                <w:sz w:val="24"/>
                <w:szCs w:val="24"/>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w w:val="91"/>
              </w:rPr>
              <w:t>By signing below the undersigned certifies that, to the best of its knowledge and belief, the securities referred to above were acquired</w:t>
            </w:r>
          </w:p>
        </w:tc>
      </w:tr>
      <w:tr>
        <w:trPr>
          <w:trHeight w:val="216"/>
        </w:trPr>
        <w:tc>
          <w:tcPr>
            <w:tcW w:w="1060" w:type="dxa"/>
            <w:vAlign w:val="bottom"/>
          </w:tcPr>
          <w:p>
            <w:pPr>
              <w:spacing w:after="0"/>
              <w:rPr>
                <w:sz w:val="18"/>
                <w:szCs w:val="18"/>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w w:val="90"/>
              </w:rPr>
              <w:t>and are held in the ordinary course of business and were not acquired and are not held for the purpose of or with the effect of changing</w:t>
            </w:r>
          </w:p>
        </w:tc>
      </w:tr>
      <w:tr>
        <w:trPr>
          <w:trHeight w:val="216"/>
        </w:trPr>
        <w:tc>
          <w:tcPr>
            <w:tcW w:w="1060" w:type="dxa"/>
            <w:vAlign w:val="bottom"/>
          </w:tcPr>
          <w:p>
            <w:pPr>
              <w:spacing w:after="0"/>
              <w:rPr>
                <w:sz w:val="18"/>
                <w:szCs w:val="18"/>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w w:val="91"/>
              </w:rPr>
              <w:t>or influencing the control of the issuer of the securities and were not acquired and are not held in connection with or as a participant in</w:t>
            </w:r>
          </w:p>
        </w:tc>
      </w:tr>
      <w:tr>
        <w:trPr>
          <w:trHeight w:val="230"/>
        </w:trPr>
        <w:tc>
          <w:tcPr>
            <w:tcW w:w="1060" w:type="dxa"/>
            <w:vAlign w:val="bottom"/>
          </w:tcPr>
          <w:p>
            <w:pPr>
              <w:spacing w:after="0"/>
              <w:rPr>
                <w:sz w:val="20"/>
                <w:szCs w:val="20"/>
                <w:color w:val="auto"/>
              </w:rPr>
            </w:pPr>
          </w:p>
        </w:tc>
        <w:tc>
          <w:tcPr>
            <w:tcW w:w="9820" w:type="dxa"/>
            <w:vAlign w:val="bottom"/>
            <w:gridSpan w:val="2"/>
          </w:tcPr>
          <w:p>
            <w:pPr>
              <w:ind w:left="100"/>
              <w:spacing w:after="0"/>
              <w:rPr>
                <w:sz w:val="20"/>
                <w:szCs w:val="20"/>
                <w:color w:val="auto"/>
              </w:rPr>
            </w:pPr>
            <w:r>
              <w:rPr>
                <w:rFonts w:ascii="Arial" w:cs="Arial" w:eastAsia="Arial" w:hAnsi="Arial"/>
                <w:sz w:val="18"/>
                <w:szCs w:val="18"/>
                <w:color w:val="auto"/>
              </w:rPr>
              <w:t>any transaction having that purpose or effect.</w:t>
            </w:r>
          </w:p>
        </w:tc>
      </w:tr>
    </w:tbl>
    <w:p>
      <w:pPr>
        <w:spacing w:after="0" w:line="222"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the undersigned certifies that the information set forth in this statement is true, complete and correct.</w:t>
      </w: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ARROW</w:t>
      </w:r>
      <w:r>
        <w:rPr>
          <w:rFonts w:ascii="Arial" w:cs="Arial" w:eastAsia="Arial" w:hAnsi="Arial"/>
          <w:sz w:val="18"/>
          <w:szCs w:val="18"/>
          <w:color w:val="auto"/>
        </w:rPr>
        <w:t xml:space="preserve"> H</w:t>
      </w:r>
      <w:r>
        <w:rPr>
          <w:rFonts w:ascii="Arial" w:cs="Arial" w:eastAsia="Arial" w:hAnsi="Arial"/>
          <w:sz w:val="12"/>
          <w:szCs w:val="12"/>
          <w:color w:val="auto"/>
        </w:rPr>
        <w:t>ANLEY</w:t>
      </w:r>
      <w:r>
        <w:rPr>
          <w:rFonts w:ascii="Arial" w:cs="Arial" w:eastAsia="Arial" w:hAnsi="Arial"/>
          <w:sz w:val="18"/>
          <w:szCs w:val="18"/>
          <w:color w:val="auto"/>
        </w:rPr>
        <w:t xml:space="preserve"> G</w:t>
      </w:r>
      <w:r>
        <w:rPr>
          <w:rFonts w:ascii="Arial" w:cs="Arial" w:eastAsia="Arial" w:hAnsi="Arial"/>
          <w:sz w:val="12"/>
          <w:szCs w:val="12"/>
          <w:color w:val="auto"/>
        </w:rPr>
        <w:t>LOBAL</w:t>
      </w:r>
      <w:r>
        <w:rPr>
          <w:rFonts w:ascii="Arial" w:cs="Arial" w:eastAsia="Arial" w:hAnsi="Arial"/>
          <w:sz w:val="18"/>
          <w:szCs w:val="18"/>
          <w:color w:val="auto"/>
        </w:rPr>
        <w:t xml:space="preserve"> I</w:t>
      </w:r>
      <w:r>
        <w:rPr>
          <w:rFonts w:ascii="Arial" w:cs="Arial" w:eastAsia="Arial" w:hAnsi="Arial"/>
          <w:sz w:val="12"/>
          <w:szCs w:val="12"/>
          <w:color w:val="auto"/>
        </w:rPr>
        <w:t>NVESTORS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Hannah Ackels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Hannah Ackels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Compliance Officer</w:t>
      </w: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11, 2022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2022-02-12T01:45:36Z</dcterms:created>
  <dcterms:modified xsi:type="dcterms:W3CDTF">2022-02-12T01:45:36Z</dcterms:modified>
</cp:coreProperties>
</file>