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0"/>
          <w:szCs w:val="20"/>
          <w:color w:val="auto"/>
        </w:rPr>
      </w:pPr>
    </w:p>
    <w:p>
      <w:pPr>
        <w:ind w:left="1160" w:right="3500" w:hanging="722"/>
        <w:spacing w:after="0" w:line="275" w:lineRule="auto"/>
        <w:tabs>
          <w:tab w:leader="none" w:pos="11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160" w:right="3480" w:hanging="724"/>
        <w:spacing w:after="0" w:line="275" w:lineRule="auto"/>
        <w:tabs>
          <w:tab w:leader="none" w:pos="63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file number 1-4298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3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80" w:type="dxa"/>
            <w:vAlign w:val="bottom"/>
            <w:gridSpan w:val="4"/>
          </w:tcPr>
          <w:p>
            <w:pPr>
              <w:jc w:val="center"/>
              <w:ind w:right="4540"/>
              <w:spacing w:after="0"/>
              <w:rPr>
                <w:sz w:val="20"/>
                <w:szCs w:val="20"/>
                <w:color w:val="auto"/>
              </w:rPr>
            </w:pPr>
            <w:r>
              <w:rPr>
                <w:rFonts w:ascii="Arial" w:cs="Arial" w:eastAsia="Arial" w:hAnsi="Arial"/>
                <w:sz w:val="32"/>
                <w:szCs w:val="32"/>
                <w:b w:val="1"/>
                <w:bCs w:val="1"/>
                <w:color w:val="auto"/>
              </w:rPr>
              <w:t>COHU, INC.</w:t>
            </w:r>
          </w:p>
        </w:tc>
      </w:tr>
      <w:tr>
        <w:trPr>
          <w:trHeight w:val="201"/>
        </w:trPr>
        <w:tc>
          <w:tcPr>
            <w:tcW w:w="3680" w:type="dxa"/>
            <w:vAlign w:val="bottom"/>
          </w:tcPr>
          <w:p>
            <w:pPr>
              <w:spacing w:after="0"/>
              <w:rPr>
                <w:sz w:val="17"/>
                <w:szCs w:val="17"/>
                <w:color w:val="auto"/>
              </w:rPr>
            </w:pPr>
          </w:p>
        </w:tc>
        <w:tc>
          <w:tcPr>
            <w:tcW w:w="1400" w:type="dxa"/>
            <w:vAlign w:val="bottom"/>
            <w:tcBorders>
              <w:bottom w:val="single" w:sz="8" w:color="808080"/>
            </w:tcBorders>
            <w:gridSpan w:val="2"/>
          </w:tcPr>
          <w:p>
            <w:pPr>
              <w:spacing w:after="0"/>
              <w:rPr>
                <w:sz w:val="17"/>
                <w:szCs w:val="17"/>
                <w:color w:val="auto"/>
              </w:rPr>
            </w:pPr>
          </w:p>
        </w:tc>
        <w:tc>
          <w:tcPr>
            <w:tcW w:w="1240" w:type="dxa"/>
            <w:vAlign w:val="bottom"/>
            <w:tcBorders>
              <w:bottom w:val="single" w:sz="8" w:color="808080"/>
            </w:tcBorders>
          </w:tcPr>
          <w:p>
            <w:pPr>
              <w:spacing w:after="0"/>
              <w:rPr>
                <w:sz w:val="17"/>
                <w:szCs w:val="17"/>
                <w:color w:val="auto"/>
              </w:rPr>
            </w:pPr>
          </w:p>
        </w:tc>
        <w:tc>
          <w:tcPr>
            <w:tcW w:w="1440" w:type="dxa"/>
            <w:vAlign w:val="bottom"/>
            <w:tcBorders>
              <w:bottom w:val="single" w:sz="8" w:color="808080"/>
            </w:tcBorders>
          </w:tcPr>
          <w:p>
            <w:pPr>
              <w:spacing w:after="0"/>
              <w:rPr>
                <w:sz w:val="17"/>
                <w:szCs w:val="17"/>
                <w:color w:val="auto"/>
              </w:rPr>
            </w:pPr>
          </w:p>
        </w:tc>
        <w:tc>
          <w:tcPr>
            <w:tcW w:w="3660" w:type="dxa"/>
            <w:vAlign w:val="bottom"/>
          </w:tcPr>
          <w:p>
            <w:pPr>
              <w:spacing w:after="0"/>
              <w:rPr>
                <w:sz w:val="17"/>
                <w:szCs w:val="17"/>
                <w:color w:val="auto"/>
              </w:rPr>
            </w:pPr>
          </w:p>
        </w:tc>
      </w:tr>
      <w:tr>
        <w:trPr>
          <w:trHeight w:val="316"/>
        </w:trPr>
        <w:tc>
          <w:tcPr>
            <w:tcW w:w="3680" w:type="dxa"/>
            <w:vAlign w:val="bottom"/>
          </w:tcPr>
          <w:p>
            <w:pPr>
              <w:spacing w:after="0"/>
              <w:rPr>
                <w:sz w:val="24"/>
                <w:szCs w:val="24"/>
                <w:color w:val="auto"/>
              </w:rPr>
            </w:pPr>
          </w:p>
        </w:tc>
        <w:tc>
          <w:tcPr>
            <w:tcW w:w="7740" w:type="dxa"/>
            <w:vAlign w:val="bottom"/>
            <w:gridSpan w:val="5"/>
          </w:tcPr>
          <w:p>
            <w:pPr>
              <w:jc w:val="center"/>
              <w:ind w:right="368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Delaware</w:t>
            </w:r>
          </w:p>
        </w:tc>
        <w:tc>
          <w:tcPr>
            <w:tcW w:w="3220" w:type="dxa"/>
            <w:vAlign w:val="bottom"/>
            <w:gridSpan w:val="3"/>
          </w:tcPr>
          <w:p>
            <w:pPr>
              <w:ind w:left="1780"/>
              <w:spacing w:after="0"/>
              <w:rPr>
                <w:sz w:val="20"/>
                <w:szCs w:val="20"/>
                <w:color w:val="auto"/>
              </w:rPr>
            </w:pPr>
            <w:r>
              <w:rPr>
                <w:rFonts w:ascii="Arial" w:cs="Arial" w:eastAsia="Arial" w:hAnsi="Arial"/>
                <w:sz w:val="18"/>
                <w:szCs w:val="18"/>
                <w:b w:val="1"/>
                <w:bCs w:val="1"/>
                <w:color w:val="auto"/>
              </w:rPr>
              <w:t>95-1934119</w:t>
            </w:r>
          </w:p>
        </w:tc>
        <w:tc>
          <w:tcPr>
            <w:tcW w:w="3660" w:type="dxa"/>
            <w:vAlign w:val="bottom"/>
          </w:tcPr>
          <w:p>
            <w:pPr>
              <w:spacing w:after="0"/>
              <w:rPr>
                <w:sz w:val="24"/>
                <w:szCs w:val="24"/>
                <w:color w:val="auto"/>
              </w:rPr>
            </w:pPr>
          </w:p>
        </w:tc>
      </w:tr>
      <w:tr>
        <w:trPr>
          <w:trHeight w:val="104"/>
        </w:trPr>
        <w:tc>
          <w:tcPr>
            <w:tcW w:w="454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40" w:type="dxa"/>
            <w:vAlign w:val="bottom"/>
          </w:tcPr>
          <w:p>
            <w:pPr>
              <w:spacing w:after="0"/>
              <w:rPr>
                <w:sz w:val="9"/>
                <w:szCs w:val="9"/>
                <w:color w:val="auto"/>
              </w:rPr>
            </w:pPr>
          </w:p>
        </w:tc>
        <w:tc>
          <w:tcPr>
            <w:tcW w:w="5100" w:type="dxa"/>
            <w:vAlign w:val="bottom"/>
            <w:tcBorders>
              <w:bottom w:val="single" w:sz="8" w:color="808080"/>
            </w:tcBorders>
            <w:gridSpan w:val="2"/>
          </w:tcPr>
          <w:p>
            <w:pPr>
              <w:spacing w:after="0"/>
              <w:rPr>
                <w:sz w:val="9"/>
                <w:szCs w:val="9"/>
                <w:color w:val="auto"/>
              </w:rPr>
            </w:pPr>
          </w:p>
        </w:tc>
      </w:tr>
      <w:tr>
        <w:trPr>
          <w:trHeight w:val="322"/>
        </w:trPr>
        <w:tc>
          <w:tcPr>
            <w:tcW w:w="4540" w:type="dxa"/>
            <w:vAlign w:val="bottom"/>
            <w:gridSpan w:val="2"/>
          </w:tcPr>
          <w:p>
            <w:pPr>
              <w:spacing w:after="0"/>
              <w:rPr>
                <w:sz w:val="20"/>
                <w:szCs w:val="20"/>
                <w:color w:val="auto"/>
              </w:rPr>
            </w:pPr>
            <w:r>
              <w:rPr>
                <w:rFonts w:ascii="Arial" w:cs="Arial" w:eastAsia="Arial" w:hAnsi="Arial"/>
                <w:sz w:val="18"/>
                <w:szCs w:val="18"/>
                <w:color w:val="auto"/>
                <w:w w:val="96"/>
              </w:rPr>
              <w:t>(State or other jurisdiction of Incorporation or Organization)</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(I.R.S. Employer Identification No.)</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12367 Crosthwaite Circle, Poway, California</w:t>
            </w:r>
          </w:p>
        </w:tc>
        <w:tc>
          <w:tcPr>
            <w:tcW w:w="3220" w:type="dxa"/>
            <w:vAlign w:val="bottom"/>
            <w:gridSpan w:val="3"/>
          </w:tcPr>
          <w:p>
            <w:pPr>
              <w:ind w:left="1780"/>
              <w:spacing w:after="0"/>
              <w:rPr>
                <w:sz w:val="20"/>
                <w:szCs w:val="20"/>
                <w:color w:val="auto"/>
              </w:rPr>
            </w:pPr>
            <w:r>
              <w:rPr>
                <w:rFonts w:ascii="Arial" w:cs="Arial" w:eastAsia="Arial" w:hAnsi="Arial"/>
                <w:sz w:val="18"/>
                <w:szCs w:val="18"/>
                <w:b w:val="1"/>
                <w:bCs w:val="1"/>
                <w:color w:val="auto"/>
              </w:rPr>
              <w:t>92064-6817</w:t>
            </w:r>
          </w:p>
        </w:tc>
        <w:tc>
          <w:tcPr>
            <w:tcW w:w="3660" w:type="dxa"/>
            <w:vAlign w:val="bottom"/>
          </w:tcPr>
          <w:p>
            <w:pPr>
              <w:spacing w:after="0"/>
              <w:rPr>
                <w:sz w:val="24"/>
                <w:szCs w:val="24"/>
                <w:color w:val="auto"/>
              </w:rPr>
            </w:pPr>
          </w:p>
        </w:tc>
      </w:tr>
      <w:tr>
        <w:trPr>
          <w:trHeight w:val="104"/>
        </w:trPr>
        <w:tc>
          <w:tcPr>
            <w:tcW w:w="454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40" w:type="dxa"/>
            <w:vAlign w:val="bottom"/>
          </w:tcPr>
          <w:p>
            <w:pPr>
              <w:spacing w:after="0"/>
              <w:rPr>
                <w:sz w:val="9"/>
                <w:szCs w:val="9"/>
                <w:color w:val="auto"/>
              </w:rPr>
            </w:pPr>
          </w:p>
        </w:tc>
        <w:tc>
          <w:tcPr>
            <w:tcW w:w="5100" w:type="dxa"/>
            <w:vAlign w:val="bottom"/>
            <w:tcBorders>
              <w:bottom w:val="single" w:sz="8" w:color="808080"/>
            </w:tcBorders>
            <w:gridSpan w:val="2"/>
          </w:tcPr>
          <w:p>
            <w:pPr>
              <w:spacing w:after="0"/>
              <w:rPr>
                <w:sz w:val="9"/>
                <w:szCs w:val="9"/>
                <w:color w:val="auto"/>
              </w:rPr>
            </w:pPr>
          </w:p>
        </w:tc>
      </w:tr>
      <w:tr>
        <w:trPr>
          <w:trHeight w:val="322"/>
        </w:trPr>
        <w:tc>
          <w:tcPr>
            <w:tcW w:w="454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w:t>
            </w: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(Zip Code)</w:t>
            </w:r>
          </w:p>
        </w:tc>
      </w:tr>
      <w:tr>
        <w:trPr>
          <w:trHeight w:val="459"/>
        </w:trPr>
        <w:tc>
          <w:tcPr>
            <w:tcW w:w="4540" w:type="dxa"/>
            <w:vAlign w:val="bottom"/>
            <w:gridSpan w:val="2"/>
          </w:tcPr>
          <w:p>
            <w:pPr>
              <w:spacing w:after="0"/>
              <w:rPr>
                <w:sz w:val="20"/>
                <w:szCs w:val="20"/>
                <w:color w:val="auto"/>
              </w:rPr>
            </w:pPr>
            <w:r>
              <w:rPr>
                <w:rFonts w:ascii="Arial" w:cs="Arial" w:eastAsia="Arial" w:hAnsi="Arial"/>
                <w:sz w:val="18"/>
                <w:szCs w:val="18"/>
                <w:color w:val="auto"/>
              </w:rPr>
              <w:t>Registrant’s telephone number, including area code</w:t>
            </w:r>
          </w:p>
        </w:tc>
        <w:tc>
          <w:tcPr>
            <w:tcW w:w="3220" w:type="dxa"/>
            <w:vAlign w:val="bottom"/>
            <w:gridSpan w:val="3"/>
          </w:tcPr>
          <w:p>
            <w:pPr>
              <w:ind w:left="1780"/>
              <w:spacing w:after="0"/>
              <w:rPr>
                <w:sz w:val="20"/>
                <w:szCs w:val="20"/>
                <w:color w:val="auto"/>
              </w:rPr>
            </w:pPr>
            <w:r>
              <w:rPr>
                <w:rFonts w:ascii="Arial" w:cs="Arial" w:eastAsia="Arial" w:hAnsi="Arial"/>
                <w:sz w:val="18"/>
                <w:szCs w:val="18"/>
                <w:b w:val="1"/>
                <w:bCs w:val="1"/>
                <w:color w:val="auto"/>
              </w:rPr>
              <w:t>858-848-8100</w:t>
            </w:r>
          </w:p>
        </w:tc>
        <w:tc>
          <w:tcPr>
            <w:tcW w:w="3660" w:type="dxa"/>
            <w:vAlign w:val="bottom"/>
          </w:tcPr>
          <w:p>
            <w:pPr>
              <w:spacing w:after="0"/>
              <w:rPr>
                <w:sz w:val="24"/>
                <w:szCs w:val="24"/>
                <w:color w:val="auto"/>
              </w:rPr>
            </w:pPr>
          </w:p>
        </w:tc>
      </w:tr>
      <w:tr>
        <w:trPr>
          <w:trHeight w:val="97"/>
        </w:trPr>
        <w:tc>
          <w:tcPr>
            <w:tcW w:w="3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8"/>
          <w:szCs w:val="18"/>
          <w:color w:val="auto"/>
        </w:rPr>
        <w:t>Yes [X]</w:t>
        <w:tab/>
        <w:t>No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2002 the Registrant had 20,681,125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w:t>
        </w:r>
      </w:hyperlink>
    </w:p>
    <w:p>
      <w:pPr>
        <w:ind w:left="620" w:right="2839"/>
        <w:spacing w:after="0" w:line="267"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CONDENSED CONSOLIDATED BALANCE SHEETS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CONDENSED CONSOLIDATED STATEMENTS OF OPERATIONS</w:t>
        </w:r>
      </w:hyperlink>
      <w:r>
        <w:rPr>
          <w:rFonts w:ascii="Arial" w:cs="Arial" w:eastAsia="Arial" w:hAnsi="Arial"/>
          <w:sz w:val="19"/>
          <w:szCs w:val="19"/>
          <w:u w:val="single" w:color="auto"/>
          <w:color w:val="0000EE"/>
        </w:rPr>
        <w:t xml:space="preserve"> </w:t>
      </w:r>
      <w:hyperlink w:anchor="page8">
        <w:r>
          <w:rPr>
            <w:rFonts w:ascii="Arial" w:cs="Arial" w:eastAsia="Arial" w:hAnsi="Arial"/>
            <w:sz w:val="19"/>
            <w:szCs w:val="19"/>
            <w:u w:val="single" w:color="auto"/>
            <w:color w:val="0000EE"/>
          </w:rPr>
          <w:t>CONDENSED CONSOLIDATED STATEMENTS OF CASH FLOWS</w:t>
        </w:r>
      </w:hyperlink>
    </w:p>
    <w:p>
      <w:pPr>
        <w:ind w:left="320" w:right="959" w:firstLine="311"/>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UNAUDITED CONDENSED CONSOLIDATED FINANCIAL STATEMENTS</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Item 2.</w:t>
        </w:r>
      </w:hyperlink>
    </w:p>
    <w:p>
      <w:pPr>
        <w:spacing w:after="0" w:line="1" w:lineRule="exact"/>
        <w:rPr>
          <w:sz w:val="20"/>
          <w:szCs w:val="20"/>
          <w:color w:val="auto"/>
        </w:rPr>
      </w:pPr>
    </w:p>
    <w:p>
      <w:pPr>
        <w:ind w:right="299"/>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MANAGEMENT’S DISCUSSION AND ANALYSIS OF FINANCIAL CONDITION AND RESULTS OF</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OPERATIONS</w:t>
        </w:r>
      </w:hyperlink>
    </w:p>
    <w:p>
      <w:pPr>
        <w:ind w:left="3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3. Quantitative and qualitative disclosures about market risk.</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Item 6. Exhibits and Reports on Form 8-K.</w:t>
        </w:r>
      </w:hyperlink>
    </w:p>
    <w:p>
      <w:pPr>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2002</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7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6"/>
              </w:rPr>
              <w:t>Page Number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7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9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120"/>
              <w:spacing w:after="0"/>
              <w:rPr>
                <w:sz w:val="20"/>
                <w:szCs w:val="20"/>
                <w:color w:val="auto"/>
              </w:rPr>
            </w:pPr>
            <w:r>
              <w:rPr>
                <w:rFonts w:ascii="Arial" w:cs="Arial" w:eastAsia="Arial" w:hAnsi="Arial"/>
                <w:sz w:val="18"/>
                <w:szCs w:val="18"/>
                <w:color w:val="auto"/>
              </w:rPr>
              <w:t>Condensed Consolidated Balance Sheets (Unaudited) March 31, 2002 and December 31, 2001</w:t>
            </w: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9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Condensed Consolidated Statements of Operations (Unaudited) Three Months Ended March 31, 2002 and 2001</w:t>
            </w:r>
          </w:p>
        </w:tc>
        <w:tc>
          <w:tcPr>
            <w:tcW w:w="80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740" w:type="dxa"/>
            <w:vAlign w:val="bottom"/>
          </w:tcPr>
          <w:p>
            <w:pPr>
              <w:ind w:left="120"/>
              <w:spacing w:after="0"/>
              <w:rPr>
                <w:sz w:val="20"/>
                <w:szCs w:val="20"/>
                <w:color w:val="auto"/>
              </w:rPr>
            </w:pPr>
            <w:r>
              <w:rPr>
                <w:rFonts w:ascii="Arial" w:cs="Arial" w:eastAsia="Arial" w:hAnsi="Arial"/>
                <w:sz w:val="18"/>
                <w:szCs w:val="18"/>
                <w:color w:val="auto"/>
              </w:rPr>
              <w:t>Condensed Consolidated Statements of Cash Flows (Unaudited) Three Months Ended March 31, 2002 and 2001</w:t>
            </w: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9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Notes to Unaudited Condensed Consolidated Financial Statements</w:t>
            </w:r>
          </w:p>
        </w:tc>
        <w:tc>
          <w:tcPr>
            <w:tcW w:w="80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57"/>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60" w:type="dxa"/>
            <w:vAlign w:val="bottom"/>
          </w:tcPr>
          <w:p>
            <w:pPr>
              <w:spacing w:after="0"/>
              <w:rPr>
                <w:sz w:val="21"/>
                <w:szCs w:val="21"/>
                <w:color w:val="auto"/>
              </w:rPr>
            </w:pPr>
          </w:p>
        </w:tc>
        <w:tc>
          <w:tcPr>
            <w:tcW w:w="9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5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60" w:type="dxa"/>
            <w:vAlign w:val="bottom"/>
          </w:tcPr>
          <w:p>
            <w:pPr>
              <w:spacing w:after="0"/>
              <w:rPr>
                <w:sz w:val="21"/>
                <w:szCs w:val="21"/>
                <w:color w:val="auto"/>
              </w:rPr>
            </w:pPr>
          </w:p>
        </w:tc>
        <w:tc>
          <w:tcPr>
            <w:tcW w:w="9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7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Exhibits and Reports on Form 8-K</w:t>
            </w:r>
          </w:p>
        </w:tc>
        <w:tc>
          <w:tcPr>
            <w:tcW w:w="80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57"/>
        </w:trPr>
        <w:tc>
          <w:tcPr>
            <w:tcW w:w="880" w:type="dxa"/>
            <w:vAlign w:val="bottom"/>
            <w:gridSpan w:val="2"/>
          </w:tcPr>
          <w:p>
            <w:pPr>
              <w:spacing w:after="0"/>
              <w:rPr>
                <w:sz w:val="20"/>
                <w:szCs w:val="20"/>
                <w:color w:val="auto"/>
              </w:rPr>
            </w:pPr>
            <w:r>
              <w:rPr>
                <w:rFonts w:ascii="Arial" w:cs="Arial" w:eastAsia="Arial" w:hAnsi="Arial"/>
                <w:sz w:val="18"/>
                <w:szCs w:val="18"/>
                <w:color w:val="auto"/>
                <w:w w:val="99"/>
              </w:rPr>
              <w:t>Signatures</w:t>
            </w:r>
          </w:p>
        </w:tc>
        <w:tc>
          <w:tcPr>
            <w:tcW w:w="9740" w:type="dxa"/>
            <w:vAlign w:val="bottom"/>
          </w:tcPr>
          <w:p>
            <w:pPr>
              <w:spacing w:after="0"/>
              <w:rPr>
                <w:sz w:val="24"/>
                <w:szCs w:val="24"/>
                <w:color w:val="auto"/>
              </w:rPr>
            </w:pP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740" w:type="dxa"/>
            <w:vAlign w:val="bottom"/>
          </w:tcPr>
          <w:p>
            <w:pPr>
              <w:ind w:left="480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7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4"/>
                <w:szCs w:val="14"/>
                <w:color w:val="auto"/>
              </w:rPr>
            </w:pPr>
          </w:p>
        </w:tc>
        <w:tc>
          <w:tcPr>
            <w:tcW w:w="136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65,045</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65,510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28,478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receivable, less allowance for doubtful accounts of $1,499 in 2002 and $1,889 in 2001</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24,804</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25,904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Note receivable</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640"/>
              <w:spacing w:after="0"/>
              <w:rPr>
                <w:sz w:val="20"/>
                <w:szCs w:val="20"/>
                <w:color w:val="auto"/>
              </w:rPr>
            </w:pPr>
            <w:r>
              <w:rPr>
                <w:rFonts w:ascii="Arial" w:cs="Arial" w:eastAsia="Arial" w:hAnsi="Arial"/>
                <w:sz w:val="18"/>
                <w:szCs w:val="18"/>
                <w:color w:val="auto"/>
              </w:rPr>
              <w:t>Raw materials and purchased parts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12,491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13,982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640"/>
              <w:spacing w:after="0"/>
              <w:rPr>
                <w:sz w:val="20"/>
                <w:szCs w:val="20"/>
                <w:color w:val="auto"/>
              </w:rPr>
            </w:pPr>
            <w:r>
              <w:rPr>
                <w:rFonts w:ascii="Arial" w:cs="Arial" w:eastAsia="Arial" w:hAnsi="Arial"/>
                <w:sz w:val="18"/>
                <w:szCs w:val="18"/>
                <w:color w:val="auto"/>
              </w:rPr>
              <w:t>Work in process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10,810</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9,417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640"/>
              <w:spacing w:after="0"/>
              <w:rPr>
                <w:sz w:val="20"/>
                <w:szCs w:val="20"/>
                <w:color w:val="auto"/>
              </w:rPr>
            </w:pPr>
            <w:r>
              <w:rPr>
                <w:rFonts w:ascii="Arial" w:cs="Arial" w:eastAsia="Arial" w:hAnsi="Arial"/>
                <w:sz w:val="18"/>
                <w:szCs w:val="18"/>
                <w:color w:val="auto"/>
              </w:rPr>
              <w:t>Finished goods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8,044</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31,345</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30,404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15,092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7,114</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5,681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20" w:type="dxa"/>
            <w:vAlign w:val="bottom"/>
          </w:tcPr>
          <w:p>
            <w:pPr>
              <w:ind w:left="9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181,253</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176,423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Land and land improvements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Buildings and building improvements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24,629</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24,610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23,641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57,208</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56,988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22,160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21,139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35,048</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35,849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 of accumulated amortization of $121 in 2002 and $79 in 2001</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739</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225,496</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221,559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9,732</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7,845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6,448</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Accrued warranty</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Customer advances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2,915</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Deferred profit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Other accrued liabilities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3,591</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20" w:type="dxa"/>
            <w:vAlign w:val="bottom"/>
          </w:tcPr>
          <w:p>
            <w:pPr>
              <w:ind w:left="9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29,791</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25,619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Accrued retiree medical benefits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1,109</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Preferred stock, $1 par value; 1,000 shares authorized, none issued</w:t>
            </w:r>
          </w:p>
        </w:tc>
        <w:tc>
          <w:tcPr>
            <w:tcW w:w="3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w w:val="94"/>
              </w:rPr>
              <w:t>Common stock, $1 par value; 60,000 shares authorized, 20,681 shares issued and outstanding in 2002 and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20,543 shares in 2001</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20,681</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20,543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Paid-in capital</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13,035</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156,400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158,012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20" w:type="dxa"/>
            <w:vAlign w:val="bottom"/>
          </w:tcPr>
          <w:p>
            <w:pPr>
              <w:ind w:left="96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190,296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190,531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225,496</w:t>
            </w:r>
          </w:p>
        </w:tc>
        <w:tc>
          <w:tcPr>
            <w:tcW w:w="4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221,559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w:t>
      </w:r>
    </w:p>
    <w:p>
      <w:pPr>
        <w:sectPr>
          <w:pgSz w:w="11900" w:h="16838" w:orient="portrait"/>
          <w:cols w:equalWidth="0" w:num="1">
            <w:col w:w="11420"/>
          </w:cols>
          <w:pgMar w:left="240" w:top="419" w:right="239" w:bottom="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31,588</w:t>
            </w:r>
          </w:p>
        </w:tc>
        <w:tc>
          <w:tcPr>
            <w:tcW w:w="3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43,718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Cost and expenses: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19,547</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32,233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7,571</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6,115</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6,514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33,233</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47,177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w w:val="91"/>
              </w:rPr>
              <w:t>(1,645)</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4"/>
              </w:rPr>
              <w:t>(3,459)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EEEEEE"/>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(879)</w:t>
            </w: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4"/>
              </w:rPr>
              <w:t>(2,142)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(300)</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(579)</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4"/>
              </w:rPr>
              <w:t>(1,342)</w:t>
            </w:r>
          </w:p>
        </w:tc>
        <w:tc>
          <w:tcPr>
            <w:tcW w:w="0" w:type="dxa"/>
            <w:vAlign w:val="bottom"/>
          </w:tcPr>
          <w:p>
            <w:pPr>
              <w:spacing w:after="0"/>
              <w:rPr>
                <w:sz w:val="1"/>
                <w:szCs w:val="1"/>
                <w:color w:val="auto"/>
              </w:rPr>
            </w:pPr>
          </w:p>
        </w:tc>
      </w:tr>
      <w:tr>
        <w:trPr>
          <w:trHeight w:val="105"/>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7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860" w:type="dxa"/>
            <w:vAlign w:val="bottom"/>
            <w:gridSpan w:val="2"/>
          </w:tcPr>
          <w:p>
            <w:pPr>
              <w:spacing w:after="0"/>
              <w:rPr>
                <w:sz w:val="9"/>
                <w:szCs w:val="9"/>
                <w:color w:val="auto"/>
              </w:rPr>
            </w:pPr>
          </w:p>
        </w:tc>
        <w:tc>
          <w:tcPr>
            <w:tcW w:w="8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700" w:type="dxa"/>
            <w:vAlign w:val="bottom"/>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92"/>
              <w:spacing w:after="0"/>
              <w:rPr>
                <w:sz w:val="20"/>
                <w:szCs w:val="20"/>
                <w:color w:val="auto"/>
              </w:rPr>
            </w:pPr>
            <w:r>
              <w:rPr>
                <w:rFonts w:ascii="Arial" w:cs="Arial" w:eastAsia="Arial" w:hAnsi="Arial"/>
                <w:sz w:val="18"/>
                <w:szCs w:val="18"/>
                <w:color w:val="auto"/>
              </w:rPr>
              <w:t>(.03)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in computing loss per share:</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20,620</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20,341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20,620</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20,341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7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7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72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Adjustments to reconcile net loss to net cash provided from operating activities: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0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Decrease in accrued retiree medical benefits</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020"/>
              <w:spacing w:after="0"/>
              <w:rPr>
                <w:sz w:val="20"/>
                <w:szCs w:val="20"/>
                <w:color w:val="auto"/>
              </w:rPr>
            </w:pPr>
            <w:r>
              <w:rPr>
                <w:rFonts w:ascii="Arial" w:cs="Arial" w:eastAsia="Arial" w:hAnsi="Arial"/>
                <w:sz w:val="18"/>
                <w:szCs w:val="18"/>
                <w:color w:val="auto"/>
              </w:rPr>
              <w:t>Changes in current assets and liabilities: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15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7,829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5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(941)</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156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4"/>
              </w:rPr>
              <w:t>(1,393)</w:t>
            </w: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5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1560"/>
              <w:spacing w:after="0"/>
              <w:rPr>
                <w:sz w:val="20"/>
                <w:szCs w:val="20"/>
                <w:color w:val="auto"/>
              </w:rPr>
            </w:pPr>
            <w:r>
              <w:rPr>
                <w:rFonts w:ascii="Arial" w:cs="Arial" w:eastAsia="Arial" w:hAnsi="Arial"/>
                <w:sz w:val="18"/>
                <w:szCs w:val="18"/>
                <w:color w:val="auto"/>
              </w:rPr>
              <w:t>Customer advances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560"/>
              <w:spacing w:after="0"/>
              <w:rPr>
                <w:sz w:val="20"/>
                <w:szCs w:val="20"/>
                <w:color w:val="auto"/>
              </w:rPr>
            </w:pPr>
            <w:r>
              <w:rPr>
                <w:rFonts w:ascii="Arial" w:cs="Arial" w:eastAsia="Arial" w:hAnsi="Arial"/>
                <w:sz w:val="18"/>
                <w:szCs w:val="18"/>
                <w:color w:val="auto"/>
              </w:rPr>
              <w:t>Deferred profit</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1560"/>
              <w:spacing w:after="0"/>
              <w:rPr>
                <w:sz w:val="20"/>
                <w:szCs w:val="20"/>
                <w:color w:val="auto"/>
              </w:rPr>
            </w:pPr>
            <w:r>
              <w:rPr>
                <w:rFonts w:ascii="Arial" w:cs="Arial" w:eastAsia="Arial" w:hAnsi="Arial"/>
                <w:sz w:val="18"/>
                <w:szCs w:val="18"/>
                <w:color w:val="auto"/>
              </w:rPr>
              <w:t>Accrued compensation, warranty and other liabilities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(3,548)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00" w:type="dxa"/>
            <w:vAlign w:val="bottom"/>
          </w:tcPr>
          <w:p>
            <w:pPr>
              <w:ind w:left="1560"/>
              <w:spacing w:after="0"/>
              <w:rPr>
                <w:sz w:val="20"/>
                <w:szCs w:val="20"/>
                <w:color w:val="auto"/>
              </w:rPr>
            </w:pPr>
            <w:r>
              <w:rPr>
                <w:rFonts w:ascii="Arial" w:cs="Arial" w:eastAsia="Arial" w:hAnsi="Arial"/>
                <w:sz w:val="18"/>
                <w:szCs w:val="18"/>
                <w:color w:val="auto"/>
              </w:rPr>
              <w:t>Net cash provided from operating activities</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3,441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3,763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(7,140)</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Sales and maturities of short-term investments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3,059</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3,501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Purchases of property, plant, equipment</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00" w:type="dxa"/>
            <w:vAlign w:val="bottom"/>
          </w:tcPr>
          <w:p>
            <w:pPr>
              <w:ind w:left="156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(4,270)</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(2,337)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500"/>
              <w:spacing w:after="0"/>
              <w:rPr>
                <w:sz w:val="20"/>
                <w:szCs w:val="20"/>
                <w:color w:val="auto"/>
              </w:rPr>
            </w:pPr>
            <w:r>
              <w:rPr>
                <w:rFonts w:ascii="Arial" w:cs="Arial" w:eastAsia="Arial" w:hAnsi="Arial"/>
                <w:sz w:val="18"/>
                <w:szCs w:val="18"/>
                <w:color w:val="auto"/>
              </w:rPr>
              <w:t>Issuance of stock, net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Cash dividends</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4"/>
              </w:rPr>
              <w:t>(1,033)</w:t>
            </w: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1"/>
              </w:rPr>
              <w:t>(1,017)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00" w:type="dxa"/>
            <w:vAlign w:val="bottom"/>
          </w:tcPr>
          <w:p>
            <w:pPr>
              <w:ind w:left="1560"/>
              <w:spacing w:after="0"/>
              <w:rPr>
                <w:sz w:val="20"/>
                <w:szCs w:val="20"/>
                <w:color w:val="auto"/>
              </w:rPr>
            </w:pPr>
            <w:r>
              <w:rPr>
                <w:rFonts w:ascii="Arial" w:cs="Arial" w:eastAsia="Arial" w:hAnsi="Arial"/>
                <w:sz w:val="18"/>
                <w:szCs w:val="18"/>
                <w:color w:val="auto"/>
              </w:rPr>
              <w:t>Net cash provided from (used for) financing activities</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65,510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79,119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65,045</w:t>
            </w:r>
          </w:p>
        </w:tc>
        <w:tc>
          <w:tcPr>
            <w:tcW w:w="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79,958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84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Cash paid (received) during the period for: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1020"/>
              <w:spacing w:after="0"/>
              <w:rPr>
                <w:sz w:val="20"/>
                <w:szCs w:val="20"/>
                <w:color w:val="auto"/>
              </w:rPr>
            </w:pPr>
            <w:r>
              <w:rPr>
                <w:rFonts w:ascii="Arial" w:cs="Arial" w:eastAsia="Arial" w:hAnsi="Arial"/>
                <w:sz w:val="18"/>
                <w:szCs w:val="18"/>
                <w:color w:val="auto"/>
              </w:rPr>
              <w:t>Income taxes, net of refunds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2002</w:t>
      </w:r>
    </w:p>
    <w:p>
      <w:pPr>
        <w:spacing w:after="0" w:line="213" w:lineRule="exact"/>
        <w:rPr>
          <w:sz w:val="20"/>
          <w:szCs w:val="20"/>
          <w:color w:val="auto"/>
        </w:rPr>
      </w:pPr>
    </w:p>
    <w:p>
      <w:pPr>
        <w:ind w:left="240" w:hanging="229"/>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rFonts w:ascii="Arial" w:cs="Arial" w:eastAsia="Arial" w:hAnsi="Arial"/>
          <w:sz w:val="18"/>
          <w:szCs w:val="18"/>
          <w:b w:val="1"/>
          <w:bCs w:val="1"/>
          <w:color w:val="auto"/>
        </w:rPr>
      </w:pPr>
    </w:p>
    <w:p>
      <w:pPr>
        <w:ind w:left="24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months ended March 31, 2002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2001 and management’s discussion and analysis of financial condition and results of operations included elsewhere herein.</w:t>
      </w:r>
    </w:p>
    <w:p>
      <w:pPr>
        <w:spacing w:after="0" w:line="163" w:lineRule="exact"/>
        <w:rPr>
          <w:rFonts w:ascii="Arial" w:cs="Arial" w:eastAsia="Arial" w:hAnsi="Arial"/>
          <w:sz w:val="18"/>
          <w:szCs w:val="18"/>
          <w:b w:val="1"/>
          <w:bCs w:val="1"/>
          <w:color w:val="auto"/>
        </w:rPr>
      </w:pPr>
    </w:p>
    <w:p>
      <w:pPr>
        <w:ind w:left="240" w:hanging="229"/>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3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basic and diluted loss per share consists of the following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0" w:type="dxa"/>
            <w:vAlign w:val="bottom"/>
            <w:gridSpan w:val="4"/>
          </w:tcPr>
          <w:p>
            <w:pPr>
              <w:jc w:val="right"/>
              <w:ind w:right="797"/>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March 31,</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color w:val="auto"/>
              </w:rPr>
              <w:t>2002</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437"/>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w w:val="92"/>
              </w:rPr>
              <w:t>Shares used in basic and diluted loss per share computations — weighted average common</w:t>
            </w: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shares outstanding</w:t>
            </w: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jc w:val="right"/>
              <w:ind w:right="17"/>
              <w:spacing w:after="0"/>
              <w:rPr>
                <w:sz w:val="20"/>
                <w:szCs w:val="20"/>
                <w:color w:val="auto"/>
              </w:rPr>
            </w:pPr>
            <w:r>
              <w:rPr>
                <w:rFonts w:ascii="Arial" w:cs="Arial" w:eastAsia="Arial" w:hAnsi="Arial"/>
                <w:sz w:val="18"/>
                <w:szCs w:val="18"/>
                <w:color w:val="auto"/>
                <w:w w:val="83"/>
              </w:rPr>
              <w:t>20,620</w:t>
            </w:r>
          </w:p>
        </w:tc>
        <w:tc>
          <w:tcPr>
            <w:tcW w:w="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920" w:type="dxa"/>
            <w:vAlign w:val="bottom"/>
            <w:shd w:val="clear" w:color="auto" w:fill="EEEEEE"/>
          </w:tcPr>
          <w:p>
            <w:pPr>
              <w:jc w:val="right"/>
              <w:ind w:right="357"/>
              <w:spacing w:after="0"/>
              <w:rPr>
                <w:sz w:val="20"/>
                <w:szCs w:val="20"/>
                <w:color w:val="auto"/>
              </w:rPr>
            </w:pPr>
            <w:r>
              <w:rPr>
                <w:rFonts w:ascii="Arial" w:cs="Arial" w:eastAsia="Arial" w:hAnsi="Arial"/>
                <w:sz w:val="18"/>
                <w:szCs w:val="18"/>
                <w:color w:val="auto"/>
                <w:w w:val="83"/>
              </w:rPr>
              <w:t>20,341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7"/>
              <w:spacing w:after="0"/>
              <w:rPr>
                <w:sz w:val="20"/>
                <w:szCs w:val="20"/>
                <w:color w:val="auto"/>
              </w:rPr>
            </w:pPr>
            <w:r>
              <w:rPr>
                <w:rFonts w:ascii="Arial" w:cs="Arial" w:eastAsia="Arial" w:hAnsi="Arial"/>
                <w:sz w:val="18"/>
                <w:szCs w:val="18"/>
                <w:color w:val="auto"/>
                <w:w w:val="91"/>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loss per share</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97"/>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color w:val="auto"/>
        </w:rPr>
        <w:t>The Company incurred losses for the three months ended March 31, 2002 and 2001, and as a result the effect of dilutive securities has been excluded from the loss per share computation as its impact would be antidilutive. The dilutive securities (in thousands) totaled 942 and 541 equivalent shares for the three months ended March 31, 2002 and 2001, respectively.</w:t>
      </w:r>
    </w:p>
    <w:p>
      <w:pPr>
        <w:spacing w:after="0" w:line="188" w:lineRule="exact"/>
        <w:rPr>
          <w:sz w:val="20"/>
          <w:szCs w:val="20"/>
          <w:color w:val="auto"/>
        </w:rPr>
      </w:pPr>
    </w:p>
    <w:p>
      <w:pPr>
        <w:ind w:left="240" w:hanging="229"/>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Note Receivable</w:t>
      </w:r>
    </w:p>
    <w:p>
      <w:pPr>
        <w:spacing w:after="0" w:line="231" w:lineRule="exact"/>
        <w:rPr>
          <w:rFonts w:ascii="Arial" w:cs="Arial" w:eastAsia="Arial" w:hAnsi="Arial"/>
          <w:sz w:val="18"/>
          <w:szCs w:val="18"/>
          <w:b w:val="1"/>
          <w:bCs w:val="1"/>
          <w:color w:val="auto"/>
        </w:rPr>
      </w:pPr>
    </w:p>
    <w:p>
      <w:pPr>
        <w:ind w:left="24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April 2002 the Company extended the term of the $9.4 million promissory note with TC Kearny Villa, L.P. (“TC”). The 8% non-recourse note is secured by a deed of trust on land and buildings in San Diego, California sold by Cohu to TC in April 2001. The note amendment extended the due date from April 2002 to March 31, 2003 and provided for a principal payment of $191,000. Interest at 8% will continue to be paid monthly with the remaining principal balance of $9.2 million due on March 31, 2003.</w:t>
      </w:r>
    </w:p>
    <w:p>
      <w:pPr>
        <w:spacing w:after="0" w:line="191" w:lineRule="exact"/>
        <w:rPr>
          <w:rFonts w:ascii="Arial" w:cs="Arial" w:eastAsia="Arial" w:hAnsi="Arial"/>
          <w:sz w:val="18"/>
          <w:szCs w:val="18"/>
          <w:b w:val="1"/>
          <w:bCs w:val="1"/>
          <w:color w:val="auto"/>
        </w:rPr>
      </w:pPr>
    </w:p>
    <w:p>
      <w:pPr>
        <w:ind w:left="240" w:hanging="229"/>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w:t>
      </w:r>
    </w:p>
    <w:p>
      <w:pPr>
        <w:spacing w:after="0" w:line="231" w:lineRule="exact"/>
        <w:rPr>
          <w:rFonts w:ascii="Arial" w:cs="Arial" w:eastAsia="Arial" w:hAnsi="Arial"/>
          <w:sz w:val="18"/>
          <w:szCs w:val="18"/>
          <w:b w:val="1"/>
          <w:bCs w:val="1"/>
          <w:color w:val="auto"/>
        </w:rPr>
      </w:pPr>
    </w:p>
    <w:p>
      <w:pPr>
        <w:ind w:left="24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Cohu had deferred tax assets totaling approximately $15.1 million at March 31, 2002. No valuation allowance has been provided on such assets as the Company believes it is more likely than not that all such assets will be realized. The Company reached this conclusion after considering the availability of taxable income in prior carryback years, tax planning strategies and the likelihood of future taxable income exclusive of reversing temporary differences and carryforwards. Differences between forecasted and actual future operating results could adversely impact the Company’s ability to realize these deferred tax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2002</w:t>
      </w:r>
    </w:p>
    <w:p>
      <w:pPr>
        <w:spacing w:after="0" w:line="219" w:lineRule="exact"/>
        <w:rPr>
          <w:sz w:val="20"/>
          <w:szCs w:val="20"/>
          <w:color w:val="auto"/>
        </w:rPr>
      </w:pPr>
    </w:p>
    <w:p>
      <w:pPr>
        <w:ind w:left="240" w:right="140"/>
        <w:spacing w:after="0" w:line="256" w:lineRule="auto"/>
        <w:rPr>
          <w:sz w:val="20"/>
          <w:szCs w:val="20"/>
          <w:color w:val="auto"/>
        </w:rPr>
      </w:pPr>
      <w:r>
        <w:rPr>
          <w:rFonts w:ascii="Arial" w:cs="Arial" w:eastAsia="Arial" w:hAnsi="Arial"/>
          <w:sz w:val="18"/>
          <w:szCs w:val="18"/>
          <w:color w:val="auto"/>
        </w:rPr>
        <w:t>If Cohu continues to incur losses for an extended period of time, Cohu could be required to establish a valuation allowance against all or a significant portion of its net deferred tax assets. To the extent Cohu establishes a valuation allowance, a charge will be recorded within the provision for income taxes line in the statement of operations. The Company intends to evaluate the realizability of deferred tax assets quarterly in 2002 by assessing the need for a valuation allowance.</w:t>
      </w:r>
    </w:p>
    <w:p>
      <w:pPr>
        <w:spacing w:after="0" w:line="191" w:lineRule="exact"/>
        <w:rPr>
          <w:sz w:val="20"/>
          <w:szCs w:val="20"/>
          <w:color w:val="auto"/>
        </w:rPr>
      </w:pPr>
    </w:p>
    <w:p>
      <w:pPr>
        <w:ind w:left="240" w:hanging="229"/>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31" w:lineRule="exact"/>
        <w:rPr>
          <w:rFonts w:ascii="Arial" w:cs="Arial" w:eastAsia="Arial" w:hAnsi="Arial"/>
          <w:sz w:val="18"/>
          <w:szCs w:val="18"/>
          <w:b w:val="1"/>
          <w:bCs w:val="1"/>
          <w:color w:val="auto"/>
        </w:rPr>
      </w:pPr>
    </w:p>
    <w:p>
      <w:pPr>
        <w:ind w:left="24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Cohu purchased the assets of the Automated Systems business (“AS”) from Schlumberger Technologies, Inc. in July 2001. The results of AS’s operations, that include approximately $2.4 million of net sales in the first quarter of 2002, have been included in Cohu’s financial statements since July 2001. The purchase price was allocated in accordance with Financial Accounting Standards Board (“FASB”) Statement No. 141 with $8.3 million allocated to nonamortizable goodwill and $860,000 allocated to amortizable other intangible assets with an estimated useful life of five years. The goodwill was assigned to Cohu’s semiconductor equipment segment. Cohu evaluated the goodwill and other intangible assets resulting from the AS acquisition for impairment at December 31, 2001 as required by FASB Statement No. 121. The Company compared the carrying value of such assets to estimated undiscounted cash flows expected to result from their use and concluded that there was no impairment loss at December 31, 2001.</w:t>
      </w:r>
    </w:p>
    <w:p>
      <w:pPr>
        <w:spacing w:after="0" w:line="172" w:lineRule="exact"/>
        <w:rPr>
          <w:rFonts w:ascii="Arial" w:cs="Arial" w:eastAsia="Arial" w:hAnsi="Arial"/>
          <w:sz w:val="18"/>
          <w:szCs w:val="18"/>
          <w:b w:val="1"/>
          <w:bCs w:val="1"/>
          <w:color w:val="auto"/>
        </w:rPr>
      </w:pPr>
    </w:p>
    <w:p>
      <w:pPr>
        <w:ind w:left="24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In October 2001, the FASB issued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supersedes Statement No. 121. Statement No. 144 addresses financial accounting and reporting for the impairment of long-lived assets and for long-lived assets to be disposed of. However, Statement No. 144 retains the fundamental provisions of Statement No. 121 for recognition and measurement of the impairment of long-lived assets to be held and used and measurement of long-lived assets to be disposed of by sale. Cohu adopted FASB No. 144 effective January 1, 2002.</w:t>
      </w:r>
    </w:p>
    <w:p>
      <w:pPr>
        <w:spacing w:after="0" w:line="166" w:lineRule="exact"/>
        <w:rPr>
          <w:rFonts w:ascii="Arial" w:cs="Arial" w:eastAsia="Arial" w:hAnsi="Arial"/>
          <w:sz w:val="18"/>
          <w:szCs w:val="18"/>
          <w:b w:val="1"/>
          <w:bCs w:val="1"/>
          <w:color w:val="auto"/>
        </w:rPr>
      </w:pPr>
    </w:p>
    <w:p>
      <w:pPr>
        <w:ind w:left="2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was issued in June 2001. Statement No. 142 uses a different goodwill impairment assessment methodology than Statement No. 121. The Company was required to fully adopt Statement No. 142 effective January 1, 2002. The Company is required to complete a transitional goodwill impairment test as of January 1, 2002 by June 30, 2002. The Company does not expect to record an impairment loss as a result of the transitional goodwill impairment test. FASB No. 142 also requires that goodwill be tested for impairment on an annual basis and more frequently in certain circumstances. The Company evaluated the goodwill and other intangible assets for impairment at March 31, 2002 under FASB Statements No. 142 and 144, respectively, and concluded that there was no impairment loss.</w:t>
      </w:r>
    </w:p>
    <w:p>
      <w:pPr>
        <w:spacing w:after="0" w:line="168" w:lineRule="exact"/>
        <w:rPr>
          <w:rFonts w:ascii="Arial" w:cs="Arial" w:eastAsia="Arial" w:hAnsi="Arial"/>
          <w:sz w:val="18"/>
          <w:szCs w:val="18"/>
          <w:b w:val="1"/>
          <w:bCs w:val="1"/>
          <w:color w:val="auto"/>
        </w:rPr>
      </w:pPr>
    </w:p>
    <w:p>
      <w:pPr>
        <w:ind w:left="240" w:hanging="229"/>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3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Components of comprehensive income (loss), on an after-tax basis where applicable, were as follows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color w:val="auto"/>
              </w:rPr>
              <w:t>March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Change in unrealized gain on investments</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134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color w:val="auto"/>
        </w:rPr>
        <w:t>Accumulated other comprehensive income totaled $180,000 and $200,000 at March 31, 2002 and December 31, 2001, respectively, and was attributed to after-tax unrealized gains on investments.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2002</w:t>
      </w:r>
    </w:p>
    <w:p>
      <w:pPr>
        <w:spacing w:after="0" w:line="213" w:lineRule="exact"/>
        <w:rPr>
          <w:sz w:val="20"/>
          <w:szCs w:val="20"/>
          <w:color w:val="auto"/>
        </w:rPr>
      </w:pPr>
    </w:p>
    <w:p>
      <w:pPr>
        <w:ind w:left="240" w:hanging="229"/>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31" w:lineRule="exact"/>
        <w:rPr>
          <w:rFonts w:ascii="Arial" w:cs="Arial" w:eastAsia="Arial" w:hAnsi="Arial"/>
          <w:sz w:val="18"/>
          <w:szCs w:val="18"/>
          <w:b w:val="1"/>
          <w:bCs w:val="1"/>
          <w:color w:val="auto"/>
        </w:rPr>
      </w:pPr>
    </w:p>
    <w:p>
      <w:pPr>
        <w:ind w:left="240" w:righ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information is presented pursuant to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Intersegment sales were not significant in any period.</w:t>
      </w:r>
    </w:p>
    <w:p>
      <w:pPr>
        <w:spacing w:after="0" w:line="200" w:lineRule="exact"/>
        <w:rPr>
          <w:sz w:val="20"/>
          <w:szCs w:val="20"/>
          <w:color w:val="auto"/>
        </w:rPr>
      </w:pP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6"/>
          </w:tcPr>
          <w:p>
            <w:pPr>
              <w:jc w:val="center"/>
              <w:ind w:left="92"/>
              <w:spacing w:after="0"/>
              <w:rPr>
                <w:sz w:val="20"/>
                <w:szCs w:val="20"/>
                <w:color w:val="auto"/>
              </w:rPr>
            </w:pPr>
            <w:r>
              <w:rPr>
                <w:rFonts w:ascii="Arial" w:cs="Arial" w:eastAsia="Arial" w:hAnsi="Arial"/>
                <w:sz w:val="14"/>
                <w:szCs w:val="14"/>
                <w:color w:val="auto"/>
                <w:w w:val="85"/>
              </w:rPr>
              <w:t>Three months ended</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5"/>
          </w:tcPr>
          <w:p>
            <w:pPr>
              <w:jc w:val="center"/>
              <w:ind w:right="160"/>
              <w:spacing w:after="0"/>
              <w:rPr>
                <w:sz w:val="20"/>
                <w:szCs w:val="20"/>
                <w:color w:val="auto"/>
              </w:rPr>
            </w:pPr>
            <w:r>
              <w:rPr>
                <w:rFonts w:ascii="Arial" w:cs="Arial" w:eastAsia="Arial" w:hAnsi="Arial"/>
                <w:sz w:val="14"/>
                <w:szCs w:val="14"/>
                <w:color w:val="auto"/>
                <w:w w:val="86"/>
              </w:rPr>
              <w:t>March 31,</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960" w:type="dxa"/>
            <w:vAlign w:val="bottom"/>
            <w:gridSpan w:val="4"/>
          </w:tcPr>
          <w:p>
            <w:pPr>
              <w:jc w:val="right"/>
              <w:ind w:right="22"/>
              <w:spacing w:after="0"/>
              <w:rPr>
                <w:sz w:val="20"/>
                <w:szCs w:val="20"/>
                <w:color w:val="auto"/>
              </w:rPr>
            </w:pPr>
            <w:r>
              <w:rPr>
                <w:rFonts w:ascii="Arial" w:cs="Arial" w:eastAsia="Arial" w:hAnsi="Arial"/>
                <w:sz w:val="14"/>
                <w:szCs w:val="14"/>
                <w:color w:val="auto"/>
              </w:rPr>
              <w:t>2002</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2001</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5"/>
          </w:tcPr>
          <w:p>
            <w:pPr>
              <w:jc w:val="center"/>
              <w:ind w:right="160"/>
              <w:spacing w:after="0"/>
              <w:rPr>
                <w:sz w:val="20"/>
                <w:szCs w:val="20"/>
                <w:color w:val="auto"/>
              </w:rPr>
            </w:pPr>
            <w:r>
              <w:rPr>
                <w:rFonts w:ascii="Arial" w:cs="Arial" w:eastAsia="Arial" w:hAnsi="Arial"/>
                <w:sz w:val="14"/>
                <w:szCs w:val="14"/>
                <w:i w:val="1"/>
                <w:iCs w:val="1"/>
                <w:color w:val="auto"/>
                <w:w w:val="87"/>
              </w:rPr>
              <w:t>(in thousands)</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$24,608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$35,224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Television cameras</w:t>
            </w: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3,940</w:t>
            </w: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5,869</w:t>
            </w: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Net sales for reportable segments</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28,548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41,093</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All other</w:t>
            </w: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3,040</w:t>
            </w: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2,625</w:t>
            </w: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20" w:type="dxa"/>
            <w:vAlign w:val="bottom"/>
            <w:gridSpan w:val="2"/>
          </w:tcPr>
          <w:p>
            <w:pPr>
              <w:spacing w:after="0"/>
              <w:rPr>
                <w:sz w:val="20"/>
                <w:szCs w:val="20"/>
                <w:color w:val="auto"/>
              </w:rPr>
            </w:pPr>
            <w:r>
              <w:rPr>
                <w:rFonts w:ascii="Arial" w:cs="Arial" w:eastAsia="Arial" w:hAnsi="Arial"/>
                <w:sz w:val="18"/>
                <w:szCs w:val="18"/>
                <w:color w:val="auto"/>
              </w:rPr>
              <w:t>Total consolidated net sales</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$31,588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$43,718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Profit (loss):</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1280" w:type="dxa"/>
            <w:vAlign w:val="bottom"/>
            <w:gridSpan w:val="5"/>
          </w:tcPr>
          <w:p>
            <w:pPr>
              <w:jc w:val="right"/>
              <w:ind w:right="232"/>
              <w:spacing w:after="0"/>
              <w:rPr>
                <w:sz w:val="20"/>
                <w:szCs w:val="20"/>
                <w:color w:val="auto"/>
              </w:rPr>
            </w:pPr>
            <w:r>
              <w:rPr>
                <w:rFonts w:ascii="Arial" w:cs="Arial" w:eastAsia="Arial" w:hAnsi="Arial"/>
                <w:sz w:val="18"/>
                <w:szCs w:val="18"/>
                <w:color w:val="auto"/>
              </w:rPr>
              <w:t>$ (1,093)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85"/>
              </w:rPr>
              <w:t>$ (3,346)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Television cameras</w:t>
            </w: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Loss for reportable segments</w:t>
            </w:r>
          </w:p>
        </w:tc>
        <w:tc>
          <w:tcPr>
            <w:tcW w:w="1280" w:type="dxa"/>
            <w:vAlign w:val="bottom"/>
            <w:gridSpan w:val="5"/>
          </w:tcPr>
          <w:p>
            <w:pPr>
              <w:jc w:val="right"/>
              <w:ind w:right="232"/>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(2,935)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All other</w:t>
            </w: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20" w:type="dxa"/>
            <w:vAlign w:val="bottom"/>
            <w:gridSpan w:val="2"/>
          </w:tcPr>
          <w:p>
            <w:pPr>
              <w:spacing w:after="0"/>
              <w:rPr>
                <w:sz w:val="20"/>
                <w:szCs w:val="20"/>
                <w:color w:val="auto"/>
              </w:rPr>
            </w:pPr>
            <w:r>
              <w:rPr>
                <w:rFonts w:ascii="Arial" w:cs="Arial" w:eastAsia="Arial" w:hAnsi="Arial"/>
                <w:sz w:val="18"/>
                <w:szCs w:val="18"/>
                <w:color w:val="auto"/>
              </w:rPr>
              <w:t>Total consolidated loss</w:t>
            </w:r>
          </w:p>
        </w:tc>
        <w:tc>
          <w:tcPr>
            <w:tcW w:w="1280" w:type="dxa"/>
            <w:vAlign w:val="bottom"/>
            <w:gridSpan w:val="5"/>
          </w:tcPr>
          <w:p>
            <w:pPr>
              <w:jc w:val="right"/>
              <w:ind w:right="232"/>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(3,009)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Corporate expenses</w:t>
            </w:r>
          </w:p>
        </w:tc>
        <w:tc>
          <w:tcPr>
            <w:tcW w:w="1280" w:type="dxa"/>
            <w:vAlign w:val="bottom"/>
            <w:gridSpan w:val="5"/>
          </w:tcPr>
          <w:p>
            <w:pPr>
              <w:jc w:val="right"/>
              <w:ind w:right="232"/>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Interest income</w:t>
            </w:r>
          </w:p>
        </w:tc>
        <w:tc>
          <w:tcPr>
            <w:tcW w:w="9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Goodwill amortization/write-down</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7"/>
          </w:tcPr>
          <w:p>
            <w:pPr>
              <w:jc w:val="right"/>
              <w:ind w:right="13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Loss before income taxes</w:t>
            </w:r>
          </w:p>
        </w:tc>
        <w:tc>
          <w:tcPr>
            <w:tcW w:w="1280" w:type="dxa"/>
            <w:vAlign w:val="bottom"/>
            <w:tcBorders>
              <w:right w:val="single" w:sz="8" w:color="EEEEEE"/>
            </w:tcBorders>
            <w:gridSpan w:val="5"/>
            <w:shd w:val="clear" w:color="auto" w:fill="EEEEEE"/>
          </w:tcPr>
          <w:p>
            <w:pPr>
              <w:jc w:val="right"/>
              <w:ind w:right="232"/>
              <w:spacing w:after="0"/>
              <w:rPr>
                <w:sz w:val="20"/>
                <w:szCs w:val="20"/>
                <w:color w:val="auto"/>
              </w:rPr>
            </w:pPr>
            <w:r>
              <w:rPr>
                <w:rFonts w:ascii="Arial" w:cs="Arial" w:eastAsia="Arial" w:hAnsi="Arial"/>
                <w:sz w:val="18"/>
                <w:szCs w:val="18"/>
                <w:color w:val="auto"/>
              </w:rPr>
              <w:t>$  (879)</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w w:val="85"/>
              </w:rPr>
              <w:t>$ (2,142)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4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4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7"/>
          </w:tcPr>
          <w:p>
            <w:pPr>
              <w:ind w:left="20"/>
              <w:spacing w:after="0"/>
              <w:rPr>
                <w:sz w:val="20"/>
                <w:szCs w:val="20"/>
                <w:color w:val="auto"/>
              </w:rPr>
            </w:pPr>
            <w:r>
              <w:rPr>
                <w:rFonts w:ascii="Arial" w:cs="Arial" w:eastAsia="Arial" w:hAnsi="Arial"/>
                <w:sz w:val="14"/>
                <w:szCs w:val="14"/>
                <w:color w:val="auto"/>
              </w:rPr>
              <w:t>March 31,</w:t>
            </w:r>
          </w:p>
        </w:tc>
        <w:tc>
          <w:tcPr>
            <w:tcW w:w="1120" w:type="dxa"/>
            <w:vAlign w:val="bottom"/>
            <w:gridSpan w:val="4"/>
          </w:tcPr>
          <w:p>
            <w:pPr>
              <w:ind w:left="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80" w:type="dxa"/>
            <w:vAlign w:val="bottom"/>
            <w:gridSpan w:val="5"/>
          </w:tcPr>
          <w:p>
            <w:pPr>
              <w:jc w:val="right"/>
              <w:ind w:right="112"/>
              <w:spacing w:after="0"/>
              <w:rPr>
                <w:sz w:val="20"/>
                <w:szCs w:val="20"/>
                <w:color w:val="auto"/>
              </w:rPr>
            </w:pPr>
            <w:r>
              <w:rPr>
                <w:rFonts w:ascii="Arial" w:cs="Arial" w:eastAsia="Arial" w:hAnsi="Arial"/>
                <w:sz w:val="14"/>
                <w:szCs w:val="14"/>
                <w:color w:val="auto"/>
              </w:rPr>
              <w:t>2002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2001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gridSpan w:val="2"/>
          </w:tcPr>
          <w:p>
            <w:pPr>
              <w:spacing w:after="0"/>
              <w:rPr>
                <w:sz w:val="8"/>
                <w:szCs w:val="8"/>
                <w:color w:val="auto"/>
              </w:rPr>
            </w:pPr>
          </w:p>
        </w:tc>
        <w:tc>
          <w:tcPr>
            <w:tcW w:w="440" w:type="dxa"/>
            <w:vAlign w:val="bottom"/>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5"/>
          </w:tcPr>
          <w:p>
            <w:pPr>
              <w:ind w:left="180"/>
              <w:spacing w:after="0"/>
              <w:rPr>
                <w:sz w:val="20"/>
                <w:szCs w:val="20"/>
                <w:color w:val="auto"/>
              </w:rPr>
            </w:pPr>
            <w:r>
              <w:rPr>
                <w:rFonts w:ascii="Arial" w:cs="Arial" w:eastAsia="Arial" w:hAnsi="Arial"/>
                <w:sz w:val="14"/>
                <w:szCs w:val="14"/>
                <w:i w:val="1"/>
                <w:iCs w:val="1"/>
                <w:color w:val="auto"/>
                <w:w w:val="87"/>
              </w:rPr>
              <w:t>(in thousands)</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3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$ 96,743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$ 97,304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Television cameras</w:t>
            </w:r>
          </w:p>
        </w:tc>
        <w:tc>
          <w:tcPr>
            <w:tcW w:w="128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9,073</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9,480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300" w:type="dxa"/>
            <w:vAlign w:val="bottom"/>
          </w:tcPr>
          <w:p>
            <w:pPr>
              <w:ind w:left="820"/>
              <w:spacing w:after="0"/>
              <w:rPr>
                <w:sz w:val="20"/>
                <w:szCs w:val="20"/>
                <w:color w:val="auto"/>
              </w:rPr>
            </w:pPr>
            <w:r>
              <w:rPr>
                <w:rFonts w:ascii="Arial" w:cs="Arial" w:eastAsia="Arial" w:hAnsi="Arial"/>
                <w:sz w:val="18"/>
                <w:szCs w:val="18"/>
                <w:color w:val="auto"/>
              </w:rPr>
              <w:t>Total assets for reportable segments</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105,816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106,784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All other operating segments</w:t>
            </w:r>
          </w:p>
        </w:tc>
        <w:tc>
          <w:tcPr>
            <w:tcW w:w="128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7,628</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7,009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00"/>
              <w:spacing w:after="0"/>
              <w:rPr>
                <w:sz w:val="20"/>
                <w:szCs w:val="20"/>
                <w:color w:val="auto"/>
              </w:rPr>
            </w:pPr>
            <w:r>
              <w:rPr>
                <w:rFonts w:ascii="Arial" w:cs="Arial" w:eastAsia="Arial" w:hAnsi="Arial"/>
                <w:sz w:val="18"/>
                <w:szCs w:val="18"/>
                <w:color w:val="auto"/>
              </w:rPr>
              <w:t>Corporate, principally cash and investments and deferred taxes</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112,052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107,766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128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$225,496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5"/>
              </w:rPr>
              <w:t>$221,559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320" w:type="dxa"/>
            <w:vAlign w:val="bottom"/>
            <w:gridSpan w:val="2"/>
          </w:tcPr>
          <w:p>
            <w:pPr>
              <w:spacing w:after="0"/>
              <w:rPr>
                <w:sz w:val="9"/>
                <w:szCs w:val="9"/>
                <w:color w:val="auto"/>
              </w:rPr>
            </w:pPr>
          </w:p>
        </w:tc>
        <w:tc>
          <w:tcPr>
            <w:tcW w:w="680" w:type="dxa"/>
            <w:vAlign w:val="bottom"/>
            <w:gridSpan w:val="3"/>
          </w:tcPr>
          <w:p>
            <w:pPr>
              <w:spacing w:after="0"/>
              <w:rPr>
                <w:sz w:val="9"/>
                <w:szCs w:val="9"/>
                <w:color w:val="auto"/>
              </w:rPr>
            </w:pPr>
          </w:p>
        </w:tc>
        <w:tc>
          <w:tcPr>
            <w:tcW w:w="6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20" w:type="dxa"/>
            <w:vAlign w:val="bottom"/>
            <w:gridSpan w:val="2"/>
          </w:tcPr>
          <w:p>
            <w:pPr>
              <w:spacing w:after="0"/>
              <w:rPr>
                <w:sz w:val="5"/>
                <w:szCs w:val="5"/>
                <w:color w:val="auto"/>
              </w:rPr>
            </w:pPr>
          </w:p>
        </w:tc>
        <w:tc>
          <w:tcPr>
            <w:tcW w:w="680" w:type="dxa"/>
            <w:vAlign w:val="bottom"/>
            <w:gridSpan w:val="3"/>
          </w:tcPr>
          <w:p>
            <w:pPr>
              <w:spacing w:after="0"/>
              <w:rPr>
                <w:sz w:val="5"/>
                <w:szCs w:val="5"/>
                <w:color w:val="auto"/>
              </w:rPr>
            </w:pPr>
          </w:p>
        </w:tc>
        <w:tc>
          <w:tcPr>
            <w:tcW w:w="600" w:type="dxa"/>
            <w:vAlign w:val="bottom"/>
            <w:tcBorders>
              <w:right w:val="single" w:sz="8" w:color="808080"/>
            </w:tcBorders>
            <w:gridSpan w:val="2"/>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gridSpan w:val="2"/>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3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$151,462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$150,804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28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190,296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190,531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hanging="229"/>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31" w:lineRule="exact"/>
        <w:rPr>
          <w:rFonts w:ascii="Arial" w:cs="Arial" w:eastAsia="Arial" w:hAnsi="Arial"/>
          <w:sz w:val="18"/>
          <w:szCs w:val="18"/>
          <w:b w:val="1"/>
          <w:bCs w:val="1"/>
          <w:color w:val="auto"/>
        </w:rPr>
      </w:pPr>
    </w:p>
    <w:p>
      <w:pPr>
        <w:ind w:lef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Cohu is currently subject to various legal proceedings and claims that have arisen in the ordinary course of its businesses. Although the outcome of these legal proceedings and claims cannot be predicted with certainty, Cohu does not believe that any of these legal matters will have a material adverse effect on its financial condition or results of operations.</w:t>
      </w:r>
    </w:p>
    <w:p>
      <w:pPr>
        <w:sectPr>
          <w:pgSz w:w="11900" w:h="16838" w:orient="portrait"/>
          <w:cols w:equalWidth="0" w:num="1">
            <w:col w:w="11360"/>
          </w:cols>
          <w:pgMar w:left="240" w:top="419" w:right="299" w:bottom="1440" w:gutter="0" w:footer="0" w:header="0"/>
        </w:sectPr>
      </w:pP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2002</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and similar expressions are intended to identify such statements.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2001 Annual Report on Form 10-K filed with the Securities and Exchange Commission, affect the significant judgments and estimates used in the preparation of its consolidated financial statements.</w:t>
      </w:r>
    </w:p>
    <w:p>
      <w:pPr>
        <w:spacing w:after="0" w:line="174"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 xml:space="preserve">Cohu generally </w:t>
      </w:r>
      <w:r>
        <w:rPr>
          <w:rFonts w:ascii="Arial" w:cs="Arial" w:eastAsia="Arial" w:hAnsi="Arial"/>
          <w:sz w:val="15"/>
          <w:szCs w:val="15"/>
          <w:i w:val="1"/>
          <w:iCs w:val="1"/>
          <w:color w:val="auto"/>
        </w:rPr>
        <w:t>recognizes revenue</w:t>
      </w:r>
      <w:r>
        <w:rPr>
          <w:rFonts w:ascii="Arial" w:cs="Arial" w:eastAsia="Arial" w:hAnsi="Arial"/>
          <w:sz w:val="15"/>
          <w:szCs w:val="15"/>
          <w:color w:val="auto"/>
        </w:rPr>
        <w:t xml:space="preserve"> upon shipment and title passage for established products (i.e. those that have previously satisfied customer acceptance requirements) that provide for full payment tied to shipment. Revenue for products that have not previously satisfied customer acceptance requirements or from sales where customer payment dates are not determinable is recognized upon customer acceptance. Cohu maintains an </w:t>
      </w:r>
      <w:r>
        <w:rPr>
          <w:rFonts w:ascii="Arial" w:cs="Arial" w:eastAsia="Arial" w:hAnsi="Arial"/>
          <w:sz w:val="15"/>
          <w:szCs w:val="15"/>
          <w:i w:val="1"/>
          <w:iCs w:val="1"/>
          <w:color w:val="auto"/>
        </w:rPr>
        <w:t>allowance for doubtful accounts</w:t>
      </w:r>
      <w:r>
        <w:rPr>
          <w:rFonts w:ascii="Arial" w:cs="Arial" w:eastAsia="Arial" w:hAnsi="Arial"/>
          <w:sz w:val="15"/>
          <w:szCs w:val="15"/>
          <w:color w:val="auto"/>
        </w:rPr>
        <w:t xml:space="preserve"> for estimated losses resulting from the inability of its customers to make required payments. If the financial condition of Cohu’s customers were to deteriorate, resulting in an impairment of their ability to make payments, additional allowances may be required. Cohu provides for the estimated costs of </w:t>
      </w:r>
      <w:r>
        <w:rPr>
          <w:rFonts w:ascii="Arial" w:cs="Arial" w:eastAsia="Arial" w:hAnsi="Arial"/>
          <w:sz w:val="15"/>
          <w:szCs w:val="15"/>
          <w:i w:val="1"/>
          <w:iCs w:val="1"/>
          <w:color w:val="auto"/>
        </w:rPr>
        <w:t>product warranties</w:t>
      </w:r>
      <w:r>
        <w:rPr>
          <w:rFonts w:ascii="Arial" w:cs="Arial" w:eastAsia="Arial" w:hAnsi="Arial"/>
          <w:sz w:val="15"/>
          <w:szCs w:val="15"/>
          <w:color w:val="auto"/>
        </w:rPr>
        <w:t xml:space="preserve"> in the period sales are recognized. Cohu’s warranty obligation is affected by 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 Cohu records </w:t>
      </w:r>
      <w:r>
        <w:rPr>
          <w:rFonts w:ascii="Arial" w:cs="Arial" w:eastAsia="Arial" w:hAnsi="Arial"/>
          <w:sz w:val="15"/>
          <w:szCs w:val="15"/>
          <w:i w:val="1"/>
          <w:iCs w:val="1"/>
          <w:color w:val="auto"/>
        </w:rPr>
        <w:t>valuation reserves on its inventory</w:t>
      </w:r>
      <w:r>
        <w:rPr>
          <w:rFonts w:ascii="Arial" w:cs="Arial" w:eastAsia="Arial" w:hAnsi="Arial"/>
          <w:sz w:val="15"/>
          <w:szCs w:val="15"/>
          <w:color w:val="auto"/>
        </w:rPr>
        <w:t xml:space="preserve"> for estimated excess and obsolete inventory equal to the difference between the cost of inventory and the estimated market value based upon assumptions about future product demand and market conditions. If future product demand or market conditions are less favorable than those projected by management, additional inventory reserves may be required. At March 31, 2002, Cohu assessed the need for a </w:t>
      </w:r>
      <w:r>
        <w:rPr>
          <w:rFonts w:ascii="Arial" w:cs="Arial" w:eastAsia="Arial" w:hAnsi="Arial"/>
          <w:sz w:val="15"/>
          <w:szCs w:val="15"/>
          <w:i w:val="1"/>
          <w:iCs w:val="1"/>
          <w:color w:val="auto"/>
        </w:rPr>
        <w:t>valuation allowance on its deferred tax assets</w:t>
      </w:r>
      <w:r>
        <w:rPr>
          <w:rFonts w:ascii="Arial" w:cs="Arial" w:eastAsia="Arial" w:hAnsi="Arial"/>
          <w:sz w:val="15"/>
          <w:szCs w:val="15"/>
          <w:color w:val="auto"/>
        </w:rPr>
        <w:t xml:space="preserve">. Cohu believes it is more likely than not that all such assets will be realized and as a result no valuation allowance was recorded. Should Cohu determine that it would not be able to realize all or part of its net deferred tax assets in the future, an adjustment to the deferred tax assets would be charged to operations in the period such determination was made. At December 31, 2001, </w:t>
      </w:r>
      <w:r>
        <w:rPr>
          <w:rFonts w:ascii="Arial" w:cs="Arial" w:eastAsia="Arial" w:hAnsi="Arial"/>
          <w:sz w:val="15"/>
          <w:szCs w:val="15"/>
          <w:i w:val="1"/>
          <w:iCs w:val="1"/>
          <w:color w:val="auto"/>
        </w:rPr>
        <w:t>Goodwill and other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intangible assets </w:t>
      </w:r>
      <w:r>
        <w:rPr>
          <w:rFonts w:ascii="Arial" w:cs="Arial" w:eastAsia="Arial" w:hAnsi="Arial"/>
          <w:sz w:val="15"/>
          <w:szCs w:val="15"/>
          <w:color w:val="auto"/>
        </w:rPr>
        <w:t>were evaluated for impairment using undiscounted cash flows expected to result from the use of the assets as required by FASB Statement No.</w:t>
      </w:r>
    </w:p>
    <w:p>
      <w:pPr>
        <w:spacing w:after="0" w:line="3" w:lineRule="exact"/>
        <w:rPr>
          <w:sz w:val="20"/>
          <w:szCs w:val="20"/>
          <w:color w:val="auto"/>
        </w:rPr>
      </w:pPr>
    </w:p>
    <w:p>
      <w:pPr>
        <w:ind w:firstLine="8"/>
        <w:spacing w:after="0" w:line="302" w:lineRule="auto"/>
        <w:tabs>
          <w:tab w:leader="none" w:pos="351"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concluded that there was no impairment loss at December 31, 2001. Cohu is required to reassess goodwill impairment in 2002 using the methodology prescribed by FASB Statement No. 142. FASB No. 142 requires that a transitional goodwill impairment test be performed as of January 1, 2002 and completed by June 30, 2002. Cohu does not expect any goodwill impairment as a result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2002</w:t>
      </w:r>
    </w:p>
    <w:p>
      <w:pPr>
        <w:spacing w:after="0" w:line="21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performing this transitional test. FASB No. 142 also requires that goodwill be tested for impairment on an annual basis and more frequently in certain circumstances. The Company evaluated the goodwill and other intangible assets for impairment at March 31, 2002 under FASB Statements No. 142 and 144, respectively, and concluded that there was no impairment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historical results of operations may not be indicative of future operating results. Certain matters discussed below, including expectations of market conditions, challenges and plans, are forward-looking statements that are subject to the risks and uncertainties noted herein. Such risks and uncertainties could cause actual results to differ materially from those projected.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2002 Compared to First Quarter 2001</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Cohu was impacted by the severe downturn in the semiconductor equipment industry that began in late 2000, continued throughout all of 2001 and into 2002 and as a result our net sales decreased 28% to $31.6 million in 2002 compared to net sales of $43.7 million in 2001. Sales of semiconductor test handling equipment in 2002 decreased 30% from the 2001 period and accounted for 78% of consolidated net sales in 2002 versus 81% in 2001. The 2002 period includes $2.4 million of net sales from Automated Systems acquired in July 2001. Sales of television cameras and other equipment accounted for 12% of net sales in 2002 versus 13% in 2001 and decreased 33% while the combined sales of metal detection and microwave communications equipment increased 16%.</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Gross margin as a percentage of net sales increased to 38.1% in 2002 from 26.3% in 2001 as a result of increased margins in the semiconductor equipment business. Within the semiconductor equipment segment, margins increased in 2002 primarily as a result of decreased provisions for excess and obsolete inventory and improved product mix offset by the negative impact of reduced business volume and higher product support costs. Cohu computes the majority of its excess and obsolete inventory reserve requirements using a one-year inventory usage forecast. During 2002 and 2001, we recorded charges totaling approximately</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$.3 million and $4.2 million, respectively, for excess and obsolete inventory primarily as a result of declines in customer forecasts that negatively impacted our forecasted inventory usage. While we believe our reserves for excess and obsolete inventory are adequate to cover our exposures at March 31, 2002, reductions in customer forecasts may require additional charges to operations that could negatively impact our gross margins in future periods.</w:t>
      </w:r>
    </w:p>
    <w:p>
      <w:pPr>
        <w:spacing w:after="0" w:line="16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Research and development expense as a percentage of net sales was 24.0% in 2002, compared to 19.3% in 2001, decreasing to $7.6 million in 2002 from $8.4 million in 2001. The decline in research and development expense was primarily due to lower material costs. Selling, general and administrative (“SG&amp;A”) expense as a percentage of net sales increased to 19.4% in 2002 from 14.9% in 2001 primarily as a result of the decrease in net sales. SG&amp;A expense in 2002 was favorably impacted by a $.4 million reduction in the allowance for doubtful accounts and bad debt expense as a result of the collection of certain past due accounts. Interest income was $.8 million and $1.3 million in 2002 and 2001, respectively. The decline in interest income resulted from lower interest rates. The income tax benefit expressed as a percentage of pre-tax income was 34.1% in 2002 and 37.3% in 2001. As a result of the factors set forth above, the net loss was $.6 million in 2002 and $1.3 million in 2001.</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2002</w:t>
      </w:r>
    </w:p>
    <w:p>
      <w:pPr>
        <w:spacing w:after="0" w:line="21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No valuation allowance has been provided on deferred tax assets at March 31, 2002, as Cohu believes it is more likely than not that all such assets will be realized. Cohu reached this conclusion after considering the availability of taxable income in prior carryback years, tax planning strategies and the likelihood of future taxable income exclusive of reversing temporary differences and carryforwards. Differences between forecasted and actual future operating results could adversely impact Cohu’s ability to realize deferred tax assets. Cohu intends to evaluate the realizability of deferred tax assets quarterly in 2002 by assessing the need for a valuation allowance. If a valuation allowance is recorded in 2002, Cohu’s results of operations will be adversely impacted.</w:t>
      </w:r>
    </w:p>
    <w:p>
      <w:pPr>
        <w:spacing w:after="0" w:line="17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Cohu evaluated the goodwill and other long-lived assets resulting from the AS acquisition for impairment at December 31, 2001 as required by FASB Statement No. 121. We compared the carrying value of these assets to estimated undiscounted cash flows expected to result from their use and concluded that there was no impairment loss at December 31, 2001.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was issued in June 2001. Statement No. 142 uses a different goodwill impairment assessment methodology than Statement No. 121. The Company was required to fully adopt Statement No. 142 effective January 1, 2002. The Company is required to complete a transitional goodwill impairment test as of January 1, 2002 by June 30, 2002. The Company does not expect to record an impairment loss as a result of the transitional goodwill impairment test. The Company evaluated the goodwill and other intangible assets for impairment at March 31, 2002 under FASB Statements No. 142 and 144 (FASB 144 superceded FASB Statement 121 effective January 1, 2002), respectively, and concluded that there was no impairment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net cash flows provided by operating activities in the first three months of 2002 totaled $3.4 million. The major components of cash flows provided by operating activities were a net loss of $.6 million offset by the net change in current assets and liabilities totaling $2.9 million and depreciation and amortization of $1.1 million. Net cash used for investing activities included $4.1 million for the purchase of short-term investments, less sales and maturities, and purchases of property, plant and equipment and other assets of $.2 million. Net cash from financing activities was $.4 million. Cash provided by financing activities included $1.4 million received from the issuance of stock upon the exercise of stock options offset by $1.0 million for the payment of dividends. The Company had $10 million available under its bank line of credit and working capital of $151.5 million at March 31, 2002. Future minimum lease payments at March 31, 2002 were not significant. It is anticipated that present working capital and available borrowings under the line of credit will be sufficient to meet the Company’s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and into 2002. Reductions in capital equipment investment by semiconductor manufacturers and semiconductor test subcontractors will materially and adversely affect our business, financial position and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results of operations. In addition, the volatile and unpredictable nature of semiconductor equipment demand has in the past and may in the future expose us to significant excess and obsolete inventory write-offs and reserve requirements. In the year ended December 31, 2001, the Company recorded pretax inventory related charges of approximately $16 million primarily as a result of changes in customer forecasts.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a limited number of customers for a substantial percentage of our net sales. In 2001, three customers of the semiconductor equipment segment accounted for 45% (48% in 2000 and 43% in 1999) of our net sales. During 2001, our customer concentration intensified as a result of depressed business conditions. During the past five years the percentage of Cohu’s sales derived from each of these and other significant customers has varied greatly. Such variations are due to changes in the customer’s business and their purchase of products from our competitors. It is common in the IC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IC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w:t>
      </w:r>
      <w:r>
        <w:rPr>
          <w:rFonts w:ascii="Arial" w:cs="Arial" w:eastAsia="Arial" w:hAnsi="Arial"/>
          <w:sz w:val="18"/>
          <w:szCs w:val="18"/>
          <w:color w:val="auto"/>
        </w:rPr>
        <w: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$14.3 million in cash. A significant portion of the purchase price was allocated to goodwill and other intangible assets. Acquisitions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including goodwill, that could result in significant charges to operating results in future periods. Mergers and acquisitions are inherently risky and the inability to effectively manage these risks could materially and adversely affect Cohu’s business, financial condition and results of operations.</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spacing w:after="0" w:line="18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taken and will continue to assess the need to take remedial measures to address the slowdown in the market for our products. In particular, we have reduced our workforce, delayed salary increases, reduced senior executives pay, implemented furloughs and reduced our expense budgets. These measures will reduce our expenses in the face of decreased revenues due to decreased or cancelled customer orders. However, each of these measures could have long-term effects on our business by reducing our pool of technical talent, decreasing or slowing improvements in our products, and making it more difficult for us to respond to customers.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and the first three quarters of 2001. Future inventory write-offs and increased inventory reserve requirements could have a material adverse impact on our results of operations and financial condition.</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Our revenues in the quarters ended September 30 and December 31, 2001 and March 31, 2002 were, however, significantly lower than our backlog at the end of the preceding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at any point in time may not be representative of actual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March 31, 2002 may not be a reliable indicator of revenues in future periods due to customer requested changes to delivery schedules and order cancellations.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Sales of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that currently represent an insignificant percentage of our handler revenues. IC handlers used in DRAM applications account for a significant portion of the worldwide IC handler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Our reliance on protection provided by such laws increased significantly as a result of the intellectual property we acquired in conjunction with the Automated Systems acquisition in July 2001.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22"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2001, 51% of our total net sales were exported to foreign countries, including 64%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 semiconductor equipment businesses have experienced little or no growth over the last five years.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increases in our electricity costs and we may be exposed to power shortages.</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Cohu is a significant user of electricity. The state of California has deregulated the price of electricity. Deregulation combined with increases in the cost of generating electricity have resulted in a rise in Cohu’s electricity costs. Market forecasts predict significant increases in electricity prices in the future that will result in increased costs to Cohu that could have an adverse impact on our results of operations. In addition, our electricity costs have increased as a result of moving certain of our San Diego operations to a significantly larger facility in Poway, California in June 2001.</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Power shortages have caused “blackouts” throughout California and San Diego County. In March 2001, Cohu’s operations were temporarily suspended as a result of a blackout. We currently do not have back-up generators or alternate sources of power in the event of a blackout. Further blackouts could result in our failure to meet customer delivery requirements damaging our reputation and resulting in lost revenue that would have a material adverse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the timing of revenue recognition and operating results.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Such changes could result in additional adjustments to our results of operations that may be reflected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two years the price of our common stock has ranged from a closing high of $61.75 to a closing low of $13.05.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2001 Annual Report on Form 10-K, that could cause actual results to differ materially from those projected or forecasted. Cohu undertakes no obligation to update the information, including the forward-looking statements, in this Form 10-Q.</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At March 31, 2002 our investment portfolio includes fixed-income securities with a fair value of approximately $70.7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Foreign currency exchange risk.</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00" w:lineRule="exact"/>
        <w:rPr>
          <w:sz w:val="20"/>
          <w:szCs w:val="20"/>
          <w:color w:val="auto"/>
        </w:rPr>
      </w:pPr>
    </w:p>
    <w:p>
      <w:pPr>
        <w:spacing w:after="0" w:line="274" w:lineRule="exact"/>
        <w:rPr>
          <w:sz w:val="20"/>
          <w:szCs w:val="20"/>
          <w:color w:val="auto"/>
        </w:rPr>
      </w:pPr>
    </w:p>
    <w:p>
      <w:pPr>
        <w:ind w:left="1000" w:hanging="651"/>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9620" w:type="dxa"/>
            <w:vAlign w:val="bottom"/>
          </w:tcPr>
          <w:p>
            <w:pPr>
              <w:ind w:left="400"/>
              <w:spacing w:after="0"/>
              <w:rPr>
                <w:sz w:val="20"/>
                <w:szCs w:val="20"/>
                <w:color w:val="auto"/>
              </w:rPr>
            </w:pPr>
            <w:r>
              <w:rPr>
                <w:rFonts w:ascii="Arial" w:cs="Arial" w:eastAsia="Arial" w:hAnsi="Arial"/>
                <w:sz w:val="18"/>
                <w:szCs w:val="18"/>
                <w:color w:val="auto"/>
                <w:w w:val="89"/>
              </w:rPr>
              <w:t>Amended and Restated Certificate of Incorporation of Cohu, Inc. incorporated herein by reference to Exhibit 3.1(a) from the Cohu,</w:t>
            </w:r>
          </w:p>
        </w:tc>
      </w:tr>
      <w:tr>
        <w:trPr>
          <w:trHeight w:val="222"/>
        </w:trPr>
        <w:tc>
          <w:tcPr>
            <w:tcW w:w="800" w:type="dxa"/>
            <w:vAlign w:val="bottom"/>
          </w:tcPr>
          <w:p>
            <w:pPr>
              <w:spacing w:after="0"/>
              <w:rPr>
                <w:sz w:val="19"/>
                <w:szCs w:val="19"/>
                <w:color w:val="auto"/>
              </w:rPr>
            </w:pPr>
          </w:p>
        </w:tc>
        <w:tc>
          <w:tcPr>
            <w:tcW w:w="9620" w:type="dxa"/>
            <w:vAlign w:val="bottom"/>
          </w:tcPr>
          <w:p>
            <w:pPr>
              <w:ind w:left="400"/>
              <w:spacing w:after="0"/>
              <w:rPr>
                <w:sz w:val="20"/>
                <w:szCs w:val="20"/>
                <w:color w:val="auto"/>
              </w:rPr>
            </w:pPr>
            <w:r>
              <w:rPr>
                <w:rFonts w:ascii="Arial" w:cs="Arial" w:eastAsia="Arial" w:hAnsi="Arial"/>
                <w:sz w:val="18"/>
                <w:szCs w:val="18"/>
                <w:color w:val="auto"/>
              </w:rPr>
              <w:t>Inc. Form 10-Q for the quarterly period ended June 30, 1999</w:t>
            </w:r>
          </w:p>
        </w:tc>
      </w:tr>
      <w:tr>
        <w:trPr>
          <w:trHeight w:val="453"/>
        </w:trPr>
        <w:tc>
          <w:tcPr>
            <w:tcW w:w="800" w:type="dxa"/>
            <w:vAlign w:val="bottom"/>
          </w:tcPr>
          <w:p>
            <w:pPr>
              <w:spacing w:after="0"/>
              <w:rPr>
                <w:sz w:val="20"/>
                <w:szCs w:val="20"/>
                <w:color w:val="auto"/>
              </w:rPr>
            </w:pPr>
            <w:r>
              <w:rPr>
                <w:rFonts w:ascii="Arial" w:cs="Arial" w:eastAsia="Arial" w:hAnsi="Arial"/>
                <w:sz w:val="18"/>
                <w:szCs w:val="18"/>
                <w:color w:val="auto"/>
              </w:rPr>
              <w:t>3.1(a)</w:t>
            </w:r>
          </w:p>
        </w:tc>
        <w:tc>
          <w:tcPr>
            <w:tcW w:w="9620" w:type="dxa"/>
            <w:vAlign w:val="bottom"/>
          </w:tcPr>
          <w:p>
            <w:pPr>
              <w:ind w:left="400"/>
              <w:spacing w:after="0"/>
              <w:rPr>
                <w:sz w:val="20"/>
                <w:szCs w:val="20"/>
                <w:color w:val="auto"/>
              </w:rPr>
            </w:pPr>
            <w:r>
              <w:rPr>
                <w:rFonts w:ascii="Arial" w:cs="Arial" w:eastAsia="Arial" w:hAnsi="Arial"/>
                <w:sz w:val="18"/>
                <w:szCs w:val="18"/>
                <w:color w:val="auto"/>
                <w:w w:val="91"/>
              </w:rPr>
              <w:t>Certificate of Amendment of Amended and Restated Certificate of Incorporation of Cohu, Inc. incorporated herein by reference</w:t>
            </w:r>
          </w:p>
        </w:tc>
      </w:tr>
      <w:tr>
        <w:trPr>
          <w:trHeight w:val="222"/>
        </w:trPr>
        <w:tc>
          <w:tcPr>
            <w:tcW w:w="800" w:type="dxa"/>
            <w:vAlign w:val="bottom"/>
          </w:tcPr>
          <w:p>
            <w:pPr>
              <w:spacing w:after="0"/>
              <w:rPr>
                <w:sz w:val="19"/>
                <w:szCs w:val="19"/>
                <w:color w:val="auto"/>
              </w:rPr>
            </w:pPr>
          </w:p>
        </w:tc>
        <w:tc>
          <w:tcPr>
            <w:tcW w:w="9620" w:type="dxa"/>
            <w:vAlign w:val="bottom"/>
          </w:tcPr>
          <w:p>
            <w:pPr>
              <w:ind w:left="400"/>
              <w:spacing w:after="0"/>
              <w:rPr>
                <w:sz w:val="20"/>
                <w:szCs w:val="20"/>
                <w:color w:val="auto"/>
              </w:rPr>
            </w:pPr>
            <w:r>
              <w:rPr>
                <w:rFonts w:ascii="Arial" w:cs="Arial" w:eastAsia="Arial" w:hAnsi="Arial"/>
                <w:sz w:val="18"/>
                <w:szCs w:val="18"/>
                <w:color w:val="auto"/>
              </w:rPr>
              <w:t>from the Cohu, Inc. Form S-8 filed June 30, 2000, Exhibit 4.1(a)</w:t>
            </w:r>
          </w:p>
        </w:tc>
      </w:tr>
      <w:tr>
        <w:trPr>
          <w:trHeight w:val="453"/>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9620" w:type="dxa"/>
            <w:vAlign w:val="bottom"/>
          </w:tcPr>
          <w:p>
            <w:pPr>
              <w:ind w:left="400"/>
              <w:spacing w:after="0"/>
              <w:rPr>
                <w:sz w:val="20"/>
                <w:szCs w:val="20"/>
                <w:color w:val="auto"/>
              </w:rPr>
            </w:pPr>
            <w:r>
              <w:rPr>
                <w:rFonts w:ascii="Arial" w:cs="Arial" w:eastAsia="Arial" w:hAnsi="Arial"/>
                <w:sz w:val="18"/>
                <w:szCs w:val="18"/>
                <w:color w:val="auto"/>
                <w:w w:val="94"/>
              </w:rPr>
              <w:t>Amended and Restated Bylaws of Cohu, Inc. incorporated herein by reference to Exhibit 3.2 from the Cohu, Inc. Report on</w:t>
            </w:r>
          </w:p>
        </w:tc>
      </w:tr>
      <w:tr>
        <w:trPr>
          <w:trHeight w:val="222"/>
        </w:trPr>
        <w:tc>
          <w:tcPr>
            <w:tcW w:w="800" w:type="dxa"/>
            <w:vAlign w:val="bottom"/>
          </w:tcPr>
          <w:p>
            <w:pPr>
              <w:spacing w:after="0"/>
              <w:rPr>
                <w:sz w:val="19"/>
                <w:szCs w:val="19"/>
                <w:color w:val="auto"/>
              </w:rPr>
            </w:pPr>
          </w:p>
        </w:tc>
        <w:tc>
          <w:tcPr>
            <w:tcW w:w="9620" w:type="dxa"/>
            <w:vAlign w:val="bottom"/>
          </w:tcPr>
          <w:p>
            <w:pPr>
              <w:ind w:left="400"/>
              <w:spacing w:after="0"/>
              <w:rPr>
                <w:sz w:val="20"/>
                <w:szCs w:val="20"/>
                <w:color w:val="auto"/>
              </w:rPr>
            </w:pPr>
            <w:r>
              <w:rPr>
                <w:rFonts w:ascii="Arial" w:cs="Arial" w:eastAsia="Arial" w:hAnsi="Arial"/>
                <w:sz w:val="18"/>
                <w:szCs w:val="18"/>
                <w:color w:val="auto"/>
              </w:rPr>
              <w:t>Form 8-K filed with the Securities and Exchange Commission on December 12, 1996</w:t>
            </w:r>
          </w:p>
        </w:tc>
      </w:tr>
      <w:tr>
        <w:trPr>
          <w:trHeight w:val="453"/>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9620" w:type="dxa"/>
            <w:vAlign w:val="bottom"/>
          </w:tcPr>
          <w:p>
            <w:pPr>
              <w:ind w:left="400"/>
              <w:spacing w:after="0"/>
              <w:rPr>
                <w:sz w:val="20"/>
                <w:szCs w:val="20"/>
                <w:color w:val="auto"/>
              </w:rPr>
            </w:pPr>
            <w:r>
              <w:rPr>
                <w:rFonts w:ascii="Arial" w:cs="Arial" w:eastAsia="Arial" w:hAnsi="Arial"/>
                <w:sz w:val="18"/>
                <w:szCs w:val="18"/>
                <w:color w:val="auto"/>
                <w:w w:val="88"/>
              </w:rPr>
              <w:t>Rights Agreement dated November 15, 1996, between Cohu, Inc. and ChaseMellon Shareholder Services, L.L.C, as Rights Agent,</w:t>
            </w:r>
          </w:p>
        </w:tc>
      </w:tr>
      <w:tr>
        <w:trPr>
          <w:trHeight w:val="222"/>
        </w:trPr>
        <w:tc>
          <w:tcPr>
            <w:tcW w:w="800" w:type="dxa"/>
            <w:vAlign w:val="bottom"/>
          </w:tcPr>
          <w:p>
            <w:pPr>
              <w:spacing w:after="0"/>
              <w:rPr>
                <w:sz w:val="19"/>
                <w:szCs w:val="19"/>
                <w:color w:val="auto"/>
              </w:rPr>
            </w:pPr>
          </w:p>
        </w:tc>
        <w:tc>
          <w:tcPr>
            <w:tcW w:w="9620" w:type="dxa"/>
            <w:vAlign w:val="bottom"/>
          </w:tcPr>
          <w:p>
            <w:pPr>
              <w:ind w:left="400"/>
              <w:spacing w:after="0"/>
              <w:rPr>
                <w:sz w:val="20"/>
                <w:szCs w:val="20"/>
                <w:color w:val="auto"/>
              </w:rPr>
            </w:pPr>
            <w:r>
              <w:rPr>
                <w:rFonts w:ascii="Arial" w:cs="Arial" w:eastAsia="Arial" w:hAnsi="Arial"/>
                <w:sz w:val="18"/>
                <w:szCs w:val="18"/>
                <w:color w:val="auto"/>
              </w:rPr>
              <w:t>incorporated herein by reference from the Cohu, Inc. Form 8-K, filed December 12, 1996, Exhibit 4.1</w:t>
            </w:r>
          </w:p>
        </w:tc>
      </w:tr>
    </w:tbl>
    <w:p>
      <w:pPr>
        <w:spacing w:after="0" w:line="237" w:lineRule="exact"/>
        <w:rPr>
          <w:sz w:val="20"/>
          <w:szCs w:val="20"/>
          <w:color w:val="auto"/>
        </w:rPr>
      </w:pPr>
    </w:p>
    <w:p>
      <w:pPr>
        <w:ind w:left="5620" w:right="2360" w:hanging="5275"/>
        <w:spacing w:after="0" w:line="519"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on Form 8-K: The Company did not file any reports on Form 8-K during the quarter ended March 31, 2002.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26, 2002</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80010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24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26, 2002</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80010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20</w:t>
      </w:r>
    </w:p>
    <w:sectPr>
      <w:pgSz w:w="11900" w:h="16838" w:orient="portrait"/>
      <w:cols w:equalWidth="0" w:num="1">
        <w:col w:w="10940"/>
      </w:cols>
      <w:pgMar w:left="240" w:top="419"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1."/>
      <w:numFmt w:val="decimal"/>
      <w:start w:val="8"/>
    </w:lvl>
  </w:abstractNum>
  <w:abstractNum w:abstractNumId="7">
    <w:nsid w:val="5BD062C2"/>
    <w:multiLevelType w:val="hybridMultilevel"/>
    <w:lvl w:ilvl="0">
      <w:lvlJc w:val="left"/>
      <w:lvlText w:val="%1."/>
      <w:numFmt w:val="decimal"/>
      <w:start w:val="12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2019-12-12T22:50:49Z</dcterms:created>
  <dcterms:modified xsi:type="dcterms:W3CDTF">2019-12-12T22:50:49Z</dcterms:modified>
</cp:coreProperties>
</file>