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16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420" w:right="1879" w:hanging="412"/>
        <w:spacing w:after="0" w:line="347"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SEPTEMBER 30, 2000</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420" w:right="1779" w:hanging="412"/>
        <w:spacing w:after="0" w:line="347"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3000" w:type="dxa"/>
            <w:vAlign w:val="bottom"/>
          </w:tcPr>
          <w:p>
            <w:pPr>
              <w:jc w:val="center"/>
              <w:ind w:right="1672"/>
              <w:spacing w:after="0"/>
              <w:rPr>
                <w:sz w:val="20"/>
                <w:szCs w:val="20"/>
                <w:color w:val="auto"/>
              </w:rPr>
            </w:pPr>
            <w:r>
              <w:rPr>
                <w:rFonts w:ascii="Courier New" w:cs="Courier New" w:eastAsia="Courier New" w:hAnsi="Courier New"/>
                <w:sz w:val="18"/>
                <w:szCs w:val="18"/>
                <w:color w:val="auto"/>
                <w:w w:val="97"/>
              </w:rPr>
              <w:t>DELAWARE</w:t>
            </w:r>
          </w:p>
        </w:tc>
        <w:tc>
          <w:tcPr>
            <w:tcW w:w="1260" w:type="dxa"/>
            <w:vAlign w:val="bottom"/>
          </w:tcPr>
          <w:p>
            <w:pPr>
              <w:spacing w:after="0"/>
              <w:rPr>
                <w:sz w:val="17"/>
                <w:szCs w:val="17"/>
                <w:color w:val="auto"/>
              </w:rPr>
            </w:pPr>
          </w:p>
        </w:tc>
        <w:tc>
          <w:tcPr>
            <w:tcW w:w="26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8"/>
              </w:rPr>
              <w:t>95-1934119</w:t>
            </w:r>
          </w:p>
        </w:tc>
        <w:tc>
          <w:tcPr>
            <w:tcW w:w="0" w:type="dxa"/>
            <w:vAlign w:val="bottom"/>
          </w:tcPr>
          <w:p>
            <w:pPr>
              <w:spacing w:after="0"/>
              <w:rPr>
                <w:sz w:val="1"/>
                <w:szCs w:val="1"/>
                <w:color w:val="auto"/>
              </w:rPr>
            </w:pPr>
          </w:p>
        </w:tc>
      </w:tr>
      <w:tr>
        <w:trPr>
          <w:trHeight w:val="203"/>
        </w:trPr>
        <w:tc>
          <w:tcPr>
            <w:tcW w:w="1280" w:type="dxa"/>
            <w:vAlign w:val="bottom"/>
            <w:vMerge w:val="restart"/>
          </w:tcPr>
          <w:p>
            <w:pPr>
              <w:ind w:left="220"/>
              <w:spacing w:after="0"/>
              <w:rPr>
                <w:sz w:val="20"/>
                <w:szCs w:val="20"/>
                <w:color w:val="auto"/>
              </w:rPr>
            </w:pPr>
            <w:r>
              <w:rPr>
                <w:rFonts w:ascii="Courier New" w:cs="Courier New" w:eastAsia="Courier New" w:hAnsi="Courier New"/>
                <w:sz w:val="8"/>
                <w:szCs w:val="8"/>
                <w:color w:val="auto"/>
                <w:vertAlign w:val="subscript"/>
              </w:rPr>
              <w:t>(State</w:t>
            </w: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or</w:t>
            </w:r>
          </w:p>
        </w:tc>
        <w:tc>
          <w:tcPr>
            <w:tcW w:w="3000" w:type="dxa"/>
            <w:vAlign w:val="bottom"/>
            <w:vMerge w:val="restart"/>
          </w:tcPr>
          <w:p>
            <w:pPr>
              <w:spacing w:after="0"/>
              <w:rPr>
                <w:sz w:val="20"/>
                <w:szCs w:val="20"/>
                <w:color w:val="auto"/>
              </w:rPr>
            </w:pPr>
            <w:r>
              <w:rPr>
                <w:rFonts w:ascii="Courier New" w:cs="Courier New" w:eastAsia="Courier New" w:hAnsi="Courier New"/>
                <w:sz w:val="18"/>
                <w:szCs w:val="18"/>
                <w:color w:val="auto"/>
              </w:rPr>
              <w:t>other jurisdiction of</w:t>
            </w:r>
          </w:p>
        </w:tc>
        <w:tc>
          <w:tcPr>
            <w:tcW w:w="39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3000" w:type="dxa"/>
            <w:vAlign w:val="bottom"/>
            <w:vMerge w:val="continue"/>
          </w:tcPr>
          <w:p>
            <w:pPr>
              <w:spacing w:after="0"/>
              <w:rPr>
                <w:sz w:val="17"/>
                <w:szCs w:val="17"/>
                <w:color w:val="auto"/>
              </w:rPr>
            </w:pPr>
          </w:p>
        </w:tc>
        <w:tc>
          <w:tcPr>
            <w:tcW w:w="39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(I.R.S. Employer Identification No.)</w:t>
            </w:r>
          </w:p>
        </w:tc>
        <w:tc>
          <w:tcPr>
            <w:tcW w:w="0" w:type="dxa"/>
            <w:vAlign w:val="bottom"/>
          </w:tcPr>
          <w:p>
            <w:pPr>
              <w:spacing w:after="0"/>
              <w:rPr>
                <w:sz w:val="1"/>
                <w:szCs w:val="1"/>
                <w:color w:val="auto"/>
              </w:rPr>
            </w:pPr>
          </w:p>
        </w:tc>
      </w:tr>
      <w:tr>
        <w:trPr>
          <w:trHeight w:val="296"/>
        </w:trPr>
        <w:tc>
          <w:tcPr>
            <w:tcW w:w="4280" w:type="dxa"/>
            <w:vAlign w:val="bottom"/>
            <w:gridSpan w:val="2"/>
          </w:tcPr>
          <w:p>
            <w:pPr>
              <w:jc w:val="center"/>
              <w:ind w:right="392"/>
              <w:spacing w:after="0"/>
              <w:rPr>
                <w:sz w:val="20"/>
                <w:szCs w:val="20"/>
                <w:color w:val="auto"/>
              </w:rPr>
            </w:pPr>
            <w:r>
              <w:rPr>
                <w:rFonts w:ascii="Courier New" w:cs="Courier New" w:eastAsia="Courier New" w:hAnsi="Courier New"/>
                <w:sz w:val="18"/>
                <w:szCs w:val="18"/>
                <w:color w:val="auto"/>
                <w:w w:val="97"/>
              </w:rPr>
              <w:t>Incorporation or Organization)</w:t>
            </w: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280" w:type="dxa"/>
            <w:vAlign w:val="bottom"/>
          </w:tcPr>
          <w:p>
            <w:pPr>
              <w:spacing w:after="0"/>
              <w:rPr>
                <w:sz w:val="20"/>
                <w:szCs w:val="20"/>
                <w:color w:val="auto"/>
              </w:rPr>
            </w:pPr>
            <w:r>
              <w:rPr>
                <w:rFonts w:ascii="Courier New" w:cs="Courier New" w:eastAsia="Courier New" w:hAnsi="Courier New"/>
                <w:sz w:val="18"/>
                <w:szCs w:val="18"/>
                <w:color w:val="auto"/>
              </w:rPr>
              <w:t>5755 KEARNY</w:t>
            </w:r>
          </w:p>
        </w:tc>
        <w:tc>
          <w:tcPr>
            <w:tcW w:w="4260" w:type="dxa"/>
            <w:vAlign w:val="bottom"/>
            <w:gridSpan w:val="2"/>
          </w:tcPr>
          <w:p>
            <w:pPr>
              <w:spacing w:after="0"/>
              <w:rPr>
                <w:sz w:val="20"/>
                <w:szCs w:val="20"/>
                <w:color w:val="auto"/>
              </w:rPr>
            </w:pPr>
            <w:r>
              <w:rPr>
                <w:rFonts w:ascii="Courier New" w:cs="Courier New" w:eastAsia="Courier New" w:hAnsi="Courier New"/>
                <w:sz w:val="18"/>
                <w:szCs w:val="18"/>
                <w:color w:val="auto"/>
              </w:rPr>
              <w:t>VILLA ROAD, SAN DIEGO, CALIFORNIA</w:t>
            </w:r>
          </w:p>
        </w:tc>
        <w:tc>
          <w:tcPr>
            <w:tcW w:w="26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8"/>
              </w:rPr>
              <w:t>92123-1111</w:t>
            </w:r>
          </w:p>
        </w:tc>
        <w:tc>
          <w:tcPr>
            <w:tcW w:w="0" w:type="dxa"/>
            <w:vAlign w:val="bottom"/>
          </w:tcPr>
          <w:p>
            <w:pPr>
              <w:spacing w:after="0"/>
              <w:rPr>
                <w:sz w:val="1"/>
                <w:szCs w:val="1"/>
                <w:color w:val="auto"/>
              </w:rPr>
            </w:pP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0"/>
                <w:szCs w:val="20"/>
                <w:color w:val="auto"/>
              </w:rPr>
            </w:pPr>
            <w:r>
              <w:rPr>
                <w:rFonts w:ascii="Courier New" w:cs="Courier New" w:eastAsia="Courier New" w:hAnsi="Courier New"/>
                <w:sz w:val="18"/>
                <w:szCs w:val="18"/>
                <w:color w:val="auto"/>
              </w:rPr>
              <w:t>(Address of</w:t>
            </w:r>
          </w:p>
        </w:tc>
        <w:tc>
          <w:tcPr>
            <w:tcW w:w="3000" w:type="dxa"/>
            <w:vAlign w:val="bottom"/>
          </w:tcPr>
          <w:p>
            <w:pPr>
              <w:spacing w:after="0"/>
              <w:rPr>
                <w:sz w:val="20"/>
                <w:szCs w:val="20"/>
                <w:color w:val="auto"/>
              </w:rPr>
            </w:pPr>
            <w:r>
              <w:rPr>
                <w:rFonts w:ascii="Courier New" w:cs="Courier New" w:eastAsia="Courier New" w:hAnsi="Courier New"/>
                <w:sz w:val="18"/>
                <w:szCs w:val="18"/>
                <w:color w:val="auto"/>
              </w:rPr>
              <w:t>principal executive office)</w:t>
            </w:r>
          </w:p>
        </w:tc>
        <w:tc>
          <w:tcPr>
            <w:tcW w:w="1260" w:type="dxa"/>
            <w:vAlign w:val="bottom"/>
          </w:tcPr>
          <w:p>
            <w:pPr>
              <w:spacing w:after="0"/>
              <w:rPr>
                <w:sz w:val="24"/>
                <w:szCs w:val="24"/>
                <w:color w:val="auto"/>
              </w:rPr>
            </w:pPr>
          </w:p>
        </w:tc>
        <w:tc>
          <w:tcPr>
            <w:tcW w:w="268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608"/>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rPr>
              <w:t>Registrant's telephone number, including area code</w:t>
            </w:r>
          </w:p>
        </w:tc>
        <w:tc>
          <w:tcPr>
            <w:tcW w:w="26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858-541-5194</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0" w:lineRule="exact"/>
        <w:rPr>
          <w:sz w:val="24"/>
          <w:szCs w:val="24"/>
          <w:color w:val="auto"/>
        </w:rPr>
      </w:pPr>
    </w:p>
    <w:p>
      <w:pPr>
        <w:jc w:val="right"/>
        <w:ind w:right="1779"/>
        <w:spacing w:after="0"/>
        <w:tabs>
          <w:tab w:leader="none" w:pos="62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0" w:lineRule="exact"/>
        <w:rPr>
          <w:sz w:val="24"/>
          <w:szCs w:val="24"/>
          <w:color w:val="auto"/>
        </w:rPr>
      </w:pPr>
    </w:p>
    <w:p>
      <w:pPr>
        <w:spacing w:after="0" w:line="204"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As of September 30, 2000, the Registrant had 20,252,709 shares of its $1.00 par value common stock outstanding.</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7700" w:type="dxa"/>
            <w:vAlign w:val="bottom"/>
          </w:tcPr>
          <w:p>
            <w:pPr>
              <w:jc w:val="right"/>
              <w:ind w:right="3933"/>
              <w:spacing w:after="0"/>
              <w:rPr>
                <w:sz w:val="20"/>
                <w:szCs w:val="20"/>
                <w:color w:val="auto"/>
              </w:rPr>
            </w:pPr>
            <w:r>
              <w:rPr>
                <w:rFonts w:ascii="Courier New" w:cs="Courier New" w:eastAsia="Courier New" w:hAnsi="Courier New"/>
                <w:sz w:val="18"/>
                <w:szCs w:val="18"/>
                <w:color w:val="auto"/>
              </w:rPr>
              <w:t>COHU, INC.</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7700" w:type="dxa"/>
            <w:vAlign w:val="bottom"/>
          </w:tcPr>
          <w:p>
            <w:pPr>
              <w:ind w:left="2960"/>
              <w:spacing w:after="0" w:line="203" w:lineRule="exact"/>
              <w:rPr>
                <w:sz w:val="20"/>
                <w:szCs w:val="20"/>
                <w:color w:val="auto"/>
              </w:rPr>
            </w:pPr>
            <w:r>
              <w:rPr>
                <w:rFonts w:ascii="Courier New" w:cs="Courier New" w:eastAsia="Courier New" w:hAnsi="Courier New"/>
                <w:sz w:val="18"/>
                <w:szCs w:val="18"/>
                <w:color w:val="auto"/>
              </w:rPr>
              <w:t>INDEX</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7700" w:type="dxa"/>
            <w:vAlign w:val="bottom"/>
          </w:tcPr>
          <w:p>
            <w:pPr>
              <w:jc w:val="right"/>
              <w:ind w:right="3933"/>
              <w:spacing w:after="0" w:line="203" w:lineRule="exact"/>
              <w:rPr>
                <w:sz w:val="20"/>
                <w:szCs w:val="20"/>
                <w:color w:val="auto"/>
              </w:rPr>
            </w:pPr>
            <w:r>
              <w:rPr>
                <w:rFonts w:ascii="Courier New" w:cs="Courier New" w:eastAsia="Courier New" w:hAnsi="Courier New"/>
                <w:sz w:val="18"/>
                <w:szCs w:val="18"/>
                <w:color w:val="auto"/>
              </w:rPr>
              <w:t>FORM 10-Q</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700" w:type="dxa"/>
            <w:vAlign w:val="bottom"/>
          </w:tcPr>
          <w:p>
            <w:pPr>
              <w:ind w:left="2220"/>
              <w:spacing w:after="0"/>
              <w:rPr>
                <w:sz w:val="20"/>
                <w:szCs w:val="20"/>
                <w:color w:val="auto"/>
              </w:rPr>
            </w:pPr>
            <w:r>
              <w:rPr>
                <w:rFonts w:ascii="Courier New" w:cs="Courier New" w:eastAsia="Courier New" w:hAnsi="Courier New"/>
                <w:sz w:val="18"/>
                <w:szCs w:val="18"/>
                <w:color w:val="auto"/>
              </w:rPr>
              <w:t>SEPTEMBER 30, 2000</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9"/>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FINANCIAL INFORMATION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PAGE NUMBER</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7700" w:type="dxa"/>
            <w:vAlign w:val="bottom"/>
          </w:tcPr>
          <w:p>
            <w:pPr>
              <w:ind w:left="220"/>
              <w:spacing w:after="0" w:line="311" w:lineRule="exact"/>
              <w:rPr>
                <w:sz w:val="20"/>
                <w:szCs w:val="20"/>
                <w:color w:val="auto"/>
              </w:rPr>
            </w:pPr>
            <w:r>
              <w:rPr>
                <w:rFonts w:ascii="Courier New" w:cs="Courier New" w:eastAsia="Courier New" w:hAnsi="Courier New"/>
                <w:sz w:val="18"/>
                <w:szCs w:val="18"/>
                <w:color w:val="auto"/>
                <w:w w:val="71"/>
              </w:rPr>
              <w:t>Condensed Consolidated Balance Sheets (Unaudited)</w:t>
            </w:r>
            <w:r>
              <w:rPr>
                <w:rFonts w:ascii="Courier New" w:cs="Courier New" w:eastAsia="Courier New" w:hAnsi="Courier New"/>
                <w:sz w:val="35"/>
                <w:szCs w:val="35"/>
                <w:color w:val="auto"/>
                <w:w w:val="71"/>
                <w:vertAlign w:val="subscript"/>
              </w:rPr>
              <w:t>.....................................</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700" w:type="dxa"/>
            <w:vAlign w:val="bottom"/>
          </w:tcPr>
          <w:p>
            <w:pPr>
              <w:ind w:left="220"/>
              <w:spacing w:after="0"/>
              <w:rPr>
                <w:sz w:val="20"/>
                <w:szCs w:val="20"/>
                <w:color w:val="auto"/>
              </w:rPr>
            </w:pPr>
            <w:r>
              <w:rPr>
                <w:rFonts w:ascii="Courier New" w:cs="Courier New" w:eastAsia="Courier New" w:hAnsi="Courier New"/>
                <w:sz w:val="18"/>
                <w:szCs w:val="18"/>
                <w:color w:val="auto"/>
              </w:rPr>
              <w:t>September 30, 2000 and December 31, 1999</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7700" w:type="dxa"/>
            <w:vAlign w:val="bottom"/>
          </w:tcPr>
          <w:p>
            <w:pPr>
              <w:ind w:left="220"/>
              <w:spacing w:after="0" w:line="311" w:lineRule="exact"/>
              <w:rPr>
                <w:sz w:val="20"/>
                <w:szCs w:val="20"/>
                <w:color w:val="auto"/>
              </w:rPr>
            </w:pPr>
            <w:r>
              <w:rPr>
                <w:rFonts w:ascii="Courier New" w:cs="Courier New" w:eastAsia="Courier New" w:hAnsi="Courier New"/>
                <w:sz w:val="18"/>
                <w:szCs w:val="18"/>
                <w:color w:val="auto"/>
                <w:w w:val="82"/>
              </w:rPr>
              <w:t>Condensed Consolidated Statements of Income (Unaudited)</w:t>
            </w:r>
            <w:r>
              <w:rPr>
                <w:rFonts w:ascii="Courier New" w:cs="Courier New" w:eastAsia="Courier New" w:hAnsi="Courier New"/>
                <w:sz w:val="35"/>
                <w:szCs w:val="35"/>
                <w:color w:val="auto"/>
                <w:w w:val="82"/>
                <w:vertAlign w:val="subscript"/>
              </w:rPr>
              <w:t>......................</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700" w:type="dxa"/>
            <w:vAlign w:val="bottom"/>
          </w:tcPr>
          <w:p>
            <w:pPr>
              <w:ind w:left="220"/>
              <w:spacing w:after="0"/>
              <w:rPr>
                <w:sz w:val="20"/>
                <w:szCs w:val="20"/>
                <w:color w:val="auto"/>
              </w:rPr>
            </w:pPr>
            <w:r>
              <w:rPr>
                <w:rFonts w:ascii="Courier New" w:cs="Courier New" w:eastAsia="Courier New" w:hAnsi="Courier New"/>
                <w:sz w:val="18"/>
                <w:szCs w:val="18"/>
                <w:color w:val="auto"/>
              </w:rPr>
              <w:t>Three and Nine Months Ended September 30, 2000 and 1999</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7700" w:type="dxa"/>
            <w:vAlign w:val="bottom"/>
          </w:tcPr>
          <w:p>
            <w:pPr>
              <w:ind w:left="220"/>
              <w:spacing w:after="0" w:line="312" w:lineRule="exact"/>
              <w:rPr>
                <w:sz w:val="20"/>
                <w:szCs w:val="20"/>
                <w:color w:val="auto"/>
              </w:rPr>
            </w:pPr>
            <w:r>
              <w:rPr>
                <w:rFonts w:ascii="Courier New" w:cs="Courier New" w:eastAsia="Courier New" w:hAnsi="Courier New"/>
                <w:sz w:val="17"/>
                <w:szCs w:val="17"/>
                <w:color w:val="auto"/>
                <w:w w:val="72"/>
              </w:rPr>
              <w:t>Condensed Consolidated Statements of Cash Flows</w:t>
            </w:r>
            <w:r>
              <w:rPr>
                <w:rFonts w:ascii="Courier New" w:cs="Courier New" w:eastAsia="Courier New" w:hAnsi="Courier New"/>
                <w:sz w:val="34"/>
                <w:szCs w:val="34"/>
                <w:color w:val="auto"/>
                <w:w w:val="72"/>
                <w:vertAlign w:val="subscript"/>
              </w:rPr>
              <w:t>................................</w:t>
            </w:r>
            <w:r>
              <w:rPr>
                <w:rFonts w:ascii="Courier New" w:cs="Courier New" w:eastAsia="Courier New" w:hAnsi="Courier New"/>
                <w:sz w:val="17"/>
                <w:szCs w:val="17"/>
                <w:color w:val="auto"/>
                <w:w w:val="72"/>
              </w:rPr>
              <w:t>(Unaudited)</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700" w:type="dxa"/>
            <w:vAlign w:val="bottom"/>
          </w:tcPr>
          <w:p>
            <w:pPr>
              <w:ind w:left="220"/>
              <w:spacing w:after="0"/>
              <w:rPr>
                <w:sz w:val="20"/>
                <w:szCs w:val="20"/>
                <w:color w:val="auto"/>
              </w:rPr>
            </w:pPr>
            <w:r>
              <w:rPr>
                <w:rFonts w:ascii="Courier New" w:cs="Courier New" w:eastAsia="Courier New" w:hAnsi="Courier New"/>
                <w:sz w:val="18"/>
                <w:szCs w:val="18"/>
                <w:color w:val="auto"/>
              </w:rPr>
              <w:t>Nine Months Ended September 30, 2000 and 1999</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4"/>
                <w:szCs w:val="24"/>
                <w:color w:val="auto"/>
              </w:rPr>
            </w:pPr>
          </w:p>
        </w:tc>
        <w:tc>
          <w:tcPr>
            <w:tcW w:w="7700" w:type="dxa"/>
            <w:vAlign w:val="bottom"/>
          </w:tcPr>
          <w:p>
            <w:pPr>
              <w:ind w:left="220"/>
              <w:spacing w:after="0"/>
              <w:rPr>
                <w:sz w:val="20"/>
                <w:szCs w:val="20"/>
                <w:color w:val="auto"/>
              </w:rPr>
            </w:pPr>
            <w:r>
              <w:rPr>
                <w:rFonts w:ascii="Courier New" w:cs="Courier New" w:eastAsia="Courier New" w:hAnsi="Courier New"/>
                <w:sz w:val="18"/>
                <w:szCs w:val="18"/>
                <w:color w:val="auto"/>
                <w:w w:val="89"/>
              </w:rPr>
              <w:t>Notes to Unaudited Condensed Consolidated Financial Statements...............</w:t>
            </w:r>
          </w:p>
        </w:tc>
        <w:tc>
          <w:tcPr>
            <w:tcW w:w="11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514"/>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70"/>
              </w:rPr>
              <w:t>Management's Discussion and Analysis of</w:t>
            </w:r>
            <w:r>
              <w:rPr>
                <w:rFonts w:ascii="Courier New" w:cs="Courier New" w:eastAsia="Courier New" w:hAnsi="Courier New"/>
                <w:sz w:val="31"/>
                <w:szCs w:val="31"/>
                <w:color w:val="auto"/>
                <w:w w:val="70"/>
                <w:vertAlign w:val="subscript"/>
              </w:rPr>
              <w:t>..................................</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Financial Condition and Results of Operations</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1"/>
              </w:rPr>
              <w:t>Quantitative and Qualitative Disclosures about Market Risk....................</w:t>
            </w:r>
          </w:p>
        </w:tc>
        <w:tc>
          <w:tcPr>
            <w:tcW w:w="11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700" w:type="dxa"/>
            <w:vAlign w:val="bottom"/>
          </w:tcPr>
          <w:p>
            <w:pPr>
              <w:spacing w:after="0"/>
              <w:rPr>
                <w:sz w:val="20"/>
                <w:szCs w:val="20"/>
                <w:color w:val="auto"/>
              </w:rPr>
            </w:pPr>
            <w:r>
              <w:rPr>
                <w:rFonts w:ascii="Courier New" w:cs="Courier New" w:eastAsia="Courier New" w:hAnsi="Courier New"/>
                <w:sz w:val="18"/>
                <w:szCs w:val="18"/>
                <w:color w:val="auto"/>
              </w:rPr>
              <w:t>OTHER INFORMATION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1"/>
              </w:rPr>
              <w:t>Other Information.............................................................</w:t>
            </w:r>
          </w:p>
        </w:tc>
        <w:tc>
          <w:tcPr>
            <w:tcW w:w="11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1"/>
              </w:rPr>
              <w:t>Exhibits and Reports on Form 8-K..............................................</w:t>
            </w:r>
          </w:p>
        </w:tc>
        <w:tc>
          <w:tcPr>
            <w:tcW w:w="11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77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810"/>
        </w:trPr>
        <w:tc>
          <w:tcPr>
            <w:tcW w:w="1060" w:type="dxa"/>
            <w:vAlign w:val="bottom"/>
          </w:tcPr>
          <w:p>
            <w:pPr>
              <w:spacing w:after="0"/>
              <w:rPr>
                <w:sz w:val="24"/>
                <w:szCs w:val="24"/>
                <w:color w:val="auto"/>
              </w:rPr>
            </w:pPr>
          </w:p>
        </w:tc>
        <w:tc>
          <w:tcPr>
            <w:tcW w:w="7700" w:type="dxa"/>
            <w:vAlign w:val="bottom"/>
          </w:tcPr>
          <w:p>
            <w:pPr>
              <w:ind w:left="3060"/>
              <w:spacing w:after="0"/>
              <w:rPr>
                <w:sz w:val="20"/>
                <w:szCs w:val="20"/>
                <w:color w:val="auto"/>
              </w:rPr>
            </w:pPr>
            <w:r>
              <w:rPr>
                <w:rFonts w:ascii="Courier New" w:cs="Courier New" w:eastAsia="Courier New" w:hAnsi="Courier New"/>
                <w:sz w:val="18"/>
                <w:szCs w:val="18"/>
                <w:color w:val="auto"/>
              </w:rPr>
              <w:t>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CONDENSED CONSOLIDATED BALANCE SHEETS</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SEPTEMBER 30, 2000</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1999</w:t>
            </w:r>
          </w:p>
        </w:tc>
        <w:tc>
          <w:tcPr>
            <w:tcW w:w="0" w:type="dxa"/>
            <w:vAlign w:val="bottom"/>
          </w:tcPr>
          <w:p>
            <w:pPr>
              <w:spacing w:after="0"/>
              <w:rPr>
                <w:sz w:val="1"/>
                <w:szCs w:val="1"/>
                <w:color w:val="auto"/>
              </w:rPr>
            </w:pPr>
          </w:p>
        </w:tc>
      </w:tr>
      <w:tr>
        <w:trPr>
          <w:trHeight w:val="296"/>
        </w:trPr>
        <w:tc>
          <w:tcPr>
            <w:tcW w:w="6060" w:type="dxa"/>
            <w:vAlign w:val="bottom"/>
          </w:tcPr>
          <w:p>
            <w:pPr>
              <w:spacing w:after="0"/>
              <w:rPr>
                <w:sz w:val="24"/>
                <w:szCs w:val="24"/>
                <w:color w:val="auto"/>
              </w:rPr>
            </w:pPr>
          </w:p>
        </w:tc>
        <w:tc>
          <w:tcPr>
            <w:tcW w:w="2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5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$ 92,318</w:t>
            </w:r>
          </w:p>
        </w:tc>
        <w:tc>
          <w:tcPr>
            <w:tcW w:w="2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$ 55,954</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58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10,240</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25,646</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less allowance for doubtful</w:t>
            </w:r>
          </w:p>
        </w:tc>
        <w:tc>
          <w:tcPr>
            <w:tcW w:w="25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52,874</w:t>
            </w:r>
          </w:p>
        </w:tc>
        <w:tc>
          <w:tcPr>
            <w:tcW w:w="2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52,262</w:t>
            </w:r>
          </w:p>
        </w:tc>
        <w:tc>
          <w:tcPr>
            <w:tcW w:w="0" w:type="dxa"/>
            <w:vAlign w:val="bottom"/>
          </w:tcPr>
          <w:p>
            <w:pPr>
              <w:spacing w:after="0"/>
              <w:rPr>
                <w:sz w:val="1"/>
                <w:szCs w:val="1"/>
                <w:color w:val="auto"/>
              </w:rPr>
            </w:pPr>
          </w:p>
        </w:tc>
      </w:tr>
      <w:tr>
        <w:trPr>
          <w:trHeight w:val="203"/>
        </w:trPr>
        <w:tc>
          <w:tcPr>
            <w:tcW w:w="6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of $1,915 in 2000 and $1,981 in 1999</w:t>
            </w:r>
          </w:p>
        </w:tc>
        <w:tc>
          <w:tcPr>
            <w:tcW w:w="258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25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22,431</w:t>
            </w:r>
          </w:p>
        </w:tc>
        <w:tc>
          <w:tcPr>
            <w:tcW w:w="2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21,257</w:t>
            </w:r>
          </w:p>
        </w:tc>
        <w:tc>
          <w:tcPr>
            <w:tcW w:w="0" w:type="dxa"/>
            <w:vAlign w:val="bottom"/>
          </w:tcPr>
          <w:p>
            <w:pPr>
              <w:spacing w:after="0"/>
              <w:rPr>
                <w:sz w:val="1"/>
                <w:szCs w:val="1"/>
                <w:color w:val="auto"/>
              </w:rPr>
            </w:pPr>
          </w:p>
        </w:tc>
      </w:tr>
      <w:tr>
        <w:trPr>
          <w:trHeight w:val="203"/>
        </w:trPr>
        <w:tc>
          <w:tcPr>
            <w:tcW w:w="6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258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Work in process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19,055</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18,768</w:t>
            </w:r>
          </w:p>
        </w:tc>
        <w:tc>
          <w:tcPr>
            <w:tcW w:w="0" w:type="dxa"/>
            <w:vAlign w:val="bottom"/>
          </w:tcPr>
          <w:p>
            <w:pPr>
              <w:spacing w:after="0"/>
              <w:rPr>
                <w:sz w:val="1"/>
                <w:szCs w:val="1"/>
                <w:color w:val="auto"/>
              </w:rPr>
            </w:pPr>
          </w:p>
        </w:tc>
      </w:tr>
      <w:tr>
        <w:trPr>
          <w:trHeight w:val="203"/>
        </w:trPr>
        <w:tc>
          <w:tcPr>
            <w:tcW w:w="6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Finished goods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7,732</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15,621</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Deferred income taxes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49,218</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55,646</w:t>
            </w:r>
          </w:p>
        </w:tc>
        <w:tc>
          <w:tcPr>
            <w:tcW w:w="0" w:type="dxa"/>
            <w:vAlign w:val="bottom"/>
          </w:tcPr>
          <w:p>
            <w:pPr>
              <w:spacing w:after="0"/>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11,231</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11,231</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2,589</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2,030</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Total current assets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060" w:type="dxa"/>
            <w:vAlign w:val="bottom"/>
            <w:vMerge w:val="continue"/>
          </w:tcPr>
          <w:p>
            <w:pPr>
              <w:spacing w:after="0"/>
              <w:rPr>
                <w:sz w:val="24"/>
                <w:szCs w:val="24"/>
                <w:color w:val="auto"/>
              </w:rPr>
            </w:pPr>
          </w:p>
        </w:tc>
        <w:tc>
          <w:tcPr>
            <w:tcW w:w="2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218,470</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202,769</w:t>
            </w: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5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2,501</w:t>
            </w:r>
          </w:p>
        </w:tc>
        <w:tc>
          <w:tcPr>
            <w:tcW w:w="2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2,501</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258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12,704</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12,507</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21,879</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19,849</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Less accumulated depreciation and amortization</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37,084</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34,857</w:t>
            </w:r>
          </w:p>
        </w:tc>
        <w:tc>
          <w:tcPr>
            <w:tcW w:w="0" w:type="dxa"/>
            <w:vAlign w:val="bottom"/>
          </w:tcPr>
          <w:p>
            <w:pPr>
              <w:spacing w:after="0"/>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20,052</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17,841</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Net property, plant and equipment</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17,032</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17,016</w:t>
            </w:r>
          </w:p>
        </w:tc>
        <w:tc>
          <w:tcPr>
            <w:tcW w:w="0" w:type="dxa"/>
            <w:vAlign w:val="bottom"/>
          </w:tcPr>
          <w:p>
            <w:pPr>
              <w:spacing w:after="0"/>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 of accumulated amortization</w:t>
            </w:r>
          </w:p>
        </w:tc>
        <w:tc>
          <w:tcPr>
            <w:tcW w:w="25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650</w:t>
            </w:r>
          </w:p>
        </w:tc>
        <w:tc>
          <w:tcPr>
            <w:tcW w:w="2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867</w:t>
            </w:r>
          </w:p>
        </w:tc>
        <w:tc>
          <w:tcPr>
            <w:tcW w:w="0" w:type="dxa"/>
            <w:vAlign w:val="bottom"/>
          </w:tcPr>
          <w:p>
            <w:pPr>
              <w:spacing w:after="0"/>
              <w:rPr>
                <w:sz w:val="1"/>
                <w:szCs w:val="1"/>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$2,477 in 2000 and $2,260 in 1999</w:t>
            </w:r>
          </w:p>
        </w:tc>
        <w:tc>
          <w:tcPr>
            <w:tcW w:w="258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86</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$236,238</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$220,733</w:t>
            </w:r>
          </w:p>
        </w:tc>
        <w:tc>
          <w:tcPr>
            <w:tcW w:w="0" w:type="dxa"/>
            <w:vAlign w:val="bottom"/>
          </w:tcPr>
          <w:p>
            <w:pPr>
              <w:spacing w:after="0"/>
              <w:rPr>
                <w:sz w:val="1"/>
                <w:szCs w:val="1"/>
                <w:color w:val="auto"/>
              </w:rPr>
            </w:pPr>
          </w:p>
        </w:tc>
      </w:tr>
      <w:tr>
        <w:trPr>
          <w:trHeight w:val="296"/>
        </w:trPr>
        <w:tc>
          <w:tcPr>
            <w:tcW w:w="6060" w:type="dxa"/>
            <w:vAlign w:val="bottom"/>
          </w:tcPr>
          <w:p>
            <w:pPr>
              <w:spacing w:after="0"/>
              <w:rPr>
                <w:sz w:val="24"/>
                <w:szCs w:val="24"/>
                <w:color w:val="auto"/>
              </w:rPr>
            </w:pPr>
          </w:p>
        </w:tc>
        <w:tc>
          <w:tcPr>
            <w:tcW w:w="2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5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$ 13,004</w:t>
            </w:r>
          </w:p>
        </w:tc>
        <w:tc>
          <w:tcPr>
            <w:tcW w:w="2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$ 13,042</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58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5,248</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6,778</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Customer advances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274</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18,530</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20,924</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18,369</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060" w:type="dxa"/>
            <w:vAlign w:val="bottom"/>
            <w:vMerge w:val="continue"/>
          </w:tcPr>
          <w:p>
            <w:pPr>
              <w:spacing w:after="0"/>
              <w:rPr>
                <w:sz w:val="24"/>
                <w:szCs w:val="24"/>
                <w:color w:val="auto"/>
              </w:rPr>
            </w:pPr>
          </w:p>
        </w:tc>
        <w:tc>
          <w:tcPr>
            <w:tcW w:w="2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39,450</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56,719</w:t>
            </w: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2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965</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984</w:t>
            </w:r>
          </w:p>
        </w:tc>
        <w:tc>
          <w:tcPr>
            <w:tcW w:w="0" w:type="dxa"/>
            <w:vAlign w:val="bottom"/>
          </w:tcPr>
          <w:p>
            <w:pPr>
              <w:spacing w:after="0"/>
              <w:rPr>
                <w:sz w:val="1"/>
                <w:szCs w:val="1"/>
                <w:color w:val="auto"/>
              </w:rPr>
            </w:pPr>
          </w:p>
        </w:tc>
      </w:tr>
      <w:tr>
        <w:trPr>
          <w:trHeight w:val="296"/>
        </w:trPr>
        <w:tc>
          <w:tcPr>
            <w:tcW w:w="606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2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674</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674</w:t>
            </w: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58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200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258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20,253</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19,938</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6,201</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3,539</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168,695</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138,879</w:t>
            </w:r>
          </w:p>
        </w:tc>
        <w:tc>
          <w:tcPr>
            <w:tcW w:w="0" w:type="dxa"/>
            <w:vAlign w:val="bottom"/>
          </w:tcPr>
          <w:p>
            <w:pPr>
              <w:spacing w:after="0"/>
              <w:rPr>
                <w:sz w:val="1"/>
                <w:szCs w:val="1"/>
                <w:color w:val="auto"/>
              </w:rPr>
            </w:pPr>
          </w:p>
        </w:tc>
      </w:tr>
      <w:tr>
        <w:trPr>
          <w:trHeight w:val="203"/>
        </w:trPr>
        <w:tc>
          <w:tcPr>
            <w:tcW w:w="606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Total stockholders' equity</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195,149</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162,356</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$236,238</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$220,733</w:t>
            </w:r>
          </w:p>
        </w:tc>
        <w:tc>
          <w:tcPr>
            <w:tcW w:w="0" w:type="dxa"/>
            <w:vAlign w:val="bottom"/>
          </w:tcPr>
          <w:p>
            <w:pPr>
              <w:spacing w:after="0"/>
              <w:rPr>
                <w:sz w:val="1"/>
                <w:szCs w:val="1"/>
                <w:color w:val="auto"/>
              </w:rPr>
            </w:pPr>
          </w:p>
        </w:tc>
      </w:tr>
      <w:tr>
        <w:trPr>
          <w:trHeight w:val="296"/>
        </w:trPr>
        <w:tc>
          <w:tcPr>
            <w:tcW w:w="6060" w:type="dxa"/>
            <w:vAlign w:val="bottom"/>
          </w:tcPr>
          <w:p>
            <w:pPr>
              <w:spacing w:after="0"/>
              <w:rPr>
                <w:sz w:val="24"/>
                <w:szCs w:val="24"/>
                <w:color w:val="auto"/>
              </w:rPr>
            </w:pPr>
          </w:p>
        </w:tc>
        <w:tc>
          <w:tcPr>
            <w:tcW w:w="2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640"/>
          </w:cols>
          <w:pgMar w:left="240" w:top="285" w:right="1019" w:bottom="1019" w:gutter="0" w:footer="0" w:header="0"/>
        </w:sectPr>
      </w:pP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640"/>
          </w:cols>
          <w:pgMar w:left="240" w:top="285" w:right="1019" w:bottom="1019"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INCOME</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779"/>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w w:val="98"/>
              </w:rPr>
              <w:t>THREE MONTHS ENDED</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NINE MONTHS</w:t>
            </w:r>
          </w:p>
        </w:tc>
        <w:tc>
          <w:tcPr>
            <w:tcW w:w="9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ENDED</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SEPTEMBER 30,</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96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spacing w:after="0"/>
              <w:rPr>
                <w:sz w:val="17"/>
                <w:szCs w:val="17"/>
                <w:color w:val="auto"/>
              </w:rPr>
            </w:pP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c>
          <w:tcPr>
            <w:tcW w:w="420" w:type="dxa"/>
            <w:vAlign w:val="bottom"/>
          </w:tcPr>
          <w:p>
            <w:pPr>
              <w:spacing w:after="0"/>
              <w:rPr>
                <w:sz w:val="17"/>
                <w:szCs w:val="17"/>
                <w:color w:val="auto"/>
              </w:rPr>
            </w:pPr>
          </w:p>
        </w:tc>
        <w:tc>
          <w:tcPr>
            <w:tcW w:w="13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$ 77,216</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$ 61,728</w:t>
            </w:r>
          </w:p>
        </w:tc>
        <w:tc>
          <w:tcPr>
            <w:tcW w:w="17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$236,406</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$134,725</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480" w:type="dxa"/>
            <w:vAlign w:val="bottom"/>
          </w:tcPr>
          <w:p>
            <w:pPr>
              <w:spacing w:after="0"/>
              <w:rPr>
                <w:sz w:val="17"/>
                <w:szCs w:val="17"/>
                <w:color w:val="auto"/>
              </w:rPr>
            </w:pPr>
          </w:p>
        </w:tc>
        <w:tc>
          <w:tcPr>
            <w:tcW w:w="1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46,593</w:t>
            </w:r>
          </w:p>
        </w:tc>
        <w:tc>
          <w:tcPr>
            <w:tcW w:w="480" w:type="dxa"/>
            <w:vAlign w:val="bottom"/>
          </w:tcPr>
          <w:p>
            <w:pPr>
              <w:spacing w:after="0"/>
              <w:rPr>
                <w:sz w:val="17"/>
                <w:szCs w:val="17"/>
                <w:color w:val="auto"/>
              </w:rPr>
            </w:pPr>
          </w:p>
        </w:tc>
        <w:tc>
          <w:tcPr>
            <w:tcW w:w="1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37,076</w:t>
            </w:r>
          </w:p>
        </w:tc>
        <w:tc>
          <w:tcPr>
            <w:tcW w:w="420" w:type="dxa"/>
            <w:vAlign w:val="bottom"/>
          </w:tcPr>
          <w:p>
            <w:pPr>
              <w:spacing w:after="0"/>
              <w:rPr>
                <w:sz w:val="17"/>
                <w:szCs w:val="17"/>
                <w:color w:val="auto"/>
              </w:rPr>
            </w:pPr>
          </w:p>
        </w:tc>
        <w:tc>
          <w:tcPr>
            <w:tcW w:w="13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w w:val="95"/>
              </w:rPr>
              <w:t>142,716</w:t>
            </w: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81,990</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4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9,123</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5,798</w:t>
            </w:r>
          </w:p>
        </w:tc>
        <w:tc>
          <w:tcPr>
            <w:tcW w:w="4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24,191</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15,145</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8,062</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8,439</w:t>
            </w:r>
          </w:p>
        </w:tc>
        <w:tc>
          <w:tcPr>
            <w:tcW w:w="4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23,326</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19,680</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63,778</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51,313</w:t>
            </w:r>
          </w:p>
        </w:tc>
        <w:tc>
          <w:tcPr>
            <w:tcW w:w="4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190,233</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116,815</w:t>
            </w:r>
          </w:p>
        </w:tc>
        <w:tc>
          <w:tcPr>
            <w:tcW w:w="0" w:type="dxa"/>
            <w:vAlign w:val="bottom"/>
          </w:tcPr>
          <w:p>
            <w:pPr>
              <w:spacing w:after="0"/>
              <w:rPr>
                <w:sz w:val="1"/>
                <w:szCs w:val="1"/>
                <w:color w:val="auto"/>
              </w:rPr>
            </w:pPr>
          </w:p>
        </w:tc>
      </w:tr>
      <w:tr>
        <w:trPr>
          <w:trHeight w:val="203"/>
        </w:trPr>
        <w:tc>
          <w:tcPr>
            <w:tcW w:w="432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13,438</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10,415</w:t>
            </w:r>
          </w:p>
        </w:tc>
        <w:tc>
          <w:tcPr>
            <w:tcW w:w="4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46,173</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17,910</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1,574</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1,067</w:t>
            </w:r>
          </w:p>
        </w:tc>
        <w:tc>
          <w:tcPr>
            <w:tcW w:w="4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4,176</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3,233</w:t>
            </w:r>
          </w:p>
        </w:tc>
        <w:tc>
          <w:tcPr>
            <w:tcW w:w="0" w:type="dxa"/>
            <w:vAlign w:val="bottom"/>
          </w:tcPr>
          <w:p>
            <w:pPr>
              <w:spacing w:after="0"/>
              <w:rPr>
                <w:sz w:val="1"/>
                <w:szCs w:val="1"/>
                <w:color w:val="auto"/>
              </w:rPr>
            </w:pPr>
          </w:p>
        </w:tc>
      </w:tr>
      <w:tr>
        <w:trPr>
          <w:trHeight w:val="203"/>
        </w:trPr>
        <w:tc>
          <w:tcPr>
            <w:tcW w:w="432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15,012</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11,482</w:t>
            </w:r>
          </w:p>
        </w:tc>
        <w:tc>
          <w:tcPr>
            <w:tcW w:w="4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50,349</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21,143</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5,200</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4,000</w:t>
            </w:r>
          </w:p>
        </w:tc>
        <w:tc>
          <w:tcPr>
            <w:tcW w:w="4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17,500</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7,400</w:t>
            </w:r>
          </w:p>
        </w:tc>
        <w:tc>
          <w:tcPr>
            <w:tcW w:w="0" w:type="dxa"/>
            <w:vAlign w:val="bottom"/>
          </w:tcPr>
          <w:p>
            <w:pPr>
              <w:spacing w:after="0"/>
              <w:rPr>
                <w:sz w:val="1"/>
                <w:szCs w:val="1"/>
                <w:color w:val="auto"/>
              </w:rPr>
            </w:pPr>
          </w:p>
        </w:tc>
      </w:tr>
      <w:tr>
        <w:trPr>
          <w:trHeight w:val="203"/>
        </w:trPr>
        <w:tc>
          <w:tcPr>
            <w:tcW w:w="432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9,812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7,482</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$ 32,849</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$ 13,743</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.48</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.38</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1.63</w:t>
            </w:r>
          </w:p>
        </w:tc>
        <w:tc>
          <w:tcPr>
            <w:tcW w:w="16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.70</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4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Diluted</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1.55</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Weighted average shares used in</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computing earnings per share:</w:t>
            </w:r>
          </w:p>
        </w:tc>
        <w:tc>
          <w:tcPr>
            <w:tcW w:w="480" w:type="dxa"/>
            <w:vAlign w:val="bottom"/>
          </w:tcPr>
          <w:p>
            <w:pPr>
              <w:spacing w:after="0"/>
              <w:rPr>
                <w:sz w:val="17"/>
                <w:szCs w:val="17"/>
                <w:color w:val="auto"/>
              </w:rPr>
            </w:pPr>
          </w:p>
        </w:tc>
        <w:tc>
          <w:tcPr>
            <w:tcW w:w="1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20,246</w:t>
            </w:r>
          </w:p>
        </w:tc>
        <w:tc>
          <w:tcPr>
            <w:tcW w:w="480" w:type="dxa"/>
            <w:vAlign w:val="bottom"/>
          </w:tcPr>
          <w:p>
            <w:pPr>
              <w:spacing w:after="0"/>
              <w:rPr>
                <w:sz w:val="17"/>
                <w:szCs w:val="17"/>
                <w:color w:val="auto"/>
              </w:rPr>
            </w:pPr>
          </w:p>
        </w:tc>
        <w:tc>
          <w:tcPr>
            <w:tcW w:w="1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19,818</w:t>
            </w:r>
          </w:p>
        </w:tc>
        <w:tc>
          <w:tcPr>
            <w:tcW w:w="420" w:type="dxa"/>
            <w:vAlign w:val="bottom"/>
          </w:tcPr>
          <w:p>
            <w:pPr>
              <w:spacing w:after="0"/>
              <w:rPr>
                <w:sz w:val="17"/>
                <w:szCs w:val="17"/>
                <w:color w:val="auto"/>
              </w:rPr>
            </w:pPr>
          </w:p>
        </w:tc>
        <w:tc>
          <w:tcPr>
            <w:tcW w:w="13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20,169</w:t>
            </w: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19,719</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4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Diluted</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20,910</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20,699</w:t>
            </w:r>
          </w:p>
        </w:tc>
        <w:tc>
          <w:tcPr>
            <w:tcW w:w="4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21,154</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20,387</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dividends declared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.045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.135</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686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6860" w:type="dxa"/>
            <w:vAlign w:val="bottom"/>
          </w:tcPr>
          <w:p>
            <w:pPr>
              <w:spacing w:after="0"/>
              <w:rPr>
                <w:sz w:val="24"/>
                <w:szCs w:val="24"/>
                <w:color w:val="auto"/>
              </w:rPr>
            </w:pPr>
          </w:p>
        </w:tc>
        <w:tc>
          <w:tcPr>
            <w:tcW w:w="28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28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296"/>
        </w:trPr>
        <w:tc>
          <w:tcPr>
            <w:tcW w:w="68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8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$ 32,849</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$ 13,743</w:t>
            </w:r>
          </w:p>
        </w:tc>
        <w:tc>
          <w:tcPr>
            <w:tcW w:w="0" w:type="dxa"/>
            <w:vAlign w:val="bottom"/>
          </w:tcPr>
          <w:p>
            <w:pPr>
              <w:spacing w:after="0"/>
              <w:rPr>
                <w:sz w:val="1"/>
                <w:szCs w:val="1"/>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5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operating activities:</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2,474</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2,416</w:t>
            </w:r>
          </w:p>
        </w:tc>
        <w:tc>
          <w:tcPr>
            <w:tcW w:w="0" w:type="dxa"/>
            <w:vAlign w:val="bottom"/>
          </w:tcPr>
          <w:p>
            <w:pPr>
              <w:spacing w:after="0"/>
              <w:rPr>
                <w:sz w:val="1"/>
                <w:szCs w:val="1"/>
                <w:color w:val="auto"/>
              </w:rPr>
            </w:pPr>
          </w:p>
        </w:tc>
      </w:tr>
      <w:tr>
        <w:trPr>
          <w:trHeight w:val="203"/>
        </w:trPr>
        <w:tc>
          <w:tcPr>
            <w:tcW w:w="6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5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accrued retiree medical benefits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6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(612)</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(25,064)</w:t>
            </w:r>
          </w:p>
        </w:tc>
        <w:tc>
          <w:tcPr>
            <w:tcW w:w="0" w:type="dxa"/>
            <w:vAlign w:val="bottom"/>
          </w:tcPr>
          <w:p>
            <w:pPr>
              <w:spacing w:after="0"/>
              <w:rPr>
                <w:sz w:val="1"/>
                <w:szCs w:val="1"/>
                <w:color w:val="auto"/>
              </w:rPr>
            </w:pPr>
          </w:p>
        </w:tc>
      </w:tr>
      <w:tr>
        <w:trPr>
          <w:trHeight w:val="203"/>
        </w:trPr>
        <w:tc>
          <w:tcPr>
            <w:tcW w:w="6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5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6,428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(25,386)</w:t>
            </w:r>
          </w:p>
        </w:tc>
        <w:tc>
          <w:tcPr>
            <w:tcW w:w="0" w:type="dxa"/>
            <w:vAlign w:val="bottom"/>
          </w:tcPr>
          <w:p>
            <w:pPr>
              <w:spacing w:after="0"/>
              <w:rPr>
                <w:sz w:val="1"/>
                <w:szCs w:val="1"/>
                <w:color w:val="auto"/>
              </w:rPr>
            </w:pPr>
          </w:p>
        </w:tc>
      </w:tr>
      <w:tr>
        <w:trPr>
          <w:trHeight w:val="203"/>
        </w:trPr>
        <w:tc>
          <w:tcPr>
            <w:tcW w:w="6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w:t>
            </w:r>
          </w:p>
        </w:tc>
        <w:tc>
          <w:tcPr>
            <w:tcW w:w="0" w:type="dxa"/>
            <w:vAlign w:val="bottom"/>
          </w:tcPr>
          <w:p>
            <w:pPr>
              <w:spacing w:after="0"/>
              <w:rPr>
                <w:sz w:val="1"/>
                <w:szCs w:val="1"/>
                <w:color w:val="auto"/>
              </w:rPr>
            </w:pPr>
          </w:p>
        </w:tc>
      </w:tr>
      <w:tr>
        <w:trPr>
          <w:trHeight w:val="203"/>
        </w:trPr>
        <w:tc>
          <w:tcPr>
            <w:tcW w:w="6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11,473</w:t>
            </w:r>
          </w:p>
        </w:tc>
        <w:tc>
          <w:tcPr>
            <w:tcW w:w="0" w:type="dxa"/>
            <w:vAlign w:val="bottom"/>
          </w:tcPr>
          <w:p>
            <w:pPr>
              <w:spacing w:after="0"/>
              <w:rPr>
                <w:sz w:val="1"/>
                <w:szCs w:val="1"/>
                <w:color w:val="auto"/>
              </w:rPr>
            </w:pPr>
          </w:p>
        </w:tc>
      </w:tr>
      <w:tr>
        <w:trPr>
          <w:trHeight w:val="203"/>
        </w:trPr>
        <w:tc>
          <w:tcPr>
            <w:tcW w:w="6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3,246</w:t>
            </w:r>
          </w:p>
        </w:tc>
        <w:tc>
          <w:tcPr>
            <w:tcW w:w="0" w:type="dxa"/>
            <w:vAlign w:val="bottom"/>
          </w:tcPr>
          <w:p>
            <w:pPr>
              <w:spacing w:after="0"/>
              <w:rPr>
                <w:sz w:val="1"/>
                <w:szCs w:val="1"/>
                <w:color w:val="auto"/>
              </w:rPr>
            </w:pPr>
          </w:p>
        </w:tc>
      </w:tr>
      <w:tr>
        <w:trPr>
          <w:trHeight w:val="203"/>
        </w:trPr>
        <w:tc>
          <w:tcPr>
            <w:tcW w:w="6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Customer advances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(18,256)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2,555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10,222</w:t>
            </w:r>
          </w:p>
        </w:tc>
        <w:tc>
          <w:tcPr>
            <w:tcW w:w="0" w:type="dxa"/>
            <w:vAlign w:val="bottom"/>
          </w:tcPr>
          <w:p>
            <w:pPr>
              <w:spacing w:after="0"/>
              <w:rPr>
                <w:sz w:val="1"/>
                <w:szCs w:val="1"/>
                <w:color w:val="auto"/>
              </w:rPr>
            </w:pPr>
          </w:p>
        </w:tc>
      </w:tr>
      <w:tr>
        <w:trPr>
          <w:trHeight w:val="203"/>
        </w:trPr>
        <w:tc>
          <w:tcPr>
            <w:tcW w:w="6860" w:type="dxa"/>
            <w:vAlign w:val="bottom"/>
            <w:vMerge w:val="restart"/>
          </w:tcPr>
          <w:p>
            <w:pPr>
              <w:ind w:left="1060"/>
              <w:spacing w:after="0"/>
              <w:rPr>
                <w:sz w:val="20"/>
                <w:szCs w:val="20"/>
                <w:color w:val="auto"/>
              </w:rPr>
            </w:pPr>
            <w:r>
              <w:rPr>
                <w:rFonts w:ascii="Courier New" w:cs="Courier New" w:eastAsia="Courier New" w:hAnsi="Courier New"/>
                <w:sz w:val="18"/>
                <w:szCs w:val="18"/>
                <w:color w:val="auto"/>
              </w:rPr>
              <w:t>Net cash provided by (used for) operating activities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860" w:type="dxa"/>
            <w:vAlign w:val="bottom"/>
            <w:vMerge w:val="continue"/>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23,292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(9,521)</w:t>
            </w:r>
          </w:p>
        </w:tc>
        <w:tc>
          <w:tcPr>
            <w:tcW w:w="0" w:type="dxa"/>
            <w:vAlign w:val="bottom"/>
          </w:tcPr>
          <w:p>
            <w:pPr>
              <w:spacing w:after="0"/>
              <w:rPr>
                <w:sz w:val="1"/>
                <w:szCs w:val="1"/>
                <w:color w:val="auto"/>
              </w:rPr>
            </w:pPr>
          </w:p>
        </w:tc>
      </w:tr>
      <w:tr>
        <w:trPr>
          <w:trHeight w:val="311"/>
        </w:trPr>
        <w:tc>
          <w:tcPr>
            <w:tcW w:w="68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(5,977)</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(19,347)</w:t>
            </w:r>
          </w:p>
        </w:tc>
        <w:tc>
          <w:tcPr>
            <w:tcW w:w="0" w:type="dxa"/>
            <w:vAlign w:val="bottom"/>
          </w:tcPr>
          <w:p>
            <w:pPr>
              <w:spacing w:after="0"/>
              <w:rPr>
                <w:sz w:val="1"/>
                <w:szCs w:val="1"/>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15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21,383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8,740</w:t>
            </w:r>
          </w:p>
        </w:tc>
        <w:tc>
          <w:tcPr>
            <w:tcW w:w="0" w:type="dxa"/>
            <w:vAlign w:val="bottom"/>
          </w:tcPr>
          <w:p>
            <w:pPr>
              <w:spacing w:after="0"/>
              <w:rPr>
                <w:sz w:val="1"/>
                <w:szCs w:val="1"/>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(2,278)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(1,644)</w:t>
            </w:r>
          </w:p>
        </w:tc>
        <w:tc>
          <w:tcPr>
            <w:tcW w:w="0" w:type="dxa"/>
            <w:vAlign w:val="bottom"/>
          </w:tcPr>
          <w:p>
            <w:pPr>
              <w:spacing w:after="0"/>
              <w:rPr>
                <w:sz w:val="1"/>
                <w:szCs w:val="1"/>
                <w:color w:val="auto"/>
              </w:rPr>
            </w:pPr>
          </w:p>
        </w:tc>
      </w:tr>
      <w:tr>
        <w:trPr>
          <w:trHeight w:val="203"/>
        </w:trPr>
        <w:tc>
          <w:tcPr>
            <w:tcW w:w="6860" w:type="dxa"/>
            <w:vAlign w:val="bottom"/>
            <w:vMerge w:val="restart"/>
          </w:tcPr>
          <w:p>
            <w:pPr>
              <w:ind w:left="1060"/>
              <w:spacing w:after="0"/>
              <w:rPr>
                <w:sz w:val="20"/>
                <w:szCs w:val="20"/>
                <w:color w:val="auto"/>
              </w:rPr>
            </w:pPr>
            <w:r>
              <w:rPr>
                <w:rFonts w:ascii="Courier New" w:cs="Courier New" w:eastAsia="Courier New" w:hAnsi="Courier New"/>
                <w:sz w:val="18"/>
                <w:szCs w:val="18"/>
                <w:color w:val="auto"/>
              </w:rPr>
              <w:t>Net cash provided by (used for) investing activities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860" w:type="dxa"/>
            <w:vAlign w:val="bottom"/>
            <w:vMerge w:val="continue"/>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13,128</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(12,251)</w:t>
            </w:r>
          </w:p>
        </w:tc>
        <w:tc>
          <w:tcPr>
            <w:tcW w:w="0" w:type="dxa"/>
            <w:vAlign w:val="bottom"/>
          </w:tcPr>
          <w:p>
            <w:pPr>
              <w:spacing w:after="0"/>
              <w:rPr>
                <w:sz w:val="1"/>
                <w:szCs w:val="1"/>
                <w:color w:val="auto"/>
              </w:rPr>
            </w:pPr>
          </w:p>
        </w:tc>
      </w:tr>
      <w:tr>
        <w:trPr>
          <w:trHeight w:val="311"/>
        </w:trPr>
        <w:tc>
          <w:tcPr>
            <w:tcW w:w="68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2,977</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1,331</w:t>
            </w:r>
          </w:p>
        </w:tc>
        <w:tc>
          <w:tcPr>
            <w:tcW w:w="0" w:type="dxa"/>
            <w:vAlign w:val="bottom"/>
          </w:tcPr>
          <w:p>
            <w:pPr>
              <w:spacing w:after="0"/>
              <w:rPr>
                <w:sz w:val="1"/>
                <w:szCs w:val="1"/>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15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dividends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(2,666)</w:t>
            </w:r>
          </w:p>
        </w:tc>
        <w:tc>
          <w:tcPr>
            <w:tcW w:w="0" w:type="dxa"/>
            <w:vAlign w:val="bottom"/>
          </w:tcPr>
          <w:p>
            <w:pPr>
              <w:spacing w:after="0"/>
              <w:rPr>
                <w:sz w:val="1"/>
                <w:szCs w:val="1"/>
                <w:color w:val="auto"/>
              </w:rPr>
            </w:pPr>
          </w:p>
        </w:tc>
      </w:tr>
      <w:tr>
        <w:trPr>
          <w:trHeight w:val="203"/>
        </w:trPr>
        <w:tc>
          <w:tcPr>
            <w:tcW w:w="6860" w:type="dxa"/>
            <w:vAlign w:val="bottom"/>
            <w:vMerge w:val="restart"/>
          </w:tcPr>
          <w:p>
            <w:pPr>
              <w:ind w:left="1060"/>
              <w:spacing w:after="0"/>
              <w:rPr>
                <w:sz w:val="20"/>
                <w:szCs w:val="20"/>
                <w:color w:val="auto"/>
              </w:rPr>
            </w:pPr>
            <w:r>
              <w:rPr>
                <w:rFonts w:ascii="Courier New" w:cs="Courier New" w:eastAsia="Courier New" w:hAnsi="Courier New"/>
                <w:sz w:val="18"/>
                <w:szCs w:val="18"/>
                <w:color w:val="auto"/>
              </w:rPr>
              <w:t>Net cash used for financing activities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(1,335)</w:t>
            </w:r>
          </w:p>
        </w:tc>
        <w:tc>
          <w:tcPr>
            <w:tcW w:w="0" w:type="dxa"/>
            <w:vAlign w:val="bottom"/>
          </w:tcPr>
          <w:p>
            <w:pPr>
              <w:spacing w:after="0"/>
              <w:rPr>
                <w:sz w:val="1"/>
                <w:szCs w:val="1"/>
                <w:color w:val="auto"/>
              </w:rPr>
            </w:pPr>
          </w:p>
        </w:tc>
      </w:tr>
      <w:tr>
        <w:trPr>
          <w:trHeight w:val="203"/>
        </w:trPr>
        <w:tc>
          <w:tcPr>
            <w:tcW w:w="6860" w:type="dxa"/>
            <w:vAlign w:val="bottom"/>
            <w:vMerge w:val="restart"/>
          </w:tcPr>
          <w:p>
            <w:pPr>
              <w:spacing w:after="0"/>
              <w:rPr>
                <w:sz w:val="20"/>
                <w:szCs w:val="20"/>
                <w:color w:val="auto"/>
              </w:rPr>
            </w:pPr>
            <w:r>
              <w:rPr>
                <w:rFonts w:ascii="Courier New" w:cs="Courier New" w:eastAsia="Courier New" w:hAnsi="Courier New"/>
                <w:sz w:val="18"/>
                <w:szCs w:val="18"/>
                <w:color w:val="auto"/>
              </w:rPr>
              <w:t>Net increase (decrease) in cash and cash equivalents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36,364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(23,107)</w:t>
            </w:r>
          </w:p>
        </w:tc>
        <w:tc>
          <w:tcPr>
            <w:tcW w:w="0" w:type="dxa"/>
            <w:vAlign w:val="bottom"/>
          </w:tcPr>
          <w:p>
            <w:pPr>
              <w:spacing w:after="0"/>
              <w:rPr>
                <w:sz w:val="1"/>
                <w:szCs w:val="1"/>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55,954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74,446</w:t>
            </w:r>
          </w:p>
        </w:tc>
        <w:tc>
          <w:tcPr>
            <w:tcW w:w="0" w:type="dxa"/>
            <w:vAlign w:val="bottom"/>
          </w:tcPr>
          <w:p>
            <w:pPr>
              <w:spacing w:after="0"/>
              <w:rPr>
                <w:sz w:val="1"/>
                <w:szCs w:val="1"/>
                <w:color w:val="auto"/>
              </w:rPr>
            </w:pPr>
          </w:p>
        </w:tc>
      </w:tr>
      <w:tr>
        <w:trPr>
          <w:trHeight w:val="203"/>
        </w:trPr>
        <w:tc>
          <w:tcPr>
            <w:tcW w:w="686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$ 92,318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$ 51,339</w:t>
            </w:r>
          </w:p>
        </w:tc>
        <w:tc>
          <w:tcPr>
            <w:tcW w:w="0" w:type="dxa"/>
            <w:vAlign w:val="bottom"/>
          </w:tcPr>
          <w:p>
            <w:pPr>
              <w:spacing w:after="0"/>
              <w:rPr>
                <w:sz w:val="1"/>
                <w:szCs w:val="1"/>
                <w:color w:val="auto"/>
              </w:rPr>
            </w:pPr>
          </w:p>
        </w:tc>
      </w:tr>
      <w:tr>
        <w:trPr>
          <w:trHeight w:val="296"/>
        </w:trPr>
        <w:tc>
          <w:tcPr>
            <w:tcW w:w="68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86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$ 19,030</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4,154</w:t>
            </w:r>
          </w:p>
        </w:tc>
        <w:tc>
          <w:tcPr>
            <w:tcW w:w="0" w:type="dxa"/>
            <w:vAlign w:val="bottom"/>
          </w:tcPr>
          <w:p>
            <w:pPr>
              <w:spacing w:after="0"/>
              <w:rPr>
                <w:sz w:val="1"/>
                <w:szCs w:val="1"/>
                <w:color w:val="auto"/>
              </w:rPr>
            </w:pPr>
          </w:p>
        </w:tc>
      </w:tr>
      <w:tr>
        <w:trPr>
          <w:trHeight w:val="296"/>
        </w:trPr>
        <w:tc>
          <w:tcPr>
            <w:tcW w:w="6860" w:type="dxa"/>
            <w:vAlign w:val="bottom"/>
          </w:tcPr>
          <w:p>
            <w:pPr>
              <w:ind w:left="640"/>
              <w:spacing w:after="0"/>
              <w:rPr>
                <w:sz w:val="20"/>
                <w:szCs w:val="20"/>
                <w:color w:val="auto"/>
              </w:rPr>
            </w:pPr>
            <w:r>
              <w:rPr>
                <w:rFonts w:ascii="Courier New" w:cs="Courier New" w:eastAsia="Courier New" w:hAnsi="Courier New"/>
                <w:sz w:val="18"/>
                <w:szCs w:val="18"/>
                <w:color w:val="auto"/>
              </w:rPr>
              <w:t>Income taxes</w:t>
            </w:r>
          </w:p>
        </w:tc>
        <w:tc>
          <w:tcPr>
            <w:tcW w:w="15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779"/>
        <w:spacing w:after="0"/>
        <w:rPr>
          <w:sz w:val="20"/>
          <w:szCs w:val="20"/>
          <w:color w:val="auto"/>
        </w:rPr>
      </w:pPr>
      <w:r>
        <w:rPr>
          <w:rFonts w:ascii="Courier New" w:cs="Courier New" w:eastAsia="Courier New" w:hAnsi="Courier New"/>
          <w:sz w:val="18"/>
          <w:szCs w:val="18"/>
          <w:color w:val="auto"/>
        </w:rPr>
        <w:t>SEPTEMBER 30, 2000</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1 -</w:t>
      </w:r>
      <w:r>
        <w:rPr>
          <w:sz w:val="20"/>
          <w:szCs w:val="20"/>
          <w:color w:val="auto"/>
        </w:rPr>
        <w:tab/>
      </w:r>
      <w:r>
        <w:rPr>
          <w:rFonts w:ascii="Courier New" w:cs="Courier New" w:eastAsia="Courier New" w:hAnsi="Courier New"/>
          <w:sz w:val="16"/>
          <w:szCs w:val="16"/>
          <w:color w:val="auto"/>
        </w:rPr>
        <w:t>BASIS OF PRESENTATION</w:t>
      </w:r>
    </w:p>
    <w:p>
      <w:pPr>
        <w:spacing w:after="0" w:line="31" w:lineRule="exact"/>
        <w:rPr>
          <w:sz w:val="20"/>
          <w:szCs w:val="20"/>
          <w:color w:val="auto"/>
        </w:rPr>
      </w:pPr>
    </w:p>
    <w:p>
      <w:pPr>
        <w:ind w:left="640" w:right="1779"/>
        <w:spacing w:after="0" w:line="245" w:lineRule="auto"/>
        <w:rPr>
          <w:sz w:val="20"/>
          <w:szCs w:val="20"/>
          <w:color w:val="auto"/>
        </w:rPr>
      </w:pPr>
      <w:r>
        <w:rPr>
          <w:rFonts w:ascii="Courier New" w:cs="Courier New" w:eastAsia="Courier New" w:hAnsi="Courier New"/>
          <w:sz w:val="18"/>
          <w:szCs w:val="18"/>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and nine months ended September 30, 2000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1999 and management's discussion and analysis of financial condition and results of operations included elsewhere herein.</w:t>
      </w:r>
    </w:p>
    <w:p>
      <w:pPr>
        <w:spacing w:after="0" w:line="109" w:lineRule="exact"/>
        <w:rPr>
          <w:sz w:val="20"/>
          <w:szCs w:val="20"/>
          <w:color w:val="auto"/>
        </w:rPr>
      </w:pPr>
    </w:p>
    <w:p>
      <w:pPr>
        <w:ind w:left="640" w:right="1879"/>
        <w:spacing w:after="0" w:line="318" w:lineRule="auto"/>
        <w:rPr>
          <w:sz w:val="20"/>
          <w:szCs w:val="20"/>
          <w:color w:val="auto"/>
        </w:rPr>
      </w:pPr>
      <w:r>
        <w:rPr>
          <w:rFonts w:ascii="Courier New" w:cs="Courier New" w:eastAsia="Courier New" w:hAnsi="Courier New"/>
          <w:sz w:val="16"/>
          <w:szCs w:val="16"/>
          <w:color w:val="auto"/>
        </w:rPr>
        <w:t>Net sales for the three months ended September 30, 2000 included $17.3 million of sales of Summit test handlers that were shipped prior to June 30, 2000. Net sales for the nine months ended September 30, 2000 included $25.6 million of sales of Summit test handlers that were shipped in 1999.</w:t>
      </w:r>
    </w:p>
    <w:p>
      <w:pPr>
        <w:spacing w:after="0" w:line="52" w:lineRule="exact"/>
        <w:rPr>
          <w:sz w:val="20"/>
          <w:szCs w:val="20"/>
          <w:color w:val="auto"/>
        </w:rPr>
      </w:pPr>
    </w:p>
    <w:p>
      <w:pPr>
        <w:ind w:left="640" w:right="1779"/>
        <w:spacing w:after="0" w:line="246" w:lineRule="auto"/>
        <w:rPr>
          <w:sz w:val="20"/>
          <w:szCs w:val="20"/>
          <w:color w:val="auto"/>
        </w:rPr>
      </w:pPr>
      <w:r>
        <w:rPr>
          <w:rFonts w:ascii="Courier New" w:cs="Courier New" w:eastAsia="Courier New" w:hAnsi="Courier New"/>
          <w:sz w:val="18"/>
          <w:szCs w:val="18"/>
          <w:color w:val="auto"/>
        </w:rPr>
        <w:t>In December 1999, the staff of the Securities and Exchange Commission issued Staff Accounting Bulletin No. 101 ("SAB 101"), Revenue Recognition in Financial Statements. SAB 101 was amended by SAB 101B which delayed the implementation date of SAB 101 for calendar year end reporting companies, including Cohu, to the quarter ending December 31, 2000. The Company is currently evaluating SAB 101 and is uncertain as to what impact, if any, SAB 101 will have on its revenues and results of operations for the quarter and year ending December 31, 2000 and subsequent periods. The impact of SAB 101, if any, will be reported as a change in accounting principle in accordance with APB Opinion No. 20 and Financial Accounting Standards Board ("FASB") Statement No. 3. This may result in a significant cumulative effect change in accounting adjustment that would be reflected in the Company's results of operations for the quarter and year ending December 31, 2000.</w:t>
      </w:r>
    </w:p>
    <w:p>
      <w:pPr>
        <w:spacing w:after="0" w:line="113" w:lineRule="exact"/>
        <w:rPr>
          <w:sz w:val="20"/>
          <w:szCs w:val="20"/>
          <w:color w:val="auto"/>
        </w:rPr>
      </w:pPr>
    </w:p>
    <w:p>
      <w:pPr>
        <w:ind w:left="640" w:right="1879"/>
        <w:spacing w:after="0" w:line="265" w:lineRule="auto"/>
        <w:rPr>
          <w:sz w:val="20"/>
          <w:szCs w:val="20"/>
          <w:color w:val="auto"/>
        </w:rPr>
      </w:pPr>
      <w:r>
        <w:rPr>
          <w:rFonts w:ascii="Courier New" w:cs="Courier New" w:eastAsia="Courier New" w:hAnsi="Courier New"/>
          <w:sz w:val="18"/>
          <w:szCs w:val="18"/>
          <w:color w:val="auto"/>
        </w:rPr>
        <w:t>In June 1998, the FASB issued Statement No. 133 Accounting for Derivative Instruments and Hedging Activities. Cohu will adopt Statement No. 133 as of the beginning of 2001 and such adoption is not expected to have a material effect on the Company's financial condition or results of operations.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2 -   EARNINGS PER SHARE</w:t>
            </w:r>
          </w:p>
        </w:tc>
        <w:tc>
          <w:tcPr>
            <w:tcW w:w="7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64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w w:val="99"/>
              </w:rPr>
              <w:t>Earnings per share are computed in accordance with FASB Statement No. 128,</w:t>
            </w:r>
          </w:p>
        </w:tc>
        <w:tc>
          <w:tcPr>
            <w:tcW w:w="840" w:type="dxa"/>
            <w:vAlign w:val="bottom"/>
          </w:tcPr>
          <w:p>
            <w:pPr>
              <w:spacing w:after="0"/>
              <w:rPr>
                <w:sz w:val="17"/>
                <w:szCs w:val="17"/>
                <w:color w:val="auto"/>
              </w:rPr>
            </w:pPr>
          </w:p>
        </w:tc>
      </w:tr>
      <w:tr>
        <w:trPr>
          <w:trHeight w:val="203"/>
        </w:trPr>
        <w:tc>
          <w:tcPr>
            <w:tcW w:w="5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Earnings per Share. Basic earnings per share are</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computed using the</w:t>
            </w:r>
          </w:p>
        </w:tc>
        <w:tc>
          <w:tcPr>
            <w:tcW w:w="840" w:type="dxa"/>
            <w:vAlign w:val="bottom"/>
          </w:tcPr>
          <w:p>
            <w:pPr>
              <w:spacing w:after="0"/>
              <w:rPr>
                <w:sz w:val="17"/>
                <w:szCs w:val="17"/>
                <w:color w:val="auto"/>
              </w:rPr>
            </w:pPr>
          </w:p>
        </w:tc>
      </w:tr>
      <w:tr>
        <w:trPr>
          <w:trHeight w:val="203"/>
        </w:trPr>
        <w:tc>
          <w:tcPr>
            <w:tcW w:w="864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weighted average number of common shares outstanding during each period.</w:t>
            </w:r>
          </w:p>
        </w:tc>
        <w:tc>
          <w:tcPr>
            <w:tcW w:w="840" w:type="dxa"/>
            <w:vAlign w:val="bottom"/>
          </w:tcPr>
          <w:p>
            <w:pPr>
              <w:spacing w:after="0"/>
              <w:rPr>
                <w:sz w:val="17"/>
                <w:szCs w:val="17"/>
                <w:color w:val="auto"/>
              </w:rPr>
            </w:pPr>
          </w:p>
        </w:tc>
      </w:tr>
      <w:tr>
        <w:trPr>
          <w:trHeight w:val="203"/>
        </w:trPr>
        <w:tc>
          <w:tcPr>
            <w:tcW w:w="864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Diluted earnings per share include the dilutive effect of common shares</w:t>
            </w:r>
          </w:p>
        </w:tc>
        <w:tc>
          <w:tcPr>
            <w:tcW w:w="840" w:type="dxa"/>
            <w:vAlign w:val="bottom"/>
          </w:tcPr>
          <w:p>
            <w:pPr>
              <w:spacing w:after="0"/>
              <w:rPr>
                <w:sz w:val="17"/>
                <w:szCs w:val="17"/>
                <w:color w:val="auto"/>
              </w:rPr>
            </w:pP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potentially issuable upon the exercise of</w:t>
            </w:r>
          </w:p>
        </w:tc>
        <w:tc>
          <w:tcPr>
            <w:tcW w:w="3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stock options. For purposes of</w:t>
            </w:r>
          </w:p>
        </w:tc>
        <w:tc>
          <w:tcPr>
            <w:tcW w:w="840" w:type="dxa"/>
            <w:vAlign w:val="bottom"/>
          </w:tcPr>
          <w:p>
            <w:pPr>
              <w:spacing w:after="0"/>
              <w:rPr>
                <w:sz w:val="17"/>
                <w:szCs w:val="17"/>
                <w:color w:val="auto"/>
              </w:rPr>
            </w:pPr>
          </w:p>
        </w:tc>
      </w:tr>
      <w:tr>
        <w:trPr>
          <w:trHeight w:val="203"/>
        </w:trPr>
        <w:tc>
          <w:tcPr>
            <w:tcW w:w="864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computing diluted earnings per share, weighted average common share</w:t>
            </w:r>
          </w:p>
        </w:tc>
        <w:tc>
          <w:tcPr>
            <w:tcW w:w="840" w:type="dxa"/>
            <w:vAlign w:val="bottom"/>
          </w:tcPr>
          <w:p>
            <w:pPr>
              <w:spacing w:after="0"/>
              <w:rPr>
                <w:sz w:val="17"/>
                <w:szCs w:val="17"/>
                <w:color w:val="auto"/>
              </w:rPr>
            </w:pPr>
          </w:p>
        </w:tc>
      </w:tr>
      <w:tr>
        <w:trPr>
          <w:trHeight w:val="203"/>
        </w:trPr>
        <w:tc>
          <w:tcPr>
            <w:tcW w:w="5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equivalents do not include stock options with an</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exercise price that</w:t>
            </w:r>
          </w:p>
        </w:tc>
        <w:tc>
          <w:tcPr>
            <w:tcW w:w="840" w:type="dxa"/>
            <w:vAlign w:val="bottom"/>
          </w:tcPr>
          <w:p>
            <w:pPr>
              <w:spacing w:after="0"/>
              <w:rPr>
                <w:sz w:val="17"/>
                <w:szCs w:val="17"/>
                <w:color w:val="auto"/>
              </w:rPr>
            </w:pPr>
          </w:p>
        </w:tc>
      </w:tr>
      <w:tr>
        <w:trPr>
          <w:trHeight w:val="203"/>
        </w:trPr>
        <w:tc>
          <w:tcPr>
            <w:tcW w:w="864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exceeds the average fair market value of the Company's common stock for</w:t>
            </w:r>
          </w:p>
        </w:tc>
        <w:tc>
          <w:tcPr>
            <w:tcW w:w="840" w:type="dxa"/>
            <w:vAlign w:val="bottom"/>
          </w:tcPr>
          <w:p>
            <w:pPr>
              <w:spacing w:after="0"/>
              <w:rPr>
                <w:sz w:val="17"/>
                <w:szCs w:val="17"/>
                <w:color w:val="auto"/>
              </w:rPr>
            </w:pP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the period. For the three and nine months</w:t>
            </w:r>
          </w:p>
        </w:tc>
        <w:tc>
          <w:tcPr>
            <w:tcW w:w="3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ended September 30, 2000,</w:t>
            </w:r>
          </w:p>
        </w:tc>
        <w:tc>
          <w:tcPr>
            <w:tcW w:w="840" w:type="dxa"/>
            <w:vAlign w:val="bottom"/>
          </w:tcPr>
          <w:p>
            <w:pPr>
              <w:spacing w:after="0"/>
              <w:rPr>
                <w:sz w:val="17"/>
                <w:szCs w:val="17"/>
                <w:color w:val="auto"/>
              </w:rPr>
            </w:pP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options to purchase approximately 153,000</w:t>
            </w:r>
          </w:p>
        </w:tc>
        <w:tc>
          <w:tcPr>
            <w:tcW w:w="3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and 68,000 shares of common</w:t>
            </w:r>
          </w:p>
        </w:tc>
        <w:tc>
          <w:tcPr>
            <w:tcW w:w="840" w:type="dxa"/>
            <w:vAlign w:val="bottom"/>
          </w:tcPr>
          <w:p>
            <w:pPr>
              <w:spacing w:after="0"/>
              <w:rPr>
                <w:sz w:val="17"/>
                <w:szCs w:val="17"/>
                <w:color w:val="auto"/>
              </w:rPr>
            </w:pPr>
          </w:p>
        </w:tc>
      </w:tr>
      <w:tr>
        <w:trPr>
          <w:trHeight w:val="203"/>
        </w:trPr>
        <w:tc>
          <w:tcPr>
            <w:tcW w:w="864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stock at average prices of $28.65 and $31.17, respectively, were excluded</w:t>
            </w:r>
          </w:p>
        </w:tc>
        <w:tc>
          <w:tcPr>
            <w:tcW w:w="840" w:type="dxa"/>
            <w:vAlign w:val="bottom"/>
          </w:tcPr>
          <w:p>
            <w:pPr>
              <w:spacing w:after="0"/>
              <w:rPr>
                <w:sz w:val="17"/>
                <w:szCs w:val="17"/>
                <w:color w:val="auto"/>
              </w:rPr>
            </w:pPr>
          </w:p>
        </w:tc>
      </w:tr>
      <w:tr>
        <w:trPr>
          <w:trHeight w:val="203"/>
        </w:trPr>
        <w:tc>
          <w:tcPr>
            <w:tcW w:w="5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from the computation, and for the three and nine</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months ended September</w:t>
            </w:r>
          </w:p>
        </w:tc>
        <w:tc>
          <w:tcPr>
            <w:tcW w:w="840" w:type="dxa"/>
            <w:vAlign w:val="bottom"/>
          </w:tcPr>
          <w:p>
            <w:pPr>
              <w:spacing w:after="0"/>
              <w:rPr>
                <w:sz w:val="17"/>
                <w:szCs w:val="17"/>
                <w:color w:val="auto"/>
              </w:rPr>
            </w:pPr>
          </w:p>
        </w:tc>
      </w:tr>
      <w:tr>
        <w:trPr>
          <w:trHeight w:val="203"/>
        </w:trPr>
        <w:tc>
          <w:tcPr>
            <w:tcW w:w="864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30, 1999, options to purchase approximately 70,000 and 133,000 shares of</w:t>
            </w:r>
          </w:p>
        </w:tc>
        <w:tc>
          <w:tcPr>
            <w:tcW w:w="840" w:type="dxa"/>
            <w:vAlign w:val="bottom"/>
          </w:tcPr>
          <w:p>
            <w:pPr>
              <w:spacing w:after="0"/>
              <w:rPr>
                <w:sz w:val="17"/>
                <w:szCs w:val="17"/>
                <w:color w:val="auto"/>
              </w:rPr>
            </w:pPr>
          </w:p>
        </w:tc>
      </w:tr>
      <w:tr>
        <w:trPr>
          <w:trHeight w:val="203"/>
        </w:trPr>
        <w:tc>
          <w:tcPr>
            <w:tcW w:w="864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common stock at average prices of $21.75 and $18.70, respectively, were</w:t>
            </w:r>
          </w:p>
        </w:tc>
        <w:tc>
          <w:tcPr>
            <w:tcW w:w="840" w:type="dxa"/>
            <w:vAlign w:val="bottom"/>
          </w:tcPr>
          <w:p>
            <w:pPr>
              <w:spacing w:after="0"/>
              <w:rPr>
                <w:sz w:val="17"/>
                <w:szCs w:val="17"/>
                <w:color w:val="auto"/>
              </w:rPr>
            </w:pPr>
          </w:p>
        </w:tc>
      </w:tr>
      <w:tr>
        <w:trPr>
          <w:trHeight w:val="203"/>
        </w:trPr>
        <w:tc>
          <w:tcPr>
            <w:tcW w:w="75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8"/>
              </w:rPr>
              <w:t>excluded from the computation. The following table reconciles the</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96"/>
        </w:trPr>
        <w:tc>
          <w:tcPr>
            <w:tcW w:w="574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denominators used in computing basic and diluted</w:t>
            </w:r>
          </w:p>
        </w:tc>
        <w:tc>
          <w:tcPr>
            <w:tcW w:w="2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earnings per share:</w:t>
            </w:r>
          </w:p>
        </w:tc>
        <w:tc>
          <w:tcPr>
            <w:tcW w:w="840" w:type="dxa"/>
            <w:vAlign w:val="bottom"/>
          </w:tcPr>
          <w:p>
            <w:pPr>
              <w:spacing w:after="0"/>
              <w:rPr>
                <w:sz w:val="24"/>
                <w:szCs w:val="24"/>
                <w:color w:val="auto"/>
              </w:rPr>
            </w:pPr>
          </w:p>
        </w:tc>
      </w:tr>
      <w:tr>
        <w:trPr>
          <w:trHeight w:val="717"/>
        </w:trPr>
        <w:tc>
          <w:tcPr>
            <w:tcW w:w="502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THREE MONTHS ENDED</w:t>
            </w:r>
          </w:p>
        </w:tc>
        <w:tc>
          <w:tcPr>
            <w:tcW w:w="1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NINE MONTHS ENDED</w:t>
            </w:r>
          </w:p>
        </w:tc>
      </w:tr>
      <w:tr>
        <w:trPr>
          <w:trHeight w:val="203"/>
        </w:trPr>
        <w:tc>
          <w:tcPr>
            <w:tcW w:w="5020" w:type="dxa"/>
            <w:vAlign w:val="bottom"/>
          </w:tcPr>
          <w:p>
            <w:pPr>
              <w:spacing w:after="0"/>
              <w:rPr>
                <w:sz w:val="17"/>
                <w:szCs w:val="17"/>
                <w:color w:val="auto"/>
              </w:rPr>
            </w:pPr>
          </w:p>
        </w:tc>
        <w:tc>
          <w:tcPr>
            <w:tcW w:w="25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SEPTEMBER 30,</w:t>
            </w:r>
          </w:p>
        </w:tc>
        <w:tc>
          <w:tcPr>
            <w:tcW w:w="1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020" w:type="dxa"/>
            <w:vAlign w:val="bottom"/>
          </w:tcPr>
          <w:p>
            <w:pPr>
              <w:spacing w:after="0"/>
              <w:rPr>
                <w:sz w:val="17"/>
                <w:szCs w:val="17"/>
                <w:color w:val="auto"/>
              </w:rPr>
            </w:pPr>
          </w:p>
        </w:tc>
        <w:tc>
          <w:tcPr>
            <w:tcW w:w="2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8"/>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02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2000</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0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96"/>
        </w:trPr>
        <w:tc>
          <w:tcPr>
            <w:tcW w:w="5020" w:type="dxa"/>
            <w:vAlign w:val="bottom"/>
          </w:tcPr>
          <w:p>
            <w:pPr>
              <w:spacing w:after="0"/>
              <w:rPr>
                <w:sz w:val="24"/>
                <w:szCs w:val="24"/>
                <w:color w:val="auto"/>
              </w:rPr>
            </w:pPr>
          </w:p>
        </w:tc>
        <w:tc>
          <w:tcPr>
            <w:tcW w:w="252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(in thousands)</w:t>
            </w:r>
          </w:p>
        </w:tc>
        <w:tc>
          <w:tcPr>
            <w:tcW w:w="1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(in thousands)</w:t>
            </w:r>
          </w:p>
        </w:tc>
      </w:tr>
      <w:tr>
        <w:trPr>
          <w:trHeight w:val="311"/>
        </w:trPr>
        <w:tc>
          <w:tcPr>
            <w:tcW w:w="502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20,246</w:t>
            </w:r>
          </w:p>
        </w:tc>
        <w:tc>
          <w:tcPr>
            <w:tcW w:w="18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19,818</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20,169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19,719</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881</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668</w:t>
            </w:r>
          </w:p>
        </w:tc>
      </w:tr>
      <w:tr>
        <w:trPr>
          <w:trHeight w:val="203"/>
        </w:trPr>
        <w:tc>
          <w:tcPr>
            <w:tcW w:w="50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20,910</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20,699</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21,154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20,387</w:t>
            </w:r>
          </w:p>
        </w:tc>
      </w:tr>
      <w:tr>
        <w:trPr>
          <w:trHeight w:val="296"/>
        </w:trPr>
        <w:tc>
          <w:tcPr>
            <w:tcW w:w="50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285" w:right="1440" w:bottom="93" w:gutter="0" w:footer="0" w:header="0"/>
        </w:sectPr>
      </w:pPr>
    </w:p>
    <w:bookmarkStart w:id="6" w:name="page7"/>
    <w:bookmarkEnd w:id="6"/>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2940"/>
        <w:spacing w:after="0"/>
        <w:rPr>
          <w:sz w:val="20"/>
          <w:szCs w:val="20"/>
          <w:color w:val="auto"/>
        </w:rPr>
      </w:pPr>
      <w:r>
        <w:rPr>
          <w:rFonts w:ascii="Courier New" w:cs="Courier New" w:eastAsia="Courier New" w:hAnsi="Courier New"/>
          <w:sz w:val="18"/>
          <w:szCs w:val="18"/>
          <w:color w:val="auto"/>
        </w:rPr>
        <w:t>SEPTEMBER 30, 2000</w:t>
      </w:r>
    </w:p>
    <w:p>
      <w:pPr>
        <w:spacing w:after="0" w:line="37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3 -</w:t>
      </w:r>
      <w:r>
        <w:rPr>
          <w:sz w:val="20"/>
          <w:szCs w:val="20"/>
          <w:color w:val="auto"/>
        </w:rPr>
        <w:tab/>
      </w:r>
      <w:r>
        <w:rPr>
          <w:rFonts w:ascii="Courier New" w:cs="Courier New" w:eastAsia="Courier New" w:hAnsi="Courier New"/>
          <w:sz w:val="16"/>
          <w:szCs w:val="16"/>
          <w:color w:val="auto"/>
        </w:rPr>
        <w:t>SEGMENT AND RELATED INFORMATION</w:t>
      </w:r>
    </w:p>
    <w:p>
      <w:pPr>
        <w:spacing w:after="0" w:line="31" w:lineRule="exact"/>
        <w:rPr>
          <w:sz w:val="20"/>
          <w:szCs w:val="20"/>
          <w:color w:val="auto"/>
        </w:rPr>
      </w:pPr>
    </w:p>
    <w:p>
      <w:pPr>
        <w:ind w:left="640" w:right="2940"/>
        <w:spacing w:after="0" w:line="273" w:lineRule="auto"/>
        <w:rPr>
          <w:sz w:val="20"/>
          <w:szCs w:val="20"/>
          <w:color w:val="auto"/>
        </w:rPr>
      </w:pPr>
      <w:r>
        <w:rPr>
          <w:rFonts w:ascii="Courier New" w:cs="Courier New" w:eastAsia="Courier New" w:hAnsi="Courier New"/>
          <w:sz w:val="18"/>
          <w:szCs w:val="18"/>
          <w:color w:val="auto"/>
        </w:rPr>
        <w:t>The following information is presented pursuant to FASB Statement No. 131, Disclosures about Segments of an Enterprise and Related Information. Intersegment sales were not significant in any period.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Three months ended</w:t>
            </w:r>
          </w:p>
        </w:tc>
        <w:tc>
          <w:tcPr>
            <w:tcW w:w="460" w:type="dxa"/>
            <w:vAlign w:val="bottom"/>
          </w:tcPr>
          <w:p>
            <w:pPr>
              <w:spacing w:after="0"/>
              <w:rPr>
                <w:sz w:val="17"/>
                <w:szCs w:val="17"/>
                <w:color w:val="auto"/>
              </w:rPr>
            </w:pPr>
          </w:p>
        </w:tc>
        <w:tc>
          <w:tcPr>
            <w:tcW w:w="258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September</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3380" w:type="dxa"/>
            <w:vAlign w:val="bottom"/>
            <w:gridSpan w:val="4"/>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30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w:t>
            </w:r>
          </w:p>
        </w:tc>
        <w:tc>
          <w:tcPr>
            <w:tcW w:w="580" w:type="dxa"/>
            <w:vAlign w:val="bottom"/>
          </w:tcPr>
          <w:p>
            <w:pPr>
              <w:spacing w:after="0"/>
              <w:rPr>
                <w:sz w:val="17"/>
                <w:szCs w:val="17"/>
                <w:color w:val="auto"/>
              </w:rPr>
            </w:pP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46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14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gridSpan w:val="3"/>
          </w:tcPr>
          <w:p>
            <w:pPr>
              <w:jc w:val="right"/>
              <w:ind w:right="772"/>
              <w:spacing w:after="0"/>
              <w:rPr>
                <w:sz w:val="20"/>
                <w:szCs w:val="20"/>
                <w:color w:val="auto"/>
              </w:rPr>
            </w:pPr>
            <w:r>
              <w:rPr>
                <w:rFonts w:ascii="Courier New" w:cs="Courier New" w:eastAsia="Courier New" w:hAnsi="Courier New"/>
                <w:sz w:val="18"/>
                <w:szCs w:val="18"/>
                <w:color w:val="auto"/>
              </w:rPr>
              <w:t>(in thousands)</w:t>
            </w:r>
          </w:p>
        </w:tc>
        <w:tc>
          <w:tcPr>
            <w:tcW w:w="46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(in thousands)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67,263</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52,992</w:t>
            </w:r>
          </w:p>
        </w:tc>
        <w:tc>
          <w:tcPr>
            <w:tcW w:w="2000" w:type="dxa"/>
            <w:vAlign w:val="bottom"/>
            <w:gridSpan w:val="2"/>
            <w:vMerge w:val="restart"/>
          </w:tcPr>
          <w:p>
            <w:pPr>
              <w:jc w:val="right"/>
              <w:ind w:right="652"/>
              <w:spacing w:after="0"/>
              <w:rPr>
                <w:sz w:val="20"/>
                <w:szCs w:val="20"/>
                <w:color w:val="auto"/>
              </w:rPr>
            </w:pPr>
            <w:r>
              <w:rPr>
                <w:rFonts w:ascii="Courier New" w:cs="Courier New" w:eastAsia="Courier New" w:hAnsi="Courier New"/>
                <w:sz w:val="18"/>
                <w:szCs w:val="18"/>
                <w:color w:val="auto"/>
              </w:rPr>
              <w:t>$ 206,814</w:t>
            </w:r>
          </w:p>
        </w:tc>
        <w:tc>
          <w:tcPr>
            <w:tcW w:w="104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$ 110,748</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4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7,134</w:t>
            </w:r>
          </w:p>
        </w:tc>
        <w:tc>
          <w:tcPr>
            <w:tcW w:w="58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5,362</w:t>
            </w:r>
          </w:p>
        </w:tc>
        <w:tc>
          <w:tcPr>
            <w:tcW w:w="460" w:type="dxa"/>
            <w:vAlign w:val="bottom"/>
          </w:tcPr>
          <w:p>
            <w:pPr>
              <w:spacing w:after="0"/>
              <w:rPr>
                <w:sz w:val="17"/>
                <w:szCs w:val="17"/>
                <w:color w:val="auto"/>
              </w:rPr>
            </w:pP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20,551</w:t>
            </w:r>
          </w:p>
        </w:tc>
        <w:tc>
          <w:tcPr>
            <w:tcW w:w="1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14,535</w:t>
            </w:r>
          </w:p>
        </w:tc>
        <w:tc>
          <w:tcPr>
            <w:tcW w:w="0" w:type="dxa"/>
            <w:vAlign w:val="bottom"/>
          </w:tcPr>
          <w:p>
            <w:pPr>
              <w:spacing w:after="0"/>
              <w:rPr>
                <w:sz w:val="1"/>
                <w:szCs w:val="1"/>
                <w:color w:val="auto"/>
              </w:rPr>
            </w:pPr>
          </w:p>
        </w:tc>
      </w:tr>
      <w:tr>
        <w:trPr>
          <w:trHeight w:val="203"/>
        </w:trPr>
        <w:tc>
          <w:tcPr>
            <w:tcW w:w="49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Net sales for reportable segments</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74,397</w:t>
            </w:r>
          </w:p>
        </w:tc>
        <w:tc>
          <w:tcPr>
            <w:tcW w:w="58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58,354</w:t>
            </w:r>
          </w:p>
        </w:tc>
        <w:tc>
          <w:tcPr>
            <w:tcW w:w="460" w:type="dxa"/>
            <w:vAlign w:val="bottom"/>
          </w:tcPr>
          <w:p>
            <w:pPr>
              <w:spacing w:after="0"/>
              <w:rPr>
                <w:sz w:val="17"/>
                <w:szCs w:val="17"/>
                <w:color w:val="auto"/>
              </w:rPr>
            </w:pP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227,365</w:t>
            </w:r>
          </w:p>
        </w:tc>
        <w:tc>
          <w:tcPr>
            <w:tcW w:w="1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125,283</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 other</w:t>
            </w: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2,819</w:t>
            </w:r>
          </w:p>
        </w:tc>
        <w:tc>
          <w:tcPr>
            <w:tcW w:w="58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3,374</w:t>
            </w:r>
          </w:p>
        </w:tc>
        <w:tc>
          <w:tcPr>
            <w:tcW w:w="460" w:type="dxa"/>
            <w:vAlign w:val="bottom"/>
          </w:tcPr>
          <w:p>
            <w:pPr>
              <w:spacing w:after="0"/>
              <w:rPr>
                <w:sz w:val="17"/>
                <w:szCs w:val="17"/>
                <w:color w:val="auto"/>
              </w:rPr>
            </w:pP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9,041</w:t>
            </w:r>
          </w:p>
        </w:tc>
        <w:tc>
          <w:tcPr>
            <w:tcW w:w="1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9,442</w:t>
            </w:r>
          </w:p>
        </w:tc>
        <w:tc>
          <w:tcPr>
            <w:tcW w:w="0" w:type="dxa"/>
            <w:vAlign w:val="bottom"/>
          </w:tcPr>
          <w:p>
            <w:pPr>
              <w:spacing w:after="0"/>
              <w:rPr>
                <w:sz w:val="1"/>
                <w:szCs w:val="1"/>
                <w:color w:val="auto"/>
              </w:rPr>
            </w:pPr>
          </w:p>
        </w:tc>
      </w:tr>
      <w:tr>
        <w:trPr>
          <w:trHeight w:val="203"/>
        </w:trPr>
        <w:tc>
          <w:tcPr>
            <w:tcW w:w="4960" w:type="dxa"/>
            <w:vAlign w:val="bottom"/>
            <w:vMerge w:val="restart"/>
          </w:tcPr>
          <w:p>
            <w:pPr>
              <w:spacing w:after="0"/>
              <w:rPr>
                <w:sz w:val="20"/>
                <w:szCs w:val="20"/>
                <w:color w:val="auto"/>
              </w:rPr>
            </w:pPr>
            <w:r>
              <w:rPr>
                <w:rFonts w:ascii="Courier New" w:cs="Courier New" w:eastAsia="Courier New" w:hAnsi="Courier New"/>
                <w:sz w:val="18"/>
                <w:szCs w:val="18"/>
                <w:color w:val="auto"/>
              </w:rPr>
              <w:t>Total consolidated net sales</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77,216</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61,728</w:t>
            </w: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$ 236,406</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$ 134,725</w:t>
            </w:r>
          </w:p>
        </w:tc>
        <w:tc>
          <w:tcPr>
            <w:tcW w:w="0" w:type="dxa"/>
            <w:vAlign w:val="bottom"/>
          </w:tcPr>
          <w:p>
            <w:pPr>
              <w:spacing w:after="0"/>
              <w:rPr>
                <w:sz w:val="1"/>
                <w:szCs w:val="1"/>
                <w:color w:val="auto"/>
              </w:rPr>
            </w:pPr>
          </w:p>
        </w:tc>
      </w:tr>
      <w:tr>
        <w:trPr>
          <w:trHeight w:val="296"/>
        </w:trPr>
        <w:tc>
          <w:tcPr>
            <w:tcW w:w="496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profit (loss):</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4960" w:type="dxa"/>
            <w:vAlign w:val="bottom"/>
            <w:vMerge w:val="continue"/>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13,763</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10,628</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5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46,364</w:t>
            </w:r>
          </w:p>
        </w:tc>
        <w:tc>
          <w:tcPr>
            <w:tcW w:w="14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19,315</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4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638</w:t>
            </w:r>
          </w:p>
        </w:tc>
        <w:tc>
          <w:tcPr>
            <w:tcW w:w="58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299</w:t>
            </w:r>
          </w:p>
        </w:tc>
        <w:tc>
          <w:tcPr>
            <w:tcW w:w="460" w:type="dxa"/>
            <w:vAlign w:val="bottom"/>
          </w:tcPr>
          <w:p>
            <w:pPr>
              <w:spacing w:after="0"/>
              <w:rPr>
                <w:sz w:val="17"/>
                <w:szCs w:val="17"/>
                <w:color w:val="auto"/>
              </w:rPr>
            </w:pP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1,743</w:t>
            </w:r>
          </w:p>
        </w:tc>
        <w:tc>
          <w:tcPr>
            <w:tcW w:w="1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810</w:t>
            </w:r>
          </w:p>
        </w:tc>
        <w:tc>
          <w:tcPr>
            <w:tcW w:w="0" w:type="dxa"/>
            <w:vAlign w:val="bottom"/>
          </w:tcPr>
          <w:p>
            <w:pPr>
              <w:spacing w:after="0"/>
              <w:rPr>
                <w:sz w:val="1"/>
                <w:szCs w:val="1"/>
                <w:color w:val="auto"/>
              </w:rPr>
            </w:pPr>
          </w:p>
        </w:tc>
      </w:tr>
      <w:tr>
        <w:trPr>
          <w:trHeight w:val="203"/>
        </w:trPr>
        <w:tc>
          <w:tcPr>
            <w:tcW w:w="49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Operating profit for reportable segments</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14,401</w:t>
            </w:r>
          </w:p>
        </w:tc>
        <w:tc>
          <w:tcPr>
            <w:tcW w:w="58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10,927</w:t>
            </w:r>
          </w:p>
        </w:tc>
        <w:tc>
          <w:tcPr>
            <w:tcW w:w="460" w:type="dxa"/>
            <w:vAlign w:val="bottom"/>
          </w:tcPr>
          <w:p>
            <w:pPr>
              <w:spacing w:after="0"/>
              <w:rPr>
                <w:sz w:val="17"/>
                <w:szCs w:val="17"/>
                <w:color w:val="auto"/>
              </w:rPr>
            </w:pP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48,107</w:t>
            </w:r>
          </w:p>
        </w:tc>
        <w:tc>
          <w:tcPr>
            <w:tcW w:w="1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20,125</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 other</w:t>
            </w:r>
          </w:p>
        </w:tc>
        <w:tc>
          <w:tcPr>
            <w:tcW w:w="48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w:t>
            </w:r>
          </w:p>
        </w:tc>
        <w:tc>
          <w:tcPr>
            <w:tcW w:w="58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129</w:t>
            </w:r>
          </w:p>
        </w:tc>
        <w:tc>
          <w:tcPr>
            <w:tcW w:w="4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(66)</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(671)</w:t>
            </w:r>
          </w:p>
        </w:tc>
        <w:tc>
          <w:tcPr>
            <w:tcW w:w="0" w:type="dxa"/>
            <w:vAlign w:val="bottom"/>
          </w:tcPr>
          <w:p>
            <w:pPr>
              <w:spacing w:after="0"/>
              <w:rPr>
                <w:sz w:val="1"/>
                <w:szCs w:val="1"/>
                <w:color w:val="auto"/>
              </w:rPr>
            </w:pPr>
          </w:p>
        </w:tc>
      </w:tr>
      <w:tr>
        <w:trPr>
          <w:trHeight w:val="203"/>
        </w:trPr>
        <w:tc>
          <w:tcPr>
            <w:tcW w:w="4960" w:type="dxa"/>
            <w:vAlign w:val="bottom"/>
            <w:vMerge w:val="restart"/>
          </w:tcPr>
          <w:p>
            <w:pPr>
              <w:spacing w:after="0"/>
              <w:rPr>
                <w:sz w:val="20"/>
                <w:szCs w:val="20"/>
                <w:color w:val="auto"/>
              </w:rPr>
            </w:pPr>
            <w:r>
              <w:rPr>
                <w:rFonts w:ascii="Courier New" w:cs="Courier New" w:eastAsia="Courier New" w:hAnsi="Courier New"/>
                <w:sz w:val="18"/>
                <w:szCs w:val="18"/>
                <w:color w:val="auto"/>
              </w:rPr>
              <w:t>Total consolidated operating profit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14,232</w:t>
            </w:r>
          </w:p>
        </w:tc>
        <w:tc>
          <w:tcPr>
            <w:tcW w:w="58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11,056</w:t>
            </w:r>
          </w:p>
        </w:tc>
        <w:tc>
          <w:tcPr>
            <w:tcW w:w="460" w:type="dxa"/>
            <w:vAlign w:val="bottom"/>
          </w:tcPr>
          <w:p>
            <w:pPr>
              <w:spacing w:after="0"/>
              <w:rPr>
                <w:sz w:val="17"/>
                <w:szCs w:val="17"/>
                <w:color w:val="auto"/>
              </w:rPr>
            </w:pP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48,041</w:t>
            </w:r>
          </w:p>
        </w:tc>
        <w:tc>
          <w:tcPr>
            <w:tcW w:w="1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19,454</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unallocated amounts:</w:t>
            </w:r>
          </w:p>
        </w:tc>
        <w:tc>
          <w:tcPr>
            <w:tcW w:w="480" w:type="dxa"/>
            <w:vAlign w:val="bottom"/>
          </w:tcPr>
          <w:p>
            <w:pPr>
              <w:spacing w:after="0"/>
              <w:rPr>
                <w:sz w:val="17"/>
                <w:szCs w:val="17"/>
                <w:color w:val="auto"/>
              </w:rPr>
            </w:pP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(722)</w:t>
            </w:r>
          </w:p>
        </w:tc>
        <w:tc>
          <w:tcPr>
            <w:tcW w:w="580" w:type="dxa"/>
            <w:vAlign w:val="bottom"/>
          </w:tcPr>
          <w:p>
            <w:pPr>
              <w:spacing w:after="0"/>
              <w:rPr>
                <w:sz w:val="17"/>
                <w:szCs w:val="17"/>
                <w:color w:val="auto"/>
              </w:rPr>
            </w:pP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(569)</w:t>
            </w:r>
          </w:p>
        </w:tc>
        <w:tc>
          <w:tcPr>
            <w:tcW w:w="460" w:type="dxa"/>
            <w:vAlign w:val="bottom"/>
          </w:tcPr>
          <w:p>
            <w:pPr>
              <w:spacing w:after="0"/>
              <w:rPr>
                <w:sz w:val="17"/>
                <w:szCs w:val="17"/>
                <w:color w:val="auto"/>
              </w:rPr>
            </w:pPr>
          </w:p>
        </w:tc>
        <w:tc>
          <w:tcPr>
            <w:tcW w:w="154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(1,652)</w:t>
            </w: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(1,328)</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4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1,574</w:t>
            </w:r>
          </w:p>
        </w:tc>
        <w:tc>
          <w:tcPr>
            <w:tcW w:w="58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1,067</w:t>
            </w:r>
          </w:p>
        </w:tc>
        <w:tc>
          <w:tcPr>
            <w:tcW w:w="460" w:type="dxa"/>
            <w:vAlign w:val="bottom"/>
          </w:tcPr>
          <w:p>
            <w:pPr>
              <w:spacing w:after="0"/>
              <w:rPr>
                <w:sz w:val="17"/>
                <w:szCs w:val="17"/>
                <w:color w:val="auto"/>
              </w:rPr>
            </w:pP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4,176</w:t>
            </w:r>
          </w:p>
        </w:tc>
        <w:tc>
          <w:tcPr>
            <w:tcW w:w="1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3,233</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 amortization</w:t>
            </w:r>
          </w:p>
        </w:tc>
        <w:tc>
          <w:tcPr>
            <w:tcW w:w="48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w:t>
            </w:r>
          </w:p>
        </w:tc>
        <w:tc>
          <w:tcPr>
            <w:tcW w:w="4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(216)</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w:t>
            </w:r>
          </w:p>
        </w:tc>
        <w:tc>
          <w:tcPr>
            <w:tcW w:w="0" w:type="dxa"/>
            <w:vAlign w:val="bottom"/>
          </w:tcPr>
          <w:p>
            <w:pPr>
              <w:spacing w:after="0"/>
              <w:rPr>
                <w:sz w:val="1"/>
                <w:szCs w:val="1"/>
                <w:color w:val="auto"/>
              </w:rPr>
            </w:pPr>
          </w:p>
        </w:tc>
      </w:tr>
      <w:tr>
        <w:trPr>
          <w:trHeight w:val="203"/>
        </w:trPr>
        <w:tc>
          <w:tcPr>
            <w:tcW w:w="496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15,012</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11,482</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50,349</w:t>
            </w:r>
          </w:p>
        </w:tc>
        <w:tc>
          <w:tcPr>
            <w:tcW w:w="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21,143</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September 30, 2000</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1999</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540" w:type="dxa"/>
            <w:vAlign w:val="bottom"/>
          </w:tcPr>
          <w:p>
            <w:pPr>
              <w:spacing w:after="0"/>
              <w:rPr>
                <w:sz w:val="24"/>
                <w:szCs w:val="24"/>
                <w:color w:val="auto"/>
              </w:rPr>
            </w:pPr>
          </w:p>
        </w:tc>
        <w:tc>
          <w:tcPr>
            <w:tcW w:w="442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(in thousands)</w:t>
            </w: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0"/>
                <w:szCs w:val="20"/>
                <w:color w:val="auto"/>
              </w:rPr>
            </w:pPr>
            <w:r>
              <w:rPr>
                <w:rFonts w:ascii="Courier New" w:cs="Courier New" w:eastAsia="Courier New" w:hAnsi="Courier New"/>
                <w:sz w:val="18"/>
                <w:szCs w:val="18"/>
                <w:color w:val="auto"/>
              </w:rPr>
              <w:t>Total assets by segment:</w:t>
            </w:r>
          </w:p>
        </w:tc>
        <w:tc>
          <w:tcPr>
            <w:tcW w:w="242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$106,761</w:t>
            </w:r>
          </w:p>
        </w:tc>
        <w:tc>
          <w:tcPr>
            <w:tcW w:w="20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$115,671</w:t>
            </w:r>
          </w:p>
        </w:tc>
        <w:tc>
          <w:tcPr>
            <w:tcW w:w="0" w:type="dxa"/>
            <w:vAlign w:val="bottom"/>
          </w:tcPr>
          <w:p>
            <w:pPr>
              <w:spacing w:after="0"/>
              <w:rPr>
                <w:sz w:val="1"/>
                <w:szCs w:val="1"/>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242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11,049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11,758</w:t>
            </w:r>
          </w:p>
        </w:tc>
        <w:tc>
          <w:tcPr>
            <w:tcW w:w="0" w:type="dxa"/>
            <w:vAlign w:val="bottom"/>
          </w:tcPr>
          <w:p>
            <w:pPr>
              <w:spacing w:after="0"/>
              <w:rPr>
                <w:sz w:val="1"/>
                <w:szCs w:val="1"/>
                <w:color w:val="auto"/>
              </w:rPr>
            </w:pPr>
          </w:p>
        </w:tc>
      </w:tr>
      <w:tr>
        <w:trPr>
          <w:trHeight w:val="203"/>
        </w:trPr>
        <w:tc>
          <w:tcPr>
            <w:tcW w:w="454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 assets for reportable segments</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117,810</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127,429</w:t>
            </w:r>
          </w:p>
        </w:tc>
        <w:tc>
          <w:tcPr>
            <w:tcW w:w="0" w:type="dxa"/>
            <w:vAlign w:val="bottom"/>
          </w:tcPr>
          <w:p>
            <w:pPr>
              <w:spacing w:after="0"/>
              <w:rPr>
                <w:sz w:val="1"/>
                <w:szCs w:val="1"/>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 other operating segments</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6,178</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5,419</w:t>
            </w:r>
          </w:p>
        </w:tc>
        <w:tc>
          <w:tcPr>
            <w:tcW w:w="0" w:type="dxa"/>
            <w:vAlign w:val="bottom"/>
          </w:tcPr>
          <w:p>
            <w:pPr>
              <w:spacing w:after="0"/>
              <w:rPr>
                <w:sz w:val="1"/>
                <w:szCs w:val="1"/>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112,250</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87,885</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Total consolidated assets</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$236,238</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$220,733</w:t>
            </w:r>
          </w:p>
        </w:tc>
        <w:tc>
          <w:tcPr>
            <w:tcW w:w="0" w:type="dxa"/>
            <w:vAlign w:val="bottom"/>
          </w:tcPr>
          <w:p>
            <w:pPr>
              <w:spacing w:after="0"/>
              <w:rPr>
                <w:sz w:val="1"/>
                <w:szCs w:val="1"/>
                <w:color w:val="auto"/>
              </w:rPr>
            </w:pPr>
          </w:p>
        </w:tc>
      </w:tr>
      <w:tr>
        <w:trPr>
          <w:trHeight w:val="296"/>
        </w:trPr>
        <w:tc>
          <w:tcPr>
            <w:tcW w:w="4540" w:type="dxa"/>
            <w:vAlign w:val="bottom"/>
          </w:tcPr>
          <w:p>
            <w:pPr>
              <w:spacing w:after="0"/>
              <w:rPr>
                <w:sz w:val="24"/>
                <w:szCs w:val="24"/>
                <w:color w:val="auto"/>
              </w:rPr>
            </w:pPr>
          </w:p>
        </w:tc>
        <w:tc>
          <w:tcPr>
            <w:tcW w:w="2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4 -</w:t>
      </w:r>
      <w:r>
        <w:rPr>
          <w:sz w:val="20"/>
          <w:szCs w:val="20"/>
          <w:color w:val="auto"/>
        </w:rPr>
        <w:tab/>
      </w:r>
      <w:r>
        <w:rPr>
          <w:rFonts w:ascii="Courier New" w:cs="Courier New" w:eastAsia="Courier New" w:hAnsi="Courier New"/>
          <w:sz w:val="16"/>
          <w:szCs w:val="16"/>
          <w:color w:val="auto"/>
        </w:rPr>
        <w:t>SUBSEQUENT EVENT</w:t>
      </w:r>
    </w:p>
    <w:p>
      <w:pPr>
        <w:spacing w:after="0" w:line="31" w:lineRule="exact"/>
        <w:rPr>
          <w:sz w:val="20"/>
          <w:szCs w:val="20"/>
          <w:color w:val="auto"/>
        </w:rPr>
      </w:pPr>
    </w:p>
    <w:p>
      <w:pPr>
        <w:ind w:left="640" w:right="2940"/>
        <w:spacing w:after="0" w:line="247" w:lineRule="auto"/>
        <w:rPr>
          <w:sz w:val="20"/>
          <w:szCs w:val="20"/>
          <w:color w:val="auto"/>
        </w:rPr>
      </w:pPr>
      <w:r>
        <w:rPr>
          <w:rFonts w:ascii="Courier New" w:cs="Courier New" w:eastAsia="Courier New" w:hAnsi="Courier New"/>
          <w:sz w:val="18"/>
          <w:szCs w:val="18"/>
          <w:color w:val="auto"/>
        </w:rPr>
        <w:t>On October 27, 2000 the Company agreed to acquire certain real property in Poway, California consisting of a 338,000 square-foot building on approximately 20 acres of land. The purchase price of $21.3 million was funded from the Company's existing cash reserves. The Company plans on selling its facilities in San Diego, California and moving its corporate headquarters and the San Diego operations of its Delta Design subsidiary to the Poway facility in 2001. Poway is a suburb of San Diego and the new facility is approximately 10 miles from the Company's current San Diego location.</w:t>
      </w:r>
    </w:p>
    <w:p>
      <w:pPr>
        <w:sectPr>
          <w:pgSz w:w="11900" w:h="16838" w:orient="portrait"/>
          <w:cols w:equalWidth="0" w:num="1">
            <w:col w:w="11380"/>
          </w:cols>
          <w:pgMar w:left="240" w:top="285" w:right="279" w:bottom="0" w:gutter="0" w:footer="0" w:header="0"/>
        </w:sectPr>
      </w:pPr>
    </w:p>
    <w:p>
      <w:pPr>
        <w:spacing w:after="0" w:line="3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380"/>
          </w:cols>
          <w:pgMar w:left="240" w:top="285" w:right="279" w:bottom="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280"/>
        <w:spacing w:after="0"/>
        <w:rPr>
          <w:sz w:val="20"/>
          <w:szCs w:val="20"/>
          <w:color w:val="auto"/>
        </w:rPr>
      </w:pPr>
      <w:r>
        <w:rPr>
          <w:rFonts w:ascii="Courier New" w:cs="Courier New" w:eastAsia="Courier New" w:hAnsi="Courier New"/>
          <w:sz w:val="18"/>
          <w:szCs w:val="18"/>
          <w:color w:val="auto"/>
        </w:rPr>
        <w:t>SEPTEMBER 30, 2000</w:t>
      </w:r>
    </w:p>
    <w:p>
      <w:pPr>
        <w:spacing w:after="0" w:line="169"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This Form 10-Q contains certain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various risks and uncertainties, including but not limited to those discussed herein and, in particular, under the caption "Business and Market Risks" that could cause actual results to differ materially from those projected.</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2000 COMPARED TO THIRD QUARTER 1999</w:t>
      </w:r>
    </w:p>
    <w:p>
      <w:pPr>
        <w:ind w:right="1779"/>
        <w:spacing w:after="0" w:line="245" w:lineRule="auto"/>
        <w:rPr>
          <w:sz w:val="20"/>
          <w:szCs w:val="20"/>
          <w:color w:val="auto"/>
        </w:rPr>
      </w:pPr>
      <w:r>
        <w:rPr>
          <w:rFonts w:ascii="Courier New" w:cs="Courier New" w:eastAsia="Courier New" w:hAnsi="Courier New"/>
          <w:sz w:val="18"/>
          <w:szCs w:val="18"/>
          <w:color w:val="auto"/>
        </w:rPr>
        <w:t>Net sales increased 25% to $77.2 million in 2000 compared to net sales of $61.7 million in 1999. Sales of semiconductor test handling equipment in 2000 increased 27% from the 1999 period due to the inclusion of sales of the Company's new Summit handlers and accounted for 87% of consolidated net sales in 2000 versus 86% in 1999. Net sales for the three months ended September 30, 2000 included $17.3 million of sales from the Company's new Summit test handlers that were shipped prior to June 30, 2000. Sales of television cameras and other equipment increased 33% while the combined sales of metal detection and microwave equipment decreased 16%. Export sales accounted for 69% of net sales in the third quarter of 2000 compared to 63% for the year ended December 31, 1999.</w:t>
      </w:r>
    </w:p>
    <w:p>
      <w:pPr>
        <w:spacing w:after="0" w:line="1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Gross margin as a percentage of net sales was 39.7% in 2000, compared to 39.9% in 1999. The slight decline in gross margin was primarily the result of increased provisions for excess inventory in the third quarter of 2000. Research and development expense as a percentage of net sales was 11.8% in 2000, compared to 9.4% in 1999, increasing in absolute dollars from $5.8 million to $9.1 million as a result of increased spending on new product development in the semiconductor equipment business. Selling, general and administrative expense as a percentage of net sales decreased to 10.4% in 2000 from 13.7% in 1999 primarily as a result of the increase in business volume and a reduction in bad debt expense. Interest income increased to $1.6 million in 2000 from $1.1 million in 1999 as a result of an increase in average cash and investment balances and interest rates. The provision for income taxes expressed as a percentage of pre-tax income was 34.6% in the third quarter of 2000 and 34.8% for the third quarter of 1999. As a result of the factors set forth above, net income increased from $7.5 million in 1999 to $9.8 million in 2000.</w:t>
      </w:r>
    </w:p>
    <w:p>
      <w:pPr>
        <w:spacing w:after="0" w:line="291"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8"/>
          <w:szCs w:val="18"/>
          <w:color w:val="auto"/>
        </w:rPr>
        <w:t>NINE MONTHS ENDED SEPTEMBER 30, 2000 COMPARED TO NINE MONTHS ENDED SEPTEMBER 30, 1999</w:t>
      </w:r>
    </w:p>
    <w:p>
      <w:pPr>
        <w:ind w:right="1779"/>
        <w:spacing w:after="0" w:line="245" w:lineRule="auto"/>
        <w:rPr>
          <w:sz w:val="20"/>
          <w:szCs w:val="20"/>
          <w:color w:val="auto"/>
        </w:rPr>
      </w:pPr>
      <w:r>
        <w:rPr>
          <w:rFonts w:ascii="Courier New" w:cs="Courier New" w:eastAsia="Courier New" w:hAnsi="Courier New"/>
          <w:sz w:val="18"/>
          <w:szCs w:val="18"/>
          <w:color w:val="auto"/>
        </w:rPr>
        <w:t>Net sales increased 75% to $236.4 million in 2000 compared to net sales of $134.7 million in 1999. Net sales during the 1999 period were negatively impacted by the semiconductor industry downturn that began in mid 1998. Sales of semiconductor test handling equipment in 2000 increased 87% from the 1999 period and accounted for 87% of consolidated net sales in 2000 versus 82% in 1999. Net sales for the nine months ended September 30, 2000 included $25.6 million of sales from the Company's new Summit test handlers that were shipped in 1999. Sales of television cameras and other equipment increased 41% while the combined sales of metal detection and microwave equipment decreased 4%. Export sales accounted for 63% of net sales for both the first nine months of 2000 and the year ended December 31, 1999.</w:t>
      </w:r>
    </w:p>
    <w:p>
      <w:pPr>
        <w:spacing w:after="0" w:line="3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280"/>
        <w:spacing w:after="0"/>
        <w:rPr>
          <w:sz w:val="20"/>
          <w:szCs w:val="20"/>
          <w:color w:val="auto"/>
        </w:rPr>
      </w:pPr>
      <w:r>
        <w:rPr>
          <w:rFonts w:ascii="Courier New" w:cs="Courier New" w:eastAsia="Courier New" w:hAnsi="Courier New"/>
          <w:sz w:val="18"/>
          <w:szCs w:val="18"/>
          <w:color w:val="auto"/>
        </w:rPr>
        <w:t>SEPTEMBER 30, 2000</w:t>
      </w:r>
    </w:p>
    <w:p>
      <w:pPr>
        <w:spacing w:after="0" w:line="169"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NINE MONTHS ENDED SEPTEMBER 30, 2000 COMPARED TO NINE MONTHS ENDED SEPTEMBER 30, 1999 (CONT.)</w:t>
      </w:r>
    </w:p>
    <w:p>
      <w:pPr>
        <w:spacing w:after="0" w:line="18"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Gross margin as a percentage of net sales was 39.6% in 2000 versus 39.1% in 1999. The improvement in gross margin was primarily the result of increased business volume and changes in product mix, offset by increased provisions for excess inventory. Research and development expense as a percentage of net sales was 10.2% in 2000, compared to 11.2% in 1999, increasing in absolute dollars from $15.1 million to $24.2 million primarily as a result of increased spending on new product development in the semiconductor equipment business. Selling, general and administrative expense as a percentage of net sales decreased to 9.9% in 2000 from 14.6% in 1999 primarily as a result of the increase in business volume. Interest income increased to $4.2 million in 2000 from $3.2 million 1999 as a result of increases in interest rates and average cash and investment balances. The provision for income taxes expressed as a percentage of pre-tax income was 34.8% in the first nine months of 2000 compared to 35.0% for the first nine months of 1999. As a result of the factors set forth above, net income for the nine month period increased to $32.8 million in 2000 from $13.7 million in 1999.</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31" w:lineRule="exact"/>
        <w:rPr>
          <w:sz w:val="20"/>
          <w:szCs w:val="20"/>
          <w:color w:val="auto"/>
        </w:rPr>
      </w:pPr>
    </w:p>
    <w:p>
      <w:pPr>
        <w:ind w:right="1779"/>
        <w:spacing w:after="0" w:line="242" w:lineRule="auto"/>
        <w:rPr>
          <w:sz w:val="20"/>
          <w:szCs w:val="20"/>
          <w:color w:val="auto"/>
        </w:rPr>
      </w:pPr>
      <w:r>
        <w:rPr>
          <w:rFonts w:ascii="Courier New" w:cs="Courier New" w:eastAsia="Courier New" w:hAnsi="Courier New"/>
          <w:sz w:val="18"/>
          <w:szCs w:val="18"/>
          <w:color w:val="auto"/>
        </w:rPr>
        <w:t>The Company's net cash flows provided by operating activities in the first nine months of 2000 totaled $23.3 million. The major components of cash flows provided by operating activities were net income of $32.8 offset by the net change in current assets and liabilities totaling $12.0 million. Net cash provided by investing activities included $15.4 million from maturities of short-term investments, less purchases, offset by purchases of property, plant and equipment and other assets of $2.3 million. Cash provided by financing activities included $3.0 million received from the issuance of stock under stock option and employee stock purchase plans offset by $3.0 million for the payment of dividends. The Company had $10 million available under its bank line of credit and working capital of $179.0 million at September 30, 2000. On October 27, 2000 the Company agreed to acquire certain real property in Poway, California consisting of a 338,000 square-foot building on approximately 20 acres of land. The purchase price of $21.3 million was funded from the Company's existing cash reserves. The Company plans on selling its facilities in San Diego, California and moving its corporate headquarters and the San Diego operations of its Delta Design subsidiary to the Poway facility in 2001. It is anticipated that present working capital and available borrowings under the line of credit will be sufficient to meet the Company's operating requirements for the next twelve months.</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SEMICONDUCTOR INDUSTRY WE SERVE IS HIGHLY VOLATILE AND UNPREDICTABLE.</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may also be subject to similar cycles and severe downturns, such as those experienced in 1996 and 1998. Reductions in capital equipment investment by semiconductor manufacturers will adversely affect our business, financial position and results of operations.</w:t>
      </w:r>
    </w:p>
    <w:p>
      <w:pPr>
        <w:sectPr>
          <w:pgSz w:w="11900" w:h="16838" w:orient="portrait"/>
          <w:cols w:equalWidth="0" w:num="1">
            <w:col w:w="10219"/>
          </w:cols>
          <w:pgMar w:left="240" w:top="285" w:right="1440" w:bottom="1440" w:gutter="0" w:footer="0" w:header="0"/>
        </w:sectPr>
      </w:pP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85"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280"/>
        <w:spacing w:after="0"/>
        <w:rPr>
          <w:sz w:val="20"/>
          <w:szCs w:val="20"/>
          <w:color w:val="auto"/>
        </w:rPr>
      </w:pPr>
      <w:r>
        <w:rPr>
          <w:rFonts w:ascii="Courier New" w:cs="Courier New" w:eastAsia="Courier New" w:hAnsi="Courier New"/>
          <w:sz w:val="18"/>
          <w:szCs w:val="18"/>
          <w:color w:val="auto"/>
        </w:rPr>
        <w:t>SEPTEMBER 30,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1"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NEW ACCOUNTING RULES MAY IMPACT THE TIMING OF REVENUE RECOGNITION AND OPERATING RESULTS.</w:t>
      </w:r>
    </w:p>
    <w:p>
      <w:pPr>
        <w:spacing w:after="0" w:line="18" w:lineRule="exact"/>
        <w:rPr>
          <w:sz w:val="20"/>
          <w:szCs w:val="20"/>
          <w:color w:val="auto"/>
        </w:rPr>
      </w:pPr>
    </w:p>
    <w:p>
      <w:pPr>
        <w:ind w:right="1879"/>
        <w:spacing w:after="0" w:line="282" w:lineRule="auto"/>
        <w:rPr>
          <w:sz w:val="20"/>
          <w:szCs w:val="20"/>
          <w:color w:val="auto"/>
        </w:rPr>
      </w:pPr>
      <w:r>
        <w:rPr>
          <w:rFonts w:ascii="Courier New" w:cs="Courier New" w:eastAsia="Courier New" w:hAnsi="Courier New"/>
          <w:sz w:val="16"/>
          <w:szCs w:val="16"/>
          <w:color w:val="auto"/>
        </w:rPr>
        <w:t>In December 1999, the staff of the Securities and Exchange Commission issued Staff Accounting Bulletin No. 101 ("SAB 101"), Revenue Recognition in Financial Statements. SAB 101 was amended by SAB 101B which delayed the implementation date of SAB 101 for calendar year end reporting companies, including Cohu, to the quarter ending December 31, 2000. The Company is currently evaluating SAB 101 and is uncertain as to what impact, if any, SAB 101 will have on its revenues and results of operations for the quarter and year ending December 31, 2000 and subsequent periods. The impact of SAB 101, if any, will be reported as a change in accounting principle in accordance with APB Opinion No. 20 and FASB Statement No. 3. This may result in a significant cumulative effect change in accounting adjustment that would be reflected in the Company's results of operations for the quarter and year ending December 31, 2000.</w:t>
      </w:r>
    </w:p>
    <w:p>
      <w:pPr>
        <w:spacing w:after="0" w:line="291"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SEMICONDUCTOR EQUIPMENT IS SUBJECT TO RAPID TECHNOLOGICAL CHANGE, PRODUCT INTRODUCTIONS AND TRANSITIONS MAY RESULT IN INVENTORY WRITE-OFFS AND OUR NEW PRODUCT DEVELOPMENT INVOLVES NUMEROUS RISKS AND UNCERTAINTIES.</w:t>
      </w:r>
    </w:p>
    <w:p>
      <w:pPr>
        <w:spacing w:after="0" w:line="66"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including the Company's Castle and Summit handlers, the concentration of our revenues in a limited number of large customers and the custom nature of our inventory parts increases the risk that our established products and related inventory may become obsolete resulting in greater excess and obsolete inventory exposure. This increased exposure resulted in increased inventory reserve requirements during the third quarter of 2000. Future inventory write-offs and increased reserve requirements could have a material adverse impact on our results of operations and financial condition.</w:t>
      </w:r>
    </w:p>
    <w:p>
      <w:pPr>
        <w:spacing w:after="0" w:line="290"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We believe that the rate of change in such processes and IC packages is accelerating. As a result of these changes and other factors, assessing the market potential and commercial viability of new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as a result fail to design and develop products that meet</w:t>
      </w:r>
    </w:p>
    <w:p>
      <w:pPr>
        <w:sectPr>
          <w:pgSz w:w="11900" w:h="16838" w:orient="portrait"/>
          <w:cols w:equalWidth="0" w:num="1">
            <w:col w:w="10219"/>
          </w:cols>
          <w:pgMar w:left="240" w:top="285" w:right="1440" w:bottom="1440" w:gutter="0" w:footer="0" w:header="0"/>
        </w:sectPr>
      </w:pP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85"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280"/>
        <w:spacing w:after="0"/>
        <w:rPr>
          <w:sz w:val="20"/>
          <w:szCs w:val="20"/>
          <w:color w:val="auto"/>
        </w:rPr>
      </w:pPr>
      <w:r>
        <w:rPr>
          <w:rFonts w:ascii="Courier New" w:cs="Courier New" w:eastAsia="Courier New" w:hAnsi="Courier New"/>
          <w:sz w:val="18"/>
          <w:szCs w:val="18"/>
          <w:color w:val="auto"/>
        </w:rPr>
        <w:t>SEPTEMBER 30,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such requirements and achieve market acceptance. Failure to accurately assess customer requirements and market trends for new semiconductor test handler products may have a materially adverse impact on our operations, financial condition and results of operations.</w:t>
      </w:r>
    </w:p>
    <w:p>
      <w:pPr>
        <w:spacing w:after="0" w:line="82"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05"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THE SEMICONDUCTOR EQUIPMENT INDUSTRY IN GENERAL, AND THE TEST HANDLER MARKET IN PARTICULAR, IS HIGHLY COMPETITIVE.</w:t>
      </w:r>
    </w:p>
    <w:p>
      <w:pPr>
        <w:spacing w:after="0" w:line="18"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The semiconductor test handler industry is intensely competitive and we face substantial competition from numerous companies throughout the world. Future competition may include companies that do not currently supply test handlers. While we believe we are the largest U.S. based supplier of semiconductor test handling equipment, we face substantial competition in the U.S. and throughout the world.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to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w:t>
      </w:r>
    </w:p>
    <w:p>
      <w:pPr>
        <w:spacing w:after="0" w:line="12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A LIMITED NUMBER OF CUSTOMERS ACCOUNT FOR A SUBSTANTIAL PERCENTAGE OF OUR NET SALES.</w:t>
      </w:r>
    </w:p>
    <w:p>
      <w:pPr>
        <w:spacing w:after="0" w:line="18"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We rely on a limited number of customers for a substantial percentage of our net sales. In 1999, four customers of the semiconductor equipment segment accounted for 46% (60% in 1998) of our net sales. The loss of or a significant reduction in orders by these or other significant customers as a result of competitive products, market conditions, outsourcing final IC test to third parties that are not our customers or other factors, would adversely impact our financial condition and results of operations. Furthermore, the concentration of our revenues in a limited number of large customers may cause significant fluctuations in our future annual and quarterly operating results.</w:t>
      </w:r>
    </w:p>
    <w:p>
      <w:pPr>
        <w:sectPr>
          <w:pgSz w:w="11900" w:h="16838" w:orient="portrait"/>
          <w:cols w:equalWidth="0" w:num="1">
            <w:col w:w="10219"/>
          </w:cols>
          <w:pgMar w:left="240" w:top="285" w:right="1440" w:bottom="1440" w:gutter="0" w:footer="0" w:header="0"/>
        </w:sectPr>
      </w:pP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85"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280"/>
        <w:spacing w:after="0"/>
        <w:rPr>
          <w:sz w:val="20"/>
          <w:szCs w:val="20"/>
          <w:color w:val="auto"/>
        </w:rPr>
      </w:pPr>
      <w:r>
        <w:rPr>
          <w:rFonts w:ascii="Courier New" w:cs="Courier New" w:eastAsia="Courier New" w:hAnsi="Courier New"/>
          <w:sz w:val="18"/>
          <w:szCs w:val="18"/>
          <w:color w:val="auto"/>
        </w:rPr>
        <w:t>SEPTEMBER 30,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BACKLOG IS LIMITED AND MAY NOT ACCURATELY REFLECT FUTURE BUSINESS ACTIVITY.</w:t>
      </w:r>
    </w:p>
    <w:p>
      <w:pPr>
        <w:spacing w:after="0" w:line="224"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Our order backlog has historically represented approximately three months of revenue and as a result our visibility over future business activity is limited. A significant portion of our semiconductor test handling equipment backlog at September 30, 2000 was for new products, including the Castle and Summit test handlers. Due to the possibility of customer changes in delivery schedules, cancellation of orders, potential delays in product shipments, difficulties in obtaining inventory parts from suppliers and failure to satisfy customer acceptance requirements, our backlog as of any point in time may not be representative of actual sales in any future period. Furthermore, all orders are subject to cancellation or rescheduling by the customer with limited penalty. A reduction in backlog during any particular period, such as occurred in the third quarter of 2000 where the Company's backlog declined to $51.8 million at September 30, 2000 from $72.9 at December 31, 1999, could have a material adverse effect on our business, financial condition and results of operations.</w:t>
      </w:r>
    </w:p>
    <w:p>
      <w:pPr>
        <w:spacing w:after="0" w:line="290"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CYCLICAL NATURE OF THE SEMICONDUCTOR INDUSTRY PLACES ENORMOUS DEMANDS ON OUR OPERATIONS AND INFRASTRUCTURE.</w:t>
      </w:r>
    </w:p>
    <w:p>
      <w:pPr>
        <w:spacing w:after="0" w:line="1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Such radical changes in workforce levels place enormous demands on our operations and infrastructure since newly hired personnel rarely possess the expertise and level of experience of current employees. We have in the past and may in the future experience difficulties, particularly in manufacturing, in training the large number of additions to our workforce. In addition, competition for the employment services of certain personnel, particularly those with technical skills, is intense. The volatility in headcount and business levels, combined with the cyclical nature of the semiconductor industry, may require that we invest substantial amounts in new operational and financial systems, procedures and controls and in improved and expanded facilities.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298" w:lineRule="exact"/>
        <w:rPr>
          <w:sz w:val="20"/>
          <w:szCs w:val="20"/>
          <w:color w:val="auto"/>
        </w:rPr>
      </w:pPr>
    </w:p>
    <w:p>
      <w:pPr>
        <w:ind w:right="2739"/>
        <w:spacing w:after="0" w:line="347" w:lineRule="auto"/>
        <w:rPr>
          <w:sz w:val="20"/>
          <w:szCs w:val="20"/>
          <w:color w:val="auto"/>
        </w:rPr>
      </w:pPr>
      <w:r>
        <w:rPr>
          <w:rFonts w:ascii="Courier New" w:cs="Courier New" w:eastAsia="Courier New" w:hAnsi="Courier New"/>
          <w:sz w:val="18"/>
          <w:szCs w:val="18"/>
          <w:color w:val="auto"/>
        </w:rPr>
        <w:t>WE HAVE EXPERIENCED A SIGNIFICANT DECLINE IN TEST HANDLER SALES TO DRAM CUSTOMERS.</w:t>
      </w:r>
    </w:p>
    <w:p>
      <w:pPr>
        <w:spacing w:after="0" w:line="18" w:lineRule="exact"/>
        <w:rPr>
          <w:sz w:val="20"/>
          <w:szCs w:val="20"/>
          <w:color w:val="auto"/>
        </w:rPr>
      </w:pPr>
    </w:p>
    <w:p>
      <w:pPr>
        <w:ind w:right="1879"/>
        <w:spacing w:after="0" w:line="287" w:lineRule="auto"/>
        <w:rPr>
          <w:sz w:val="20"/>
          <w:szCs w:val="20"/>
          <w:color w:val="auto"/>
        </w:rPr>
      </w:pPr>
      <w:r>
        <w:rPr>
          <w:rFonts w:ascii="Courier New" w:cs="Courier New" w:eastAsia="Courier New" w:hAnsi="Courier New"/>
          <w:sz w:val="16"/>
          <w:szCs w:val="16"/>
          <w:color w:val="auto"/>
        </w:rPr>
        <w:t>Sales of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IC handlers used in DRAM applications account for a significant portion of the worldwide IC handler market. If we are unable to successfully develop and market new products or enhancements to existing products for DRAM applications our results of operations will be adversely impacted.</w:t>
      </w:r>
    </w:p>
    <w:p>
      <w:pPr>
        <w:sectPr>
          <w:pgSz w:w="11900" w:h="16838" w:orient="portrait"/>
          <w:cols w:equalWidth="0" w:num="1">
            <w:col w:w="10219"/>
          </w:cols>
          <w:pgMar w:left="240" w:top="285" w:right="1440" w:bottom="1440" w:gutter="0" w:footer="0" w:header="0"/>
        </w:sectPr>
      </w:pPr>
    </w:p>
    <w:p>
      <w:pPr>
        <w:spacing w:after="0" w:line="27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85"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280"/>
        <w:spacing w:after="0"/>
        <w:rPr>
          <w:sz w:val="20"/>
          <w:szCs w:val="20"/>
          <w:color w:val="auto"/>
        </w:rPr>
      </w:pPr>
      <w:r>
        <w:rPr>
          <w:rFonts w:ascii="Courier New" w:cs="Courier New" w:eastAsia="Courier New" w:hAnsi="Courier New"/>
          <w:sz w:val="18"/>
          <w:szCs w:val="18"/>
          <w:color w:val="auto"/>
        </w:rPr>
        <w:t>SEPTEMBER 30,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EXPOSED TO THE RISKS OF OPERATING A GLOBAL BUSINESS.</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04"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FAILURE OF CRITICAL SUPPLIERS TO DELIVER SUFFICIENT QUANTITIES OF PARTS IN A TIMELY AND COST-EFFECTIVE MANNER COULD ADVERSELY IMPACT OUR OPERATIONS.</w:t>
      </w:r>
    </w:p>
    <w:p>
      <w:pPr>
        <w:spacing w:after="0" w:line="18"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04"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WE ARE EXPOSED TO THE RISK THAT THIRD PARTIES MAY VIOLATE OUR PROPRIETARY RIGHTS OR ACCUSE US OF INFRINGING UPON THEIR PROPRIETARY RIGHTS.</w:t>
      </w:r>
    </w:p>
    <w:p>
      <w:pPr>
        <w:spacing w:after="0" w:line="18" w:lineRule="exact"/>
        <w:rPr>
          <w:sz w:val="20"/>
          <w:szCs w:val="20"/>
          <w:color w:val="auto"/>
        </w:rPr>
      </w:pPr>
    </w:p>
    <w:p>
      <w:pPr>
        <w:ind w:right="1999"/>
        <w:spacing w:after="0" w:line="282" w:lineRule="auto"/>
        <w:rPr>
          <w:sz w:val="20"/>
          <w:szCs w:val="20"/>
          <w:color w:val="auto"/>
        </w:rPr>
      </w:pPr>
      <w:r>
        <w:rPr>
          <w:rFonts w:ascii="Courier New" w:cs="Courier New" w:eastAsia="Courier New" w:hAnsi="Courier New"/>
          <w:sz w:val="16"/>
          <w:szCs w:val="16"/>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291" w:lineRule="exact"/>
        <w:rPr>
          <w:sz w:val="20"/>
          <w:szCs w:val="20"/>
          <w:color w:val="auto"/>
        </w:rPr>
      </w:pPr>
    </w:p>
    <w:p>
      <w:pPr>
        <w:ind w:right="2319"/>
        <w:spacing w:after="0" w:line="344" w:lineRule="auto"/>
        <w:rPr>
          <w:sz w:val="20"/>
          <w:szCs w:val="20"/>
          <w:color w:val="auto"/>
        </w:rPr>
      </w:pPr>
      <w:r>
        <w:rPr>
          <w:rFonts w:ascii="Courier New" w:cs="Courier New" w:eastAsia="Courier New" w:hAnsi="Courier New"/>
          <w:sz w:val="16"/>
          <w:szCs w:val="16"/>
          <w:color w:val="auto"/>
        </w:rPr>
        <w:t>A MAJORITY OF OUR REVENUES ARE GENERATED FROM EXPORTS TO FOREIGN COUNTRIES, PRIMARILY IN ASIA, THAT ARE SUBJECT TO ECONOMIC INSTABILITY AND WE COMPETE AGAINST A NUMBER OF ASIAN TEST HANDLING EQUIPMENT SUPPLIERS.</w:t>
      </w:r>
    </w:p>
    <w:p>
      <w:pPr>
        <w:spacing w:after="0" w:line="3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During 1999, 63% of our total net sales were exported to foreign countries, including 72%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w:t>
      </w:r>
    </w:p>
    <w:p>
      <w:pPr>
        <w:sectPr>
          <w:pgSz w:w="11900" w:h="16838" w:orient="portrait"/>
          <w:cols w:equalWidth="0" w:num="1">
            <w:col w:w="10219"/>
          </w:cols>
          <w:pgMar w:left="240" w:top="285" w:right="1440" w:bottom="1440" w:gutter="0" w:footer="0" w:header="0"/>
        </w:sectPr>
      </w:pP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85"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3280"/>
        <w:spacing w:after="0"/>
        <w:rPr>
          <w:sz w:val="20"/>
          <w:szCs w:val="20"/>
          <w:color w:val="auto"/>
        </w:rPr>
      </w:pPr>
      <w:r>
        <w:rPr>
          <w:rFonts w:ascii="Courier New" w:cs="Courier New" w:eastAsia="Courier New" w:hAnsi="Courier New"/>
          <w:sz w:val="18"/>
          <w:szCs w:val="18"/>
          <w:color w:val="auto"/>
        </w:rPr>
        <w:t>SEPTEMBER 30,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 (CONT.)</w:t>
      </w:r>
    </w:p>
    <w:p>
      <w:pPr>
        <w:spacing w:after="0" w:line="201"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292"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OUR NON SEMICONDUCTOR EQUIPMENT BUSINESSES HAVE EXPERIENCED LITTLE OR NO GROWTH AND DECLINING PROFITABILITY OVER THE LAST FIVE YEARS.</w:t>
      </w:r>
    </w:p>
    <w:p>
      <w:pPr>
        <w:spacing w:after="0" w:line="18"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8"/>
          <w:szCs w:val="18"/>
          <w:color w:val="auto"/>
        </w:rPr>
        <w:t>We develop, manufacture and sell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these businesses over the last several years and the future prospects for certain of these businesses remain uncertain. We may not be able to continue to compete successfully in any of these businesses.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INTEREST RATE RISK</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At September 30, 2000 our investment portfolio includes fixed-income securities of approximately $91 million. These securities are subject to interest rate risk and will decline in value if interest rates increase. Due to the relatively short duration of our investment portfolio, an immediate 10 percent increase in interest rates would have no material impact on our financial condition or results of operations.</w:t>
      </w:r>
    </w:p>
    <w:p>
      <w:pPr>
        <w:spacing w:after="0" w:line="9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FOREIGN CURRENCY EXCHANGE RISK.</w:t>
      </w:r>
    </w:p>
    <w:p>
      <w:pPr>
        <w:spacing w:after="0" w:line="201"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We generally conduct business, including sales to foreign customers, in U.S. dollars and as a result have limited foreign currency exchange rate risk. Monetary assets and liabilities of Cohu's foreign operations are not significant. The effect of an immediate 10 percent change in foreign exchange rates would not have a material impact on our financial condition or results of operations.</w:t>
      </w:r>
    </w:p>
    <w:p>
      <w:pPr>
        <w:spacing w:after="0" w:line="295"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1999 Annual Report on Form 10-K, that could cause actual results to differ materially from those projected or forecasted. Cohu undertakes no obligation to update the information, including the forward-looking statements, in this Form 10-Q.</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31" w:lineRule="exact"/>
        <w:rPr>
          <w:sz w:val="20"/>
          <w:szCs w:val="20"/>
          <w:color w:val="auto"/>
        </w:rPr>
      </w:pPr>
    </w:p>
    <w:p>
      <w:pPr>
        <w:ind w:left="1060" w:right="1879"/>
        <w:spacing w:after="0" w:line="281" w:lineRule="auto"/>
        <w:rPr>
          <w:sz w:val="20"/>
          <w:szCs w:val="20"/>
          <w:color w:val="auto"/>
        </w:rPr>
      </w:pPr>
      <w:r>
        <w:rPr>
          <w:rFonts w:ascii="Courier New" w:cs="Courier New" w:eastAsia="Courier New" w:hAnsi="Courier New"/>
          <w:sz w:val="16"/>
          <w:szCs w:val="16"/>
          <w:color w:val="auto"/>
        </w:rPr>
        <w:t>On October 27, 2000 the Company agreed to acquire certain real property in Poway, California consisting of a 338,000 square-foot building on approximately 20 acres of land. The purchase price of $21.3 million was funded from the Company's existing cash reserves. The Company plans on selling its facilities in San Diego, California and moving its corporate headquarters and the San Diego operations of its Delta Design subsidiary to the Poway facility in 2001. Poway is a suburb of San Diego and the new facility is approximately 10 miles from the Company's current San Diego location.</w:t>
      </w:r>
    </w:p>
    <w:p>
      <w:pPr>
        <w:spacing w:after="0" w:line="28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800" w:hanging="528"/>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27.1 - Financial Data Schedule</w:t>
      </w:r>
    </w:p>
    <w:p>
      <w:pPr>
        <w:spacing w:after="0" w:line="201" w:lineRule="exact"/>
        <w:rPr>
          <w:rFonts w:ascii="Courier New" w:cs="Courier New" w:eastAsia="Courier New" w:hAnsi="Courier New"/>
          <w:sz w:val="18"/>
          <w:szCs w:val="18"/>
          <w:color w:val="auto"/>
        </w:rPr>
      </w:pPr>
    </w:p>
    <w:p>
      <w:pPr>
        <w:ind w:left="1800" w:right="2099" w:hanging="528"/>
        <w:spacing w:after="0" w:line="347" w:lineRule="auto"/>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September 30, 2000.</w:t>
      </w: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COHU, INC.</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Donahue</w:t>
      </w:r>
    </w:p>
    <w:p>
      <w:pPr>
        <w:spacing w:after="0"/>
        <w:rPr>
          <w:sz w:val="20"/>
          <w:szCs w:val="20"/>
          <w:color w:val="auto"/>
        </w:rPr>
      </w:pPr>
      <w:r>
        <w:rPr>
          <w:rFonts w:ascii="Courier New" w:cs="Courier New" w:eastAsia="Courier New" w:hAnsi="Courier New"/>
          <w:sz w:val="18"/>
          <w:szCs w:val="18"/>
          <w:color w:val="auto"/>
        </w:rPr>
        <w:t>President &amp; Chief Executive Officer</w:t>
      </w:r>
    </w:p>
    <w:p>
      <w:pPr>
        <w:spacing w:after="0" w:line="200" w:lineRule="exact"/>
        <w:rPr>
          <w:sz w:val="20"/>
          <w:szCs w:val="20"/>
          <w:color w:val="auto"/>
        </w:rPr>
      </w:pPr>
    </w:p>
    <w:p>
      <w:pPr>
        <w:sectPr>
          <w:pgSz w:w="11900" w:h="16838" w:orient="portrait"/>
          <w:cols w:equalWidth="0" w:num="2">
            <w:col w:w="3920" w:space="720"/>
            <w:col w:w="5579"/>
          </w:cols>
          <w:pgMar w:left="240" w:top="285" w:right="1440"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2000</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 Chief</w:t>
      </w: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2">
            <w:col w:w="3920" w:space="720"/>
            <w:col w:w="5579"/>
          </w:cols>
          <w:pgMar w:left="240" w:top="285" w:right="1440" w:bottom="1440" w:gutter="0" w:footer="0" w:header="0"/>
          <w:type w:val="continuous"/>
        </w:sect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85" w:right="1440" w:bottom="1440" w:gutter="0" w:footer="0" w:header="0"/>
          <w:type w:val="continuous"/>
        </w:sectPr>
      </w:pPr>
    </w:p>
    <w:bookmarkStart w:id="16" w:name="page17"/>
    <w:bookmarkEnd w:id="16"/>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2379"/>
        <w:spacing w:after="0" w:line="292" w:lineRule="auto"/>
        <w:rPr>
          <w:sz w:val="20"/>
          <w:szCs w:val="20"/>
          <w:color w:val="auto"/>
        </w:rPr>
      </w:pPr>
      <w:r>
        <w:rPr>
          <w:rFonts w:ascii="Courier New" w:cs="Courier New" w:eastAsia="Courier New" w:hAnsi="Courier New"/>
          <w:sz w:val="18"/>
          <w:szCs w:val="18"/>
          <w:color w:val="auto"/>
        </w:rPr>
        <w:t>THIS SCHEDULE CONTAINS SUMMARY FINANCIAL INFORMATION EXTRACTED FROM 2000 FINANCIAL STATEMENTS AND IS QUALIFIED IN ITS ENTIRETY BY TO SUCH FINANCIAL STATEMENTS.</w:t>
      </w:r>
    </w:p>
    <w:p>
      <w:pPr>
        <w:spacing w:after="0" w:line="66"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spacing w:after="0" w:line="2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DEC-31-2000</w:t>
      </w:r>
    </w:p>
    <w:p>
      <w:pPr>
        <w:ind w:left="3020"/>
        <w:spacing w:after="0" w:line="238" w:lineRule="auto"/>
        <w:rPr>
          <w:sz w:val="20"/>
          <w:szCs w:val="20"/>
          <w:color w:val="auto"/>
        </w:rPr>
      </w:pPr>
      <w:r>
        <w:rPr>
          <w:rFonts w:ascii="Courier New" w:cs="Courier New" w:eastAsia="Courier New" w:hAnsi="Courier New"/>
          <w:sz w:val="18"/>
          <w:szCs w:val="18"/>
          <w:color w:val="auto"/>
        </w:rPr>
        <w:t>JAN-01-2000</w:t>
      </w:r>
    </w:p>
    <w:p>
      <w:pPr>
        <w:ind w:left="3240"/>
        <w:spacing w:after="0"/>
        <w:rPr>
          <w:sz w:val="20"/>
          <w:szCs w:val="20"/>
          <w:color w:val="auto"/>
        </w:rPr>
      </w:pPr>
      <w:r>
        <w:rPr>
          <w:rFonts w:ascii="Courier New" w:cs="Courier New" w:eastAsia="Courier New" w:hAnsi="Courier New"/>
          <w:sz w:val="18"/>
          <w:szCs w:val="18"/>
          <w:color w:val="auto"/>
        </w:rPr>
        <w:t>SEP-30-2000</w:t>
      </w:r>
    </w:p>
    <w:p>
      <w:pPr>
        <w:ind w:left="4400"/>
        <w:spacing w:after="0" w:line="238" w:lineRule="auto"/>
        <w:rPr>
          <w:sz w:val="20"/>
          <w:szCs w:val="20"/>
          <w:color w:val="auto"/>
        </w:rPr>
      </w:pPr>
      <w:r>
        <w:rPr>
          <w:rFonts w:ascii="Courier New" w:cs="Courier New" w:eastAsia="Courier New" w:hAnsi="Courier New"/>
          <w:sz w:val="18"/>
          <w:szCs w:val="18"/>
          <w:color w:val="auto"/>
        </w:rPr>
        <w:t>92,318</w:t>
      </w:r>
    </w:p>
    <w:p>
      <w:pPr>
        <w:ind w:left="3760"/>
        <w:spacing w:after="0"/>
        <w:rPr>
          <w:sz w:val="20"/>
          <w:szCs w:val="20"/>
          <w:color w:val="auto"/>
        </w:rPr>
      </w:pPr>
      <w:r>
        <w:rPr>
          <w:rFonts w:ascii="Courier New" w:cs="Courier New" w:eastAsia="Courier New" w:hAnsi="Courier New"/>
          <w:sz w:val="18"/>
          <w:szCs w:val="18"/>
          <w:color w:val="auto"/>
        </w:rPr>
        <w:t>10,240</w:t>
      </w:r>
    </w:p>
    <w:p>
      <w:pPr>
        <w:ind w:left="3660"/>
        <w:spacing w:after="0" w:line="238" w:lineRule="auto"/>
        <w:rPr>
          <w:sz w:val="20"/>
          <w:szCs w:val="20"/>
          <w:color w:val="auto"/>
        </w:rPr>
      </w:pPr>
      <w:r>
        <w:rPr>
          <w:rFonts w:ascii="Courier New" w:cs="Courier New" w:eastAsia="Courier New" w:hAnsi="Courier New"/>
          <w:sz w:val="18"/>
          <w:szCs w:val="18"/>
          <w:color w:val="auto"/>
        </w:rPr>
        <w:t>52,874</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49,218</w:t>
      </w:r>
    </w:p>
    <w:p>
      <w:pPr>
        <w:ind w:left="3240"/>
        <w:spacing w:after="0"/>
        <w:rPr>
          <w:sz w:val="20"/>
          <w:szCs w:val="20"/>
          <w:color w:val="auto"/>
        </w:rPr>
      </w:pPr>
      <w:r>
        <w:rPr>
          <w:rFonts w:ascii="Courier New" w:cs="Courier New" w:eastAsia="Courier New" w:hAnsi="Courier New"/>
          <w:sz w:val="18"/>
          <w:szCs w:val="18"/>
          <w:color w:val="auto"/>
        </w:rPr>
        <w:t>218,470</w:t>
      </w:r>
    </w:p>
    <w:p>
      <w:pPr>
        <w:ind w:left="4400"/>
        <w:spacing w:after="0" w:line="238" w:lineRule="auto"/>
        <w:rPr>
          <w:sz w:val="20"/>
          <w:szCs w:val="20"/>
          <w:color w:val="auto"/>
        </w:rPr>
      </w:pPr>
      <w:r>
        <w:rPr>
          <w:rFonts w:ascii="Courier New" w:cs="Courier New" w:eastAsia="Courier New" w:hAnsi="Courier New"/>
          <w:sz w:val="18"/>
          <w:szCs w:val="18"/>
          <w:color w:val="auto"/>
        </w:rPr>
        <w:t>37,084</w:t>
      </w:r>
    </w:p>
    <w:p>
      <w:pPr>
        <w:ind w:left="3540"/>
        <w:spacing w:after="0"/>
        <w:rPr>
          <w:sz w:val="20"/>
          <w:szCs w:val="20"/>
          <w:color w:val="auto"/>
        </w:rPr>
      </w:pPr>
      <w:r>
        <w:rPr>
          <w:rFonts w:ascii="Courier New" w:cs="Courier New" w:eastAsia="Courier New" w:hAnsi="Courier New"/>
          <w:sz w:val="18"/>
          <w:szCs w:val="18"/>
          <w:color w:val="auto"/>
        </w:rPr>
        <w:t>20,052</w:t>
      </w:r>
    </w:p>
    <w:p>
      <w:pPr>
        <w:ind w:left="3440"/>
        <w:spacing w:after="0" w:line="238" w:lineRule="auto"/>
        <w:rPr>
          <w:sz w:val="20"/>
          <w:szCs w:val="20"/>
          <w:color w:val="auto"/>
        </w:rPr>
      </w:pPr>
      <w:r>
        <w:rPr>
          <w:rFonts w:ascii="Courier New" w:cs="Courier New" w:eastAsia="Courier New" w:hAnsi="Courier New"/>
          <w:sz w:val="18"/>
          <w:szCs w:val="18"/>
          <w:color w:val="auto"/>
        </w:rPr>
        <w:t>236,238</w:t>
      </w:r>
    </w:p>
    <w:p>
      <w:pPr>
        <w:ind w:left="2820"/>
        <w:spacing w:after="0"/>
        <w:rPr>
          <w:sz w:val="20"/>
          <w:szCs w:val="20"/>
          <w:color w:val="auto"/>
        </w:rPr>
      </w:pPr>
      <w:r>
        <w:rPr>
          <w:rFonts w:ascii="Courier New" w:cs="Courier New" w:eastAsia="Courier New" w:hAnsi="Courier New"/>
          <w:sz w:val="18"/>
          <w:szCs w:val="18"/>
          <w:color w:val="auto"/>
        </w:rPr>
        <w:t>39,450</w:t>
      </w:r>
    </w:p>
    <w:p>
      <w:pPr>
        <w:jc w:val="center"/>
        <w:ind w:right="439"/>
        <w:spacing w:after="0" w:line="238"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4180"/>
        <w:spacing w:after="0"/>
        <w:rPr>
          <w:sz w:val="20"/>
          <w:szCs w:val="20"/>
          <w:color w:val="auto"/>
        </w:rPr>
      </w:pPr>
      <w:r>
        <w:rPr>
          <w:rFonts w:ascii="Courier New" w:cs="Courier New" w:eastAsia="Courier New" w:hAnsi="Courier New"/>
          <w:sz w:val="18"/>
          <w:szCs w:val="18"/>
          <w:color w:val="auto"/>
        </w:rPr>
        <w:t>20,253</w:t>
      </w:r>
    </w:p>
    <w:p>
      <w:pPr>
        <w:ind w:left="3860"/>
        <w:spacing w:after="0" w:line="238" w:lineRule="auto"/>
        <w:rPr>
          <w:sz w:val="20"/>
          <w:szCs w:val="20"/>
          <w:color w:val="auto"/>
        </w:rPr>
      </w:pPr>
      <w:r>
        <w:rPr>
          <w:rFonts w:ascii="Courier New" w:cs="Courier New" w:eastAsia="Courier New" w:hAnsi="Courier New"/>
          <w:sz w:val="18"/>
          <w:szCs w:val="18"/>
          <w:color w:val="auto"/>
        </w:rPr>
        <w:t>174,896</w:t>
      </w:r>
    </w:p>
    <w:p>
      <w:pPr>
        <w:ind w:left="1960"/>
        <w:spacing w:after="0"/>
        <w:rPr>
          <w:sz w:val="20"/>
          <w:szCs w:val="20"/>
          <w:color w:val="auto"/>
        </w:rPr>
      </w:pPr>
      <w:r>
        <w:rPr>
          <w:rFonts w:ascii="Courier New" w:cs="Courier New" w:eastAsia="Courier New" w:hAnsi="Courier New"/>
          <w:sz w:val="18"/>
          <w:szCs w:val="18"/>
          <w:color w:val="auto"/>
        </w:rPr>
        <w:t>236,238</w:t>
      </w:r>
    </w:p>
    <w:p>
      <w:pPr>
        <w:ind w:left="4180"/>
        <w:spacing w:after="0" w:line="238" w:lineRule="auto"/>
        <w:rPr>
          <w:sz w:val="20"/>
          <w:szCs w:val="20"/>
          <w:color w:val="auto"/>
        </w:rPr>
      </w:pPr>
      <w:r>
        <w:rPr>
          <w:rFonts w:ascii="Courier New" w:cs="Courier New" w:eastAsia="Courier New" w:hAnsi="Courier New"/>
          <w:sz w:val="18"/>
          <w:szCs w:val="18"/>
          <w:color w:val="auto"/>
        </w:rPr>
        <w:t>236,406</w:t>
      </w:r>
    </w:p>
    <w:p>
      <w:pPr>
        <w:ind w:left="3240"/>
        <w:spacing w:after="0"/>
        <w:rPr>
          <w:sz w:val="20"/>
          <w:szCs w:val="20"/>
          <w:color w:val="auto"/>
        </w:rPr>
      </w:pPr>
      <w:r>
        <w:rPr>
          <w:rFonts w:ascii="Courier New" w:cs="Courier New" w:eastAsia="Courier New" w:hAnsi="Courier New"/>
          <w:sz w:val="18"/>
          <w:szCs w:val="18"/>
          <w:color w:val="auto"/>
        </w:rPr>
        <w:t>236,406</w:t>
      </w:r>
    </w:p>
    <w:p>
      <w:pPr>
        <w:ind w:left="4400"/>
        <w:spacing w:after="0" w:line="238" w:lineRule="auto"/>
        <w:rPr>
          <w:sz w:val="20"/>
          <w:szCs w:val="20"/>
          <w:color w:val="auto"/>
        </w:rPr>
      </w:pPr>
      <w:r>
        <w:rPr>
          <w:rFonts w:ascii="Courier New" w:cs="Courier New" w:eastAsia="Courier New" w:hAnsi="Courier New"/>
          <w:sz w:val="18"/>
          <w:szCs w:val="18"/>
          <w:color w:val="auto"/>
        </w:rPr>
        <w:t>142,716</w:t>
      </w:r>
    </w:p>
    <w:p>
      <w:pPr>
        <w:jc w:val="center"/>
        <w:ind w:right="2339"/>
        <w:spacing w:after="0"/>
        <w:rPr>
          <w:sz w:val="20"/>
          <w:szCs w:val="20"/>
          <w:color w:val="auto"/>
        </w:rPr>
      </w:pPr>
      <w:r>
        <w:rPr>
          <w:rFonts w:ascii="Courier New" w:cs="Courier New" w:eastAsia="Courier New" w:hAnsi="Courier New"/>
          <w:sz w:val="18"/>
          <w:szCs w:val="18"/>
          <w:color w:val="auto"/>
        </w:rPr>
        <w:t>142,716</w:t>
      </w:r>
    </w:p>
    <w:p>
      <w:pPr>
        <w:jc w:val="center"/>
        <w:ind w:right="2339"/>
        <w:spacing w:after="0" w:line="238" w:lineRule="auto"/>
        <w:rPr>
          <w:sz w:val="20"/>
          <w:szCs w:val="20"/>
          <w:color w:val="auto"/>
        </w:rPr>
      </w:pPr>
      <w:r>
        <w:rPr>
          <w:rFonts w:ascii="Courier New" w:cs="Courier New" w:eastAsia="Courier New" w:hAnsi="Courier New"/>
          <w:sz w:val="18"/>
          <w:szCs w:val="18"/>
          <w:color w:val="auto"/>
        </w:rPr>
        <w:t>0</w:t>
      </w:r>
    </w:p>
    <w:p>
      <w:pPr>
        <w:jc w:val="center"/>
        <w:ind w:right="2339"/>
        <w:spacing w:after="0"/>
        <w:rPr>
          <w:sz w:val="20"/>
          <w:szCs w:val="20"/>
          <w:color w:val="auto"/>
        </w:rPr>
      </w:pPr>
      <w:r>
        <w:rPr>
          <w:rFonts w:ascii="Courier New" w:cs="Courier New" w:eastAsia="Courier New" w:hAnsi="Courier New"/>
          <w:sz w:val="18"/>
          <w:szCs w:val="18"/>
          <w:color w:val="auto"/>
        </w:rPr>
        <w:t>0</w:t>
      </w:r>
    </w:p>
    <w:p>
      <w:pPr>
        <w:ind w:left="3660"/>
        <w:spacing w:after="0" w:line="238"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50,349</w:t>
      </w:r>
    </w:p>
    <w:p>
      <w:pPr>
        <w:ind w:left="3760"/>
        <w:spacing w:after="0" w:line="238" w:lineRule="auto"/>
        <w:rPr>
          <w:sz w:val="20"/>
          <w:szCs w:val="20"/>
          <w:color w:val="auto"/>
        </w:rPr>
      </w:pPr>
      <w:r>
        <w:rPr>
          <w:rFonts w:ascii="Courier New" w:cs="Courier New" w:eastAsia="Courier New" w:hAnsi="Courier New"/>
          <w:sz w:val="18"/>
          <w:szCs w:val="18"/>
          <w:color w:val="auto"/>
        </w:rPr>
        <w:t>17,500</w:t>
      </w:r>
    </w:p>
    <w:p>
      <w:pPr>
        <w:ind w:left="3020"/>
        <w:spacing w:after="0"/>
        <w:rPr>
          <w:sz w:val="20"/>
          <w:szCs w:val="20"/>
          <w:color w:val="auto"/>
        </w:rPr>
      </w:pPr>
      <w:r>
        <w:rPr>
          <w:rFonts w:ascii="Courier New" w:cs="Courier New" w:eastAsia="Courier New" w:hAnsi="Courier New"/>
          <w:sz w:val="18"/>
          <w:szCs w:val="18"/>
          <w:color w:val="auto"/>
        </w:rPr>
        <w:t>32,849</w:t>
      </w:r>
    </w:p>
    <w:p>
      <w:pPr>
        <w:ind w:left="4080"/>
        <w:spacing w:after="0" w:line="238"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8"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32,849</w:t>
      </w:r>
    </w:p>
    <w:p>
      <w:pPr>
        <w:ind w:left="4080"/>
        <w:spacing w:after="0" w:line="238" w:lineRule="auto"/>
        <w:rPr>
          <w:sz w:val="20"/>
          <w:szCs w:val="20"/>
          <w:color w:val="auto"/>
        </w:rPr>
      </w:pPr>
      <w:r>
        <w:rPr>
          <w:rFonts w:ascii="Courier New" w:cs="Courier New" w:eastAsia="Courier New" w:hAnsi="Courier New"/>
          <w:sz w:val="18"/>
          <w:szCs w:val="18"/>
          <w:color w:val="auto"/>
        </w:rPr>
        <w:t>1.63</w:t>
      </w:r>
    </w:p>
    <w:p>
      <w:pPr>
        <w:ind w:left="3860"/>
        <w:spacing w:after="0"/>
        <w:rPr>
          <w:sz w:val="20"/>
          <w:szCs w:val="20"/>
          <w:color w:val="auto"/>
        </w:rPr>
      </w:pPr>
      <w:r>
        <w:rPr>
          <w:rFonts w:ascii="Courier New" w:cs="Courier New" w:eastAsia="Courier New" w:hAnsi="Courier New"/>
          <w:sz w:val="18"/>
          <w:szCs w:val="18"/>
          <w:color w:val="auto"/>
        </w:rPr>
        <w:t>1.55</w:t>
      </w:r>
    </w:p>
    <w:sectPr>
      <w:pgSz w:w="11900" w:h="16838" w:orient="portrait"/>
      <w:cols w:equalWidth="0" w:num="1">
        <w:col w:w="10179"/>
      </w:cols>
      <w:pgMar w:left="28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2019-12-12T22:45:42Z</dcterms:created>
  <dcterms:modified xsi:type="dcterms:W3CDTF">2019-12-12T22:45:42Z</dcterms:modified>
</cp:coreProperties>
</file>