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Richardson Nina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3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12367 CROSTHWAITE CIRCLE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4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3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COHU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COHU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00" w:type="dxa"/>
            <w:vAlign w:val="bottom"/>
            <w:tcBorders>
              <w:bottom w:val="single" w:sz="8" w:color="0000EE"/>
            </w:tcBorders>
          </w:tcPr>
          <w:p>
            <w:pPr>
              <w:spacing w:after="0"/>
              <w:rPr>
                <w:sz w:val="3"/>
                <w:szCs w:val="3"/>
                <w:color w:val="auto"/>
              </w:rPr>
            </w:pPr>
          </w:p>
        </w:tc>
        <w:tc>
          <w:tcPr>
            <w:tcW w:w="2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06/05/2024</w:t>
            </w:r>
          </w:p>
        </w:tc>
        <w:tc>
          <w:tcPr>
            <w:tcW w:w="2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4,918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33,312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on the earlier to occur of (i) the one-year anniversary of the June 5, 2024 grant date or (ii) the 2025 Cohu, Inc. Annual Meeting of Stockholders (assuming continued service to the Board of Directors).</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4,918 Restricted Stock Units (RSUs) and 11,992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06/07/2024</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10535"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2024-06-07T12:13:11Z</dcterms:created>
  <dcterms:modified xsi:type="dcterms:W3CDTF">2024-06-07T12:13:11Z</dcterms:modified>
</cp:coreProperties>
</file>