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59"/>
        <w:spacing w:after="0"/>
        <w:rPr>
          <w:sz w:val="20"/>
          <w:szCs w:val="20"/>
          <w:color w:val="auto"/>
        </w:rPr>
      </w:pPr>
      <w:r>
        <w:rPr>
          <w:rFonts w:ascii="Arial" w:cs="Arial" w:eastAsia="Arial" w:hAnsi="Arial"/>
          <w:sz w:val="18"/>
          <w:szCs w:val="18"/>
          <w:b w:val="1"/>
          <w:bCs w:val="1"/>
          <w:color w:val="auto"/>
        </w:rPr>
        <w:t>Washington, D. C. 20549</w:t>
      </w:r>
    </w:p>
    <w:p>
      <w:pPr>
        <w:spacing w:after="0" w:line="223"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FORM SD</w:t>
      </w:r>
    </w:p>
    <w:p>
      <w:pPr>
        <w:spacing w:after="0" w:line="233"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Specialized Disclosure Report</w:t>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359"/>
        <w:spacing w:after="0"/>
        <w:rPr>
          <w:sz w:val="20"/>
          <w:szCs w:val="20"/>
          <w:color w:val="auto"/>
        </w:rPr>
      </w:pPr>
      <w:r>
        <w:rPr>
          <w:rFonts w:ascii="Arial" w:cs="Arial" w:eastAsia="Arial" w:hAnsi="Arial"/>
          <w:sz w:val="25"/>
          <w:szCs w:val="25"/>
          <w:b w:val="1"/>
          <w:bCs w:val="1"/>
          <w:color w:val="auto"/>
        </w:rPr>
        <w:t>COHU, INC.</w:t>
      </w:r>
    </w:p>
    <w:p>
      <w:pPr>
        <w:spacing w:after="0" w:line="34" w:lineRule="exact"/>
        <w:rPr>
          <w:sz w:val="24"/>
          <w:szCs w:val="24"/>
          <w:color w:val="auto"/>
        </w:rPr>
      </w:pPr>
    </w:p>
    <w:p>
      <w:pPr>
        <w:jc w:val="center"/>
        <w:ind w:right="-35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0" w:lineRule="exact"/>
        <w:rPr>
          <w:sz w:val="24"/>
          <w:szCs w:val="24"/>
          <w:color w:val="auto"/>
        </w:rPr>
      </w:pPr>
    </w:p>
    <w:p>
      <w:pPr>
        <w:spacing w:after="0" w:line="221" w:lineRule="exact"/>
        <w:rPr>
          <w:sz w:val="24"/>
          <w:szCs w:val="24"/>
          <w:color w:val="auto"/>
        </w:rPr>
      </w:pPr>
    </w:p>
    <w:tbl>
      <w:tblPr>
        <w:tblLayout w:type="fixed"/>
        <w:tblInd w:w="780" w:type="dxa"/>
        <w:tblCellMar>
          <w:top w:w="0" w:type="dxa"/>
          <w:left w:w="0" w:type="dxa"/>
          <w:bottom w:w="0" w:type="dxa"/>
          <w:right w:w="0" w:type="dxa"/>
        </w:tblCellMar>
      </w:tblPr>
      <w:tr>
        <w:trPr>
          <w:trHeight w:val="220"/>
        </w:trPr>
        <w:tc>
          <w:tcPr>
            <w:tcW w:w="3340" w:type="dxa"/>
            <w:vAlign w:val="bottom"/>
          </w:tcPr>
          <w:p>
            <w:pPr>
              <w:jc w:val="center"/>
              <w:ind w:right="1030"/>
              <w:spacing w:after="0"/>
              <w:rPr>
                <w:sz w:val="20"/>
                <w:szCs w:val="20"/>
                <w:color w:val="auto"/>
              </w:rPr>
            </w:pPr>
            <w:r>
              <w:rPr>
                <w:rFonts w:ascii="Arial" w:cs="Arial" w:eastAsia="Arial" w:hAnsi="Arial"/>
                <w:sz w:val="18"/>
                <w:szCs w:val="18"/>
                <w:b w:val="1"/>
                <w:bCs w:val="1"/>
                <w:color w:val="auto"/>
                <w:w w:val="93"/>
              </w:rPr>
              <w:t>Delaware</w:t>
            </w:r>
          </w:p>
        </w:tc>
        <w:tc>
          <w:tcPr>
            <w:tcW w:w="344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001-04298</w:t>
            </w:r>
          </w:p>
        </w:tc>
        <w:tc>
          <w:tcPr>
            <w:tcW w:w="2620" w:type="dxa"/>
            <w:vAlign w:val="bottom"/>
          </w:tcPr>
          <w:p>
            <w:pPr>
              <w:jc w:val="center"/>
              <w:ind w:left="1270"/>
              <w:spacing w:after="0"/>
              <w:rPr>
                <w:sz w:val="20"/>
                <w:szCs w:val="20"/>
                <w:color w:val="auto"/>
              </w:rPr>
            </w:pPr>
            <w:r>
              <w:rPr>
                <w:rFonts w:ascii="Arial" w:cs="Arial" w:eastAsia="Arial" w:hAnsi="Arial"/>
                <w:sz w:val="18"/>
                <w:szCs w:val="18"/>
                <w:b w:val="1"/>
                <w:bCs w:val="1"/>
                <w:color w:val="auto"/>
                <w:w w:val="89"/>
              </w:rPr>
              <w:t>95-1934119</w:t>
            </w:r>
          </w:p>
        </w:tc>
      </w:tr>
      <w:tr>
        <w:trPr>
          <w:trHeight w:val="216"/>
        </w:trPr>
        <w:tc>
          <w:tcPr>
            <w:tcW w:w="3340" w:type="dxa"/>
            <w:vAlign w:val="bottom"/>
          </w:tcPr>
          <w:p>
            <w:pPr>
              <w:jc w:val="center"/>
              <w:ind w:right="1030"/>
              <w:spacing w:after="0"/>
              <w:rPr>
                <w:sz w:val="20"/>
                <w:szCs w:val="20"/>
                <w:color w:val="auto"/>
              </w:rPr>
            </w:pPr>
            <w:r>
              <w:rPr>
                <w:rFonts w:ascii="Arial" w:cs="Arial" w:eastAsia="Arial" w:hAnsi="Arial"/>
                <w:sz w:val="18"/>
                <w:szCs w:val="18"/>
                <w:i w:val="1"/>
                <w:iCs w:val="1"/>
                <w:color w:val="auto"/>
                <w:w w:val="93"/>
              </w:rPr>
              <w:t>(State or other jurisdiction of</w:t>
            </w:r>
          </w:p>
        </w:tc>
        <w:tc>
          <w:tcPr>
            <w:tcW w:w="3440" w:type="dxa"/>
            <w:vAlign w:val="bottom"/>
          </w:tcPr>
          <w:p>
            <w:pPr>
              <w:jc w:val="center"/>
              <w:ind w:right="150"/>
              <w:spacing w:after="0"/>
              <w:rPr>
                <w:sz w:val="20"/>
                <w:szCs w:val="20"/>
                <w:color w:val="auto"/>
              </w:rPr>
            </w:pPr>
            <w:r>
              <w:rPr>
                <w:rFonts w:ascii="Arial" w:cs="Arial" w:eastAsia="Arial" w:hAnsi="Arial"/>
                <w:sz w:val="18"/>
                <w:szCs w:val="18"/>
                <w:i w:val="1"/>
                <w:iCs w:val="1"/>
                <w:color w:val="auto"/>
                <w:w w:val="91"/>
              </w:rPr>
              <w:t>(Commission</w:t>
            </w:r>
          </w:p>
        </w:tc>
        <w:tc>
          <w:tcPr>
            <w:tcW w:w="2620" w:type="dxa"/>
            <w:vAlign w:val="bottom"/>
          </w:tcPr>
          <w:p>
            <w:pPr>
              <w:jc w:val="center"/>
              <w:ind w:left="125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3340" w:type="dxa"/>
            <w:vAlign w:val="bottom"/>
          </w:tcPr>
          <w:p>
            <w:pPr>
              <w:jc w:val="center"/>
              <w:ind w:right="1030"/>
              <w:spacing w:after="0"/>
              <w:rPr>
                <w:sz w:val="20"/>
                <w:szCs w:val="20"/>
                <w:color w:val="auto"/>
              </w:rPr>
            </w:pPr>
            <w:r>
              <w:rPr>
                <w:rFonts w:ascii="Arial" w:cs="Arial" w:eastAsia="Arial" w:hAnsi="Arial"/>
                <w:sz w:val="18"/>
                <w:szCs w:val="18"/>
                <w:i w:val="1"/>
                <w:iCs w:val="1"/>
                <w:color w:val="auto"/>
                <w:w w:val="94"/>
              </w:rPr>
              <w:t>incorporation or organization)</w:t>
            </w:r>
          </w:p>
        </w:tc>
        <w:tc>
          <w:tcPr>
            <w:tcW w:w="3440" w:type="dxa"/>
            <w:vAlign w:val="bottom"/>
          </w:tcPr>
          <w:p>
            <w:pPr>
              <w:jc w:val="center"/>
              <w:ind w:right="150"/>
              <w:spacing w:after="0"/>
              <w:rPr>
                <w:sz w:val="20"/>
                <w:szCs w:val="20"/>
                <w:color w:val="auto"/>
              </w:rPr>
            </w:pPr>
            <w:r>
              <w:rPr>
                <w:rFonts w:ascii="Arial" w:cs="Arial" w:eastAsia="Arial" w:hAnsi="Arial"/>
                <w:sz w:val="18"/>
                <w:szCs w:val="18"/>
                <w:i w:val="1"/>
                <w:iCs w:val="1"/>
                <w:color w:val="auto"/>
                <w:w w:val="92"/>
              </w:rPr>
              <w:t>File Number)</w:t>
            </w:r>
          </w:p>
        </w:tc>
        <w:tc>
          <w:tcPr>
            <w:tcW w:w="2620" w:type="dxa"/>
            <w:vAlign w:val="bottom"/>
          </w:tcPr>
          <w:p>
            <w:pPr>
              <w:jc w:val="center"/>
              <w:ind w:left="1250"/>
              <w:spacing w:after="0"/>
              <w:rPr>
                <w:sz w:val="20"/>
                <w:szCs w:val="20"/>
                <w:color w:val="auto"/>
              </w:rPr>
            </w:pPr>
            <w:r>
              <w:rPr>
                <w:rFonts w:ascii="Arial" w:cs="Arial" w:eastAsia="Arial" w:hAnsi="Arial"/>
                <w:sz w:val="18"/>
                <w:szCs w:val="18"/>
                <w:i w:val="1"/>
                <w:iCs w:val="1"/>
                <w:color w:val="auto"/>
                <w:w w:val="95"/>
              </w:rPr>
              <w:t>Identification No.</w:t>
            </w:r>
          </w:p>
        </w:tc>
      </w:tr>
      <w:tr>
        <w:trPr>
          <w:trHeight w:val="634"/>
        </w:trPr>
        <w:tc>
          <w:tcPr>
            <w:tcW w:w="6780" w:type="dxa"/>
            <w:vAlign w:val="bottom"/>
            <w:gridSpan w:val="2"/>
          </w:tcPr>
          <w:p>
            <w:pPr>
              <w:jc w:val="center"/>
              <w:ind w:right="570"/>
              <w:spacing w:after="0"/>
              <w:rPr>
                <w:sz w:val="20"/>
                <w:szCs w:val="20"/>
                <w:color w:val="auto"/>
              </w:rPr>
            </w:pPr>
            <w:r>
              <w:rPr>
                <w:rFonts w:ascii="Arial" w:cs="Arial" w:eastAsia="Arial" w:hAnsi="Arial"/>
                <w:sz w:val="18"/>
                <w:szCs w:val="18"/>
                <w:b w:val="1"/>
                <w:bCs w:val="1"/>
                <w:color w:val="auto"/>
                <w:w w:val="91"/>
              </w:rPr>
              <w:t>12367 Crosthwaite Circle, Poway, California</w:t>
            </w:r>
          </w:p>
        </w:tc>
        <w:tc>
          <w:tcPr>
            <w:tcW w:w="2620" w:type="dxa"/>
            <w:vAlign w:val="bottom"/>
          </w:tcPr>
          <w:p>
            <w:pPr>
              <w:jc w:val="center"/>
              <w:ind w:left="1250"/>
              <w:spacing w:after="0"/>
              <w:rPr>
                <w:sz w:val="20"/>
                <w:szCs w:val="20"/>
                <w:color w:val="auto"/>
              </w:rPr>
            </w:pPr>
            <w:r>
              <w:rPr>
                <w:rFonts w:ascii="Arial" w:cs="Arial" w:eastAsia="Arial" w:hAnsi="Arial"/>
                <w:sz w:val="18"/>
                <w:szCs w:val="18"/>
                <w:b w:val="1"/>
                <w:bCs w:val="1"/>
                <w:color w:val="auto"/>
                <w:w w:val="91"/>
              </w:rPr>
              <w:t>92064-6817</w:t>
            </w:r>
          </w:p>
        </w:tc>
      </w:tr>
      <w:tr>
        <w:trPr>
          <w:trHeight w:val="230"/>
        </w:trPr>
        <w:tc>
          <w:tcPr>
            <w:tcW w:w="6780" w:type="dxa"/>
            <w:vAlign w:val="bottom"/>
            <w:gridSpan w:val="2"/>
          </w:tcPr>
          <w:p>
            <w:pPr>
              <w:jc w:val="center"/>
              <w:ind w:right="57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2620" w:type="dxa"/>
            <w:vAlign w:val="bottom"/>
          </w:tcPr>
          <w:p>
            <w:pPr>
              <w:jc w:val="center"/>
              <w:ind w:left="1270"/>
              <w:spacing w:after="0"/>
              <w:rPr>
                <w:sz w:val="20"/>
                <w:szCs w:val="20"/>
                <w:color w:val="auto"/>
              </w:rPr>
            </w:pPr>
            <w:r>
              <w:rPr>
                <w:rFonts w:ascii="Arial" w:cs="Arial" w:eastAsia="Arial" w:hAnsi="Arial"/>
                <w:sz w:val="18"/>
                <w:szCs w:val="18"/>
                <w:i w:val="1"/>
                <w:iCs w:val="1"/>
                <w:color w:val="auto"/>
                <w:w w:val="91"/>
              </w:rPr>
              <w:t>(Zip Code)</w:t>
            </w:r>
          </w:p>
        </w:tc>
      </w:tr>
    </w:tbl>
    <w:p>
      <w:pPr>
        <w:spacing w:after="0" w:line="200" w:lineRule="exact"/>
        <w:rPr>
          <w:sz w:val="24"/>
          <w:szCs w:val="24"/>
          <w:color w:val="auto"/>
        </w:rPr>
      </w:pPr>
    </w:p>
    <w:p>
      <w:pPr>
        <w:spacing w:after="0" w:line="214"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Jeffrey D. Jones (858) 848-8100</w:t>
      </w:r>
    </w:p>
    <w:p>
      <w:pPr>
        <w:spacing w:after="0" w:line="27" w:lineRule="exact"/>
        <w:rPr>
          <w:sz w:val="24"/>
          <w:szCs w:val="24"/>
          <w:color w:val="auto"/>
        </w:rPr>
      </w:pPr>
    </w:p>
    <w:p>
      <w:pPr>
        <w:jc w:val="center"/>
        <w:ind w:right="-299"/>
        <w:spacing w:after="0"/>
        <w:rPr>
          <w:sz w:val="20"/>
          <w:szCs w:val="20"/>
          <w:color w:val="auto"/>
        </w:rPr>
      </w:pPr>
      <w:r>
        <w:rPr>
          <w:rFonts w:ascii="Arial" w:cs="Arial" w:eastAsia="Arial" w:hAnsi="Arial"/>
          <w:sz w:val="18"/>
          <w:szCs w:val="18"/>
          <w:i w:val="1"/>
          <w:iCs w:val="1"/>
          <w:color w:val="auto"/>
        </w:rPr>
        <w:t>(Name and telephone number, including area code, of the person to contact in connection with this report)</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387" w:lineRule="exact"/>
        <w:rPr>
          <w:sz w:val="24"/>
          <w:szCs w:val="24"/>
          <w:color w:val="auto"/>
        </w:rPr>
      </w:pPr>
    </w:p>
    <w:p>
      <w:pPr>
        <w:ind w:left="1140" w:hanging="397"/>
        <w:spacing w:after="0"/>
        <w:tabs>
          <w:tab w:leader="none" w:pos="11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13p-1 under the Securities Exchange Act (17 CFR 240.13p-1) for the reporting period from January 1 to 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382270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240" w:top="436" w:right="5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Conflict Minerals Disclosure and Report</w:t>
      </w:r>
    </w:p>
    <w:p>
      <w:pPr>
        <w:spacing w:after="0" w:line="229" w:lineRule="exact"/>
        <w:rPr>
          <w:sz w:val="20"/>
          <w:szCs w:val="20"/>
          <w:color w:val="auto"/>
        </w:rPr>
      </w:pPr>
    </w:p>
    <w:p>
      <w:pPr>
        <w:ind w:right="440" w:firstLine="567"/>
        <w:spacing w:after="0" w:line="277" w:lineRule="auto"/>
        <w:rPr>
          <w:sz w:val="20"/>
          <w:szCs w:val="20"/>
          <w:color w:val="auto"/>
        </w:rPr>
      </w:pPr>
      <w:r>
        <w:rPr>
          <w:rFonts w:ascii="Arial" w:cs="Arial" w:eastAsia="Arial" w:hAnsi="Arial"/>
          <w:sz w:val="18"/>
          <w:szCs w:val="18"/>
          <w:color w:val="auto"/>
        </w:rPr>
        <w:t>Cohu, Inc. (“Cohu”, “we”, “our” and “us”) is committed to sourcing components and materials from companies that share our values regarding respect for human rights, integrity and environmental responsibility.</w:t>
      </w:r>
    </w:p>
    <w:p>
      <w:pPr>
        <w:spacing w:after="0" w:line="170" w:lineRule="exact"/>
        <w:rPr>
          <w:sz w:val="20"/>
          <w:szCs w:val="20"/>
          <w:color w:val="auto"/>
        </w:rPr>
      </w:pPr>
    </w:p>
    <w:p>
      <w:pPr>
        <w:ind w:firstLine="567"/>
        <w:spacing w:after="0" w:line="276" w:lineRule="auto"/>
        <w:rPr>
          <w:sz w:val="20"/>
          <w:szCs w:val="20"/>
          <w:color w:val="auto"/>
        </w:rPr>
      </w:pPr>
      <w:r>
        <w:rPr>
          <w:rFonts w:ascii="Arial" w:cs="Arial" w:eastAsia="Arial" w:hAnsi="Arial"/>
          <w:sz w:val="17"/>
          <w:szCs w:val="17"/>
          <w:color w:val="auto"/>
        </w:rPr>
        <w:t>Section 1502 of the Dodd Frank Financial Reform Act and U.S. Securities and Exchange Commission‘s Final Regulation to Implement Section 1502 of the Dodd-Frank Act both require reporting entities to exercise due diligence regarding the origin and chain of custody of the conflict minerals contained in their manufactured products. If the due diligence inquiry determines that the conflict minerals originated in the Democratic Republic of Congo or any of the covered countries (Angola, Burundi, Central Africa Republic, Rwanda, South Sudan, Tanzania, Uganda, and Zambia), the company is then obligated to determine whether the minerals financed or benefitted armed groups in these countries.</w:t>
      </w:r>
    </w:p>
    <w:p>
      <w:pPr>
        <w:spacing w:after="0" w:line="173" w:lineRule="exact"/>
        <w:rPr>
          <w:sz w:val="20"/>
          <w:szCs w:val="20"/>
          <w:color w:val="auto"/>
        </w:rPr>
      </w:pPr>
    </w:p>
    <w:p>
      <w:pPr>
        <w:jc w:val="both"/>
        <w:ind w:right="80" w:firstLine="567"/>
        <w:spacing w:after="0" w:line="286" w:lineRule="auto"/>
        <w:rPr>
          <w:sz w:val="20"/>
          <w:szCs w:val="20"/>
          <w:color w:val="auto"/>
        </w:rPr>
      </w:pPr>
      <w:r>
        <w:rPr>
          <w:rFonts w:ascii="Arial" w:cs="Arial" w:eastAsia="Arial" w:hAnsi="Arial"/>
          <w:sz w:val="17"/>
          <w:szCs w:val="17"/>
          <w:color w:val="auto"/>
        </w:rPr>
        <w:t xml:space="preserve">The foregoing description is qualified in its entirety by our Conflict Minerals Report, which is attached hereto as Exhibit 1.01 and is incorporated by reference. A copy of Cohu’s Conflict Minerals Report is also publicly available at: </w:t>
      </w:r>
      <w:r>
        <w:rPr>
          <w:rFonts w:ascii="Arial" w:cs="Arial" w:eastAsia="Arial" w:hAnsi="Arial"/>
          <w:sz w:val="17"/>
          <w:szCs w:val="17"/>
          <w:u w:val="single" w:color="auto"/>
          <w:color w:val="auto"/>
        </w:rPr>
        <w:t>www.cohu.com/about/responsibility.</w:t>
      </w:r>
      <w:r>
        <w:rPr>
          <w:rFonts w:ascii="Arial" w:cs="Arial" w:eastAsia="Arial" w:hAnsi="Arial"/>
          <w:sz w:val="17"/>
          <w:szCs w:val="17"/>
          <w:color w:val="auto"/>
        </w:rPr>
        <w:t xml:space="preserve"> The content of any website referred to in this Form SD is included for general information only and is not incorporated by reference in this Form SD.</w:t>
      </w:r>
    </w:p>
    <w:p>
      <w:pPr>
        <w:spacing w:after="0" w:line="166" w:lineRule="exact"/>
        <w:rPr>
          <w:sz w:val="20"/>
          <w:szCs w:val="20"/>
          <w:color w:val="auto"/>
        </w:rPr>
      </w:pPr>
    </w:p>
    <w:p>
      <w:pPr>
        <w:ind w:right="80" w:firstLine="567"/>
        <w:spacing w:after="0" w:line="272" w:lineRule="auto"/>
        <w:rPr>
          <w:sz w:val="20"/>
          <w:szCs w:val="20"/>
          <w:color w:val="auto"/>
        </w:rPr>
      </w:pPr>
      <w:r>
        <w:rPr>
          <w:rFonts w:ascii="Arial" w:cs="Arial" w:eastAsia="Arial" w:hAnsi="Arial"/>
          <w:sz w:val="17"/>
          <w:szCs w:val="17"/>
          <w:color w:val="auto"/>
        </w:rPr>
        <w:t>This Form SD and the exhibit attached hereto contain certain forward-looking statements relating to due diligence and compliance process improvements. Such forward-looking statements are based on management’s current expectations and beliefs and are not a guarantee of future performance and are subject to a number of uncertainties and other factors, including primarily whether industry organizations and initiatives such as the Electronic Industry Citizenship Coalition (“EICC”) and Conflict-Free Sourcing Initiative (“CSFI”) remain effective as a recognized source of external support in the conflict minerals compliance process and whether suppliers satisfy their obligations under those processes. Such risks and uncertainties may be outside of management’s control which could cause actual events to differ materially from those expressed or implied by the statements made herein and we undertake no obligation to publicly update any forward-looking statements.</w:t>
      </w:r>
    </w:p>
    <w:p>
      <w:pPr>
        <w:spacing w:after="0" w:line="17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Exhibit</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See Item 1.01 and Item 2.01.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 is filed as part of this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No. 1.01 - Conflict Minerals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580" w:right="319" w:bottom="1440" w:gutter="0" w:footer="0" w:header="0"/>
        </w:sectPr>
      </w:pPr>
    </w:p>
    <w:bookmarkStart w:id="2" w:name="page3"/>
    <w:bookmarkEnd w:id="2"/>
    <w:p>
      <w:pPr>
        <w:ind w:left="522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duly authorized undersigned.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Borders>
              <w:bottom w:val="single" w:sz="8" w:color="auto"/>
            </w:tcBorders>
          </w:tcPr>
          <w:p>
            <w:pPr>
              <w:ind w:left="2160"/>
              <w:spacing w:after="0"/>
              <w:rPr>
                <w:sz w:val="20"/>
                <w:szCs w:val="20"/>
                <w:color w:val="auto"/>
              </w:rPr>
            </w:pPr>
            <w:r>
              <w:rPr>
                <w:rFonts w:ascii="Arial" w:cs="Arial" w:eastAsia="Arial" w:hAnsi="Arial"/>
                <w:sz w:val="18"/>
                <w:szCs w:val="18"/>
                <w:b w:val="1"/>
                <w:bCs w:val="1"/>
                <w:color w:val="auto"/>
              </w:rPr>
              <w:t>Cohu, Inc.</w:t>
            </w:r>
          </w:p>
        </w:tc>
        <w:tc>
          <w:tcPr>
            <w:tcW w:w="170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224"/>
        </w:trPr>
        <w:tc>
          <w:tcPr>
            <w:tcW w:w="5160" w:type="dxa"/>
            <w:vAlign w:val="bottom"/>
          </w:tcPr>
          <w:p>
            <w:pPr>
              <w:ind w:left="2160"/>
              <w:spacing w:after="0"/>
              <w:rPr>
                <w:sz w:val="20"/>
                <w:szCs w:val="20"/>
                <w:color w:val="auto"/>
              </w:rPr>
            </w:pPr>
            <w:r>
              <w:rPr>
                <w:rFonts w:ascii="Arial" w:cs="Arial" w:eastAsia="Arial" w:hAnsi="Arial"/>
                <w:sz w:val="18"/>
                <w:szCs w:val="18"/>
                <w:i w:val="1"/>
                <w:iCs w:val="1"/>
                <w:color w:val="auto"/>
              </w:rPr>
              <w:t>(Registrant)</w:t>
            </w:r>
          </w:p>
        </w:tc>
        <w:tc>
          <w:tcPr>
            <w:tcW w:w="17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850"/>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D. Jones</w:t>
            </w:r>
          </w:p>
        </w:tc>
        <w:tc>
          <w:tcPr>
            <w:tcW w:w="1700" w:type="dxa"/>
            <w:vAlign w:val="bottom"/>
          </w:tcPr>
          <w:p>
            <w:pPr>
              <w:spacing w:after="0"/>
              <w:rPr>
                <w:sz w:val="24"/>
                <w:szCs w:val="24"/>
                <w:color w:val="auto"/>
              </w:rPr>
            </w:pPr>
          </w:p>
        </w:tc>
        <w:tc>
          <w:tcPr>
            <w:tcW w:w="342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rPr>
              <w:t>May 25, 2018</w:t>
            </w:r>
          </w:p>
        </w:tc>
      </w:tr>
      <w:tr>
        <w:trPr>
          <w:trHeight w:val="195"/>
        </w:trPr>
        <w:tc>
          <w:tcPr>
            <w:tcW w:w="5160" w:type="dxa"/>
            <w:vAlign w:val="bottom"/>
          </w:tcPr>
          <w:p>
            <w:pPr>
              <w:spacing w:after="0" w:line="195" w:lineRule="exact"/>
              <w:rPr>
                <w:sz w:val="20"/>
                <w:szCs w:val="20"/>
                <w:color w:val="auto"/>
              </w:rPr>
            </w:pPr>
            <w:r>
              <w:rPr>
                <w:rFonts w:ascii="Arial" w:cs="Arial" w:eastAsia="Arial" w:hAnsi="Arial"/>
                <w:sz w:val="18"/>
                <w:szCs w:val="18"/>
                <w:color w:val="auto"/>
              </w:rPr>
              <w:t>Jeffrey D. Jones</w:t>
            </w:r>
          </w:p>
        </w:tc>
        <w:tc>
          <w:tcPr>
            <w:tcW w:w="1700" w:type="dxa"/>
            <w:vAlign w:val="bottom"/>
          </w:tcPr>
          <w:p>
            <w:pPr>
              <w:spacing w:after="0"/>
              <w:rPr>
                <w:sz w:val="16"/>
                <w:szCs w:val="16"/>
                <w:color w:val="auto"/>
              </w:rPr>
            </w:pPr>
          </w:p>
        </w:tc>
        <w:tc>
          <w:tcPr>
            <w:tcW w:w="3420" w:type="dxa"/>
            <w:vAlign w:val="bottom"/>
          </w:tcPr>
          <w:p>
            <w:pPr>
              <w:ind w:left="1480"/>
              <w:spacing w:after="0" w:line="195" w:lineRule="exact"/>
              <w:rPr>
                <w:sz w:val="20"/>
                <w:szCs w:val="20"/>
                <w:color w:val="auto"/>
              </w:rPr>
            </w:pPr>
            <w:r>
              <w:rPr>
                <w:rFonts w:ascii="Arial" w:cs="Arial" w:eastAsia="Arial" w:hAnsi="Arial"/>
                <w:sz w:val="18"/>
                <w:szCs w:val="18"/>
                <w:i w:val="1"/>
                <w:iCs w:val="1"/>
                <w:color w:val="auto"/>
              </w:rPr>
              <w:t>(Date)</w:t>
            </w: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Vice President Finance &amp; Chief Financial Officer</w:t>
            </w:r>
          </w:p>
        </w:tc>
        <w:tc>
          <w:tcPr>
            <w:tcW w:w="1700" w:type="dxa"/>
            <w:vAlign w:val="bottom"/>
          </w:tcPr>
          <w:p>
            <w:pPr>
              <w:spacing w:after="0"/>
              <w:rPr>
                <w:sz w:val="20"/>
                <w:szCs w:val="20"/>
                <w:color w:val="auto"/>
              </w:rPr>
            </w:pPr>
          </w:p>
        </w:tc>
        <w:tc>
          <w:tcPr>
            <w:tcW w:w="3420" w:type="dxa"/>
            <w:vAlign w:val="bottom"/>
          </w:tcPr>
          <w:p>
            <w:pPr>
              <w:spacing w:after="0"/>
              <w:rPr>
                <w:sz w:val="20"/>
                <w:szCs w:val="20"/>
                <w:color w:val="auto"/>
              </w:rPr>
            </w:pPr>
          </w:p>
        </w:tc>
      </w:tr>
    </w:tbl>
    <w:p>
      <w:pPr>
        <w:sectPr>
          <w:pgSz w:w="11900" w:h="16838" w:orient="portrait"/>
          <w:cols w:equalWidth="0" w:num="1">
            <w:col w:w="10960"/>
          </w:cols>
          <w:pgMar w:left="240" w:top="580" w:right="6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1.01 Conflict Minerals Report of Cohu, Inc.</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This report for the twelve months ended December 31, 2017 is presented to comply with Rule 13p-1 under the Securities Exchange Act of 1934 (the “Rule”). On January 4, 2017, we acquired Kita Manufacturing Co., LTD. and Kita USA, Inc. (together “Kita”). Kita, headquartered in Osaka, Japan, and with operations in Attleboro, Massachusetts and Kyoto, Japan, designs, manufactures and sells spring probe contacts used in final test contactors, probe cards, PCB test boards and connectors sold to customers worldwide. Our due diligence with respect to Conflict Minerals for Kita covers inventory acquired and products manufactured from the date of our acquisition of Kita through December 31, 2017.</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In 2010, the United States Congress enacted Section 1502 of the Dodd Frank Financial Reform Act (the “Act”), which, together with the Rule, requires certain companies to disclose their use of conflict minerals if those minerals are “necessary to the functionality or production of a product” manufactured by those companies. Under the Act, those minerals include tantalum, tin, tungsten and gold (3TG) and herein are referred to as “Conflict Minerals”.</w:t>
      </w:r>
    </w:p>
    <w:p>
      <w:pPr>
        <w:spacing w:after="0" w:line="14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Congress enacted this legislation due to concerns that the exploitation and trade of Conflict Minerals by armed groups is helping to finance conflict in the Democratic Republic of Congo (“DRC”) region and surrounding areas (Angola, Burundi, Central Africa Republic, Rwanda, South Sudan, Tanzania, Uganda, and Zambia, collectively, the “Covered Countries”) and is contributing to a humanitarian crisis.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Responsible Sourcing and Adherence to the Law</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Cohu, Inc. (“Cohu”, “we”, “our” and “us”) is committed to sourcing components and materials from companies that share our corporate values regarding respect for human rights and integrity. Cohu corporate responsibility involves taking meaningful steps to ensure that the raw materials, components and sub-assemblies we receive from our supply chain are responsibly sourced. We will not support any vendor or other entity in our supply chain that extracts or transports materials defined as Conflict Minerals and uses the resulting financial or other resources to fund or support conflict in the DRC or any other country that could potentially contribute to human rights violations.</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Cohu has adopted and published policies on Conflict Minerals and Supplier Code of Conduct, which are publicly available on our website at </w:t>
      </w:r>
      <w:r>
        <w:rPr>
          <w:rFonts w:ascii="Arial" w:cs="Arial" w:eastAsia="Arial" w:hAnsi="Arial"/>
          <w:sz w:val="18"/>
          <w:szCs w:val="18"/>
          <w:u w:val="single" w:color="auto"/>
          <w:color w:val="auto"/>
        </w:rPr>
        <w:t>www.cohu.com/about/responsibility.</w:t>
      </w:r>
      <w:r>
        <w:rPr>
          <w:rFonts w:ascii="Arial" w:cs="Arial" w:eastAsia="Arial" w:hAnsi="Arial"/>
          <w:sz w:val="18"/>
          <w:szCs w:val="18"/>
          <w:color w:val="auto"/>
        </w:rPr>
        <w:t xml:space="preserve"> Since the adoption of the Act and the Rule, we have worked to strengthen our engagement with our suppliers through the fulfillment of the supplier code of conduct and by incorporating portions of the code of conduct into contracts with our suppliers. In summary, Cohu expects all vendors and suppliers to:</w:t>
      </w:r>
    </w:p>
    <w:p>
      <w:pPr>
        <w:spacing w:after="0" w:line="18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Purchase materials from legitimate sources not involved in funding conflict in the DRC and surrounding areas.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Avoid the use of Conflict Minerals which may directly or indirectly finance or benefit armed groups in the DRC or adjoining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Confirm that all Conflict Minerals purchased are conflict-free, based on personal knowledge and / or written guarantees provided by the supplier.</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Cooperate with our due diligence process that Cohu has established to comply with the Act and the Rule.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 and Products</w:t>
      </w:r>
    </w:p>
    <w:p>
      <w:pPr>
        <w:spacing w:after="0" w:line="22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Cohu is a leading supplier of semiconductor test and inspection handlers, micro-electro mechanical system (MEMS) test modules, test contactors and thermal sub-systems used by global semiconductor manufacturers and test subcontractors. We develop, manufacture, sell and service a broad line of equipment capable of handling a wide range of integrated circuits and light-emitting diodes (LEDs). Test handlers are electromechanical systems used to automate testing of integrated circuits and LEDs in the back-end of the semiconductor manufacturing process. Testing determines the quality and performance of the semiconductor device prior to shipment to customers. Testers are designed to verify the performance of semiconductor devices, such as microprocessors, logic, analog, memory or mixed signal devices. Handlers are automated systems engineered to thermally condition and present for testing the packaged semiconductor devices. The majority of test handlers use either pick-and-place, gravity-feed, turret or test-in-strip technologies. The type of device, test parallelism, thermal requirements and signal interface requirements normally determines the appropriate handling approach. Our products, like virtually all companies in the semiconductor and electronics industries, contain various metals including tantalum, tin, tungsten and gold, which originate in mines throughout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right="220"/>
        <w:spacing w:after="0" w:line="257" w:lineRule="auto"/>
        <w:rPr>
          <w:sz w:val="20"/>
          <w:szCs w:val="20"/>
          <w:color w:val="auto"/>
        </w:rPr>
      </w:pPr>
      <w:r>
        <w:rPr>
          <w:rFonts w:ascii="Arial" w:cs="Arial" w:eastAsia="Arial" w:hAnsi="Arial"/>
          <w:sz w:val="18"/>
          <w:szCs w:val="18"/>
          <w:color w:val="auto"/>
        </w:rPr>
        <w:t>Like other companies in the semiconductor and electronics industries, we have a complex globally dispersed supply chain with multiple tiers of suppliers between Cohu and the actual mining of the Conflict Minerals used in our products. As a downstream company, we do not directly purchase these minerals, nor do we have any direct relationship with mines or smelters that process these minerals. Therefore, we must rely on the good faith efforts of our suppliers and component manufacturers, including sub-tier suppliers, to provide us with information on the origin of the materials contained in our products and product components.</w:t>
      </w:r>
    </w:p>
    <w:p>
      <w:pPr>
        <w:spacing w:after="0" w:line="188"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Pursuant to the Act and the Rule, we are required to make certain inquires and perform certain due diligence with respect to any Conflict Minerals that are necessary to the functionality or production of a product manufactured or contracted to be manufactured by us or any of our subsidiaries.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Conflict Minerals Report contains forward-looking statements, which are based on our current expectations and involve numerous risks and uncertainties that may cause these forward-looking statements to be inaccurate. These statements include statements regarding our goals for future improvements to our due diligence process and to mitigate the risk about the sourcing of our conflict minerals. All forward-looking statements involve risk and uncertainty. Risks that may cause these forward-looking statements to be inaccurate include: failure to carry out these plans in a timely manner or at all; lack of cooperation or progress by our suppliers, their respective suppliers and smelters; lack of progress by smelter or refiner validation programs for conflict minerals (including the possibility of inaccurate information, fraud and other irregularities) or these plans may not be effective. In addition, you should also consider the important factors described in reports and documents that we file from time to time with the SEC, including the factors described under the sections titled “Risk Factors” in the Company’s most recently submitted Quarterly or Annual Reports. Except as required by law, we disclaim any obligation to update information contained in these forward-looking statements whether as a result of new information, future events, or otherwise.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 Process</w:t>
      </w:r>
    </w:p>
    <w:p>
      <w:pPr>
        <w:spacing w:after="0" w:line="2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For the current reporting period we conducted a Reasonable Country of Origin Inquiry (“RCOI”), regarding sub-assemblies, parts and raw materials parts provided by our suppliers. Consistent with prior years, we utilized the due diligence framework advocated by the Organization for Economic Co-operation and Development (“OECD”), as tailored for downstream companies and among other actions, implemented the internal due diligence guidance of the OECD as it pertains to Conflict Minerals sourcing. We continued to employ an internal Conflict Minerals Compliance Team (“Team”) to support our supply chain due diligence. The Team includes members of our Senior Management and appropriate employees within our quality, supply chain, finance and operations departments. Our due diligence includes, but is not limited to, the following steps:</w:t>
      </w:r>
    </w:p>
    <w:p>
      <w:pPr>
        <w:spacing w:after="0" w:line="178" w:lineRule="exact"/>
        <w:rPr>
          <w:sz w:val="20"/>
          <w:szCs w:val="20"/>
          <w:color w:val="auto"/>
        </w:rPr>
      </w:pPr>
    </w:p>
    <w:p>
      <w:pPr>
        <w:jc w:val="both"/>
        <w:ind w:left="660" w:right="140" w:hanging="328"/>
        <w:spacing w:after="0" w:line="28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first step of our internal due diligence was to evaluate our products to determine if they contain any Conflict Minerals that are necessary to the product’s functionality or production. After determining that certain of our products contained Conflict Minerals necessary to product functionality, we performed a review of our list of suppliers that provide us with those items identified as containing Conflict Minerals.</w:t>
      </w:r>
    </w:p>
    <w:p>
      <w:pPr>
        <w:spacing w:after="0" w:line="165" w:lineRule="exact"/>
        <w:rPr>
          <w:rFonts w:ascii="Arial" w:cs="Arial" w:eastAsia="Arial" w:hAnsi="Arial"/>
          <w:sz w:val="17"/>
          <w:szCs w:val="17"/>
          <w:color w:val="auto"/>
        </w:rPr>
      </w:pPr>
    </w:p>
    <w:p>
      <w:pPr>
        <w:ind w:left="660" w:hanging="328"/>
        <w:spacing w:after="0" w:line="31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Team conducted a RCOI with our suppliers to determine whether in-scope Conflict Mineral content originated in the DRC or one of the Covered Countries. We utilized the Responsible Materials Initiative (“RMI”) standardized supplier survey and its Conflict Minerals Reporting Template (“CMRT”) to gather information that would enable us to evaluate the source and chain of custody of the materials that suppliers provided.</w:t>
      </w:r>
    </w:p>
    <w:p>
      <w:pPr>
        <w:spacing w:after="0" w:line="146" w:lineRule="exact"/>
        <w:rPr>
          <w:rFonts w:ascii="Arial" w:cs="Arial" w:eastAsia="Arial" w:hAnsi="Arial"/>
          <w:sz w:val="16"/>
          <w:szCs w:val="16"/>
          <w:color w:val="auto"/>
        </w:rPr>
      </w:pPr>
    </w:p>
    <w:p>
      <w:pPr>
        <w:ind w:left="660" w:right="60" w:hanging="328"/>
        <w:spacing w:after="0" w:line="279"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primary purpose of the CMRT is to determine the source of the identified Conflict Minerals to identify whether (i) Conflict Minerals sourced by our suppliers originated in the DRC and (ii) smelters used by our suppliers (or our supplier’s suppliers) have been validated as compliant in accordance with the RMI’s Conflict Free Smelter Program (“CFSP”), including the country of origin, location of the mine or the smelter from which the materials were produced, or determine if the materials originated from scrap or recycled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 w:name="page6"/>
    <w:bookmarkEnd w:id="5"/>
    <w:p>
      <w:pPr>
        <w:ind w:left="660" w:right="40" w:hanging="328"/>
        <w:spacing w:after="0" w:line="25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Team categorized our suppliers into three types: manufacturing partners; component suppliers; and logistics and service providers. For purposes of our current year RCOI, logistics and service providers were excluded as we concluded that they do not provide us with any materials within the scope of the Act and the Rule. Subsequently, as it relates to our manufacturing partners and components suppliers surveyed (collectively referred to as “in-scope suppliers”) our RCOI due diligence performed was conducted per guidelines fostered by the OCED and the Global e-Sustainability Initiative (“GeSI”) as follows:</w:t>
      </w:r>
    </w:p>
    <w:p>
      <w:pPr>
        <w:spacing w:after="0" w:line="188" w:lineRule="exact"/>
        <w:rPr>
          <w:sz w:val="20"/>
          <w:szCs w:val="20"/>
          <w:color w:val="auto"/>
        </w:rPr>
      </w:pPr>
    </w:p>
    <w:p>
      <w:pPr>
        <w:ind w:left="960" w:right="120" w:hanging="236"/>
        <w:spacing w:after="0" w:line="259"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defined our supply chain due diligence scope of work to include our in-scope suppliers and we encouraged them to join EICC to further provide transparency evidencing their commitment to becoming conflict-free and to engage with our industry’s effort to achieve the OCED mission of cultivating transparent mineral supply chains and sustainable corporate engagement in creating a responsible global minerals supply chain.</w:t>
      </w:r>
    </w:p>
    <w:p>
      <w:pPr>
        <w:spacing w:after="0" w:line="186" w:lineRule="exact"/>
        <w:rPr>
          <w:rFonts w:ascii="Arial" w:cs="Arial" w:eastAsia="Arial" w:hAnsi="Arial"/>
          <w:sz w:val="18"/>
          <w:szCs w:val="18"/>
          <w:color w:val="auto"/>
        </w:rPr>
      </w:pPr>
    </w:p>
    <w:p>
      <w:pPr>
        <w:ind w:left="960" w:hanging="236"/>
        <w:spacing w:after="0" w:line="259"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adoption and utilization of the industry standard templates and tools aids us in establishing consistency and transparency throughout our supply chain. We employed iPoint-Systems (“iPoint”), a leading provider of software for environmental and social product compliance to collect CMRT’s posted by our suppliers. The Team validated, managed and aggregated the data reported within iPoint and reported the results to senior management.</w:t>
      </w:r>
    </w:p>
    <w:p>
      <w:pPr>
        <w:spacing w:after="0" w:line="186" w:lineRule="exact"/>
        <w:rPr>
          <w:rFonts w:ascii="Arial" w:cs="Arial" w:eastAsia="Arial" w:hAnsi="Arial"/>
          <w:sz w:val="18"/>
          <w:szCs w:val="18"/>
          <w:color w:val="auto"/>
        </w:rPr>
      </w:pPr>
    </w:p>
    <w:p>
      <w:pPr>
        <w:ind w:left="960" w:right="240" w:hanging="236"/>
        <w:spacing w:after="0" w:line="264"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Most of our suppliers execute and post their CMRT’s on the online site documenting smelters and countries of origin for the conflict minerals contained in their products. Some suppliers forwarded their CMRT’s directly to us. We contacted suppliers whose responses contained incomplete or unclear information to request further clarification.</w:t>
      </w:r>
    </w:p>
    <w:p>
      <w:pPr>
        <w:spacing w:after="0" w:line="181" w:lineRule="exact"/>
        <w:rPr>
          <w:rFonts w:ascii="Arial" w:cs="Arial" w:eastAsia="Arial" w:hAnsi="Arial"/>
          <w:sz w:val="18"/>
          <w:szCs w:val="18"/>
          <w:color w:val="auto"/>
        </w:rPr>
      </w:pPr>
    </w:p>
    <w:p>
      <w:pPr>
        <w:ind w:left="960" w:right="240" w:hanging="236"/>
        <w:spacing w:after="0" w:line="25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cross referenced the smelter information provided by our suppliers against the RMI Standard Conflict Free Smelter list to validate our supplier conformance and results compiled for reference in Annex A. The RMI Standard Smelter List was developed for verification of those Smelters that are compliant in accordance with OECD guidance and have been subject to an independent third party audit to assess whether a smelter entity employed RMI policies, practices, and procedures to source conflict free minerals. Some of these Smelters listed may still be actively in the process of gaining certification.</w:t>
      </w:r>
    </w:p>
    <w:p>
      <w:pPr>
        <w:spacing w:after="0" w:line="188" w:lineRule="exact"/>
        <w:rPr>
          <w:rFonts w:ascii="Arial" w:cs="Arial" w:eastAsia="Arial" w:hAnsi="Arial"/>
          <w:sz w:val="18"/>
          <w:szCs w:val="18"/>
          <w:color w:val="auto"/>
        </w:rPr>
      </w:pPr>
    </w:p>
    <w:p>
      <w:pPr>
        <w:ind w:left="960" w:right="120" w:hanging="236"/>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performed risk mitigation efforts with suppliers we identified to be out of conformity with our conflict minerals policy and supplier code of conduct by working with them to bring them into compliance.</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There are inherent limitations in our due diligence process. Cohu is an indirect purchaser of Conflict Minerals and our due diligence measures provide reasonable, not absolute, assurance regarding the source and chain of custody of the Conflict Minerals we utilize. As we do not have a direct relationship with smelters and refineries, we rely on the efforts of our suppliers to provide us with up-to-date and accurate smelter and refinery sourcing information. In turn, our suppliers seek similar information within their own supply chains to identify the original sources of Conflict Minerals and such sources of information may produce inaccurate or incomplete information.</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Cohu utilizes certain small businesses, both domestic and international, within our supply chain. We have been informed that some of these suppliers have difficulty performing due diligence at their level of the supply chain. In addition, certain responding suppliers provided information that was incomplete. We were unable to obtain verifiable smelter data from such suppliers as a result. Non-responding suppliers failing to report produce a gap in smelter source determination for certain commodities.</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continue to work with our suppliers in our ongoing continuous improvement effort and strive to attain year over year improvement in our reporting effectiveness. During the current year, we successfully achieved our target of a 95% response rate of all of our in-scope suppliers surveyed. For the remaining responder’s declarations received, we have determined that greater than 93% of respondents have declared the source of Conflict Minerals received from smelters that were on RMI’s list. The other declared smelter facilities were identified as not being located within the Covered Countries, but had not yet received a conflict free certification by an independent 3rd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Identified 3TG Sourcing Information</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Based on our due diligence process and the information received from our suppliers, the facilities presented in Annex A were identified by our suppliers as the smelters and refiners of the tin, tantalum, tungsten and gold present in and necessary to the functionality of our products manufactured in the twelve months ended December 31, 2017. The information from our suppliers is still evolving and the smelter list presented in Annex A is based on our good faith efforts.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RCOI Results</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Based on the results of our due diligence efforts as described herein, we do not have sufficient information to conclusively determine the countries of origin of the Conflict Minerals in our products or whether the minerals in our products are from recycled or scrap sources, however, we have not identified any instances of sourcing that directly or indirectly supported conflict in the Covered Countries. Therefore, we are not declaring any of our products as DRC Conflict Free for the current reporting period and, accordingly, are not required to obtain an independent private sector audit of the Conflict Minerals Report.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Steps towards Conflict Mineral Compliance</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Cohu will continue to exercise due diligence to identify risk of exposure to Conflict Minerals originating from Covered Countries. Moving forward, we intend to take the following steps with respect to our due diligence process to further mitigate the risk that Conflict Minerals in our products are sourced from the DRC or a Covered Country:</w:t>
      </w:r>
    </w:p>
    <w:p>
      <w:pPr>
        <w:spacing w:after="0" w:line="181" w:lineRule="exact"/>
        <w:rPr>
          <w:sz w:val="20"/>
          <w:szCs w:val="20"/>
          <w:color w:val="auto"/>
        </w:rPr>
      </w:pPr>
    </w:p>
    <w:p>
      <w:pPr>
        <w:ind w:left="660" w:right="20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continue to invest in our strong management systems which include our global team of professionals from across our organization. Supply Chain, Quality and managers throughout our organization will continue to enforce our established policies with regard to the sourcing of Conflict Minerals, conduct due diligence and report the result of their efforts to Senior Management.</w:t>
      </w:r>
    </w:p>
    <w:p>
      <w:pPr>
        <w:spacing w:after="0" w:line="181" w:lineRule="exact"/>
        <w:rPr>
          <w:rFonts w:ascii="Arial" w:cs="Arial" w:eastAsia="Arial" w:hAnsi="Arial"/>
          <w:sz w:val="18"/>
          <w:szCs w:val="18"/>
          <w:color w:val="auto"/>
        </w:rPr>
      </w:pPr>
    </w:p>
    <w:p>
      <w:pPr>
        <w:ind w:left="660" w:right="34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continue to incorporate Conflict Minerals compliance requirements into our supplier contracts, supplier performance review and retention process and require that all new suppliers agree to provide us with their Conflict Minerals compliance status during the supplier on-boarding and qualification process.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continue to identify Conflict Minerals associated with new product launches.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continue to encourage our suppliers to purchase materials from smelters listed in the Conflict Free Smelter List.</w:t>
      </w:r>
    </w:p>
    <w:p>
      <w:pPr>
        <w:spacing w:after="0" w:line="225" w:lineRule="exact"/>
        <w:rPr>
          <w:rFonts w:ascii="Arial" w:cs="Arial" w:eastAsia="Arial" w:hAnsi="Arial"/>
          <w:sz w:val="18"/>
          <w:szCs w:val="18"/>
          <w:color w:val="auto"/>
        </w:rPr>
      </w:pPr>
    </w:p>
    <w:p>
      <w:pPr>
        <w:ind w:left="660" w:right="20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event Conflict Minerals originating in the DRC are identified, after providing the opportunity to change, we expect to disengage from any suppliers found to be persisting in supplying us with Conflict Minerals from sources that support conflict in the DRC or any adjoining country. We intend to continue supporting, promoting and relying on industry initiatives, such as the EICC, GeSI and RMI, to validate that the sources of the minerals used in our products are not contributing to human rights violations.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Annex A. Smelter Information</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Based on the information that was provided by our suppliers and otherwise obtained through the due diligence process, we believe that, to the extent reasonably determinable, the facilities that were used to process the Conflict Minerals contained in our products include the smelters and refiners listed below.</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0" w:type="dxa"/>
            <w:vAlign w:val="bottom"/>
            <w:tcBorders>
              <w:right w:val="single" w:sz="8" w:color="auto"/>
            </w:tcBorders>
          </w:tcPr>
          <w:p>
            <w:pPr>
              <w:spacing w:after="0"/>
              <w:rPr>
                <w:sz w:val="21"/>
                <w:szCs w:val="21"/>
                <w:color w:val="auto"/>
              </w:rPr>
            </w:pPr>
          </w:p>
        </w:tc>
        <w:tc>
          <w:tcPr>
            <w:tcW w:w="130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Metal</w:t>
            </w:r>
          </w:p>
        </w:tc>
        <w:tc>
          <w:tcPr>
            <w:tcW w:w="472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Standard Smelter Name</w:t>
            </w:r>
          </w:p>
        </w:tc>
        <w:tc>
          <w:tcPr>
            <w:tcW w:w="348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Smelter Facility</w:t>
            </w:r>
          </w:p>
        </w:tc>
        <w:tc>
          <w:tcPr>
            <w:tcW w:w="186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Smelter Identification</w:t>
            </w:r>
          </w:p>
        </w:tc>
      </w:tr>
      <w:tr>
        <w:trPr>
          <w:trHeight w:val="193"/>
        </w:trPr>
        <w:tc>
          <w:tcPr>
            <w:tcW w:w="60" w:type="dxa"/>
            <w:vAlign w:val="bottom"/>
            <w:tcBorders>
              <w:right w:val="single" w:sz="8" w:color="auto"/>
            </w:tcBorders>
          </w:tcPr>
          <w:p>
            <w:pPr>
              <w:spacing w:after="0"/>
              <w:rPr>
                <w:sz w:val="16"/>
                <w:szCs w:val="16"/>
                <w:color w:val="auto"/>
              </w:rPr>
            </w:pPr>
          </w:p>
        </w:tc>
        <w:tc>
          <w:tcPr>
            <w:tcW w:w="130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Gold</w:t>
            </w:r>
          </w:p>
        </w:tc>
        <w:tc>
          <w:tcPr>
            <w:tcW w:w="472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Advanced Chemical Company</w:t>
            </w:r>
          </w:p>
        </w:tc>
        <w:tc>
          <w:tcPr>
            <w:tcW w:w="348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UNITED STATES OF AMERICA</w:t>
            </w:r>
          </w:p>
        </w:tc>
        <w:tc>
          <w:tcPr>
            <w:tcW w:w="186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CID000015</w:t>
            </w:r>
          </w:p>
        </w:tc>
      </w:tr>
      <w:tr>
        <w:trPr>
          <w:trHeight w:val="210"/>
        </w:trPr>
        <w:tc>
          <w:tcPr>
            <w:tcW w:w="60" w:type="dxa"/>
            <w:vAlign w:val="bottom"/>
            <w:tcBorders>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Aida Chemical Industries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CID000019</w:t>
            </w:r>
          </w:p>
        </w:tc>
      </w:tr>
      <w:tr>
        <w:trPr>
          <w:trHeight w:val="210"/>
        </w:trPr>
        <w:tc>
          <w:tcPr>
            <w:tcW w:w="60" w:type="dxa"/>
            <w:vAlign w:val="bottom"/>
            <w:tcBorders>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Allgemeine Gold-und Silberscheideanstalt A.G.</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GERMANY</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CID000035</w:t>
            </w:r>
          </w:p>
        </w:tc>
      </w:tr>
      <w:tr>
        <w:trPr>
          <w:trHeight w:val="210"/>
        </w:trPr>
        <w:tc>
          <w:tcPr>
            <w:tcW w:w="60" w:type="dxa"/>
            <w:vAlign w:val="bottom"/>
            <w:tcBorders>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Almalyk Mining and Metallurgical Complex (AMMC)</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UZBEKISTAN</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CID000041</w:t>
            </w:r>
          </w:p>
        </w:tc>
      </w:tr>
      <w:tr>
        <w:trPr>
          <w:trHeight w:val="210"/>
        </w:trPr>
        <w:tc>
          <w:tcPr>
            <w:tcW w:w="60" w:type="dxa"/>
            <w:vAlign w:val="bottom"/>
            <w:tcBorders>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AngloGold Ashanti Corrego do Sitio Mineracao</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BRAZIL</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CID000058</w:t>
            </w:r>
          </w:p>
        </w:tc>
      </w:tr>
      <w:tr>
        <w:trPr>
          <w:trHeight w:val="210"/>
        </w:trPr>
        <w:tc>
          <w:tcPr>
            <w:tcW w:w="60" w:type="dxa"/>
            <w:vAlign w:val="bottom"/>
            <w:tcBorders>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Argor-Heraeus S.A.</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SWITZERLAND</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CID000077</w:t>
            </w:r>
          </w:p>
        </w:tc>
      </w:tr>
      <w:tr>
        <w:trPr>
          <w:trHeight w:val="210"/>
        </w:trPr>
        <w:tc>
          <w:tcPr>
            <w:tcW w:w="60" w:type="dxa"/>
            <w:vAlign w:val="bottom"/>
            <w:tcBorders>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Asahi Pretec Corp.</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CID000082</w:t>
            </w:r>
          </w:p>
        </w:tc>
      </w:tr>
      <w:tr>
        <w:trPr>
          <w:trHeight w:val="210"/>
        </w:trPr>
        <w:tc>
          <w:tcPr>
            <w:tcW w:w="60" w:type="dxa"/>
            <w:vAlign w:val="bottom"/>
            <w:tcBorders>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Asaka Riken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CID000090</w:t>
            </w:r>
          </w:p>
        </w:tc>
      </w:tr>
      <w:tr>
        <w:trPr>
          <w:trHeight w:val="210"/>
        </w:trPr>
        <w:tc>
          <w:tcPr>
            <w:tcW w:w="60" w:type="dxa"/>
            <w:vAlign w:val="bottom"/>
            <w:tcBorders>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Atasay Kuyumculuk Sanayi Ve Ticaret A.S.</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TURKEY</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CID000103</w:t>
            </w:r>
          </w:p>
        </w:tc>
      </w:tr>
      <w:tr>
        <w:trPr>
          <w:trHeight w:val="210"/>
        </w:trPr>
        <w:tc>
          <w:tcPr>
            <w:tcW w:w="60" w:type="dxa"/>
            <w:vAlign w:val="bottom"/>
            <w:tcBorders>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Aurubis AG</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GERMANY</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CID000113</w:t>
            </w:r>
          </w:p>
        </w:tc>
      </w:tr>
      <w:tr>
        <w:trPr>
          <w:trHeight w:val="210"/>
        </w:trPr>
        <w:tc>
          <w:tcPr>
            <w:tcW w:w="60" w:type="dxa"/>
            <w:vAlign w:val="bottom"/>
            <w:tcBorders>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6"/>
              </w:rPr>
              <w:t>Bangko Sentral ng Pilipinas (Central Bank of the Philippines)</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PHILIPPINES</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CID000128</w:t>
            </w:r>
          </w:p>
        </w:tc>
      </w:tr>
      <w:tr>
        <w:trPr>
          <w:trHeight w:val="210"/>
        </w:trPr>
        <w:tc>
          <w:tcPr>
            <w:tcW w:w="60" w:type="dxa"/>
            <w:vAlign w:val="bottom"/>
            <w:tcBorders>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Boliden AB</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SWEDEN</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CID000157</w:t>
            </w:r>
          </w:p>
        </w:tc>
      </w:tr>
      <w:tr>
        <w:trPr>
          <w:trHeight w:val="210"/>
        </w:trPr>
        <w:tc>
          <w:tcPr>
            <w:tcW w:w="60" w:type="dxa"/>
            <w:vAlign w:val="bottom"/>
            <w:tcBorders>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 Hafner GmbH + Co. KG</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GERMANY</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CID000176</w:t>
            </w:r>
          </w:p>
        </w:tc>
      </w:tr>
      <w:tr>
        <w:trPr>
          <w:trHeight w:val="210"/>
        </w:trPr>
        <w:tc>
          <w:tcPr>
            <w:tcW w:w="60" w:type="dxa"/>
            <w:vAlign w:val="bottom"/>
            <w:tcBorders>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Caridad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MEXICO</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CID000180</w:t>
            </w:r>
          </w:p>
        </w:tc>
      </w:tr>
      <w:tr>
        <w:trPr>
          <w:trHeight w:val="210"/>
        </w:trPr>
        <w:tc>
          <w:tcPr>
            <w:tcW w:w="60" w:type="dxa"/>
            <w:vAlign w:val="bottom"/>
            <w:tcBorders>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CCR Refinery - Glencore Canada Corporation</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CANADA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CID000185</w:t>
            </w:r>
          </w:p>
        </w:tc>
      </w:tr>
      <w:tr>
        <w:trPr>
          <w:trHeight w:val="210"/>
        </w:trPr>
        <w:tc>
          <w:tcPr>
            <w:tcW w:w="60" w:type="dxa"/>
            <w:vAlign w:val="bottom"/>
            <w:tcBorders>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Cendres + Metaux S.A.</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SWITZERLAND</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CID000189</w:t>
            </w:r>
          </w:p>
        </w:tc>
      </w:tr>
      <w:tr>
        <w:trPr>
          <w:trHeight w:val="210"/>
        </w:trPr>
        <w:tc>
          <w:tcPr>
            <w:tcW w:w="60" w:type="dxa"/>
            <w:vAlign w:val="bottom"/>
            <w:tcBorders>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Yunnan Copper Industry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CID000197</w:t>
            </w:r>
          </w:p>
        </w:tc>
      </w:tr>
      <w:tr>
        <w:trPr>
          <w:trHeight w:val="210"/>
        </w:trPr>
        <w:tc>
          <w:tcPr>
            <w:tcW w:w="60" w:type="dxa"/>
            <w:vAlign w:val="bottom"/>
            <w:tcBorders>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Chimet S.p.A.</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ITALY</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CID000233</w:t>
            </w:r>
          </w:p>
        </w:tc>
      </w:tr>
      <w:tr>
        <w:trPr>
          <w:trHeight w:val="210"/>
        </w:trPr>
        <w:tc>
          <w:tcPr>
            <w:tcW w:w="60" w:type="dxa"/>
            <w:vAlign w:val="bottom"/>
            <w:tcBorders>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Chugai Mining</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CID000264</w:t>
            </w:r>
          </w:p>
        </w:tc>
      </w:tr>
      <w:tr>
        <w:trPr>
          <w:trHeight w:val="210"/>
        </w:trPr>
        <w:tc>
          <w:tcPr>
            <w:tcW w:w="60" w:type="dxa"/>
            <w:vAlign w:val="bottom"/>
            <w:tcBorders>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Daejin Indus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KOREA, REPUBLIC OF</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CID000328</w:t>
            </w:r>
          </w:p>
        </w:tc>
      </w:tr>
      <w:tr>
        <w:trPr>
          <w:trHeight w:val="210"/>
        </w:trPr>
        <w:tc>
          <w:tcPr>
            <w:tcW w:w="60" w:type="dxa"/>
            <w:vAlign w:val="bottom"/>
            <w:tcBorders>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Daye Non-Ferrous Metals Mining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CID000343</w:t>
            </w:r>
          </w:p>
        </w:tc>
      </w:tr>
      <w:tr>
        <w:trPr>
          <w:trHeight w:val="210"/>
        </w:trPr>
        <w:tc>
          <w:tcPr>
            <w:tcW w:w="60" w:type="dxa"/>
            <w:vAlign w:val="bottom"/>
            <w:tcBorders>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DSC (Do Sung Corporation)</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KOREA, REPUBLIC OF</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CID000359</w:t>
            </w:r>
          </w:p>
        </w:tc>
      </w:tr>
      <w:tr>
        <w:trPr>
          <w:trHeight w:val="210"/>
        </w:trPr>
        <w:tc>
          <w:tcPr>
            <w:tcW w:w="60" w:type="dxa"/>
            <w:vAlign w:val="bottom"/>
            <w:tcBorders>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DODUCO GmbH</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GERMANY</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CID000362</w:t>
            </w:r>
          </w:p>
        </w:tc>
      </w:tr>
      <w:tr>
        <w:trPr>
          <w:trHeight w:val="210"/>
        </w:trPr>
        <w:tc>
          <w:tcPr>
            <w:tcW w:w="60" w:type="dxa"/>
            <w:vAlign w:val="bottom"/>
            <w:tcBorders>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Dowa</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CID000401</w:t>
            </w:r>
          </w:p>
        </w:tc>
      </w:tr>
      <w:tr>
        <w:trPr>
          <w:trHeight w:val="210"/>
        </w:trPr>
        <w:tc>
          <w:tcPr>
            <w:tcW w:w="60" w:type="dxa"/>
            <w:vAlign w:val="bottom"/>
            <w:tcBorders>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Eco-System Recycling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CID000425</w:t>
            </w:r>
          </w:p>
        </w:tc>
      </w:tr>
      <w:tr>
        <w:trPr>
          <w:trHeight w:val="210"/>
        </w:trPr>
        <w:tc>
          <w:tcPr>
            <w:tcW w:w="60" w:type="dxa"/>
            <w:vAlign w:val="bottom"/>
            <w:tcBorders>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OJSC Novosibirsk Refinery</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RUSSIAN FEDERATION</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CID000493</w:t>
            </w:r>
          </w:p>
        </w:tc>
      </w:tr>
      <w:tr>
        <w:trPr>
          <w:trHeight w:val="210"/>
        </w:trPr>
        <w:tc>
          <w:tcPr>
            <w:tcW w:w="60" w:type="dxa"/>
            <w:vAlign w:val="bottom"/>
            <w:tcBorders>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Gansu Seemine Material Hi-Tech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CID000522</w:t>
            </w:r>
          </w:p>
        </w:tc>
      </w:tr>
      <w:tr>
        <w:trPr>
          <w:trHeight w:val="210"/>
        </w:trPr>
        <w:tc>
          <w:tcPr>
            <w:tcW w:w="60" w:type="dxa"/>
            <w:vAlign w:val="bottom"/>
            <w:tcBorders>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Guoda Safina High-Tech Environmental Refinery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CID000651</w:t>
            </w:r>
          </w:p>
        </w:tc>
      </w:tr>
      <w:tr>
        <w:trPr>
          <w:trHeight w:val="210"/>
        </w:trPr>
        <w:tc>
          <w:tcPr>
            <w:tcW w:w="60" w:type="dxa"/>
            <w:vAlign w:val="bottom"/>
            <w:tcBorders>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Hangzhou Fuchunjiang Smelting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CID000671</w:t>
            </w:r>
          </w:p>
        </w:tc>
      </w:tr>
      <w:tr>
        <w:trPr>
          <w:trHeight w:val="210"/>
        </w:trPr>
        <w:tc>
          <w:tcPr>
            <w:tcW w:w="60" w:type="dxa"/>
            <w:vAlign w:val="bottom"/>
            <w:tcBorders>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HeeSung Metal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KOREA, REPUBLIC OF</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CID000689</w:t>
            </w:r>
          </w:p>
        </w:tc>
      </w:tr>
      <w:tr>
        <w:trPr>
          <w:trHeight w:val="595"/>
        </w:trPr>
        <w:tc>
          <w:tcPr>
            <w:tcW w:w="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0" w:type="dxa"/>
            <w:vAlign w:val="bottom"/>
            <w:tcBorders>
              <w:right w:val="single" w:sz="8" w:color="auto"/>
            </w:tcBorders>
          </w:tcPr>
          <w:p>
            <w:pPr>
              <w:spacing w:after="0"/>
              <w:rPr>
                <w:sz w:val="21"/>
                <w:szCs w:val="21"/>
                <w:color w:val="auto"/>
              </w:rPr>
            </w:pPr>
          </w:p>
        </w:tc>
        <w:tc>
          <w:tcPr>
            <w:tcW w:w="13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Heimerle + Meule GmbH</w:t>
            </w:r>
          </w:p>
        </w:tc>
        <w:tc>
          <w:tcPr>
            <w:tcW w:w="34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GERMANY</w:t>
            </w:r>
          </w:p>
        </w:tc>
        <w:tc>
          <w:tcPr>
            <w:tcW w:w="18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CID000694</w:t>
            </w:r>
          </w:p>
        </w:tc>
      </w:tr>
      <w:tr>
        <w:trPr>
          <w:trHeight w:val="193"/>
        </w:trPr>
        <w:tc>
          <w:tcPr>
            <w:tcW w:w="60" w:type="dxa"/>
            <w:vAlign w:val="bottom"/>
            <w:tcBorders>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Heraeus Metals Hong Kong Ltd.</w:t>
            </w:r>
          </w:p>
        </w:tc>
        <w:tc>
          <w:tcPr>
            <w:tcW w:w="348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CID000707</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Heraeus Precious Metals GmbH &amp; Co. KG</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GERMANY</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CID000711</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Hunan Chenzhou Mining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CID000767</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HwaSeong CJ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KOREA, REPUBLIC OF</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CID000778</w:t>
            </w:r>
          </w:p>
        </w:tc>
      </w:tr>
      <w:tr>
        <w:trPr>
          <w:trHeight w:val="195"/>
        </w:trPr>
        <w:tc>
          <w:tcPr>
            <w:tcW w:w="6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Gold</w:t>
            </w:r>
          </w:p>
        </w:tc>
        <w:tc>
          <w:tcPr>
            <w:tcW w:w="47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6"/>
              </w:rPr>
              <w:t>Inner Mongolia Qiankun Gold and Silver Refinery Share Co.,</w:t>
            </w:r>
          </w:p>
        </w:tc>
        <w:tc>
          <w:tcPr>
            <w:tcW w:w="34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CHINA</w:t>
            </w:r>
          </w:p>
        </w:tc>
        <w:tc>
          <w:tcPr>
            <w:tcW w:w="186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CID000801</w:t>
            </w:r>
          </w:p>
        </w:tc>
      </w:tr>
      <w:tr>
        <w:trPr>
          <w:trHeight w:val="230"/>
        </w:trPr>
        <w:tc>
          <w:tcPr>
            <w:tcW w:w="60" w:type="dxa"/>
            <w:vAlign w:val="bottom"/>
            <w:tcBorders>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Ltd.</w:t>
            </w:r>
          </w:p>
        </w:tc>
        <w:tc>
          <w:tcPr>
            <w:tcW w:w="348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Ishifuku Metal Industry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CID000807</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Istanbul Gold Refinery</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TURKEY</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CID000814</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 Mint</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CID000823</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Jiangxi Copper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CID000855</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Asahi Refining USA Inc.</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CID000920</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Asahi Refining Canada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CANADA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CID000924</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JSC Ekaterinburg Non-Ferrous Metal Processing Plant</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RUSSIAN FEDERATION</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CID000927</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JSC Uralelectromed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RUSSIAN FEDERATION</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CID000929</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JX Nippon Mining &amp; Metals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CID000937</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Kazakhmys Smelting LLC</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KAZAKHSTAN</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CID000956</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Kazzinc</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KAZAKHSTAN</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CID000957</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Kennecott Utah Copper LLC</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CID000969</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Kojima Chemicals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CID000981</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Kyrgyzaltyn JSC</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KYRGYZSTAN</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CID001029</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L'azurde Company For Jewelry</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SAUDI ARABIA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CID001032</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Lingbao Gold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CID001056</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Lingbao Jinyuan Tonghui Refinery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CID001058</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LS-NIKKO Copper Inc.</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KOREA, REPUBLIC OF</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CID001078</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Luoyang Zijin Yinhui Gold Refinery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CID001093</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Materion</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CID001113</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Matsuda Sangyo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CID001119</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Metalor Technologies (Suzhou)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CID001147</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Metalor Technologies (Hong Kong)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CID001149</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Metalor Technologies (Singapore) Pte.,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SINGAPORE</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CID001152</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Metalor Technologies S.A.</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SWITZERLAND</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CID001153</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Metalor USA Refining Corporation</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CID001157</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Metalurgica Met-Mex Penoles S.A. De C.V.</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MEXICO</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CID001161</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Mitsubishi Materials Corporation</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CID001188</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Mitsui Mining and Smelting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CID001193</w:t>
            </w:r>
          </w:p>
        </w:tc>
      </w:tr>
      <w:tr>
        <w:trPr>
          <w:trHeight w:val="595"/>
        </w:trPr>
        <w:tc>
          <w:tcPr>
            <w:tcW w:w="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5"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0" w:type="dxa"/>
            <w:vAlign w:val="bottom"/>
            <w:tcBorders>
              <w:right w:val="single" w:sz="8" w:color="auto"/>
            </w:tcBorders>
          </w:tcPr>
          <w:p>
            <w:pPr>
              <w:spacing w:after="0"/>
              <w:rPr>
                <w:sz w:val="21"/>
                <w:szCs w:val="21"/>
                <w:color w:val="auto"/>
              </w:rPr>
            </w:pPr>
          </w:p>
        </w:tc>
        <w:tc>
          <w:tcPr>
            <w:tcW w:w="13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Moscow Special Alloys Processing Plant</w:t>
            </w:r>
          </w:p>
        </w:tc>
        <w:tc>
          <w:tcPr>
            <w:tcW w:w="34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RUSSIAN FEDERATION</w:t>
            </w:r>
          </w:p>
        </w:tc>
        <w:tc>
          <w:tcPr>
            <w:tcW w:w="18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CID001204</w:t>
            </w:r>
          </w:p>
        </w:tc>
      </w:tr>
      <w:tr>
        <w:trPr>
          <w:trHeight w:val="193"/>
        </w:trPr>
        <w:tc>
          <w:tcPr>
            <w:tcW w:w="60" w:type="dxa"/>
            <w:vAlign w:val="bottom"/>
            <w:tcBorders>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Nadir Metal Rafineri San. Ve Tic. A.S.</w:t>
            </w:r>
          </w:p>
        </w:tc>
        <w:tc>
          <w:tcPr>
            <w:tcW w:w="348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TURKEY</w:t>
            </w:r>
          </w:p>
        </w:tc>
        <w:tc>
          <w:tcPr>
            <w:tcW w:w="186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CID001220</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Navoi Mining and Metallurgical Combinat</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UZBEKISTAN</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CID001236</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Nihon Material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CID001259</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Elemetal Refining, LLC</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CID001322</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Ohura Precious Metal Industry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CID001325</w:t>
            </w:r>
          </w:p>
        </w:tc>
      </w:tr>
      <w:tr>
        <w:trPr>
          <w:trHeight w:val="195"/>
        </w:trPr>
        <w:tc>
          <w:tcPr>
            <w:tcW w:w="6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Gold</w:t>
            </w:r>
          </w:p>
        </w:tc>
        <w:tc>
          <w:tcPr>
            <w:tcW w:w="47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7"/>
              </w:rPr>
              <w:t>OJSC "The Gulidov Krasnoyarsk Non-Ferrous Metals Plant"</w:t>
            </w:r>
          </w:p>
        </w:tc>
        <w:tc>
          <w:tcPr>
            <w:tcW w:w="34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RUSSIAN FEDERATION</w:t>
            </w:r>
          </w:p>
        </w:tc>
        <w:tc>
          <w:tcPr>
            <w:tcW w:w="186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CID001326</w:t>
            </w:r>
          </w:p>
        </w:tc>
      </w:tr>
      <w:tr>
        <w:trPr>
          <w:trHeight w:val="230"/>
        </w:trPr>
        <w:tc>
          <w:tcPr>
            <w:tcW w:w="60" w:type="dxa"/>
            <w:vAlign w:val="bottom"/>
            <w:tcBorders>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(OJSC Krastsvetmet)</w:t>
            </w:r>
          </w:p>
        </w:tc>
        <w:tc>
          <w:tcPr>
            <w:tcW w:w="348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PAMP S.A.</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SWITZERLAND</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CID001352</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Penglai Penggang Gold Industry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CID001362</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Prioksky Plant of Non-Ferrous Metals</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RUSSIAN FEDERATION</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CID001386</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Aneka Tambang (Persero) Tbk</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CID001397</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PX Precinox S.A.</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SWITZERLAND</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CID001498</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Rand Refinery (Pty)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SOUTH AFRICA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CID001512</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Royal Canadian Mint</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CANADA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CID001534</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Sabin Metal Corp.</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CID001546</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Samduck Precious Metals</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KOREA, REPUBLIC OF</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CID001555</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Samwon Metals Corp.</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KOREA, REPUBLIC OF</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CID001562</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Schone Edelmetaal B.V.</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NETHERLANDS</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CID001573</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SEMPSA Joyeria Plateria S.A.</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SPAIN</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CID001585</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Shandong Tiancheng Biological Gold Industrial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CID001619</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Shandong Zhaojin Gold &amp; Silver Refinery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CID001622</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Sichuan Tianze Precious Metals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CID001736</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So Accurate Group, Inc.</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CID001754</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SOE Shyolkovsky Factory of Secondary Precious Metals</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RUSSIAN FEDERATION</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CID001756</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Solar Applied Materials Technology Corp.</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TAIWAN, PROVINCE OF 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CID001761</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Sumitomo Metal Mining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CID001798</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Tanaka Kikinzoku Kogyo K.K.</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CID001875</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Great Wall Precious Metals Co., Ltd. of CBPM</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CID001909</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The Refinery of Shandong Gold Mining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CID001916</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Tokuriki Honten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CID001938</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Tongling Nonferrous Metals Group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CID001947</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Torecom</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KOREA, REPUBLIC OF</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CID001955</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Umicore Brasil Ltda.</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BRAZIL</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CID001977</w:t>
            </w:r>
          </w:p>
        </w:tc>
      </w:tr>
      <w:tr>
        <w:trPr>
          <w:trHeight w:val="595"/>
        </w:trPr>
        <w:tc>
          <w:tcPr>
            <w:tcW w:w="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5"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0" w:type="dxa"/>
            <w:vAlign w:val="bottom"/>
            <w:tcBorders>
              <w:right w:val="single" w:sz="8" w:color="auto"/>
            </w:tcBorders>
          </w:tcPr>
          <w:p>
            <w:pPr>
              <w:spacing w:after="0"/>
              <w:rPr>
                <w:sz w:val="21"/>
                <w:szCs w:val="21"/>
                <w:color w:val="auto"/>
              </w:rPr>
            </w:pPr>
          </w:p>
        </w:tc>
        <w:tc>
          <w:tcPr>
            <w:tcW w:w="13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Umicore S.A. Business Unit Precious Metals Refining</w:t>
            </w:r>
          </w:p>
        </w:tc>
        <w:tc>
          <w:tcPr>
            <w:tcW w:w="34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BELGIUM</w:t>
            </w:r>
          </w:p>
        </w:tc>
        <w:tc>
          <w:tcPr>
            <w:tcW w:w="18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CID001980</w:t>
            </w:r>
          </w:p>
        </w:tc>
      </w:tr>
      <w:tr>
        <w:trPr>
          <w:trHeight w:val="193"/>
        </w:trPr>
        <w:tc>
          <w:tcPr>
            <w:tcW w:w="60" w:type="dxa"/>
            <w:vAlign w:val="bottom"/>
            <w:tcBorders>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United Precious Metal Refining, Inc.</w:t>
            </w:r>
          </w:p>
        </w:tc>
        <w:tc>
          <w:tcPr>
            <w:tcW w:w="348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UNITED STATES OF AMERICA</w:t>
            </w:r>
          </w:p>
        </w:tc>
        <w:tc>
          <w:tcPr>
            <w:tcW w:w="186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CID001993</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Valcambi S.A.</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SWITZERLAND</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CID002003</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Western Australian Mint (T/a The Perth Mint)</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AUSTRALIA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CID002030</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Yamamoto Precious Metal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CID002100</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Yokohama Metal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CID002129</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Zhongyuan Gold Smelter of Zhongjin Gold Corporation</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CID002224</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 Refinery of Zijin Mining Group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CID002243</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Morris and Watson</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NEW ZEALAND</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CID002282</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SAFINA A.S.</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CZECH REPUBLIC</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CID002290</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Guangdong Jinding Gold Limited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CID002312</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Umicore Precious Metals Thailand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THAILAND</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CID002314</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Geib Refining Corporation</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CID002459</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MMTC-PAMP India Pvt.,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INDIA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CID002509</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Republic Metals Corporation</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CID002510</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KGHM Polska Miedz Spolka Akcyjna</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POLAND</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CID002511</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Fidelity Printers and Refiners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ZIMBABWE</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CID002515</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Singway Technology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TAIWAN, PROVINCE OF 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CID002516</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Al Etihad Gold LLC</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ARAB EMIRATES</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CID002560</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Emirates Gold DMCC</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ARAB EMIRATES</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CID002561</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Kaloti Precious Metals</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ARAB EMIRATES</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CID002563</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Sudan Gold Refinery</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SUDAN</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CID002567</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T.C.A S.p.A</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ITALY</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CID002580</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Remondis Argentia B.V.</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NETHERLANDS</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CID002582</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Tony Goetz NV</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BELGIUM</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CID002587</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Korea Zinc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KOREA, REPUBLIC OF</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CID002605</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Marsam Metals</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BRAZIL</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CID002606</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TOO Tau-Ken-Altyn</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KAZAKHSTAN</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CID002615</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Abington Reldan Metals, LLC</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CID002708</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SAAMP</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FRANCE</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CID002761</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L'Orfebre S.A.</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ANDORRA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CID002762</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Italpreziosi</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ITALY</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CID002765</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SAXONIA Edelmetalle GmbH</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GERMANY</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CID002777</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WIELAND Edelmetalle GmbH</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GERMANY</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CID002778</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1"/>
              </w:rPr>
              <w:t>Ogussa Osterreichische Gold- und Silber-Scheideanstalt GmbH</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AUSTRIA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CID002779</w:t>
            </w:r>
          </w:p>
        </w:tc>
      </w:tr>
      <w:tr>
        <w:trPr>
          <w:trHeight w:val="595"/>
        </w:trPr>
        <w:tc>
          <w:tcPr>
            <w:tcW w:w="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5"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0" w:type="dxa"/>
            <w:vAlign w:val="bottom"/>
            <w:tcBorders>
              <w:right w:val="single" w:sz="8" w:color="auto"/>
            </w:tcBorders>
          </w:tcPr>
          <w:p>
            <w:pPr>
              <w:spacing w:after="0"/>
              <w:rPr>
                <w:sz w:val="21"/>
                <w:szCs w:val="21"/>
                <w:color w:val="auto"/>
              </w:rPr>
            </w:pPr>
          </w:p>
        </w:tc>
        <w:tc>
          <w:tcPr>
            <w:tcW w:w="13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AU Traders and Refiners</w:t>
            </w:r>
          </w:p>
        </w:tc>
        <w:tc>
          <w:tcPr>
            <w:tcW w:w="34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SOUTH AFRICA</w:t>
            </w:r>
          </w:p>
        </w:tc>
        <w:tc>
          <w:tcPr>
            <w:tcW w:w="18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CID002850</w:t>
            </w:r>
          </w:p>
        </w:tc>
      </w:tr>
      <w:tr>
        <w:trPr>
          <w:trHeight w:val="193"/>
        </w:trPr>
        <w:tc>
          <w:tcPr>
            <w:tcW w:w="60" w:type="dxa"/>
            <w:vAlign w:val="bottom"/>
            <w:tcBorders>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GCC Gujrat Gold Centre Pvt. Ltd.</w:t>
            </w:r>
          </w:p>
        </w:tc>
        <w:tc>
          <w:tcPr>
            <w:tcW w:w="348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INDIA</w:t>
            </w:r>
          </w:p>
        </w:tc>
        <w:tc>
          <w:tcPr>
            <w:tcW w:w="186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CID002852</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Sai Refinery</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INDIA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CID002853</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Universal Precious Metals Refining Zambia</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ZAMBIA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CID002854</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Modeltech Sdn Bhd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MALAYSIA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CID002857</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Bangalore Refinery</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INDIA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CID002863</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Kyshtym Copper-Electrolytic Plant ZAO</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RUSSIAN FEDERATION</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CID002865</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Morris and Watson Gold Coast</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AUSTRALIA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CID002866</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Degussa Sonne / Mond Goldhandel GmbH</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GERMANY</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CID002867</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Pease &amp; Curren</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CID002872</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SungEel HiTech</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KOREA, REPUBLIC OF</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CID002918</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Planta Recuperadora de Metales SpA</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CHILE</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CID002919</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Safimet S.p.A</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ITALY</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CID002973</w:t>
            </w:r>
          </w:p>
        </w:tc>
      </w:tr>
      <w:tr>
        <w:trPr>
          <w:trHeight w:val="195"/>
        </w:trPr>
        <w:tc>
          <w:tcPr>
            <w:tcW w:w="6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Gold</w:t>
            </w:r>
          </w:p>
        </w:tc>
        <w:tc>
          <w:tcPr>
            <w:tcW w:w="47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State Research Institute Center for Physical Sciences and</w:t>
            </w:r>
          </w:p>
        </w:tc>
        <w:tc>
          <w:tcPr>
            <w:tcW w:w="34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LITHUANIA</w:t>
            </w:r>
          </w:p>
        </w:tc>
        <w:tc>
          <w:tcPr>
            <w:tcW w:w="186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CID003153</w:t>
            </w:r>
          </w:p>
        </w:tc>
      </w:tr>
      <w:tr>
        <w:trPr>
          <w:trHeight w:val="230"/>
        </w:trPr>
        <w:tc>
          <w:tcPr>
            <w:tcW w:w="60" w:type="dxa"/>
            <w:vAlign w:val="bottom"/>
            <w:tcBorders>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Technology</w:t>
            </w:r>
          </w:p>
        </w:tc>
        <w:tc>
          <w:tcPr>
            <w:tcW w:w="348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Asaka Riken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CID000092</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Changsha South Tantalum Niobium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CID000211</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Conghua Tantalum and Niobium Smeltry</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CID000291</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Duoluoshan</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CID000410</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Exotech Inc.</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CID000456</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F&amp;X Electro-Materials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CID000460</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Guangdong Zhiyuan New Material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CID000616</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Hi-Temp Specialty Metals, Inc.</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CID000731</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JiuJiang JinXin Nonferrous Metals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CID000914</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Jiujiang Nonferrous Metals Smelting Company Limited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CID000917</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King-Tan Tantalum Industry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CID000973</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LSM Brasil S.A.</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BRAZIL</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CID001076</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Metallurgical Products India Pvt.,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INDIA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CID001163</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Mineracao Taboca S.A.</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BRAZIL</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CID001175</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Mitsui Mining and Smelting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CID001192</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NPM Silmet AS</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ESTONIA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CID001200</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Ningxia Orient Tantalum Industry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CID001277</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QuantumClean</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CID001508</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RFH Tantalum Smeltry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CID001522</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Solikamsk Magnesium Works OAO</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RUSSIAN FEDERATION</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CID001769</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Taki Chemical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CID001869</w:t>
            </w:r>
          </w:p>
        </w:tc>
      </w:tr>
      <w:tr>
        <w:trPr>
          <w:trHeight w:val="595"/>
        </w:trPr>
        <w:tc>
          <w:tcPr>
            <w:tcW w:w="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5" w:right="2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0" w:type="dxa"/>
            <w:vAlign w:val="bottom"/>
            <w:tcBorders>
              <w:right w:val="single" w:sz="8" w:color="auto"/>
            </w:tcBorders>
          </w:tcPr>
          <w:p>
            <w:pPr>
              <w:spacing w:after="0"/>
              <w:rPr>
                <w:sz w:val="21"/>
                <w:szCs w:val="21"/>
                <w:color w:val="auto"/>
              </w:rPr>
            </w:pPr>
          </w:p>
        </w:tc>
        <w:tc>
          <w:tcPr>
            <w:tcW w:w="13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47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Telex Metals</w:t>
            </w:r>
          </w:p>
        </w:tc>
        <w:tc>
          <w:tcPr>
            <w:tcW w:w="34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18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CID001891</w:t>
            </w:r>
          </w:p>
        </w:tc>
      </w:tr>
      <w:tr>
        <w:trPr>
          <w:trHeight w:val="193"/>
        </w:trPr>
        <w:tc>
          <w:tcPr>
            <w:tcW w:w="60" w:type="dxa"/>
            <w:vAlign w:val="bottom"/>
            <w:tcBorders>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Tantalum</w:t>
            </w:r>
          </w:p>
        </w:tc>
        <w:tc>
          <w:tcPr>
            <w:tcW w:w="470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Ulba Metallurgical Plant JSC</w:t>
            </w:r>
          </w:p>
        </w:tc>
        <w:tc>
          <w:tcPr>
            <w:tcW w:w="348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KAZAKHSTAN</w:t>
            </w:r>
          </w:p>
        </w:tc>
        <w:tc>
          <w:tcPr>
            <w:tcW w:w="186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CID001969</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Zhuzhou Cemented Carbide Group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CID002232</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Yichun Jin Yang Rare Metal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CID002307</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Hengyang King Xing Lifeng New Materials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CID002492</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 Block Metals, LLC</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CID002504</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FIR Metals &amp; Resource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CID002505</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Jiujiang Zhongao Tantalum &amp; Niobium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CID002506</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XinXing HaoRong Electronic Material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CID002508</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Jiangxi Dinghai Tantalum &amp; Niobium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CID002512</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KEMET Blue Metals</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MEXICO</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CID002539</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H.C. Starck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THAILAND</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CID002544</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H.C. Starck Tantalum and Niobium GmbH</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GERMANY</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CID002545</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H.C. Starck Hermsdorf GmbH</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GERMANY</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CID002547</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H.C. Starck Inc.</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CID002548</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H.C. Starck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CID002549</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H.C. Starck Smelting GmbH &amp; Co. KG</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GERMANY</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CID002550</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Global Advanced Metals Boyertown</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CID002557</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Global Advanced Metals Aizu</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CID002558</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KEMET Blue Powder</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CID002568</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Tranzact, Inc.</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CID002571</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Resind Industria e Comercio Ltda.</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BRAZIL</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CID002707</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Jiangxi Tuohong New Raw Material</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CID002842</w:t>
            </w:r>
          </w:p>
        </w:tc>
      </w:tr>
      <w:tr>
        <w:trPr>
          <w:trHeight w:val="195"/>
        </w:trPr>
        <w:tc>
          <w:tcPr>
            <w:tcW w:w="6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Tantalum</w:t>
            </w:r>
          </w:p>
        </w:tc>
        <w:tc>
          <w:tcPr>
            <w:tcW w:w="47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Power Resources Ltd.</w:t>
            </w:r>
          </w:p>
        </w:tc>
        <w:tc>
          <w:tcPr>
            <w:tcW w:w="34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MACEDONIA, THE FORMER YUGOSLAV</w:t>
            </w:r>
          </w:p>
        </w:tc>
        <w:tc>
          <w:tcPr>
            <w:tcW w:w="186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CID002847</w:t>
            </w:r>
          </w:p>
        </w:tc>
      </w:tr>
      <w:tr>
        <w:trPr>
          <w:trHeight w:val="230"/>
        </w:trPr>
        <w:tc>
          <w:tcPr>
            <w:tcW w:w="60" w:type="dxa"/>
            <w:vAlign w:val="bottom"/>
            <w:tcBorders>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4700" w:type="dxa"/>
            <w:vAlign w:val="bottom"/>
            <w:tcBorders>
              <w:bottom w:val="single" w:sz="8" w:color="auto"/>
              <w:right w:val="single" w:sz="8" w:color="auto"/>
            </w:tcBorders>
          </w:tcPr>
          <w:p>
            <w:pPr>
              <w:spacing w:after="0"/>
              <w:rPr>
                <w:sz w:val="20"/>
                <w:szCs w:val="20"/>
                <w:color w:val="auto"/>
              </w:rPr>
            </w:pP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REPUBLIC OF</w:t>
            </w:r>
          </w:p>
        </w:tc>
        <w:tc>
          <w:tcPr>
            <w:tcW w:w="1860" w:type="dxa"/>
            <w:vAlign w:val="bottom"/>
            <w:tcBorders>
              <w:bottom w:val="single" w:sz="8" w:color="auto"/>
              <w:right w:val="single" w:sz="8" w:color="auto"/>
            </w:tcBorders>
          </w:tcPr>
          <w:p>
            <w:pPr>
              <w:spacing w:after="0"/>
              <w:rPr>
                <w:sz w:val="20"/>
                <w:szCs w:val="20"/>
                <w:color w:val="auto"/>
              </w:rPr>
            </w:pP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Chenzhou Yunxiang Mining and Metallurgy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CID000228</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Jiangxi Ketai Advanced Material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CID000244</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CNMC (Guangxi) PGMA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CID000278</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Alpha</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CID000292</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Cooperativa Metalurgica de Rondonia Ltda.</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BRAZIL</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CID000295</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CV Gita Pesona</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CID000306</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Justindo</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CID000307</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Aries Kencana Sejahtera</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CID000309</w:t>
            </w:r>
          </w:p>
        </w:tc>
      </w:tr>
      <w:tr>
        <w:trPr>
          <w:trHeight w:val="595"/>
        </w:trPr>
        <w:tc>
          <w:tcPr>
            <w:tcW w:w="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5" w:right="2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0" w:type="dxa"/>
            <w:vAlign w:val="bottom"/>
            <w:tcBorders>
              <w:right w:val="single" w:sz="8" w:color="auto"/>
            </w:tcBorders>
          </w:tcPr>
          <w:p>
            <w:pPr>
              <w:spacing w:after="0"/>
              <w:rPr>
                <w:sz w:val="21"/>
                <w:szCs w:val="21"/>
                <w:color w:val="auto"/>
              </w:rPr>
            </w:pPr>
          </w:p>
        </w:tc>
        <w:tc>
          <w:tcPr>
            <w:tcW w:w="13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CV Serumpun Sebalai</w:t>
            </w:r>
          </w:p>
        </w:tc>
        <w:tc>
          <w:tcPr>
            <w:tcW w:w="34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18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CID000313</w:t>
            </w:r>
          </w:p>
        </w:tc>
      </w:tr>
      <w:tr>
        <w:trPr>
          <w:trHeight w:val="193"/>
        </w:trPr>
        <w:tc>
          <w:tcPr>
            <w:tcW w:w="60" w:type="dxa"/>
            <w:vAlign w:val="bottom"/>
            <w:tcBorders>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CV United Smelting</w:t>
            </w:r>
          </w:p>
        </w:tc>
        <w:tc>
          <w:tcPr>
            <w:tcW w:w="348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INDONESIA</w:t>
            </w:r>
          </w:p>
        </w:tc>
        <w:tc>
          <w:tcPr>
            <w:tcW w:w="186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CID000315</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Dowa</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CID000402</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EM Vinto</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BOLIVIA (PLURINATIONAL STATE OF)</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CID000438</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Estanho de Rondonia S.A.</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BRAZIL</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CID000448</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Fenix Metals</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POLAND</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CID000468</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Gejiu Non-Ferrous Metal Processing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CID000538</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Gejiu Zili Mining And Metallurgy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CID000555</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Huichang Jinshunda Tin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CID000760</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Gejiu Kai Meng Industry and Trade LLC</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CID000942</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 Tin Group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CID001070</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Malaysia Smelting Corporation (MSC)</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MALAYSIA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CID001105</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Metallic Resources, Inc.</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CID001142</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Mineracao Taboca S.A.</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BRAZIL</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CID001173</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Minsur</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PERU</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CID001182</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Mitsubishi Materials Corporation</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CID001191</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Nankang Nanshan Tin Manufactory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CID001231</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O.M. Manufacturing (Thailand)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THAILAND</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CID001314</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Operaciones Metalurgical S.A.</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BOLIVIA (PLURINATIONAL STATE OF)</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CID001337</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Artha Cipta Langgeng</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CID001399</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Babel Inti Perkasa</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CID001402</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Bangka Tin Industry</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CID001419</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Belitung Industri Sejahtera</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CID001421</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Bukit Timah</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CID001428</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DS Jaya Abadi</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CID001434</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Eunindo Usaha Mandiri</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CID001438</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Karimun Mining</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CID001448</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Mitra Stania Prima</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CID001453</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Panca Mega Persada</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CID001457</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Prima Timah Utama</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CID001458</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Refined Bangka Tin</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CID001460</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Sariwiguna Binasentosa</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CID001463</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Stanindo Inti Perkasa</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CID001468</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Sumber Jaya Indah</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CID001471</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Timah (Persero) Tbk Kundur</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CID001477</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Timah (Persero) Tbk Mentok</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CID001482</w:t>
            </w:r>
          </w:p>
        </w:tc>
      </w:tr>
      <w:tr>
        <w:trPr>
          <w:trHeight w:val="595"/>
        </w:trPr>
        <w:tc>
          <w:tcPr>
            <w:tcW w:w="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5"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0" w:type="dxa"/>
            <w:vAlign w:val="bottom"/>
            <w:tcBorders>
              <w:right w:val="single" w:sz="8" w:color="auto"/>
            </w:tcBorders>
          </w:tcPr>
          <w:p>
            <w:pPr>
              <w:spacing w:after="0"/>
              <w:rPr>
                <w:sz w:val="21"/>
                <w:szCs w:val="21"/>
                <w:color w:val="auto"/>
              </w:rPr>
            </w:pPr>
          </w:p>
        </w:tc>
        <w:tc>
          <w:tcPr>
            <w:tcW w:w="13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Tinindo Inter Nusa</w:t>
            </w:r>
          </w:p>
        </w:tc>
        <w:tc>
          <w:tcPr>
            <w:tcW w:w="34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18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CID001490</w:t>
            </w:r>
          </w:p>
        </w:tc>
      </w:tr>
      <w:tr>
        <w:trPr>
          <w:trHeight w:val="193"/>
        </w:trPr>
        <w:tc>
          <w:tcPr>
            <w:tcW w:w="60" w:type="dxa"/>
            <w:vAlign w:val="bottom"/>
            <w:tcBorders>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PT Tommy Utama</w:t>
            </w:r>
          </w:p>
        </w:tc>
        <w:tc>
          <w:tcPr>
            <w:tcW w:w="348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INDONESIA</w:t>
            </w:r>
          </w:p>
        </w:tc>
        <w:tc>
          <w:tcPr>
            <w:tcW w:w="186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CID001493</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Rui Da Hung</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TAIWAN, PROVINCE OF 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CID001539</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Soft Metais Ltda.</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BRAZIL</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CID001758</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Thaisarco</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THAILAND</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CID001898</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Gejiu Yunxin Nonferrous Electrolysis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CID001908</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VQB Mineral and Trading Group JSC</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VIET NAM</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CID002015</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White Solder Metalurgia e Mineracao Ltda.</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BRAZIL</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CID002036</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Yunnan Chengfeng Non-ferrous Metals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CID002158</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Yunnan Tin Company Limited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CID002180</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CV Venus Inti Perkasa</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CID002455</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Magnu's Minerais Metais e Ligas Ltda.</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BRAZIL</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CID002468</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Melt Metais e Ligas S.A.</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BRAZIL</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CID002500</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ATD Makmur Mandiri Jaya</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CID002503</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O.M. Manufacturing Philippines, Inc.</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PHILIPPINES</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CID002517</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Inti Stania Prima</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CID002530</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CV Ayi Jaya</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CID002570</w:t>
            </w:r>
          </w:p>
        </w:tc>
      </w:tr>
      <w:tr>
        <w:trPr>
          <w:trHeight w:val="195"/>
        </w:trPr>
        <w:tc>
          <w:tcPr>
            <w:tcW w:w="6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Tin</w:t>
            </w:r>
          </w:p>
        </w:tc>
        <w:tc>
          <w:tcPr>
            <w:tcW w:w="47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Electro-Mechanical Facility of the Cao Bang Minerals &amp;</w:t>
            </w:r>
          </w:p>
        </w:tc>
        <w:tc>
          <w:tcPr>
            <w:tcW w:w="34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VIET NAM</w:t>
            </w:r>
          </w:p>
        </w:tc>
        <w:tc>
          <w:tcPr>
            <w:tcW w:w="186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CID002572</w:t>
            </w:r>
          </w:p>
        </w:tc>
      </w:tr>
      <w:tr>
        <w:trPr>
          <w:trHeight w:val="230"/>
        </w:trPr>
        <w:tc>
          <w:tcPr>
            <w:tcW w:w="60" w:type="dxa"/>
            <w:vAlign w:val="bottom"/>
            <w:tcBorders>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Metallurgy Joint Stock Company</w:t>
            </w:r>
          </w:p>
        </w:tc>
        <w:tc>
          <w:tcPr>
            <w:tcW w:w="348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Nghe Tinh Non-Ferrous Metals Joint Stock Company</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VIET NAM</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CID002573</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Tuyen Quang Non-Ferrous Metals Joint Stock Company</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VIET NAM</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CID002574</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CV Dua Sekawan</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CID002592</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CV Tiga Sekawan</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CID002593</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Cipta Persada Mulia</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CID002696</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An Vinh Joint Stock Mineral Processing Company</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VIET NAM</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CID002703</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Resind Industria e Comercio Ltda.</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BRAZIL</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CID002706</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Super Ligas</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BRAZIL</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CID002756</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O.M. Indonesia</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CID002757</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Metallo-Chimique N.V.</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BELGIUM</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CID002773</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Elmet S.L.U.</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SPAIN</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CID002774</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Bangka Prima Tin</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CID002776</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Sukses Inti Makmur</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CID002816</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An Thai Minerals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VIET NAM</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CID002825</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Kijang Jaya Mandiri</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CID002829</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Menara Cipta Mulia</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CID002835</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HuiChang Hill Tin Industry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CID002844</w:t>
            </w:r>
          </w:p>
        </w:tc>
      </w:tr>
      <w:tr>
        <w:trPr>
          <w:trHeight w:val="595"/>
        </w:trPr>
        <w:tc>
          <w:tcPr>
            <w:tcW w:w="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5"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0" w:type="dxa"/>
            <w:vAlign w:val="bottom"/>
            <w:tcBorders>
              <w:right w:val="single" w:sz="8" w:color="auto"/>
            </w:tcBorders>
          </w:tcPr>
          <w:p>
            <w:pPr>
              <w:spacing w:after="0"/>
              <w:rPr>
                <w:sz w:val="21"/>
                <w:szCs w:val="21"/>
                <w:color w:val="auto"/>
              </w:rPr>
            </w:pPr>
          </w:p>
        </w:tc>
        <w:tc>
          <w:tcPr>
            <w:tcW w:w="13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Gejiu Fengming Metallurgy Chemical Plant</w:t>
            </w:r>
          </w:p>
        </w:tc>
        <w:tc>
          <w:tcPr>
            <w:tcW w:w="34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CID002848</w:t>
            </w:r>
          </w:p>
        </w:tc>
      </w:tr>
      <w:tr>
        <w:trPr>
          <w:trHeight w:val="193"/>
        </w:trPr>
        <w:tc>
          <w:tcPr>
            <w:tcW w:w="60" w:type="dxa"/>
            <w:vAlign w:val="bottom"/>
            <w:tcBorders>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Tin</w:t>
            </w:r>
          </w:p>
        </w:tc>
        <w:tc>
          <w:tcPr>
            <w:tcW w:w="472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Guanyang Guida Nonferrous Metal Smelting Plant</w:t>
            </w:r>
          </w:p>
        </w:tc>
        <w:tc>
          <w:tcPr>
            <w:tcW w:w="346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CID002849</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Modeltech Sdn Bhd</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MALAYSIA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CID002858</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Gejiu Jinye Mineral Company</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CID002859</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Lautan Harmonis Sejahtera</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CID002870</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Guangdong Hanhe Non-Ferrous Metal Co., Ltd.</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CID003116</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Da Nang Processing Import and Export Joint Stock</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VIET NAM</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CID003154</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A.L.M.T. TUNGSTEN Corp.</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CID000004</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Kennametal Huntsville</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CID000105</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Guangdong Xianglu Tungsten Co., Ltd.</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CID000218</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Chongyi Zhangyuan Tungsten Co., Ltd.</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CID000258</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Dayu Weiliang Tungsten Co., Ltd.</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CID000345</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Fujian Jinxin Tungsten Co., Ltd.</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CID000499</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Global Tungsten &amp; Powders Corp.</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CID000568</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Hunan Chenzhou Mining Co., Ltd.</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CID000766</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Hunan Chunchang Nonferrous Metals Co., Ltd.</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CID000769</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 New Metals Co., Ltd.</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CID000825</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Ganzhou Huaxing Tungsten Products Co., Ltd.</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CID000875</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Kennametal Fallon</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CID000966</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Tejing (Vietnam) Tungsten Co., Ltd.</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VIET NAM</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CID001889</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Vietnam Youngsun Tungsten Industry Co., Ltd.</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VIET NAM</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CID002011</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Wolfram Bergbau und Hutten AG</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AUSTRIA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CID002044</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Xiamen Tungsten Co., Ltd.</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CID002082</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Xinhai Rendan Shaoguan Tungsten Co., Ltd.</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CID002095</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Jiangxi Minmetals Gao'an Non-ferrous Metals Co., Ltd.</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CID002313</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Ganzhou Jiangwu Ferrotungsten Co., Ltd.</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CID002315</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Jiangxi Yaosheng Tungsten Co., Ltd.</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CID002316</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Jiangxi Xinsheng Tungsten Industry Co., Ltd.</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CID002317</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3"/>
              </w:rPr>
              <w:t>Jiangxi Tonggu Non-ferrous Metallurgical &amp; Chemical Co., Ltd.</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CID002318</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Malipo Haiyu Tungsten Co., Ltd.</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CID002319</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Xiamen Tungsten (H.C.) Co., Ltd.</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CID002320</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Jiangxi Gan Bei Tungsten Co., Ltd.</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CID002321</w:t>
            </w:r>
          </w:p>
        </w:tc>
      </w:tr>
      <w:tr>
        <w:trPr>
          <w:trHeight w:val="210"/>
        </w:trPr>
        <w:tc>
          <w:tcPr>
            <w:tcW w:w="6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4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Ganzhou Seadragon W &amp; Mo Co., Ltd.</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CID002494</w:t>
            </w:r>
          </w:p>
        </w:tc>
      </w:tr>
      <w:tr>
        <w:trPr>
          <w:trHeight w:val="595"/>
        </w:trPr>
        <w:tc>
          <w:tcPr>
            <w:tcW w:w="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5" w:right="239" w:bottom="1440" w:gutter="0" w:footer="0" w:header="0"/>
        </w:sectPr>
      </w:pPr>
    </w:p>
    <w:bookmarkStart w:id="16" w:name="page17"/>
    <w:bookmarkEnd w:id="1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3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47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Asia Tungsten Products Vietnam Ltd.</w:t>
            </w:r>
          </w:p>
        </w:tc>
        <w:tc>
          <w:tcPr>
            <w:tcW w:w="34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VIET NAM</w:t>
            </w:r>
          </w:p>
        </w:tc>
        <w:tc>
          <w:tcPr>
            <w:tcW w:w="18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CID002502</w:t>
            </w:r>
          </w:p>
        </w:tc>
      </w:tr>
      <w:tr>
        <w:trPr>
          <w:trHeight w:val="193"/>
        </w:trPr>
        <w:tc>
          <w:tcPr>
            <w:tcW w:w="1360" w:type="dxa"/>
            <w:vAlign w:val="bottom"/>
            <w:tcBorders>
              <w:bottom w:val="single" w:sz="8" w:color="auto"/>
              <w:right w:val="single" w:sz="8" w:color="auto"/>
            </w:tcBorders>
          </w:tcPr>
          <w:p>
            <w:pPr>
              <w:ind w:left="20"/>
              <w:spacing w:after="0" w:line="193" w:lineRule="exact"/>
              <w:rPr>
                <w:sz w:val="20"/>
                <w:szCs w:val="20"/>
                <w:color w:val="auto"/>
              </w:rPr>
            </w:pPr>
            <w:r>
              <w:rPr>
                <w:rFonts w:ascii="Arial" w:cs="Arial" w:eastAsia="Arial" w:hAnsi="Arial"/>
                <w:sz w:val="18"/>
                <w:szCs w:val="18"/>
                <w:color w:val="auto"/>
              </w:rPr>
              <w:t>Tungsten</w:t>
            </w:r>
          </w:p>
        </w:tc>
        <w:tc>
          <w:tcPr>
            <w:tcW w:w="470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Chenzhou Diamond Tungsten Products Co., Ltd.</w:t>
            </w:r>
          </w:p>
        </w:tc>
        <w:tc>
          <w:tcPr>
            <w:tcW w:w="348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CID002513</w:t>
            </w:r>
          </w:p>
        </w:tc>
      </w:tr>
      <w:tr>
        <w:trPr>
          <w:trHeight w:val="210"/>
        </w:trPr>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Jiangxi Xiushui Xianggan Nonferrous Metals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CID002535</w:t>
            </w:r>
          </w:p>
        </w:tc>
      </w:tr>
      <w:tr>
        <w:trPr>
          <w:trHeight w:val="210"/>
        </w:trPr>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Ganzhou Yatai Tungsten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CID002536</w:t>
            </w:r>
          </w:p>
        </w:tc>
      </w:tr>
      <w:tr>
        <w:trPr>
          <w:trHeight w:val="210"/>
        </w:trPr>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H.C. Starck Tungsten GmbH</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GERMANY</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CID002541</w:t>
            </w:r>
          </w:p>
        </w:tc>
      </w:tr>
      <w:tr>
        <w:trPr>
          <w:trHeight w:val="210"/>
        </w:trPr>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H.C. Starck Smelting GmbH &amp; Co. KG</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GERMANY</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CID002542</w:t>
            </w:r>
          </w:p>
        </w:tc>
      </w:tr>
      <w:tr>
        <w:trPr>
          <w:trHeight w:val="210"/>
        </w:trPr>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3"/>
              </w:rPr>
              <w:t>Nui Phao H.C. Starck Tungsten Chemicals Manufacturing LLC</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VIET NAM</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CID002543</w:t>
            </w:r>
          </w:p>
        </w:tc>
      </w:tr>
      <w:tr>
        <w:trPr>
          <w:trHeight w:val="210"/>
        </w:trPr>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Jiangwu H.C. Starck Tungsten Products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CID002551</w:t>
            </w:r>
          </w:p>
        </w:tc>
      </w:tr>
      <w:tr>
        <w:trPr>
          <w:trHeight w:val="210"/>
        </w:trPr>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Hunan Chuangda Vanadium Tungsten Co., Ltd. Wuji</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CID002579</w:t>
            </w:r>
          </w:p>
        </w:tc>
      </w:tr>
      <w:tr>
        <w:trPr>
          <w:trHeight w:val="210"/>
        </w:trPr>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Niagara Refining LLC</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CID002589</w:t>
            </w:r>
          </w:p>
        </w:tc>
      </w:tr>
      <w:tr>
        <w:trPr>
          <w:trHeight w:val="210"/>
        </w:trPr>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Ganzhou Haichuang Tungsten Industry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CID002645</w:t>
            </w:r>
          </w:p>
        </w:tc>
      </w:tr>
      <w:tr>
        <w:trPr>
          <w:trHeight w:val="210"/>
        </w:trPr>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Jiangxi Dayu Longxintai Tungsten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CID002647</w:t>
            </w:r>
          </w:p>
        </w:tc>
      </w:tr>
      <w:tr>
        <w:trPr>
          <w:trHeight w:val="210"/>
        </w:trPr>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Hydrometallurg, JSC</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RUSSIAN FEDERATION</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CID002649</w:t>
            </w:r>
          </w:p>
        </w:tc>
      </w:tr>
      <w:tr>
        <w:trPr>
          <w:trHeight w:val="210"/>
        </w:trPr>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Unecha Refractory metals plant</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RUSSIAN FEDERATION</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CID002724</w:t>
            </w:r>
          </w:p>
        </w:tc>
      </w:tr>
      <w:tr>
        <w:trPr>
          <w:trHeight w:val="195"/>
        </w:trPr>
        <w:tc>
          <w:tcPr>
            <w:tcW w:w="13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Tungsten</w:t>
            </w:r>
          </w:p>
        </w:tc>
        <w:tc>
          <w:tcPr>
            <w:tcW w:w="47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6"/>
              </w:rPr>
              <w:t>South-East Nonferrous Metal Company Limited of Hengyang</w:t>
            </w:r>
          </w:p>
        </w:tc>
        <w:tc>
          <w:tcPr>
            <w:tcW w:w="34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CHINA</w:t>
            </w:r>
          </w:p>
        </w:tc>
        <w:tc>
          <w:tcPr>
            <w:tcW w:w="186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CID002815</w:t>
            </w:r>
          </w:p>
        </w:tc>
      </w:tr>
      <w:tr>
        <w:trPr>
          <w:trHeight w:val="230"/>
        </w:trPr>
        <w:tc>
          <w:tcPr>
            <w:tcW w:w="1360" w:type="dxa"/>
            <w:vAlign w:val="bottom"/>
            <w:tcBorders>
              <w:bottom w:val="single" w:sz="8" w:color="auto"/>
              <w:right w:val="single" w:sz="8" w:color="auto"/>
            </w:tcBorders>
          </w:tcPr>
          <w:p>
            <w:pPr>
              <w:spacing w:after="0"/>
              <w:rPr>
                <w:sz w:val="20"/>
                <w:szCs w:val="20"/>
                <w:color w:val="auto"/>
              </w:rPr>
            </w:pP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City</w:t>
            </w:r>
          </w:p>
        </w:tc>
        <w:tc>
          <w:tcPr>
            <w:tcW w:w="348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r>
      <w:tr>
        <w:trPr>
          <w:trHeight w:val="210"/>
        </w:trPr>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Philippine Chuangxin Industrial Co., Inc.</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PHILIPPINES</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CID002827</w:t>
            </w:r>
          </w:p>
        </w:tc>
      </w:tr>
      <w:tr>
        <w:trPr>
          <w:trHeight w:val="195"/>
        </w:trPr>
        <w:tc>
          <w:tcPr>
            <w:tcW w:w="13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Tungsten</w:t>
            </w:r>
          </w:p>
        </w:tc>
        <w:tc>
          <w:tcPr>
            <w:tcW w:w="47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8"/>
              </w:rPr>
              <w:t>Xinfeng Huarui Tungsten &amp; Molybdenum New Material Co.,</w:t>
            </w:r>
          </w:p>
        </w:tc>
        <w:tc>
          <w:tcPr>
            <w:tcW w:w="34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CHINA</w:t>
            </w:r>
          </w:p>
        </w:tc>
        <w:tc>
          <w:tcPr>
            <w:tcW w:w="186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CID002830</w:t>
            </w:r>
          </w:p>
        </w:tc>
      </w:tr>
      <w:tr>
        <w:trPr>
          <w:trHeight w:val="230"/>
        </w:trPr>
        <w:tc>
          <w:tcPr>
            <w:tcW w:w="1360" w:type="dxa"/>
            <w:vAlign w:val="bottom"/>
            <w:tcBorders>
              <w:bottom w:val="single" w:sz="8" w:color="auto"/>
              <w:right w:val="single" w:sz="8" w:color="auto"/>
            </w:tcBorders>
          </w:tcPr>
          <w:p>
            <w:pPr>
              <w:spacing w:after="0"/>
              <w:rPr>
                <w:sz w:val="20"/>
                <w:szCs w:val="20"/>
                <w:color w:val="auto"/>
              </w:rPr>
            </w:pP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Ltd.</w:t>
            </w:r>
          </w:p>
        </w:tc>
        <w:tc>
          <w:tcPr>
            <w:tcW w:w="348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r>
      <w:tr>
        <w:trPr>
          <w:trHeight w:val="210"/>
        </w:trPr>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ACL Metais Eireli</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BRAZIL</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CID002833</w:t>
            </w:r>
          </w:p>
        </w:tc>
      </w:tr>
      <w:tr>
        <w:trPr>
          <w:trHeight w:val="210"/>
        </w:trPr>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Woltech Korea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KOREA, REPUBLIC OF</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CID002843</w:t>
            </w:r>
          </w:p>
        </w:tc>
      </w:tr>
      <w:tr>
        <w:trPr>
          <w:trHeight w:val="210"/>
        </w:trPr>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Moliren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RUSSIAN FEDERATION</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CID002845</w:t>
            </w:r>
          </w:p>
        </w:tc>
      </w:tr>
      <w:tr>
        <w:trPr>
          <w:trHeight w:val="210"/>
        </w:trPr>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Hunan Litian Tungsten Industry Co., Ltd.</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CID003182</w:t>
            </w:r>
          </w:p>
        </w:tc>
      </w:tr>
    </w:tbl>
    <w:p>
      <w:pPr>
        <w:spacing w:after="0" w:line="1" w:lineRule="exact"/>
        <w:rPr>
          <w:sz w:val="20"/>
          <w:szCs w:val="20"/>
          <w:color w:val="auto"/>
        </w:rPr>
      </w:pPr>
    </w:p>
    <w:sectPr>
      <w:pgSz w:w="11900" w:h="16838" w:orient="portrait"/>
      <w:cols w:equalWidth="0" w:num="1">
        <w:col w:w="11400"/>
      </w:cols>
      <w:pgMar w:left="260" w:top="5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o"/>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2019-12-05T04:00:27Z</dcterms:created>
  <dcterms:modified xsi:type="dcterms:W3CDTF">2019-12-05T04:00:27Z</dcterms:modified>
</cp:coreProperties>
</file>