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7"/>
          <w:szCs w:val="17"/>
          <w:b w:val="1"/>
          <w:bCs w:val="1"/>
          <w:color w:val="auto"/>
        </w:rPr>
        <w:t>UNITED STATES</w:t>
      </w:r>
    </w:p>
    <w:p>
      <w:pPr>
        <w:spacing w:after="0" w:line="17"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10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156845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4560"/>
        <w:spacing w:after="0"/>
        <w:rPr>
          <w:sz w:val="20"/>
          <w:szCs w:val="20"/>
          <w:color w:val="auto"/>
        </w:rPr>
      </w:pPr>
      <w:r>
        <w:rPr>
          <w:rFonts w:ascii="Arial" w:cs="Arial" w:eastAsia="Arial" w:hAnsi="Arial"/>
          <w:sz w:val="28"/>
          <w:szCs w:val="28"/>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2460"/>
        <w:spacing w:after="0"/>
        <w:rPr>
          <w:sz w:val="20"/>
          <w:szCs w:val="20"/>
          <w:color w:val="auto"/>
        </w:rPr>
      </w:pPr>
      <w:r>
        <w:rPr>
          <w:rFonts w:ascii="Arial" w:cs="Arial" w:eastAsia="Arial" w:hAnsi="Arial"/>
          <w:sz w:val="17"/>
          <w:szCs w:val="17"/>
          <w:color w:val="auto"/>
        </w:rPr>
        <w:t>Proxy Statement Pursuant to Section 14(a) of the Securities Exchange Act of 1934</w:t>
      </w:r>
    </w:p>
    <w:p>
      <w:pPr>
        <w:spacing w:after="0" w:line="154" w:lineRule="exact"/>
        <w:rPr>
          <w:sz w:val="24"/>
          <w:szCs w:val="24"/>
          <w:color w:val="auto"/>
        </w:rPr>
      </w:pPr>
    </w:p>
    <w:p>
      <w:pPr>
        <w:spacing w:after="0" w:line="196" w:lineRule="exact"/>
        <w:tabs>
          <w:tab w:leader="none" w:pos="212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rFonts w:ascii="Arial" w:cs="Arial" w:eastAsia="Arial" w:hAnsi="Arial"/>
          <w:sz w:val="17"/>
          <w:szCs w:val="17"/>
          <w:color w:val="auto"/>
        </w:rPr>
        <w:tab/>
        <w:t xml:space="preserve">Filed by a Party other than the Registrant: </w:t>
      </w:r>
      <w:r>
        <w:rPr>
          <w:rFonts w:ascii="MS PGothic" w:cs="MS PGothic" w:eastAsia="MS PGothic" w:hAnsi="MS PGothic"/>
          <w:sz w:val="17"/>
          <w:szCs w:val="17"/>
          <w:color w:val="auto"/>
        </w:rPr>
        <w:t>☐</w:t>
      </w:r>
    </w:p>
    <w:p>
      <w:pPr>
        <w:spacing w:after="0" w:line="234" w:lineRule="exact"/>
        <w:rPr>
          <w:sz w:val="24"/>
          <w:szCs w:val="24"/>
          <w:color w:val="auto"/>
        </w:rPr>
      </w:pPr>
    </w:p>
    <w:p>
      <w:pPr>
        <w:ind w:left="200" w:hanging="196"/>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 w:lineRule="exact"/>
        <w:rPr>
          <w:sz w:val="24"/>
          <w:szCs w:val="24"/>
          <w:color w:val="auto"/>
        </w:rPr>
      </w:pPr>
    </w:p>
    <w:p>
      <w:pPr>
        <w:ind w:left="200" w:hanging="196"/>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3" w:lineRule="exact"/>
        <w:rPr>
          <w:rFonts w:ascii="MS PGothic" w:cs="MS PGothic" w:eastAsia="MS PGothic" w:hAnsi="MS PGothic"/>
          <w:sz w:val="17"/>
          <w:szCs w:val="17"/>
          <w:color w:val="auto"/>
        </w:rPr>
      </w:pPr>
    </w:p>
    <w:p>
      <w:pPr>
        <w:ind w:left="200" w:hanging="196"/>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ind w:left="200" w:hanging="196"/>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ind w:left="200" w:hanging="196"/>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156845</wp:posOffset>
            </wp:positionV>
            <wp:extent cx="7137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4860"/>
        <w:spacing w:after="0"/>
        <w:rPr>
          <w:sz w:val="20"/>
          <w:szCs w:val="20"/>
          <w:color w:val="auto"/>
        </w:rPr>
      </w:pPr>
      <w:r>
        <w:rPr>
          <w:rFonts w:ascii="Arial" w:cs="Arial" w:eastAsia="Arial" w:hAnsi="Arial"/>
          <w:sz w:val="28"/>
          <w:szCs w:val="28"/>
          <w:b w:val="1"/>
          <w:bCs w:val="1"/>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7137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3800"/>
        <w:spacing w:after="0"/>
        <w:rPr>
          <w:sz w:val="20"/>
          <w:szCs w:val="20"/>
          <w:color w:val="auto"/>
        </w:rPr>
      </w:pPr>
      <w:r>
        <w:rPr>
          <w:rFonts w:ascii="Arial" w:cs="Arial" w:eastAsia="Arial" w:hAnsi="Arial"/>
          <w:sz w:val="17"/>
          <w:szCs w:val="17"/>
          <w:color w:val="auto"/>
        </w:rPr>
        <w:t>(Name of Registrant as Specified in Its Charter)</w:t>
      </w: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w:t>
      </w:r>
    </w:p>
    <w:p>
      <w:pPr>
        <w:spacing w:after="0" w:line="11" w:lineRule="exact"/>
        <w:rPr>
          <w:sz w:val="24"/>
          <w:szCs w:val="24"/>
          <w:color w:val="auto"/>
        </w:rPr>
      </w:pPr>
    </w:p>
    <w:p>
      <w:pPr>
        <w:ind w:left="200" w:hanging="196"/>
        <w:spacing w:after="0"/>
        <w:tabs>
          <w:tab w:leader="none" w:pos="2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ind w:left="200" w:hanging="196"/>
        <w:spacing w:after="0"/>
        <w:tabs>
          <w:tab w:leader="none" w:pos="2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 w:lineRule="exact"/>
        <w:rPr>
          <w:rFonts w:ascii="MS PGothic" w:cs="MS PGothic" w:eastAsia="MS PGothic" w:hAnsi="MS PGothic"/>
          <w:sz w:val="17"/>
          <w:szCs w:val="17"/>
          <w:color w:val="auto"/>
        </w:rPr>
      </w:pPr>
    </w:p>
    <w:p>
      <w:pPr>
        <w:ind w:left="200" w:hanging="196"/>
        <w:spacing w:after="0"/>
        <w:tabs>
          <w:tab w:leader="none" w:pos="2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of Schedule 14A.</w:t>
      </w:r>
    </w:p>
    <w:p>
      <w:pPr>
        <w:spacing w:after="0" w:line="178" w:lineRule="exact"/>
        <w:rPr>
          <w:sz w:val="24"/>
          <w:szCs w:val="24"/>
          <w:color w:val="auto"/>
        </w:rPr>
      </w:pPr>
    </w:p>
    <w:p>
      <w:pPr>
        <w:ind w:left="558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139"/>
          </w:cols>
          <w:pgMar w:left="320" w:top="666" w:right="1440" w:bottom="1440" w:gutter="0" w:footer="0" w:header="0"/>
        </w:sectPr>
      </w:pPr>
    </w:p>
    <w:bookmarkStart w:id="1" w:name="page2"/>
    <w:bookmarkEnd w:id="1"/>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518160</wp:posOffset>
            </wp:positionV>
            <wp:extent cx="1534795" cy="396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9624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7"/>
          <w:szCs w:val="17"/>
          <w:b w:val="1"/>
          <w:bCs w:val="1"/>
          <w:color w:val="auto"/>
        </w:rPr>
        <w:t>COHU, INC.</w:t>
      </w:r>
    </w:p>
    <w:p>
      <w:pPr>
        <w:spacing w:after="0" w:line="196"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17087 Via Del Campo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San Diego, California 92127-1711</w:t>
      </w:r>
    </w:p>
    <w:p>
      <w:pPr>
        <w:jc w:val="center"/>
        <w:spacing w:after="0"/>
        <w:rPr>
          <w:sz w:val="20"/>
          <w:szCs w:val="20"/>
          <w:color w:val="auto"/>
        </w:rPr>
      </w:pPr>
      <w:r>
        <w:rPr>
          <w:rFonts w:ascii="Arial" w:cs="Arial" w:eastAsia="Arial" w:hAnsi="Arial"/>
          <w:sz w:val="17"/>
          <w:szCs w:val="17"/>
          <w:color w:val="auto"/>
        </w:rPr>
        <w:t>(858) 848-8000</w:t>
      </w:r>
    </w:p>
    <w:p>
      <w:pPr>
        <w:spacing w:after="0" w:line="193" w:lineRule="exact"/>
        <w:rPr>
          <w:sz w:val="20"/>
          <w:szCs w:val="20"/>
          <w:color w:val="auto"/>
        </w:rPr>
      </w:pPr>
    </w:p>
    <w:p>
      <w:pPr>
        <w:spacing w:after="0"/>
        <w:rPr>
          <w:sz w:val="20"/>
          <w:szCs w:val="20"/>
          <w:color w:val="auto"/>
        </w:rPr>
      </w:pPr>
      <w:r>
        <w:rPr>
          <w:rFonts w:ascii="Arial" w:cs="Arial" w:eastAsia="Arial" w:hAnsi="Arial"/>
          <w:sz w:val="31"/>
          <w:szCs w:val="31"/>
          <w:b w:val="1"/>
          <w:bCs w:val="1"/>
          <w:color w:val="FFFFFF"/>
        </w:rPr>
        <w:t>Notice of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-224155</wp:posOffset>
            </wp:positionV>
            <wp:extent cx="7137400" cy="264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Tuesday, December 15, 2026</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2:30 p.m. Eastern Standard Time / 11:30 a.m. Pacific Standard Time</w:t>
      </w:r>
    </w:p>
    <w:p>
      <w:pPr>
        <w:spacing w:after="0"/>
        <w:rPr>
          <w:sz w:val="20"/>
          <w:szCs w:val="20"/>
          <w:color w:val="auto"/>
        </w:rPr>
      </w:pPr>
      <w:r>
        <w:rPr>
          <w:rFonts w:ascii="Arial" w:cs="Arial" w:eastAsia="Arial" w:hAnsi="Arial"/>
          <w:sz w:val="17"/>
          <w:szCs w:val="17"/>
          <w:color w:val="auto"/>
        </w:rPr>
        <w:t>Online at www.virtualshareholdermeeting.com/COHU2026SM</w:t>
      </w:r>
    </w:p>
    <w:p>
      <w:pPr>
        <w:spacing w:after="0" w:line="178"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Cohu, Inc. will hold a Special Meeting of Stockholders solely by remote communication. Proposals 1 through 4 and each of Proposals 5(a) through 5(i) seek ratification under Section 204 of the Delaware General Corporation Law of the specific prior actions described below and in the proxy statement. Each ratification is a separate voting item. At the Special Meeting, stockholders will be asked to consider and vote on the following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137400" cy="4705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7400" cy="470535"/>
                    </a:xfrm>
                    <a:prstGeom prst="rect">
                      <a:avLst/>
                    </a:prstGeom>
                    <a:noFill/>
                  </pic:spPr>
                </pic:pic>
              </a:graphicData>
            </a:graphic>
          </wp:anchor>
        </w:drawing>
      </w:r>
    </w:p>
    <w:p>
      <w:pPr>
        <w:spacing w:after="0" w:line="171"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7"/>
          <w:szCs w:val="17"/>
          <w:b w:val="1"/>
          <w:bCs w:val="1"/>
          <w:color w:val="FFFFFF"/>
        </w:rPr>
        <w:t>Proposal</w:t>
      </w:r>
      <w:r>
        <w:rPr>
          <w:sz w:val="20"/>
          <w:szCs w:val="20"/>
          <w:color w:val="auto"/>
        </w:rPr>
        <w:tab/>
      </w:r>
      <w:r>
        <w:rPr>
          <w:rFonts w:ascii="Arial" w:cs="Arial" w:eastAsia="Arial" w:hAnsi="Arial"/>
          <w:sz w:val="17"/>
          <w:szCs w:val="17"/>
          <w:b w:val="1"/>
          <w:bCs w:val="1"/>
          <w:color w:val="FFFFFF"/>
        </w:rPr>
        <w:t>Matter</w:t>
      </w:r>
    </w:p>
    <w:p>
      <w:pPr>
        <w:spacing w:after="0" w:line="79" w:lineRule="exact"/>
        <w:rPr>
          <w:sz w:val="20"/>
          <w:szCs w:val="20"/>
          <w:color w:val="auto"/>
        </w:rPr>
      </w:pPr>
    </w:p>
    <w:p>
      <w:pPr>
        <w:ind w:left="1180" w:right="580" w:hanging="1137"/>
        <w:spacing w:after="0" w:line="280" w:lineRule="auto"/>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Ratify the adoption and implementation of the amendment to Article Nineteenth of the Company’s certificate of incorporation limiting the liability of certain officers, approved by stockholders and filed on June 5, 2024.</w:t>
      </w:r>
    </w:p>
    <w:p>
      <w:pPr>
        <w:spacing w:after="0" w:line="12" w:lineRule="exact"/>
        <w:rPr>
          <w:sz w:val="20"/>
          <w:szCs w:val="20"/>
          <w:color w:val="auto"/>
        </w:rPr>
      </w:pPr>
    </w:p>
    <w:p>
      <w:pPr>
        <w:ind w:left="1180" w:right="80" w:hanging="1137"/>
        <w:spacing w:after="0" w:line="280"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Ratify the adoption and implementation of the amendment to Article Fourth of the Company’s certificate of incorporation increasing authorized common shares from 90,000,000 to 150,000,000, approved by stockholders and filed on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137400" cy="173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0" cy="173355"/>
                    </a:xfrm>
                    <a:prstGeom prst="rect">
                      <a:avLst/>
                    </a:prstGeom>
                    <a:noFill/>
                  </pic:spPr>
                </pic:pic>
              </a:graphicData>
            </a:graphic>
          </wp:anchor>
        </w:drawing>
      </w:r>
    </w:p>
    <w:p>
      <w:pPr>
        <w:ind w:left="1180" w:hanging="1137"/>
        <w:spacing w:after="0"/>
        <w:tabs>
          <w:tab w:leader="none" w:pos="1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Ratify the adoption of the Cohu, Inc. 2026 Equity Incentive Plan, including the stockholder approval obtained on May 15, 2026.</w:t>
      </w:r>
    </w:p>
    <w:p>
      <w:pPr>
        <w:spacing w:after="0" w:line="77" w:lineRule="exact"/>
        <w:rPr>
          <w:sz w:val="20"/>
          <w:szCs w:val="20"/>
          <w:color w:val="auto"/>
        </w:rPr>
      </w:pPr>
    </w:p>
    <w:p>
      <w:pPr>
        <w:ind w:left="1180" w:right="520" w:hanging="1137"/>
        <w:spacing w:after="0" w:line="273" w:lineRule="auto"/>
        <w:tabs>
          <w:tab w:leader="none" w:pos="1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Ratify the adoption of the Amended and Restated Cohu, Inc. 1997 Employee Stock Purchase Plan, including the stockholder approval obtained on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635</wp:posOffset>
            </wp:positionV>
            <wp:extent cx="8255" cy="297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2971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940" w:type="dxa"/>
            <w:vAlign w:val="bottom"/>
            <w:shd w:val="clear" w:color="auto" w:fill="E6E6E6"/>
          </w:tcPr>
          <w:p>
            <w:pPr>
              <w:ind w:left="40"/>
              <w:spacing w:after="0"/>
              <w:rPr>
                <w:sz w:val="20"/>
                <w:szCs w:val="20"/>
                <w:color w:val="auto"/>
              </w:rPr>
            </w:pPr>
            <w:r>
              <w:rPr>
                <w:rFonts w:ascii="Arial" w:cs="Arial" w:eastAsia="Arial" w:hAnsi="Arial"/>
                <w:sz w:val="17"/>
                <w:szCs w:val="17"/>
                <w:color w:val="auto"/>
              </w:rPr>
              <w:t>5(a)–5(i)</w:t>
            </w:r>
          </w:p>
        </w:tc>
        <w:tc>
          <w:tcPr>
            <w:tcW w:w="10300" w:type="dxa"/>
            <w:vAlign w:val="bottom"/>
            <w:shd w:val="clear" w:color="auto" w:fill="E6E6E6"/>
          </w:tcPr>
          <w:p>
            <w:pPr>
              <w:ind w:left="240"/>
              <w:spacing w:after="0"/>
              <w:rPr>
                <w:sz w:val="20"/>
                <w:szCs w:val="20"/>
                <w:color w:val="auto"/>
              </w:rPr>
            </w:pPr>
            <w:r>
              <w:rPr>
                <w:rFonts w:ascii="Arial" w:cs="Arial" w:eastAsia="Arial" w:hAnsi="Arial"/>
                <w:sz w:val="17"/>
                <w:szCs w:val="17"/>
                <w:color w:val="auto"/>
              </w:rPr>
              <w:t>Nine separate ratifications under Section 204 of the prior director elections identified in the chart below. Each director’s prior</w:t>
            </w:r>
          </w:p>
        </w:tc>
      </w:tr>
      <w:tr>
        <w:trPr>
          <w:trHeight w:val="229"/>
        </w:trPr>
        <w:tc>
          <w:tcPr>
            <w:tcW w:w="940" w:type="dxa"/>
            <w:vAlign w:val="bottom"/>
            <w:shd w:val="clear" w:color="auto" w:fill="E6E6E6"/>
          </w:tcPr>
          <w:p>
            <w:pPr>
              <w:spacing w:after="0"/>
              <w:rPr>
                <w:sz w:val="19"/>
                <w:szCs w:val="19"/>
                <w:color w:val="auto"/>
              </w:rPr>
            </w:pPr>
          </w:p>
        </w:tc>
        <w:tc>
          <w:tcPr>
            <w:tcW w:w="10300" w:type="dxa"/>
            <w:vAlign w:val="bottom"/>
            <w:shd w:val="clear" w:color="auto" w:fill="E6E6E6"/>
          </w:tcPr>
          <w:p>
            <w:pPr>
              <w:ind w:left="240"/>
              <w:spacing w:after="0"/>
              <w:rPr>
                <w:sz w:val="20"/>
                <w:szCs w:val="20"/>
                <w:color w:val="auto"/>
              </w:rPr>
            </w:pPr>
            <w:r>
              <w:rPr>
                <w:rFonts w:ascii="Arial" w:cs="Arial" w:eastAsia="Arial" w:hAnsi="Arial"/>
                <w:sz w:val="17"/>
                <w:szCs w:val="17"/>
                <w:color w:val="auto"/>
              </w:rPr>
              <w:t>election is a separately votable matter.</w:t>
            </w:r>
          </w:p>
        </w:tc>
      </w:tr>
      <w:tr>
        <w:trPr>
          <w:trHeight w:val="22"/>
        </w:trPr>
        <w:tc>
          <w:tcPr>
            <w:tcW w:w="940" w:type="dxa"/>
            <w:vAlign w:val="bottom"/>
            <w:shd w:val="clear" w:color="auto" w:fill="E6E6E6"/>
          </w:tcPr>
          <w:p>
            <w:pPr>
              <w:spacing w:after="0" w:line="20" w:lineRule="exact"/>
              <w:rPr>
                <w:sz w:val="1"/>
                <w:szCs w:val="1"/>
                <w:color w:val="auto"/>
              </w:rPr>
            </w:pPr>
          </w:p>
        </w:tc>
        <w:tc>
          <w:tcPr>
            <w:tcW w:w="10300" w:type="dxa"/>
            <w:vAlign w:val="bottom"/>
            <w:shd w:val="clear" w:color="auto" w:fill="E6E6E6"/>
          </w:tcPr>
          <w:p>
            <w:pPr>
              <w:spacing w:after="0" w:line="20" w:lineRule="exact"/>
              <w:rPr>
                <w:sz w:val="1"/>
                <w:szCs w:val="1"/>
                <w:color w:val="auto"/>
              </w:rPr>
            </w:pPr>
          </w:p>
        </w:tc>
      </w:tr>
    </w:tbl>
    <w:p>
      <w:pPr>
        <w:spacing w:after="0" w:line="22" w:lineRule="exact"/>
        <w:rPr>
          <w:sz w:val="20"/>
          <w:szCs w:val="20"/>
          <w:color w:val="auto"/>
        </w:rPr>
      </w:pPr>
    </w:p>
    <w:p>
      <w:pPr>
        <w:ind w:left="1180" w:right="80" w:hanging="1137"/>
        <w:spacing w:after="0" w:line="280" w:lineRule="auto"/>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Approve one or more adjournments of the Special Meeting, if necessary or appropriate, to solicit additional proxies for one or more ratification proposals or to obtain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116840</wp:posOffset>
            </wp:positionV>
            <wp:extent cx="8255" cy="3467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116840</wp:posOffset>
            </wp:positionV>
            <wp:extent cx="8255" cy="3467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116840</wp:posOffset>
            </wp:positionV>
            <wp:extent cx="8255" cy="3467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116840</wp:posOffset>
            </wp:positionV>
            <wp:extent cx="8255" cy="3467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34671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80" w:type="dxa"/>
            <w:vAlign w:val="bottom"/>
            <w:shd w:val="clear" w:color="auto" w:fill="2D53A6"/>
          </w:tcPr>
          <w:p>
            <w:pPr>
              <w:ind w:left="40"/>
              <w:spacing w:after="0"/>
              <w:rPr>
                <w:sz w:val="20"/>
                <w:szCs w:val="20"/>
                <w:color w:val="auto"/>
              </w:rPr>
            </w:pPr>
            <w:r>
              <w:rPr>
                <w:rFonts w:ascii="Arial" w:cs="Arial" w:eastAsia="Arial" w:hAnsi="Arial"/>
                <w:sz w:val="17"/>
                <w:szCs w:val="17"/>
                <w:b w:val="1"/>
                <w:bCs w:val="1"/>
                <w:color w:val="FFFFFF"/>
              </w:rPr>
              <w:t>Proposal</w:t>
            </w:r>
          </w:p>
        </w:tc>
        <w:tc>
          <w:tcPr>
            <w:tcW w:w="3040" w:type="dxa"/>
            <w:vAlign w:val="bottom"/>
            <w:shd w:val="clear" w:color="auto" w:fill="2D53A6"/>
          </w:tcPr>
          <w:p>
            <w:pPr>
              <w:ind w:left="200"/>
              <w:spacing w:after="0"/>
              <w:rPr>
                <w:sz w:val="20"/>
                <w:szCs w:val="20"/>
                <w:color w:val="auto"/>
              </w:rPr>
            </w:pPr>
            <w:r>
              <w:rPr>
                <w:rFonts w:ascii="Arial" w:cs="Arial" w:eastAsia="Arial" w:hAnsi="Arial"/>
                <w:sz w:val="17"/>
                <w:szCs w:val="17"/>
                <w:b w:val="1"/>
                <w:bCs w:val="1"/>
                <w:color w:val="FFFFFF"/>
              </w:rPr>
              <w:t>Prior election to be ratified</w:t>
            </w:r>
          </w:p>
        </w:tc>
        <w:tc>
          <w:tcPr>
            <w:tcW w:w="2940" w:type="dxa"/>
            <w:vAlign w:val="bottom"/>
            <w:shd w:val="clear" w:color="auto" w:fill="2D53A6"/>
          </w:tcPr>
          <w:p>
            <w:pPr>
              <w:ind w:left="640"/>
              <w:spacing w:after="0"/>
              <w:rPr>
                <w:sz w:val="20"/>
                <w:szCs w:val="20"/>
                <w:color w:val="auto"/>
              </w:rPr>
            </w:pPr>
            <w:r>
              <w:rPr>
                <w:rFonts w:ascii="Arial" w:cs="Arial" w:eastAsia="Arial" w:hAnsi="Arial"/>
                <w:sz w:val="17"/>
                <w:szCs w:val="17"/>
                <w:b w:val="1"/>
                <w:bCs w:val="1"/>
                <w:color w:val="FFFFFF"/>
              </w:rPr>
              <w:t>Original election date</w:t>
            </w:r>
          </w:p>
        </w:tc>
        <w:tc>
          <w:tcPr>
            <w:tcW w:w="1080" w:type="dxa"/>
            <w:vAlign w:val="bottom"/>
            <w:shd w:val="clear" w:color="auto" w:fill="2D53A6"/>
          </w:tcPr>
          <w:p>
            <w:pPr>
              <w:ind w:left="520"/>
              <w:spacing w:after="0"/>
              <w:rPr>
                <w:sz w:val="20"/>
                <w:szCs w:val="20"/>
                <w:color w:val="auto"/>
              </w:rPr>
            </w:pPr>
            <w:r>
              <w:rPr>
                <w:rFonts w:ascii="Arial" w:cs="Arial" w:eastAsia="Arial" w:hAnsi="Arial"/>
                <w:sz w:val="17"/>
                <w:szCs w:val="17"/>
                <w:b w:val="1"/>
                <w:bCs w:val="1"/>
                <w:color w:val="FFFFFF"/>
              </w:rPr>
              <w:t>Class</w:t>
            </w:r>
          </w:p>
        </w:tc>
        <w:tc>
          <w:tcPr>
            <w:tcW w:w="3200" w:type="dxa"/>
            <w:vAlign w:val="bottom"/>
            <w:shd w:val="clear" w:color="auto" w:fill="2D53A6"/>
          </w:tcPr>
          <w:p>
            <w:pPr>
              <w:ind w:left="100"/>
              <w:spacing w:after="0"/>
              <w:rPr>
                <w:sz w:val="20"/>
                <w:szCs w:val="20"/>
                <w:color w:val="auto"/>
              </w:rPr>
            </w:pPr>
            <w:r>
              <w:rPr>
                <w:rFonts w:ascii="Arial" w:cs="Arial" w:eastAsia="Arial" w:hAnsi="Arial"/>
                <w:sz w:val="17"/>
                <w:szCs w:val="17"/>
                <w:b w:val="1"/>
                <w:bCs w:val="1"/>
                <w:color w:val="FFFFFF"/>
              </w:rPr>
              <w:t>Scheduled term endpoint</w:t>
            </w:r>
          </w:p>
        </w:tc>
      </w:tr>
      <w:tr>
        <w:trPr>
          <w:trHeight w:val="253"/>
        </w:trPr>
        <w:tc>
          <w:tcPr>
            <w:tcW w:w="9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5(a)</w:t>
            </w:r>
          </w:p>
        </w:tc>
        <w:tc>
          <w:tcPr>
            <w:tcW w:w="304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17"/>
                <w:szCs w:val="17"/>
                <w:color w:val="auto"/>
              </w:rPr>
              <w:t>Andrew M. Caggia</w:t>
            </w:r>
          </w:p>
        </w:tc>
        <w:tc>
          <w:tcPr>
            <w:tcW w:w="2940" w:type="dxa"/>
            <w:vAlign w:val="bottom"/>
            <w:tcBorders>
              <w:bottom w:val="single" w:sz="8" w:color="E6E6E6"/>
            </w:tcBorders>
            <w:shd w:val="clear" w:color="auto" w:fill="E6E6E6"/>
          </w:tcPr>
          <w:p>
            <w:pPr>
              <w:ind w:left="640"/>
              <w:spacing w:after="0"/>
              <w:rPr>
                <w:sz w:val="20"/>
                <w:szCs w:val="20"/>
                <w:color w:val="auto"/>
              </w:rPr>
            </w:pPr>
            <w:r>
              <w:rPr>
                <w:rFonts w:ascii="Arial" w:cs="Arial" w:eastAsia="Arial" w:hAnsi="Arial"/>
                <w:sz w:val="17"/>
                <w:szCs w:val="17"/>
                <w:color w:val="auto"/>
              </w:rPr>
              <w:t>June 5, 2024</w:t>
            </w:r>
          </w:p>
        </w:tc>
        <w:tc>
          <w:tcPr>
            <w:tcW w:w="108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7"/>
                <w:szCs w:val="17"/>
                <w:color w:val="auto"/>
              </w:rPr>
              <w:t>2</w:t>
            </w:r>
          </w:p>
        </w:tc>
        <w:tc>
          <w:tcPr>
            <w:tcW w:w="320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7"/>
                <w:szCs w:val="17"/>
                <w:color w:val="auto"/>
              </w:rPr>
              <w:t>2027 annual meeting</w:t>
            </w:r>
          </w:p>
        </w:tc>
      </w:tr>
      <w:tr>
        <w:trPr>
          <w:trHeight w:val="251"/>
        </w:trPr>
        <w:tc>
          <w:tcPr>
            <w:tcW w:w="980" w:type="dxa"/>
            <w:vAlign w:val="bottom"/>
          </w:tcPr>
          <w:p>
            <w:pPr>
              <w:ind w:left="40"/>
              <w:spacing w:after="0"/>
              <w:rPr>
                <w:sz w:val="20"/>
                <w:szCs w:val="20"/>
                <w:color w:val="auto"/>
              </w:rPr>
            </w:pPr>
            <w:r>
              <w:rPr>
                <w:rFonts w:ascii="Arial" w:cs="Arial" w:eastAsia="Arial" w:hAnsi="Arial"/>
                <w:sz w:val="17"/>
                <w:szCs w:val="17"/>
                <w:color w:val="auto"/>
              </w:rPr>
              <w:t>5(b)</w:t>
            </w:r>
          </w:p>
        </w:tc>
        <w:tc>
          <w:tcPr>
            <w:tcW w:w="3040" w:type="dxa"/>
            <w:vAlign w:val="bottom"/>
          </w:tcPr>
          <w:p>
            <w:pPr>
              <w:ind w:left="200"/>
              <w:spacing w:after="0"/>
              <w:rPr>
                <w:sz w:val="20"/>
                <w:szCs w:val="20"/>
                <w:color w:val="auto"/>
              </w:rPr>
            </w:pPr>
            <w:r>
              <w:rPr>
                <w:rFonts w:ascii="Arial" w:cs="Arial" w:eastAsia="Arial" w:hAnsi="Arial"/>
                <w:sz w:val="17"/>
                <w:szCs w:val="17"/>
                <w:color w:val="auto"/>
              </w:rPr>
              <w:t>Yon Y. Jorden</w:t>
            </w:r>
          </w:p>
        </w:tc>
        <w:tc>
          <w:tcPr>
            <w:tcW w:w="2940" w:type="dxa"/>
            <w:vAlign w:val="bottom"/>
          </w:tcPr>
          <w:p>
            <w:pPr>
              <w:ind w:left="640"/>
              <w:spacing w:after="0"/>
              <w:rPr>
                <w:sz w:val="20"/>
                <w:szCs w:val="20"/>
                <w:color w:val="auto"/>
              </w:rPr>
            </w:pPr>
            <w:r>
              <w:rPr>
                <w:rFonts w:ascii="Arial" w:cs="Arial" w:eastAsia="Arial" w:hAnsi="Arial"/>
                <w:sz w:val="17"/>
                <w:szCs w:val="17"/>
                <w:color w:val="auto"/>
              </w:rPr>
              <w:t>June 5, 2024</w:t>
            </w:r>
          </w:p>
        </w:tc>
        <w:tc>
          <w:tcPr>
            <w:tcW w:w="1080" w:type="dxa"/>
            <w:vAlign w:val="bottom"/>
          </w:tcPr>
          <w:p>
            <w:pPr>
              <w:ind w:left="520"/>
              <w:spacing w:after="0"/>
              <w:rPr>
                <w:sz w:val="20"/>
                <w:szCs w:val="20"/>
                <w:color w:val="auto"/>
              </w:rPr>
            </w:pPr>
            <w:r>
              <w:rPr>
                <w:rFonts w:ascii="Arial" w:cs="Arial" w:eastAsia="Arial" w:hAnsi="Arial"/>
                <w:sz w:val="17"/>
                <w:szCs w:val="17"/>
                <w:color w:val="auto"/>
              </w:rPr>
              <w:t>2</w:t>
            </w:r>
          </w:p>
        </w:tc>
        <w:tc>
          <w:tcPr>
            <w:tcW w:w="3200" w:type="dxa"/>
            <w:vAlign w:val="bottom"/>
          </w:tcPr>
          <w:p>
            <w:pPr>
              <w:ind w:left="100"/>
              <w:spacing w:after="0"/>
              <w:rPr>
                <w:sz w:val="20"/>
                <w:szCs w:val="20"/>
                <w:color w:val="auto"/>
              </w:rPr>
            </w:pPr>
            <w:r>
              <w:rPr>
                <w:rFonts w:ascii="Arial" w:cs="Arial" w:eastAsia="Arial" w:hAnsi="Arial"/>
                <w:sz w:val="17"/>
                <w:szCs w:val="17"/>
                <w:color w:val="auto"/>
              </w:rPr>
              <w:t>2027 annual meeting</w:t>
            </w:r>
          </w:p>
        </w:tc>
      </w:tr>
      <w:tr>
        <w:trPr>
          <w:trHeight w:val="22"/>
        </w:trPr>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53"/>
        </w:trPr>
        <w:tc>
          <w:tcPr>
            <w:tcW w:w="9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5(c)</w:t>
            </w:r>
          </w:p>
        </w:tc>
        <w:tc>
          <w:tcPr>
            <w:tcW w:w="304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17"/>
                <w:szCs w:val="17"/>
                <w:color w:val="auto"/>
              </w:rPr>
              <w:t>Luis A. Müller</w:t>
            </w:r>
          </w:p>
        </w:tc>
        <w:tc>
          <w:tcPr>
            <w:tcW w:w="2940" w:type="dxa"/>
            <w:vAlign w:val="bottom"/>
            <w:tcBorders>
              <w:bottom w:val="single" w:sz="8" w:color="E6E6E6"/>
            </w:tcBorders>
            <w:shd w:val="clear" w:color="auto" w:fill="E6E6E6"/>
          </w:tcPr>
          <w:p>
            <w:pPr>
              <w:ind w:left="640"/>
              <w:spacing w:after="0"/>
              <w:rPr>
                <w:sz w:val="20"/>
                <w:szCs w:val="20"/>
                <w:color w:val="auto"/>
              </w:rPr>
            </w:pPr>
            <w:r>
              <w:rPr>
                <w:rFonts w:ascii="Arial" w:cs="Arial" w:eastAsia="Arial" w:hAnsi="Arial"/>
                <w:sz w:val="17"/>
                <w:szCs w:val="17"/>
                <w:color w:val="auto"/>
              </w:rPr>
              <w:t>June 5, 2024</w:t>
            </w:r>
          </w:p>
        </w:tc>
        <w:tc>
          <w:tcPr>
            <w:tcW w:w="108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7"/>
                <w:szCs w:val="17"/>
                <w:color w:val="auto"/>
              </w:rPr>
              <w:t>2</w:t>
            </w:r>
          </w:p>
        </w:tc>
        <w:tc>
          <w:tcPr>
            <w:tcW w:w="320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7"/>
                <w:szCs w:val="17"/>
                <w:color w:val="auto"/>
              </w:rPr>
              <w:t>2027 annual meeting</w:t>
            </w:r>
          </w:p>
        </w:tc>
      </w:tr>
      <w:tr>
        <w:trPr>
          <w:trHeight w:val="251"/>
        </w:trPr>
        <w:tc>
          <w:tcPr>
            <w:tcW w:w="980" w:type="dxa"/>
            <w:vAlign w:val="bottom"/>
          </w:tcPr>
          <w:p>
            <w:pPr>
              <w:ind w:left="40"/>
              <w:spacing w:after="0"/>
              <w:rPr>
                <w:sz w:val="20"/>
                <w:szCs w:val="20"/>
                <w:color w:val="auto"/>
              </w:rPr>
            </w:pPr>
            <w:r>
              <w:rPr>
                <w:rFonts w:ascii="Arial" w:cs="Arial" w:eastAsia="Arial" w:hAnsi="Arial"/>
                <w:sz w:val="17"/>
                <w:szCs w:val="17"/>
                <w:color w:val="auto"/>
              </w:rPr>
              <w:t>5(d)</w:t>
            </w:r>
          </w:p>
        </w:tc>
        <w:tc>
          <w:tcPr>
            <w:tcW w:w="3040" w:type="dxa"/>
            <w:vAlign w:val="bottom"/>
          </w:tcPr>
          <w:p>
            <w:pPr>
              <w:ind w:left="200"/>
              <w:spacing w:after="0"/>
              <w:rPr>
                <w:sz w:val="20"/>
                <w:szCs w:val="20"/>
                <w:color w:val="auto"/>
              </w:rPr>
            </w:pPr>
            <w:r>
              <w:rPr>
                <w:rFonts w:ascii="Arial" w:cs="Arial" w:eastAsia="Arial" w:hAnsi="Arial"/>
                <w:sz w:val="17"/>
                <w:szCs w:val="17"/>
                <w:color w:val="auto"/>
              </w:rPr>
              <w:t>Steven J. Bilodeau</w:t>
            </w:r>
          </w:p>
        </w:tc>
        <w:tc>
          <w:tcPr>
            <w:tcW w:w="2940" w:type="dxa"/>
            <w:vAlign w:val="bottom"/>
          </w:tcPr>
          <w:p>
            <w:pPr>
              <w:ind w:left="640"/>
              <w:spacing w:after="0"/>
              <w:rPr>
                <w:sz w:val="20"/>
                <w:szCs w:val="20"/>
                <w:color w:val="auto"/>
              </w:rPr>
            </w:pPr>
            <w:r>
              <w:rPr>
                <w:rFonts w:ascii="Arial" w:cs="Arial" w:eastAsia="Arial" w:hAnsi="Arial"/>
                <w:sz w:val="17"/>
                <w:szCs w:val="17"/>
                <w:color w:val="auto"/>
              </w:rPr>
              <w:t>May 16, 2025</w:t>
            </w:r>
          </w:p>
        </w:tc>
        <w:tc>
          <w:tcPr>
            <w:tcW w:w="1080" w:type="dxa"/>
            <w:vAlign w:val="bottom"/>
          </w:tcPr>
          <w:p>
            <w:pPr>
              <w:ind w:left="520"/>
              <w:spacing w:after="0"/>
              <w:rPr>
                <w:sz w:val="20"/>
                <w:szCs w:val="20"/>
                <w:color w:val="auto"/>
              </w:rPr>
            </w:pPr>
            <w:r>
              <w:rPr>
                <w:rFonts w:ascii="Arial" w:cs="Arial" w:eastAsia="Arial" w:hAnsi="Arial"/>
                <w:sz w:val="17"/>
                <w:szCs w:val="17"/>
                <w:color w:val="auto"/>
              </w:rPr>
              <w:t>3</w:t>
            </w:r>
          </w:p>
        </w:tc>
        <w:tc>
          <w:tcPr>
            <w:tcW w:w="3200" w:type="dxa"/>
            <w:vAlign w:val="bottom"/>
          </w:tcPr>
          <w:p>
            <w:pPr>
              <w:ind w:left="100"/>
              <w:spacing w:after="0"/>
              <w:rPr>
                <w:sz w:val="20"/>
                <w:szCs w:val="20"/>
                <w:color w:val="auto"/>
              </w:rPr>
            </w:pPr>
            <w:r>
              <w:rPr>
                <w:rFonts w:ascii="Arial" w:cs="Arial" w:eastAsia="Arial" w:hAnsi="Arial"/>
                <w:sz w:val="17"/>
                <w:szCs w:val="17"/>
                <w:color w:val="auto"/>
              </w:rPr>
              <w:t>2028 annual meeting</w:t>
            </w:r>
          </w:p>
        </w:tc>
      </w:tr>
      <w:tr>
        <w:trPr>
          <w:trHeight w:val="22"/>
        </w:trPr>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53"/>
        </w:trPr>
        <w:tc>
          <w:tcPr>
            <w:tcW w:w="9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5(e)</w:t>
            </w:r>
          </w:p>
        </w:tc>
        <w:tc>
          <w:tcPr>
            <w:tcW w:w="304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17"/>
                <w:szCs w:val="17"/>
                <w:color w:val="auto"/>
              </w:rPr>
              <w:t>James A. Donahue</w:t>
            </w:r>
          </w:p>
        </w:tc>
        <w:tc>
          <w:tcPr>
            <w:tcW w:w="2940" w:type="dxa"/>
            <w:vAlign w:val="bottom"/>
            <w:tcBorders>
              <w:bottom w:val="single" w:sz="8" w:color="E6E6E6"/>
            </w:tcBorders>
            <w:shd w:val="clear" w:color="auto" w:fill="E6E6E6"/>
          </w:tcPr>
          <w:p>
            <w:pPr>
              <w:ind w:left="640"/>
              <w:spacing w:after="0"/>
              <w:rPr>
                <w:sz w:val="20"/>
                <w:szCs w:val="20"/>
                <w:color w:val="auto"/>
              </w:rPr>
            </w:pPr>
            <w:r>
              <w:rPr>
                <w:rFonts w:ascii="Arial" w:cs="Arial" w:eastAsia="Arial" w:hAnsi="Arial"/>
                <w:sz w:val="17"/>
                <w:szCs w:val="17"/>
                <w:color w:val="auto"/>
              </w:rPr>
              <w:t>May 16, 2025</w:t>
            </w:r>
          </w:p>
        </w:tc>
        <w:tc>
          <w:tcPr>
            <w:tcW w:w="108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7"/>
                <w:szCs w:val="17"/>
                <w:color w:val="auto"/>
              </w:rPr>
              <w:t>3</w:t>
            </w:r>
          </w:p>
        </w:tc>
        <w:tc>
          <w:tcPr>
            <w:tcW w:w="320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7"/>
                <w:szCs w:val="17"/>
                <w:color w:val="auto"/>
              </w:rPr>
              <w:t>2028 annual meeting</w:t>
            </w:r>
          </w:p>
        </w:tc>
      </w:tr>
      <w:tr>
        <w:trPr>
          <w:trHeight w:val="251"/>
        </w:trPr>
        <w:tc>
          <w:tcPr>
            <w:tcW w:w="980" w:type="dxa"/>
            <w:vAlign w:val="bottom"/>
          </w:tcPr>
          <w:p>
            <w:pPr>
              <w:ind w:left="40"/>
              <w:spacing w:after="0"/>
              <w:rPr>
                <w:sz w:val="20"/>
                <w:szCs w:val="20"/>
                <w:color w:val="auto"/>
              </w:rPr>
            </w:pPr>
            <w:r>
              <w:rPr>
                <w:rFonts w:ascii="Arial" w:cs="Arial" w:eastAsia="Arial" w:hAnsi="Arial"/>
                <w:sz w:val="17"/>
                <w:szCs w:val="17"/>
                <w:color w:val="auto"/>
              </w:rPr>
              <w:t>5(f)</w:t>
            </w:r>
          </w:p>
        </w:tc>
        <w:tc>
          <w:tcPr>
            <w:tcW w:w="3040" w:type="dxa"/>
            <w:vAlign w:val="bottom"/>
          </w:tcPr>
          <w:p>
            <w:pPr>
              <w:ind w:left="200"/>
              <w:spacing w:after="0"/>
              <w:rPr>
                <w:sz w:val="20"/>
                <w:szCs w:val="20"/>
                <w:color w:val="auto"/>
              </w:rPr>
            </w:pPr>
            <w:r>
              <w:rPr>
                <w:rFonts w:ascii="Arial" w:cs="Arial" w:eastAsia="Arial" w:hAnsi="Arial"/>
                <w:sz w:val="17"/>
                <w:szCs w:val="17"/>
                <w:color w:val="auto"/>
              </w:rPr>
              <w:t>Andreas W. Mattes</w:t>
            </w:r>
          </w:p>
        </w:tc>
        <w:tc>
          <w:tcPr>
            <w:tcW w:w="2940" w:type="dxa"/>
            <w:vAlign w:val="bottom"/>
          </w:tcPr>
          <w:p>
            <w:pPr>
              <w:ind w:left="640"/>
              <w:spacing w:after="0"/>
              <w:rPr>
                <w:sz w:val="20"/>
                <w:szCs w:val="20"/>
                <w:color w:val="auto"/>
              </w:rPr>
            </w:pPr>
            <w:r>
              <w:rPr>
                <w:rFonts w:ascii="Arial" w:cs="Arial" w:eastAsia="Arial" w:hAnsi="Arial"/>
                <w:sz w:val="17"/>
                <w:szCs w:val="17"/>
                <w:color w:val="auto"/>
              </w:rPr>
              <w:t>May 16, 2025</w:t>
            </w:r>
          </w:p>
        </w:tc>
        <w:tc>
          <w:tcPr>
            <w:tcW w:w="1080" w:type="dxa"/>
            <w:vAlign w:val="bottom"/>
          </w:tcPr>
          <w:p>
            <w:pPr>
              <w:ind w:left="520"/>
              <w:spacing w:after="0"/>
              <w:rPr>
                <w:sz w:val="20"/>
                <w:szCs w:val="20"/>
                <w:color w:val="auto"/>
              </w:rPr>
            </w:pPr>
            <w:r>
              <w:rPr>
                <w:rFonts w:ascii="Arial" w:cs="Arial" w:eastAsia="Arial" w:hAnsi="Arial"/>
                <w:sz w:val="17"/>
                <w:szCs w:val="17"/>
                <w:color w:val="auto"/>
              </w:rPr>
              <w:t>3</w:t>
            </w:r>
          </w:p>
        </w:tc>
        <w:tc>
          <w:tcPr>
            <w:tcW w:w="3200" w:type="dxa"/>
            <w:vAlign w:val="bottom"/>
          </w:tcPr>
          <w:p>
            <w:pPr>
              <w:ind w:left="100"/>
              <w:spacing w:after="0"/>
              <w:rPr>
                <w:sz w:val="20"/>
                <w:szCs w:val="20"/>
                <w:color w:val="auto"/>
              </w:rPr>
            </w:pPr>
            <w:r>
              <w:rPr>
                <w:rFonts w:ascii="Arial" w:cs="Arial" w:eastAsia="Arial" w:hAnsi="Arial"/>
                <w:sz w:val="17"/>
                <w:szCs w:val="17"/>
                <w:color w:val="auto"/>
              </w:rPr>
              <w:t>2028 annual meeting</w:t>
            </w:r>
          </w:p>
        </w:tc>
      </w:tr>
      <w:tr>
        <w:trPr>
          <w:trHeight w:val="22"/>
        </w:trPr>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53"/>
        </w:trPr>
        <w:tc>
          <w:tcPr>
            <w:tcW w:w="9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5(g)</w:t>
            </w:r>
          </w:p>
        </w:tc>
        <w:tc>
          <w:tcPr>
            <w:tcW w:w="304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17"/>
                <w:szCs w:val="17"/>
                <w:color w:val="auto"/>
              </w:rPr>
              <w:t>William E. Bendush</w:t>
            </w:r>
          </w:p>
        </w:tc>
        <w:tc>
          <w:tcPr>
            <w:tcW w:w="2940" w:type="dxa"/>
            <w:vAlign w:val="bottom"/>
            <w:tcBorders>
              <w:bottom w:val="single" w:sz="8" w:color="E6E6E6"/>
            </w:tcBorders>
            <w:shd w:val="clear" w:color="auto" w:fill="E6E6E6"/>
          </w:tcPr>
          <w:p>
            <w:pPr>
              <w:ind w:left="640"/>
              <w:spacing w:after="0"/>
              <w:rPr>
                <w:sz w:val="20"/>
                <w:szCs w:val="20"/>
                <w:color w:val="auto"/>
              </w:rPr>
            </w:pPr>
            <w:r>
              <w:rPr>
                <w:rFonts w:ascii="Arial" w:cs="Arial" w:eastAsia="Arial" w:hAnsi="Arial"/>
                <w:sz w:val="17"/>
                <w:szCs w:val="17"/>
                <w:color w:val="auto"/>
              </w:rPr>
              <w:t>May 15, 2026</w:t>
            </w:r>
          </w:p>
        </w:tc>
        <w:tc>
          <w:tcPr>
            <w:tcW w:w="108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7"/>
                <w:szCs w:val="17"/>
                <w:color w:val="auto"/>
              </w:rPr>
              <w:t>1</w:t>
            </w:r>
          </w:p>
        </w:tc>
        <w:tc>
          <w:tcPr>
            <w:tcW w:w="320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7"/>
                <w:szCs w:val="17"/>
                <w:color w:val="auto"/>
              </w:rPr>
              <w:t>2029 annual meeting</w:t>
            </w:r>
          </w:p>
        </w:tc>
      </w:tr>
      <w:tr>
        <w:trPr>
          <w:trHeight w:val="251"/>
        </w:trPr>
        <w:tc>
          <w:tcPr>
            <w:tcW w:w="980" w:type="dxa"/>
            <w:vAlign w:val="bottom"/>
          </w:tcPr>
          <w:p>
            <w:pPr>
              <w:ind w:left="40"/>
              <w:spacing w:after="0"/>
              <w:rPr>
                <w:sz w:val="20"/>
                <w:szCs w:val="20"/>
                <w:color w:val="auto"/>
              </w:rPr>
            </w:pPr>
            <w:r>
              <w:rPr>
                <w:rFonts w:ascii="Arial" w:cs="Arial" w:eastAsia="Arial" w:hAnsi="Arial"/>
                <w:sz w:val="17"/>
                <w:szCs w:val="17"/>
                <w:color w:val="auto"/>
              </w:rPr>
              <w:t>5(h)</w:t>
            </w:r>
          </w:p>
        </w:tc>
        <w:tc>
          <w:tcPr>
            <w:tcW w:w="3040" w:type="dxa"/>
            <w:vAlign w:val="bottom"/>
          </w:tcPr>
          <w:p>
            <w:pPr>
              <w:ind w:left="200"/>
              <w:spacing w:after="0"/>
              <w:rPr>
                <w:sz w:val="20"/>
                <w:szCs w:val="20"/>
                <w:color w:val="auto"/>
              </w:rPr>
            </w:pPr>
            <w:r>
              <w:rPr>
                <w:rFonts w:ascii="Arial" w:cs="Arial" w:eastAsia="Arial" w:hAnsi="Arial"/>
                <w:sz w:val="17"/>
                <w:szCs w:val="17"/>
                <w:color w:val="auto"/>
              </w:rPr>
              <w:t>Karen M. Rapp</w:t>
            </w:r>
          </w:p>
        </w:tc>
        <w:tc>
          <w:tcPr>
            <w:tcW w:w="2940" w:type="dxa"/>
            <w:vAlign w:val="bottom"/>
          </w:tcPr>
          <w:p>
            <w:pPr>
              <w:ind w:left="640"/>
              <w:spacing w:after="0"/>
              <w:rPr>
                <w:sz w:val="20"/>
                <w:szCs w:val="20"/>
                <w:color w:val="auto"/>
              </w:rPr>
            </w:pPr>
            <w:r>
              <w:rPr>
                <w:rFonts w:ascii="Arial" w:cs="Arial" w:eastAsia="Arial" w:hAnsi="Arial"/>
                <w:sz w:val="17"/>
                <w:szCs w:val="17"/>
                <w:color w:val="auto"/>
              </w:rPr>
              <w:t>May 15, 2026</w:t>
            </w:r>
          </w:p>
        </w:tc>
        <w:tc>
          <w:tcPr>
            <w:tcW w:w="1080" w:type="dxa"/>
            <w:vAlign w:val="bottom"/>
          </w:tcPr>
          <w:p>
            <w:pPr>
              <w:ind w:left="520"/>
              <w:spacing w:after="0"/>
              <w:rPr>
                <w:sz w:val="20"/>
                <w:szCs w:val="20"/>
                <w:color w:val="auto"/>
              </w:rPr>
            </w:pPr>
            <w:r>
              <w:rPr>
                <w:rFonts w:ascii="Arial" w:cs="Arial" w:eastAsia="Arial" w:hAnsi="Arial"/>
                <w:sz w:val="17"/>
                <w:szCs w:val="17"/>
                <w:color w:val="auto"/>
              </w:rPr>
              <w:t>1</w:t>
            </w:r>
          </w:p>
        </w:tc>
        <w:tc>
          <w:tcPr>
            <w:tcW w:w="3200" w:type="dxa"/>
            <w:vAlign w:val="bottom"/>
          </w:tcPr>
          <w:p>
            <w:pPr>
              <w:ind w:left="100"/>
              <w:spacing w:after="0"/>
              <w:rPr>
                <w:sz w:val="20"/>
                <w:szCs w:val="20"/>
                <w:color w:val="auto"/>
              </w:rPr>
            </w:pPr>
            <w:r>
              <w:rPr>
                <w:rFonts w:ascii="Arial" w:cs="Arial" w:eastAsia="Arial" w:hAnsi="Arial"/>
                <w:sz w:val="17"/>
                <w:szCs w:val="17"/>
                <w:color w:val="auto"/>
              </w:rPr>
              <w:t>2029 annual meeting</w:t>
            </w:r>
          </w:p>
        </w:tc>
      </w:tr>
      <w:tr>
        <w:trPr>
          <w:trHeight w:val="22"/>
        </w:trPr>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53"/>
        </w:trPr>
        <w:tc>
          <w:tcPr>
            <w:tcW w:w="9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5(i)</w:t>
            </w:r>
          </w:p>
        </w:tc>
        <w:tc>
          <w:tcPr>
            <w:tcW w:w="304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17"/>
                <w:szCs w:val="17"/>
                <w:color w:val="auto"/>
              </w:rPr>
              <w:t>Nina L. Richardson</w:t>
            </w:r>
          </w:p>
        </w:tc>
        <w:tc>
          <w:tcPr>
            <w:tcW w:w="2940" w:type="dxa"/>
            <w:vAlign w:val="bottom"/>
            <w:tcBorders>
              <w:bottom w:val="single" w:sz="8" w:color="E6E6E6"/>
            </w:tcBorders>
            <w:shd w:val="clear" w:color="auto" w:fill="E6E6E6"/>
          </w:tcPr>
          <w:p>
            <w:pPr>
              <w:ind w:left="640"/>
              <w:spacing w:after="0"/>
              <w:rPr>
                <w:sz w:val="20"/>
                <w:szCs w:val="20"/>
                <w:color w:val="auto"/>
              </w:rPr>
            </w:pPr>
            <w:r>
              <w:rPr>
                <w:rFonts w:ascii="Arial" w:cs="Arial" w:eastAsia="Arial" w:hAnsi="Arial"/>
                <w:sz w:val="17"/>
                <w:szCs w:val="17"/>
                <w:color w:val="auto"/>
              </w:rPr>
              <w:t>May 15, 2026</w:t>
            </w:r>
          </w:p>
        </w:tc>
        <w:tc>
          <w:tcPr>
            <w:tcW w:w="108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17"/>
                <w:szCs w:val="17"/>
                <w:color w:val="auto"/>
              </w:rPr>
              <w:t>1</w:t>
            </w:r>
          </w:p>
        </w:tc>
        <w:tc>
          <w:tcPr>
            <w:tcW w:w="3200" w:type="dxa"/>
            <w:vAlign w:val="bottom"/>
            <w:tcBorders>
              <w:bottom w:val="single" w:sz="8" w:color="E6E6E6"/>
            </w:tcBorders>
            <w:shd w:val="clear" w:color="auto" w:fill="E6E6E6"/>
          </w:tcPr>
          <w:p>
            <w:pPr>
              <w:ind w:left="100"/>
              <w:spacing w:after="0"/>
              <w:rPr>
                <w:sz w:val="20"/>
                <w:szCs w:val="20"/>
                <w:color w:val="auto"/>
              </w:rPr>
            </w:pPr>
            <w:r>
              <w:rPr>
                <w:rFonts w:ascii="Arial" w:cs="Arial" w:eastAsia="Arial" w:hAnsi="Arial"/>
                <w:sz w:val="17"/>
                <w:szCs w:val="17"/>
                <w:color w:val="auto"/>
              </w:rPr>
              <w:t>2029 annual meeting</w:t>
            </w:r>
          </w:p>
        </w:tc>
      </w:tr>
      <w:tr>
        <w:trPr>
          <w:trHeight w:val="407"/>
        </w:trPr>
        <w:tc>
          <w:tcPr>
            <w:tcW w:w="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40" w:type="dxa"/>
            <w:vAlign w:val="bottom"/>
          </w:tcPr>
          <w:p>
            <w:pPr>
              <w:ind w:left="1560"/>
              <w:spacing w:after="0"/>
              <w:rPr>
                <w:sz w:val="20"/>
                <w:szCs w:val="20"/>
                <w:color w:val="auto"/>
              </w:rPr>
            </w:pPr>
            <w:r>
              <w:rPr>
                <w:rFonts w:ascii="Arial" w:cs="Arial" w:eastAsia="Arial" w:hAnsi="Arial"/>
                <w:sz w:val="17"/>
                <w:szCs w:val="17"/>
                <w:color w:val="auto"/>
              </w:rPr>
              <w:t>2</w:t>
            </w:r>
          </w:p>
        </w:tc>
        <w:tc>
          <w:tcPr>
            <w:tcW w:w="10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93"/>
        </w:trPr>
        <w:tc>
          <w:tcPr>
            <w:tcW w:w="98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-1542415</wp:posOffset>
            </wp:positionV>
            <wp:extent cx="8255" cy="173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-1542415</wp:posOffset>
            </wp:positionV>
            <wp:extent cx="8255" cy="173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-1542415</wp:posOffset>
            </wp:positionV>
            <wp:extent cx="8255" cy="173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-1542415</wp:posOffset>
            </wp:positionV>
            <wp:extent cx="8255" cy="173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-1195705</wp:posOffset>
            </wp:positionV>
            <wp:extent cx="8255" cy="173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-1195705</wp:posOffset>
            </wp:positionV>
            <wp:extent cx="8255" cy="173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-1195705</wp:posOffset>
            </wp:positionV>
            <wp:extent cx="8255" cy="173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-1195705</wp:posOffset>
            </wp:positionV>
            <wp:extent cx="8255" cy="173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-848995</wp:posOffset>
            </wp:positionV>
            <wp:extent cx="8255" cy="173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-848995</wp:posOffset>
            </wp:positionV>
            <wp:extent cx="8255" cy="173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-848995</wp:posOffset>
            </wp:positionV>
            <wp:extent cx="8255" cy="173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-848995</wp:posOffset>
            </wp:positionV>
            <wp:extent cx="8255" cy="173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711835</wp:posOffset>
            </wp:positionH>
            <wp:positionV relativeFrom="paragraph">
              <wp:posOffset>-502920</wp:posOffset>
            </wp:positionV>
            <wp:extent cx="8255" cy="173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-502920</wp:posOffset>
            </wp:positionV>
            <wp:extent cx="8255" cy="173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-502920</wp:posOffset>
            </wp:positionV>
            <wp:extent cx="8255" cy="173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-502920</wp:posOffset>
            </wp:positionV>
            <wp:extent cx="8255" cy="173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1733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 xml:space="preserve">The Board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Proposals 1 through 4, </w:t>
      </w:r>
      <w:r>
        <w:rPr>
          <w:rFonts w:ascii="Arial" w:cs="Arial" w:eastAsia="Arial" w:hAnsi="Arial"/>
          <w:sz w:val="17"/>
          <w:szCs w:val="17"/>
          <w:b w:val="1"/>
          <w:bCs w:val="1"/>
          <w:color w:val="auto"/>
        </w:rPr>
        <w:t>FOR</w:t>
      </w:r>
      <w:r>
        <w:rPr>
          <w:rFonts w:ascii="Arial" w:cs="Arial" w:eastAsia="Arial" w:hAnsi="Arial"/>
          <w:sz w:val="17"/>
          <w:szCs w:val="17"/>
          <w:color w:val="auto"/>
        </w:rPr>
        <w:t xml:space="preserve"> each of Proposals 5(a) through 5(i), and FOR Proposal 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close of business on October 28, 2026, is the record date for determining stockholders entitled to notice of and to vote at the Special Meeting.</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Historical ownership alone does not entitle a person to vote at this meeting. The additional notice rights under Section 204 are explained below.</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These proposals concern historical actions. They do not elect directors to new terms, extend the scheduled endpoints of their existing class terms, authorize a further increase in our authorized common stock, or add shares to either plan beyond the amounts provided by the historical actions being ratified.</w:t>
      </w:r>
    </w:p>
    <w:p>
      <w:pPr>
        <w:spacing w:after="0" w:line="147"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This notice and the accompanying proxy statement provide the notice required by Section 204(d) of the DGCL. The historical record dates relevant to that notice are April 12, 2024, March 21, 2025, and March 23, 2026, as described under “Background and Effect of the Ratifications.”</w:t>
      </w:r>
    </w:p>
    <w:p>
      <w:pPr>
        <w:spacing w:after="0" w:line="127"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b w:val="1"/>
          <w:bCs w:val="1"/>
          <w:color w:val="auto"/>
        </w:rPr>
        <w:t>Any claim that a defective corporate act ratified under Section 204 is void or voidable due to the identified failure of authorization, or that the Delaware Court of Chancery should declare in its discretion that a ratification under Section 204 is not effective or is effective only on certain conditions, must be brought within 120 days from the applicable validation effective time.</w:t>
      </w:r>
    </w:p>
    <w:p>
      <w:pPr>
        <w:spacing w:after="0" w:line="134" w:lineRule="exact"/>
        <w:rPr>
          <w:sz w:val="20"/>
          <w:szCs w:val="20"/>
          <w:color w:val="auto"/>
        </w:rPr>
      </w:pPr>
    </w:p>
    <w:p>
      <w:pPr>
        <w:jc w:val="both"/>
        <w:ind w:right="700"/>
        <w:spacing w:after="0" w:line="280" w:lineRule="auto"/>
        <w:rPr>
          <w:sz w:val="20"/>
          <w:szCs w:val="20"/>
          <w:color w:val="auto"/>
        </w:rPr>
      </w:pPr>
      <w:r>
        <w:rPr>
          <w:rFonts w:ascii="Arial" w:cs="Arial" w:eastAsia="Arial" w:hAnsi="Arial"/>
          <w:sz w:val="17"/>
          <w:szCs w:val="17"/>
          <w:color w:val="auto"/>
        </w:rPr>
        <w:t>The applicable validation effective time is explained under “Questions and Answers.” The statutory exceptions to the challenge period are described under “Background and Effect of the Ratifications.” The period does not necessarily begin on the same date for every proposal.</w:t>
      </w:r>
    </w:p>
    <w:p>
      <w:pPr>
        <w:spacing w:after="0" w:line="129"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You may attend and vote online by following the instructions in this proxy statement and using your control number. There will be no physical meeting location. The stockholder list will be available for examination for a purpose germane to the Special Meeting during ordinary business hours at our principal executive offices for the ten-day period ending on the day before the Special Meeting.</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Emily R. Lough</w:t>
      </w:r>
    </w:p>
    <w:p>
      <w:pPr>
        <w:spacing w:after="0"/>
        <w:rPr>
          <w:sz w:val="20"/>
          <w:szCs w:val="20"/>
          <w:color w:val="auto"/>
        </w:rPr>
      </w:pPr>
      <w:r>
        <w:rPr>
          <w:rFonts w:ascii="Arial" w:cs="Arial" w:eastAsia="Arial" w:hAnsi="Arial"/>
          <w:sz w:val="17"/>
          <w:szCs w:val="17"/>
          <w:color w:val="auto"/>
        </w:rPr>
        <w:t>Secretary</w:t>
      </w:r>
    </w:p>
    <w:p>
      <w:pPr>
        <w:spacing w:after="0"/>
        <w:rPr>
          <w:sz w:val="20"/>
          <w:szCs w:val="20"/>
          <w:color w:val="auto"/>
        </w:rPr>
      </w:pPr>
      <w:r>
        <w:rPr>
          <w:rFonts w:ascii="Arial" w:cs="Arial" w:eastAsia="Arial" w:hAnsi="Arial"/>
          <w:sz w:val="17"/>
          <w:szCs w:val="17"/>
          <w:color w:val="auto"/>
        </w:rPr>
        <w:t>San Diego, California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Notice Regarding the Availability of Proxy Materials for the Special Meeting to Be Held on December 15, 2026</w:t>
      </w:r>
    </w:p>
    <w:p>
      <w:pPr>
        <w:spacing w:after="0" w:line="196"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 xml:space="preserve">This proxy statement and the form of proxy are available at </w:t>
      </w:r>
      <w:r>
        <w:rPr>
          <w:rFonts w:ascii="Arial" w:cs="Arial" w:eastAsia="Arial" w:hAnsi="Arial"/>
          <w:sz w:val="17"/>
          <w:szCs w:val="17"/>
          <w:u w:val="single" w:color="auto"/>
          <w:color w:val="auto"/>
        </w:rPr>
        <w:t>www.proxyvote.com</w:t>
      </w:r>
      <w:r>
        <w:rPr>
          <w:rFonts w:ascii="Arial" w:cs="Arial" w:eastAsia="Arial" w:hAnsi="Arial"/>
          <w:sz w:val="17"/>
          <w:szCs w:val="17"/>
          <w:color w:val="auto"/>
        </w:rPr>
        <w:t>. We are providing the full set of proxy materials, rather than using notice-only delivery.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3" w:name="page4"/>
    <w:bookmarkEnd w:id="3"/>
    <w:p>
      <w:pPr>
        <w:spacing w:after="0"/>
        <w:rPr>
          <w:sz w:val="20"/>
          <w:szCs w:val="20"/>
          <w:color w:val="auto"/>
        </w:rPr>
      </w:pPr>
      <w:r>
        <w:rPr>
          <w:rFonts w:ascii="Arial" w:cs="Arial" w:eastAsia="Arial" w:hAnsi="Arial"/>
          <w:sz w:val="31"/>
          <w:szCs w:val="31"/>
          <w:b w:val="1"/>
          <w:bCs w:val="1"/>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-224155</wp:posOffset>
            </wp:positionV>
            <wp:extent cx="7137400" cy="264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Special Meeting of Stockholders to Be Held December 15, 2026</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furnishing this proxy statement on behalf of the Board of Directors of Cohu, Inc. in connection with its solicitation of proxies for the Special Meeting and any adjournment of that meeting. “Cohu,” the “Company,” “we,” “us” and “our” refer to Cohu, Inc. This proxy statement and the form of proxy are expected to be first sent or given to stockholders on or about November 9, 2026.</w:t>
      </w:r>
    </w:p>
    <w:p>
      <w:pPr>
        <w:spacing w:after="0" w:line="141" w:lineRule="exact"/>
        <w:rPr>
          <w:sz w:val="20"/>
          <w:szCs w:val="20"/>
          <w:color w:val="auto"/>
        </w:rPr>
      </w:pPr>
    </w:p>
    <w:p>
      <w:pPr>
        <w:spacing w:after="0"/>
        <w:rPr>
          <w:sz w:val="20"/>
          <w:szCs w:val="20"/>
          <w:color w:val="auto"/>
        </w:rPr>
      </w:pPr>
      <w:r>
        <w:rPr>
          <w:rFonts w:ascii="Arial" w:cs="Arial" w:eastAsia="Arial" w:hAnsi="Arial"/>
          <w:sz w:val="24"/>
          <w:szCs w:val="24"/>
          <w:b w:val="1"/>
          <w:bCs w:val="1"/>
          <w:color w:val="2D53A6"/>
        </w:rPr>
        <w:t>Contents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Questions and Answers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Voting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Background and Effect of the Ratifications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Proposal 1: Ratification of the Officer-Liability Limitation Amendment</w:t>
      </w:r>
    </w:p>
    <w:p>
      <w:pPr>
        <w:spacing w:after="0"/>
        <w:rPr>
          <w:sz w:val="20"/>
          <w:szCs w:val="20"/>
          <w:color w:val="auto"/>
        </w:rPr>
      </w:pPr>
      <w:r>
        <w:rPr>
          <w:rFonts w:ascii="Arial" w:cs="Arial" w:eastAsia="Arial" w:hAnsi="Arial"/>
          <w:sz w:val="17"/>
          <w:szCs w:val="17"/>
          <w:color w:val="auto"/>
        </w:rPr>
        <w:t>Proposal 2: Ratification of the Authorized-Share Amendment</w:t>
      </w:r>
    </w:p>
    <w:p>
      <w:pPr>
        <w:spacing w:after="0"/>
        <w:rPr>
          <w:sz w:val="20"/>
          <w:szCs w:val="20"/>
          <w:color w:val="auto"/>
        </w:rPr>
      </w:pPr>
      <w:r>
        <w:rPr>
          <w:rFonts w:ascii="Arial" w:cs="Arial" w:eastAsia="Arial" w:hAnsi="Arial"/>
          <w:sz w:val="17"/>
          <w:szCs w:val="17"/>
          <w:color w:val="auto"/>
        </w:rPr>
        <w:t>Proposal 3: Ratification of the 2026 Equity Incentive Plan</w:t>
      </w:r>
    </w:p>
    <w:p>
      <w:pPr>
        <w:spacing w:after="0"/>
        <w:rPr>
          <w:sz w:val="20"/>
          <w:szCs w:val="20"/>
          <w:color w:val="auto"/>
        </w:rPr>
      </w:pPr>
      <w:r>
        <w:rPr>
          <w:rFonts w:ascii="Arial" w:cs="Arial" w:eastAsia="Arial" w:hAnsi="Arial"/>
          <w:sz w:val="17"/>
          <w:szCs w:val="17"/>
          <w:color w:val="auto"/>
        </w:rPr>
        <w:t>Proposal 4: Ratification of the Amended and Restated 1997 Employee Stock Purchase Plan</w:t>
      </w:r>
    </w:p>
    <w:p>
      <w:pPr>
        <w:spacing w:after="0"/>
        <w:rPr>
          <w:sz w:val="20"/>
          <w:szCs w:val="20"/>
          <w:color w:val="auto"/>
        </w:rPr>
      </w:pPr>
      <w:r>
        <w:rPr>
          <w:rFonts w:ascii="Arial" w:cs="Arial" w:eastAsia="Arial" w:hAnsi="Arial"/>
          <w:sz w:val="17"/>
          <w:szCs w:val="17"/>
          <w:color w:val="auto"/>
        </w:rPr>
        <w:t>Proposals 5(a) through 5(i): Ratification of Prior Director Elections</w:t>
      </w:r>
    </w:p>
    <w:p>
      <w:pPr>
        <w:spacing w:after="0"/>
        <w:rPr>
          <w:sz w:val="20"/>
          <w:szCs w:val="20"/>
          <w:color w:val="auto"/>
        </w:rPr>
      </w:pPr>
      <w:r>
        <w:rPr>
          <w:rFonts w:ascii="Arial" w:cs="Arial" w:eastAsia="Arial" w:hAnsi="Arial"/>
          <w:sz w:val="17"/>
          <w:szCs w:val="17"/>
          <w:color w:val="auto"/>
        </w:rPr>
        <w:t>Proposal 6: Adjournment</w:t>
      </w:r>
    </w:p>
    <w:p>
      <w:pPr>
        <w:spacing w:after="0"/>
        <w:rPr>
          <w:sz w:val="20"/>
          <w:szCs w:val="20"/>
          <w:color w:val="auto"/>
        </w:rPr>
      </w:pPr>
      <w:r>
        <w:rPr>
          <w:rFonts w:ascii="Arial" w:cs="Arial" w:eastAsia="Arial" w:hAnsi="Arial"/>
          <w:sz w:val="17"/>
          <w:szCs w:val="17"/>
          <w:color w:val="auto"/>
        </w:rPr>
        <w:t>Security Ownership and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Annex A</w:t>
      </w:r>
      <w:r>
        <w:rPr>
          <w:rFonts w:ascii="Arial" w:cs="Arial" w:eastAsia="Arial" w:hAnsi="Arial"/>
          <w:sz w:val="17"/>
          <w:szCs w:val="17"/>
          <w:color w:val="auto"/>
        </w:rPr>
        <w:t>: Article Nineteenth</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Annex B</w:t>
      </w:r>
      <w:r>
        <w:rPr>
          <w:rFonts w:ascii="Arial" w:cs="Arial" w:eastAsia="Arial" w:hAnsi="Arial"/>
          <w:sz w:val="17"/>
          <w:szCs w:val="17"/>
          <w:color w:val="auto"/>
        </w:rPr>
        <w:t>: Amended First Paragraph of Article Fourth</w:t>
      </w:r>
    </w:p>
    <w:p>
      <w:pPr>
        <w:spacing w:after="0"/>
        <w:rPr>
          <w:sz w:val="20"/>
          <w:szCs w:val="20"/>
          <w:color w:val="auto"/>
        </w:rPr>
      </w:pPr>
      <w:r>
        <w:rPr>
          <w:rFonts w:ascii="Arial" w:cs="Arial" w:eastAsia="Arial" w:hAnsi="Arial"/>
          <w:sz w:val="17"/>
          <w:szCs w:val="17"/>
          <w:b w:val="1"/>
          <w:bCs w:val="1"/>
          <w:u w:val="single" w:color="auto"/>
          <w:color w:val="auto"/>
        </w:rPr>
        <w:t>Annex C</w:t>
      </w:r>
      <w:r>
        <w:rPr>
          <w:rFonts w:ascii="Arial" w:cs="Arial" w:eastAsia="Arial" w:hAnsi="Arial"/>
          <w:sz w:val="17"/>
          <w:szCs w:val="17"/>
          <w:color w:val="auto"/>
        </w:rPr>
        <w:t>: Cohu, Inc. 2026 Equity Incentive Plan</w:t>
      </w:r>
    </w:p>
    <w:p>
      <w:pPr>
        <w:spacing w:after="0"/>
        <w:rPr>
          <w:sz w:val="20"/>
          <w:szCs w:val="20"/>
          <w:color w:val="auto"/>
        </w:rPr>
      </w:pPr>
      <w:r>
        <w:rPr>
          <w:rFonts w:ascii="Arial" w:cs="Arial" w:eastAsia="Arial" w:hAnsi="Arial"/>
          <w:sz w:val="17"/>
          <w:szCs w:val="17"/>
          <w:b w:val="1"/>
          <w:bCs w:val="1"/>
          <w:u w:val="single" w:color="auto"/>
          <w:color w:val="auto"/>
        </w:rPr>
        <w:t>Annex D</w:t>
      </w:r>
      <w:r>
        <w:rPr>
          <w:rFonts w:ascii="Arial" w:cs="Arial" w:eastAsia="Arial" w:hAnsi="Arial"/>
          <w:sz w:val="17"/>
          <w:szCs w:val="17"/>
          <w:color w:val="auto"/>
        </w:rPr>
        <w:t>: Amended and Restated Cohu, Inc. 1997 Employee Stock Purchase Plan</w:t>
      </w:r>
    </w:p>
    <w:p>
      <w:pPr>
        <w:spacing w:after="0"/>
        <w:rPr>
          <w:sz w:val="20"/>
          <w:szCs w:val="20"/>
          <w:color w:val="auto"/>
        </w:rPr>
      </w:pPr>
      <w:r>
        <w:rPr>
          <w:rFonts w:ascii="Arial" w:cs="Arial" w:eastAsia="Arial" w:hAnsi="Arial"/>
          <w:sz w:val="17"/>
          <w:szCs w:val="17"/>
          <w:b w:val="1"/>
          <w:bCs w:val="1"/>
          <w:u w:val="single" w:color="auto"/>
          <w:color w:val="auto"/>
        </w:rPr>
        <w:t>Annex E</w:t>
      </w:r>
      <w:r>
        <w:rPr>
          <w:rFonts w:ascii="Arial" w:cs="Arial" w:eastAsia="Arial" w:hAnsi="Arial"/>
          <w:sz w:val="17"/>
          <w:szCs w:val="17"/>
          <w:color w:val="auto"/>
        </w:rPr>
        <w:t>: Governance and Fiscal 2025 Compensation Information</w:t>
      </w:r>
    </w:p>
    <w:p>
      <w:pPr>
        <w:spacing w:after="0"/>
        <w:rPr>
          <w:sz w:val="20"/>
          <w:szCs w:val="20"/>
          <w:color w:val="auto"/>
        </w:rPr>
      </w:pPr>
      <w:r>
        <w:rPr>
          <w:rFonts w:ascii="Arial" w:cs="Arial" w:eastAsia="Arial" w:hAnsi="Arial"/>
          <w:sz w:val="17"/>
          <w:szCs w:val="17"/>
          <w:b w:val="1"/>
          <w:bCs w:val="1"/>
          <w:u w:val="single" w:color="auto"/>
          <w:color w:val="auto"/>
        </w:rPr>
        <w:t>Annex F</w:t>
      </w:r>
      <w:r>
        <w:rPr>
          <w:rFonts w:ascii="Arial" w:cs="Arial" w:eastAsia="Arial" w:hAnsi="Arial"/>
          <w:sz w:val="17"/>
          <w:szCs w:val="17"/>
          <w:color w:val="auto"/>
        </w:rPr>
        <w:t>: Non-GAAP Reconciliations Supporting the Compensation Discussion</w:t>
      </w:r>
    </w:p>
    <w:p>
      <w:pPr>
        <w:spacing w:after="0"/>
        <w:rPr>
          <w:sz w:val="20"/>
          <w:szCs w:val="20"/>
          <w:color w:val="auto"/>
        </w:rPr>
      </w:pPr>
      <w:r>
        <w:rPr>
          <w:rFonts w:ascii="Arial" w:cs="Arial" w:eastAsia="Arial" w:hAnsi="Arial"/>
          <w:sz w:val="17"/>
          <w:szCs w:val="17"/>
          <w:color w:val="auto"/>
        </w:rPr>
        <w:t>Form of Proxy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31"/>
          <w:szCs w:val="31"/>
          <w:b w:val="1"/>
          <w:bCs w:val="1"/>
          <w:color w:val="FFFFFF"/>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-224155</wp:posOffset>
            </wp:positionV>
            <wp:extent cx="7137400" cy="264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Why is Cohu holding this Special Meeting?</w:t>
      </w:r>
    </w:p>
    <w:p>
      <w:pPr>
        <w:spacing w:after="0" w:line="19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record dates used for our 2024, 2025, and 2026 annual meetings were more than 50 days before those meetings. Our bylaws limited those intervals to 50 days. This creates uncertainty concerning the validity of the specified actions taken at those meetings. We are asking stockholders to ratify the identified actions under Section 204 of the DGCL to address that uncertainty.</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What does ratification mean here?</w:t>
      </w:r>
    </w:p>
    <w:p>
      <w:pPr>
        <w:spacing w:after="0" w:line="191"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Section 204 provides a process for addressing a failure to authorize a corporate action properly. If the required steps are completed, the action is no longer void or voidable because of the identified failure, with effect back to the time of the original action.</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Did stockholders already vote on these actions?</w:t>
      </w:r>
    </w:p>
    <w:p>
      <w:pPr>
        <w:spacing w:after="0" w:line="191"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Yes. We reported stockholder approval of the two charter amendments and the two equity plans, and the election of the nine directors, following the applicable annual meetings. The question addressed by this Special Meeting concerns the timing of the record dates, not a proposal to change the substantive terms of those actions. The historical voting results appear in the proposal discussions. Proposals 3 and 4 concern the historical adoption of the plans, not approval of new plans or additional share authorizations. Stockholders will nevertheless cast a current vote on each ratification at the Special Meeting. A proxy or voting instruction submitted for an earlier annual meeting will not be counted at the Special Meeting. To vote on these ratifications, follow the Special Meeting voting instructions accompanying these materials.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Are the nine directors being elected again?</w:t>
      </w:r>
    </w:p>
    <w:p>
      <w:pPr>
        <w:spacing w:after="0" w:line="191"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No. Stockholders are being asked to ratify each director’s identified prior election. They are not being asked to elect a new slate, begin new three-year terms, or extend the scheduled endpoints of the existing class terms. You may vote separately to ratify each prior election.</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How does this affect the retirement policy?</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retirement policy permits a non-executive director to stand for re-election for a maximum of one term after reaching age 75, provided the Nominating and Governance Committee and the Board determine that doing so is in the best interests of the Company and its stockholders. Those determinations were made for Andrew M. Caggia’s 2024 election, James A. Donahue’s 2025 election, and William E. Bendush’s 2026 election.</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proposed ratifications concern those same prior elections and the same previously approved class terms. The Board has determined that the prior retirement-policy approvals continue to apply. The ratifications do not restart eligibility under the policy, authorize another post-age-75 class term, or require a waiver, exception or amendment to the policy. See the class-term chart and fuller explanation under Proposals 5(a) through 5(i).</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Must all of the proposals pass?</w:t>
      </w:r>
    </w:p>
    <w:p>
      <w:pPr>
        <w:spacing w:after="0" w:line="191" w:lineRule="exact"/>
        <w:rPr>
          <w:sz w:val="20"/>
          <w:szCs w:val="20"/>
          <w:color w:val="auto"/>
        </w:rPr>
      </w:pPr>
    </w:p>
    <w:p>
      <w:pPr>
        <w:jc w:val="both"/>
        <w:ind w:right="240"/>
        <w:spacing w:after="0" w:line="259" w:lineRule="auto"/>
        <w:rPr>
          <w:sz w:val="20"/>
          <w:szCs w:val="20"/>
          <w:color w:val="auto"/>
        </w:rPr>
      </w:pPr>
      <w:r>
        <w:rPr>
          <w:rFonts w:ascii="Arial" w:cs="Arial" w:eastAsia="Arial" w:hAnsi="Arial"/>
          <w:sz w:val="17"/>
          <w:szCs w:val="17"/>
          <w:color w:val="auto"/>
        </w:rPr>
        <w:t>No. Each ratification is a separate decision. A stockholder may support some proposals and oppose or abstain on others. Each director-election ratification is independently approvable and is not conditioned on any other director ratification or any of Proposals 1 through 4. Approval of the adjournment proposal does not approve any ratification.</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Who may vote?</w:t>
      </w:r>
    </w:p>
    <w:p>
      <w:pPr>
        <w:spacing w:after="0" w:line="191"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Holders of our common stock at the close of business on October 28, 2026, are entitled to vote, subject to the voting requirements described in this proxy statement. At that time, [•] shares of common stock were outstanding and entitled to vote. Each share has one vote on each of Proposals 1 through 4 and Proposal 6. Voting on Proposals 5(a) through 5(i) is described under “Voting 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Why are historical stockholders receiving notice?</w:t>
      </w:r>
    </w:p>
    <w:p>
      <w:pPr>
        <w:spacing w:after="0" w:line="191"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Section 204 provides notice rights to certain historical record holders even if they no longer hold our shares. The relevant historical record dates are April 12, 2024, for Proposal 1 and Proposals 5(a) through 5(c); March 21, 2025, for Proposals 5(d) through 5(f); and March 23, 2026, for Proposals 2 through 4 and Proposals 5(g) through 5(i). We are providing that statutory notice through this proxy statement and its public filing with the SEC, as permitted for a company whose stock is listed on a national securities exchange. A person who owned shares only on a historical record date (and not on October 28, 2026), is not entitled to vote at the Special Meeting on that basis.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9"/>
          <w:szCs w:val="19"/>
          <w:b w:val="1"/>
          <w:bCs w:val="1"/>
          <w:color w:val="2D53A6"/>
        </w:rPr>
        <w:t>How do I vote?</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If your shares are registered in your name, you may vote before the meeting using the internet or telephone instructions on your proxy card, or by signing, dating, and returning the proxy card in the enclosed envelope. Internet and telephone voting before the meeting will close at December 14, 2026, at 11:59 p.m. EST. You may also attend and vote online during the meeting while the polls are open.</w:t>
      </w:r>
    </w:p>
    <w:p>
      <w:pPr>
        <w:spacing w:after="0" w:line="147"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If your shares are held through a broker, bank or other nominee, follow that intermediary’s voting instructions and deadlines. To vote online at the meeting, log on to the virtual meeting site www.virtualshareholdermeeting.com/COHU2026SM using your 16 digit control number.</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Can I change or revoke my proxy?</w:t>
      </w:r>
    </w:p>
    <w:p>
      <w:pPr>
        <w:spacing w:after="0" w:line="191"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A record holder may change a vote by submitting a later-dated proxy card, a later internet or telephone vote before the applicable deadline, or a vote online at the Special Meeting before the polls close. A record holder may also revoke a proxy by delivering written notice to our Secretary before the proxy is exercised. Attending the Special Meeting without voting or expressly revoking a proxy does not by itself revoke the proxy. Beneficial owners should follow their intermediary’s instructions for changing or revoking voting instructions.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What happens if I return a signed proxy without voting instructions?</w:t>
      </w:r>
    </w:p>
    <w:p>
      <w:pPr>
        <w:spacing w:after="0" w:line="189"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 xml:space="preserve">A properly executed proxy that does not specify a vote on a proposal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that proposal, including each separately listed director-election ratification. The proxyholders will act only within the authority given by the proxy and applicable law. If you hold shares through an intermediary and do not provide instructions, the result depends on whether the intermediary is permitted to vote on the particular proposal.</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May my broker vote without my instructions?</w:t>
      </w:r>
    </w:p>
    <w:p>
      <w:pPr>
        <w:spacing w:after="0" w:line="19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We expect that brokers will not be permitted to vote without instructions on Proposals 1, 3, 4 or 5(a) through 5(i). Proposals 2 and 6 are obtained routine matters. Brokers may vote shares on those proposals without instructions, and we do not expect broker non-votes on them. A broker non-vote occurs when an intermediary submits a proxy but does not vote on a proposal because it lacks instructions and has no authority to vote on that proposal.</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What is needed for a quorum?</w:t>
      </w:r>
    </w:p>
    <w:p>
      <w:pPr>
        <w:spacing w:after="0" w:line="19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Holders of a majority of the outstanding shares entitled to vote at the meeting must be present online or represented by proxy to constitute a quorum. Shares represented by properly submitted proxies that abstain, and shares represented by broker non-votes, count toward the meeting quorum. Shares for which no proxy is submitted and whose holder does not attend are not represented. The votes required to approve particular proposals differ, as shown in the next section.</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When will the ratifications become effective?</w:t>
      </w: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Each ratification becomes effective at its applicable validation effective time under Section 204. For an act requiring no certificate of validation and no later Board-specified time, that is the time stockholders approve it. If a certificate of validation is required, the ratification does not become effective before the certificate becomes effective.</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What if a ratification is not approved?</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That action will not be ratified through the proposed Section 204 process. The uncertainty arising from the identified record-date defect will remain, and the Board will consider the appropriate next steps, which may include seeking relief from the Delaware Court of Chancery under Section 205. A failed ratification vote is not itself a vote to remove a director or to repeal a charter provision or plan.</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Who can help me vote or attend?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For assistance with voting, contact Okapi Partners LLC toll free at (877) 279-2311 or info@okapipartners.com. Banks and brokers may contact</w:t>
      </w:r>
    </w:p>
    <w:p>
      <w:pPr>
        <w:spacing w:after="0" w:line="15" w:lineRule="exact"/>
        <w:rPr>
          <w:sz w:val="20"/>
          <w:szCs w:val="20"/>
          <w:color w:val="auto"/>
        </w:rPr>
      </w:pPr>
    </w:p>
    <w:p>
      <w:pPr>
        <w:ind w:right="280" w:firstLine="4"/>
        <w:spacing w:after="0" w:line="260" w:lineRule="auto"/>
        <w:tabs>
          <w:tab w:leader="none" w:pos="4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297-0720. If you encounter any difficulties while accessing the virtual meeting during the check-in or meeting time, a technical assistance phone number will be made available on the virtual meeting registration page 15 minutes prior to the start of the meeting.</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558" w:right="379" w:bottom="1440" w:gutter="0" w:footer="0" w:header="0"/>
        </w:sectPr>
      </w:pPr>
    </w:p>
    <w:bookmarkStart w:id="6" w:name="page7"/>
    <w:bookmarkEnd w:id="6"/>
    <w:p>
      <w:pPr>
        <w:spacing w:after="0"/>
        <w:rPr>
          <w:sz w:val="20"/>
          <w:szCs w:val="20"/>
          <w:color w:val="auto"/>
        </w:rPr>
      </w:pPr>
      <w:r>
        <w:rPr>
          <w:rFonts w:ascii="Arial" w:cs="Arial" w:eastAsia="Arial" w:hAnsi="Arial"/>
          <w:sz w:val="31"/>
          <w:szCs w:val="31"/>
          <w:b w:val="1"/>
          <w:bCs w:val="1"/>
          <w:color w:val="FFFFFF"/>
        </w:rPr>
        <w:t>Voting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-224155</wp:posOffset>
            </wp:positionV>
            <wp:extent cx="7137400" cy="264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spacing w:after="0" w:line="218" w:lineRule="exact"/>
        <w:rPr>
          <w:sz w:val="20"/>
          <w:szCs w:val="20"/>
          <w:color w:val="auto"/>
        </w:rPr>
      </w:pPr>
    </w:p>
    <w:p>
      <w:pPr>
        <w:jc w:val="both"/>
        <w:ind w:right="80"/>
        <w:spacing w:after="0" w:line="260" w:lineRule="auto"/>
        <w:rPr>
          <w:sz w:val="20"/>
          <w:szCs w:val="20"/>
          <w:color w:val="auto"/>
        </w:rPr>
      </w:pPr>
      <w:r>
        <w:rPr>
          <w:rFonts w:ascii="Arial" w:cs="Arial" w:eastAsia="Arial" w:hAnsi="Arial"/>
          <w:sz w:val="17"/>
          <w:szCs w:val="17"/>
          <w:color w:val="auto"/>
        </w:rPr>
        <w:t>The following chart states the approval basis for each proposal. “</w:t>
      </w:r>
      <w:r>
        <w:rPr>
          <w:rFonts w:ascii="Arial" w:cs="Arial" w:eastAsia="Arial" w:hAnsi="Arial"/>
          <w:sz w:val="17"/>
          <w:szCs w:val="17"/>
          <w:b w:val="1"/>
          <w:bCs w:val="1"/>
          <w:color w:val="auto"/>
        </w:rPr>
        <w:t>FOR</w:t>
      </w:r>
      <w:r>
        <w:rPr>
          <w:rFonts w:ascii="Arial" w:cs="Arial" w:eastAsia="Arial" w:hAnsi="Arial"/>
          <w:sz w:val="17"/>
          <w:szCs w:val="17"/>
          <w:color w:val="auto"/>
        </w:rPr>
        <w:t>,” “</w:t>
      </w:r>
      <w:r>
        <w:rPr>
          <w:rFonts w:ascii="Arial" w:cs="Arial" w:eastAsia="Arial" w:hAnsi="Arial"/>
          <w:sz w:val="17"/>
          <w:szCs w:val="17"/>
          <w:b w:val="1"/>
          <w:bCs w:val="1"/>
          <w:color w:val="auto"/>
        </w:rPr>
        <w:t>AGAINST</w:t>
      </w:r>
      <w:r>
        <w:rPr>
          <w:rFonts w:ascii="Arial" w:cs="Arial" w:eastAsia="Arial" w:hAnsi="Arial"/>
          <w:sz w:val="17"/>
          <w:szCs w:val="17"/>
          <w:color w:val="auto"/>
        </w:rPr>
        <w:t>” and “</w:t>
      </w:r>
      <w:r>
        <w:rPr>
          <w:rFonts w:ascii="Arial" w:cs="Arial" w:eastAsia="Arial" w:hAnsi="Arial"/>
          <w:sz w:val="17"/>
          <w:szCs w:val="17"/>
          <w:b w:val="1"/>
          <w:bCs w:val="1"/>
          <w:color w:val="auto"/>
        </w:rPr>
        <w:t>ABSTAIN</w:t>
      </w:r>
      <w:r>
        <w:rPr>
          <w:rFonts w:ascii="Arial" w:cs="Arial" w:eastAsia="Arial" w:hAnsi="Arial"/>
          <w:sz w:val="17"/>
          <w:szCs w:val="17"/>
          <w:color w:val="auto"/>
        </w:rPr>
        <w:t xml:space="preserve">” are separate voting choices. An abstention or a broker non-vote is not recorded as an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vote; where the chart describes the same effect as an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vote, it means that the shares do not supply the affirmative vote needed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103505</wp:posOffset>
            </wp:positionV>
            <wp:extent cx="8255" cy="5943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103505</wp:posOffset>
            </wp:positionV>
            <wp:extent cx="8255" cy="5943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103505</wp:posOffset>
            </wp:positionV>
            <wp:extent cx="8255" cy="5943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59436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60" w:type="dxa"/>
            <w:vAlign w:val="bottom"/>
            <w:shd w:val="clear" w:color="auto" w:fill="2D53A6"/>
          </w:tcPr>
          <w:p>
            <w:pPr>
              <w:ind w:left="40"/>
              <w:spacing w:after="0"/>
              <w:rPr>
                <w:sz w:val="20"/>
                <w:szCs w:val="20"/>
                <w:color w:val="auto"/>
              </w:rPr>
            </w:pPr>
            <w:r>
              <w:rPr>
                <w:rFonts w:ascii="Arial" w:cs="Arial" w:eastAsia="Arial" w:hAnsi="Arial"/>
                <w:sz w:val="17"/>
                <w:szCs w:val="17"/>
                <w:b w:val="1"/>
                <w:bCs w:val="1"/>
                <w:color w:val="FFFFFF"/>
              </w:rPr>
              <w:t>Item</w:t>
            </w:r>
          </w:p>
        </w:tc>
        <w:tc>
          <w:tcPr>
            <w:tcW w:w="4440" w:type="dxa"/>
            <w:vAlign w:val="bottom"/>
            <w:shd w:val="clear" w:color="auto" w:fill="2D53A6"/>
          </w:tcPr>
          <w:p>
            <w:pPr>
              <w:ind w:left="140"/>
              <w:spacing w:after="0"/>
              <w:rPr>
                <w:sz w:val="20"/>
                <w:szCs w:val="20"/>
                <w:color w:val="auto"/>
              </w:rPr>
            </w:pPr>
            <w:r>
              <w:rPr>
                <w:rFonts w:ascii="Arial" w:cs="Arial" w:eastAsia="Arial" w:hAnsi="Arial"/>
                <w:sz w:val="17"/>
                <w:szCs w:val="17"/>
                <w:b w:val="1"/>
                <w:bCs w:val="1"/>
                <w:color w:val="FFFFFF"/>
              </w:rPr>
              <w:t>Affirmative vote needed</w:t>
            </w:r>
          </w:p>
        </w:tc>
        <w:tc>
          <w:tcPr>
            <w:tcW w:w="2180" w:type="dxa"/>
            <w:vAlign w:val="bottom"/>
            <w:shd w:val="clear" w:color="auto" w:fill="2D53A6"/>
          </w:tcPr>
          <w:p>
            <w:pPr>
              <w:ind w:left="100"/>
              <w:spacing w:after="0"/>
              <w:rPr>
                <w:sz w:val="20"/>
                <w:szCs w:val="20"/>
                <w:color w:val="auto"/>
              </w:rPr>
            </w:pPr>
            <w:r>
              <w:rPr>
                <w:rFonts w:ascii="Arial" w:cs="Arial" w:eastAsia="Arial" w:hAnsi="Arial"/>
                <w:sz w:val="17"/>
                <w:szCs w:val="17"/>
                <w:b w:val="1"/>
                <w:bCs w:val="1"/>
                <w:color w:val="FFFFFF"/>
              </w:rPr>
              <w:t>Effect of abstention</w:t>
            </w:r>
          </w:p>
        </w:tc>
        <w:tc>
          <w:tcPr>
            <w:tcW w:w="3760" w:type="dxa"/>
            <w:vAlign w:val="bottom"/>
            <w:shd w:val="clear" w:color="auto" w:fill="2D53A6"/>
          </w:tcPr>
          <w:p>
            <w:pPr>
              <w:ind w:left="80"/>
              <w:spacing w:after="0"/>
              <w:rPr>
                <w:sz w:val="20"/>
                <w:szCs w:val="20"/>
                <w:color w:val="auto"/>
              </w:rPr>
            </w:pPr>
            <w:r>
              <w:rPr>
                <w:rFonts w:ascii="Arial" w:cs="Arial" w:eastAsia="Arial" w:hAnsi="Arial"/>
                <w:sz w:val="17"/>
                <w:szCs w:val="17"/>
                <w:b w:val="1"/>
                <w:bCs w:val="1"/>
                <w:color w:val="FFFFFF"/>
              </w:rPr>
              <w:t>Effect of broker non-vote or no vote</w:t>
            </w:r>
          </w:p>
        </w:tc>
      </w:tr>
      <w:tr>
        <w:trPr>
          <w:trHeight w:val="217"/>
        </w:trPr>
        <w:tc>
          <w:tcPr>
            <w:tcW w:w="860" w:type="dxa"/>
            <w:vAlign w:val="bottom"/>
            <w:shd w:val="clear" w:color="auto" w:fill="E6E6E6"/>
          </w:tcPr>
          <w:p>
            <w:pPr>
              <w:ind w:left="40"/>
              <w:spacing w:after="0"/>
              <w:rPr>
                <w:sz w:val="20"/>
                <w:szCs w:val="20"/>
                <w:color w:val="auto"/>
              </w:rPr>
            </w:pPr>
            <w:r>
              <w:rPr>
                <w:rFonts w:ascii="Arial" w:cs="Arial" w:eastAsia="Arial" w:hAnsi="Arial"/>
                <w:sz w:val="17"/>
                <w:szCs w:val="17"/>
                <w:color w:val="auto"/>
              </w:rPr>
              <w:t>1</w:t>
            </w:r>
          </w:p>
        </w:tc>
        <w:tc>
          <w:tcPr>
            <w:tcW w:w="4440" w:type="dxa"/>
            <w:vAlign w:val="bottom"/>
            <w:shd w:val="clear" w:color="auto" w:fill="E6E6E6"/>
          </w:tcPr>
          <w:p>
            <w:pPr>
              <w:ind w:left="140"/>
              <w:spacing w:after="0"/>
              <w:rPr>
                <w:sz w:val="20"/>
                <w:szCs w:val="20"/>
                <w:color w:val="auto"/>
              </w:rPr>
            </w:pPr>
            <w:r>
              <w:rPr>
                <w:rFonts w:ascii="Arial" w:cs="Arial" w:eastAsia="Arial" w:hAnsi="Arial"/>
                <w:sz w:val="17"/>
                <w:szCs w:val="17"/>
                <w:color w:val="auto"/>
              </w:rPr>
              <w:t>The affirmative vote of holders of a majority of all</w:t>
            </w:r>
          </w:p>
        </w:tc>
        <w:tc>
          <w:tcPr>
            <w:tcW w:w="2180" w:type="dxa"/>
            <w:vAlign w:val="bottom"/>
            <w:shd w:val="clear" w:color="auto" w:fill="E6E6E6"/>
          </w:tcPr>
          <w:p>
            <w:pPr>
              <w:ind w:left="100"/>
              <w:spacing w:after="0"/>
              <w:rPr>
                <w:sz w:val="20"/>
                <w:szCs w:val="20"/>
                <w:color w:val="auto"/>
              </w:rPr>
            </w:pPr>
            <w:r>
              <w:rPr>
                <w:rFonts w:ascii="Arial" w:cs="Arial" w:eastAsia="Arial" w:hAnsi="Arial"/>
                <w:sz w:val="17"/>
                <w:szCs w:val="17"/>
                <w:color w:val="auto"/>
              </w:rPr>
              <w:t xml:space="preserve">Same effect as </w:t>
            </w:r>
            <w:r>
              <w:rPr>
                <w:rFonts w:ascii="Arial" w:cs="Arial" w:eastAsia="Arial" w:hAnsi="Arial"/>
                <w:sz w:val="17"/>
                <w:szCs w:val="17"/>
                <w:b w:val="1"/>
                <w:bCs w:val="1"/>
                <w:color w:val="auto"/>
              </w:rPr>
              <w:t>AGAINST</w:t>
            </w:r>
            <w:r>
              <w:rPr>
                <w:rFonts w:ascii="Arial" w:cs="Arial" w:eastAsia="Arial" w:hAnsi="Arial"/>
                <w:sz w:val="17"/>
                <w:szCs w:val="17"/>
                <w:color w:val="auto"/>
              </w:rPr>
              <w:t>.</w:t>
            </w:r>
          </w:p>
        </w:tc>
        <w:tc>
          <w:tcPr>
            <w:tcW w:w="3760" w:type="dxa"/>
            <w:vAlign w:val="bottom"/>
            <w:shd w:val="clear" w:color="auto" w:fill="E6E6E6"/>
          </w:tcPr>
          <w:p>
            <w:pPr>
              <w:ind w:left="80"/>
              <w:spacing w:after="0"/>
              <w:rPr>
                <w:sz w:val="20"/>
                <w:szCs w:val="20"/>
                <w:color w:val="auto"/>
              </w:rPr>
            </w:pPr>
            <w:r>
              <w:rPr>
                <w:rFonts w:ascii="Arial" w:cs="Arial" w:eastAsia="Arial" w:hAnsi="Arial"/>
                <w:sz w:val="17"/>
                <w:szCs w:val="17"/>
                <w:color w:val="auto"/>
              </w:rPr>
              <w:t xml:space="preserve">Same effect as </w:t>
            </w:r>
            <w:r>
              <w:rPr>
                <w:rFonts w:ascii="Arial" w:cs="Arial" w:eastAsia="Arial" w:hAnsi="Arial"/>
                <w:sz w:val="17"/>
                <w:szCs w:val="17"/>
                <w:b w:val="1"/>
                <w:bCs w:val="1"/>
                <w:color w:val="auto"/>
              </w:rPr>
              <w:t>AGAINST</w:t>
            </w:r>
            <w:r>
              <w:rPr>
                <w:rFonts w:ascii="Arial" w:cs="Arial" w:eastAsia="Arial" w:hAnsi="Arial"/>
                <w:sz w:val="17"/>
                <w:szCs w:val="17"/>
                <w:color w:val="auto"/>
              </w:rPr>
              <w:t>, because those</w:t>
            </w:r>
          </w:p>
        </w:tc>
      </w:tr>
      <w:tr>
        <w:trPr>
          <w:trHeight w:val="195"/>
        </w:trPr>
        <w:tc>
          <w:tcPr>
            <w:tcW w:w="860" w:type="dxa"/>
            <w:vAlign w:val="bottom"/>
            <w:shd w:val="clear" w:color="auto" w:fill="E6E6E6"/>
          </w:tcPr>
          <w:p>
            <w:pPr>
              <w:spacing w:after="0"/>
              <w:rPr>
                <w:sz w:val="16"/>
                <w:szCs w:val="16"/>
                <w:color w:val="auto"/>
              </w:rPr>
            </w:pPr>
          </w:p>
        </w:tc>
        <w:tc>
          <w:tcPr>
            <w:tcW w:w="4440" w:type="dxa"/>
            <w:vAlign w:val="bottom"/>
            <w:shd w:val="clear" w:color="auto" w:fill="E6E6E6"/>
          </w:tcPr>
          <w:p>
            <w:pPr>
              <w:ind w:left="140"/>
              <w:spacing w:after="0"/>
              <w:rPr>
                <w:sz w:val="20"/>
                <w:szCs w:val="20"/>
                <w:color w:val="auto"/>
              </w:rPr>
            </w:pPr>
            <w:r>
              <w:rPr>
                <w:rFonts w:ascii="Arial" w:cs="Arial" w:eastAsia="Arial" w:hAnsi="Arial"/>
                <w:sz w:val="17"/>
                <w:szCs w:val="17"/>
                <w:color w:val="auto"/>
              </w:rPr>
              <w:t>outstanding shares entitled to vote on the proposal.</w:t>
            </w:r>
          </w:p>
        </w:tc>
        <w:tc>
          <w:tcPr>
            <w:tcW w:w="2180" w:type="dxa"/>
            <w:vAlign w:val="bottom"/>
            <w:shd w:val="clear" w:color="auto" w:fill="E6E6E6"/>
          </w:tcPr>
          <w:p>
            <w:pPr>
              <w:spacing w:after="0"/>
              <w:rPr>
                <w:sz w:val="16"/>
                <w:szCs w:val="16"/>
                <w:color w:val="auto"/>
              </w:rPr>
            </w:pPr>
          </w:p>
        </w:tc>
        <w:tc>
          <w:tcPr>
            <w:tcW w:w="3760" w:type="dxa"/>
            <w:vAlign w:val="bottom"/>
            <w:shd w:val="clear" w:color="auto" w:fill="E6E6E6"/>
          </w:tcPr>
          <w:p>
            <w:pPr>
              <w:ind w:left="80"/>
              <w:spacing w:after="0"/>
              <w:rPr>
                <w:sz w:val="20"/>
                <w:szCs w:val="20"/>
                <w:color w:val="auto"/>
              </w:rPr>
            </w:pPr>
            <w:r>
              <w:rPr>
                <w:rFonts w:ascii="Arial" w:cs="Arial" w:eastAsia="Arial" w:hAnsi="Arial"/>
                <w:sz w:val="17"/>
                <w:szCs w:val="17"/>
                <w:color w:val="auto"/>
              </w:rPr>
              <w:t>shares remain in the outstanding-share</w:t>
            </w:r>
          </w:p>
        </w:tc>
      </w:tr>
      <w:tr>
        <w:trPr>
          <w:trHeight w:val="231"/>
        </w:trPr>
        <w:tc>
          <w:tcPr>
            <w:tcW w:w="860" w:type="dxa"/>
            <w:vAlign w:val="bottom"/>
            <w:tcBorders>
              <w:bottom w:val="single" w:sz="8" w:color="E6E6E6"/>
            </w:tcBorders>
            <w:shd w:val="clear" w:color="auto" w:fill="E6E6E6"/>
          </w:tcPr>
          <w:p>
            <w:pPr>
              <w:spacing w:after="0"/>
              <w:rPr>
                <w:sz w:val="20"/>
                <w:szCs w:val="20"/>
                <w:color w:val="auto"/>
              </w:rPr>
            </w:pPr>
          </w:p>
        </w:tc>
        <w:tc>
          <w:tcPr>
            <w:tcW w:w="4440" w:type="dxa"/>
            <w:vAlign w:val="bottom"/>
            <w:tcBorders>
              <w:bottom w:val="single" w:sz="8" w:color="E6E6E6"/>
            </w:tcBorders>
            <w:shd w:val="clear" w:color="auto" w:fill="E6E6E6"/>
          </w:tcPr>
          <w:p>
            <w:pPr>
              <w:spacing w:after="0"/>
              <w:rPr>
                <w:sz w:val="20"/>
                <w:szCs w:val="20"/>
                <w:color w:val="auto"/>
              </w:rPr>
            </w:pPr>
          </w:p>
        </w:tc>
        <w:tc>
          <w:tcPr>
            <w:tcW w:w="2180" w:type="dxa"/>
            <w:vAlign w:val="bottom"/>
            <w:tcBorders>
              <w:bottom w:val="single" w:sz="8" w:color="E6E6E6"/>
            </w:tcBorders>
            <w:shd w:val="clear" w:color="auto" w:fill="E6E6E6"/>
          </w:tcPr>
          <w:p>
            <w:pPr>
              <w:spacing w:after="0"/>
              <w:rPr>
                <w:sz w:val="20"/>
                <w:szCs w:val="20"/>
                <w:color w:val="auto"/>
              </w:rPr>
            </w:pPr>
          </w:p>
        </w:tc>
        <w:tc>
          <w:tcPr>
            <w:tcW w:w="3760" w:type="dxa"/>
            <w:vAlign w:val="bottom"/>
            <w:tcBorders>
              <w:bottom w:val="single" w:sz="8" w:color="E6E6E6"/>
            </w:tcBorders>
            <w:shd w:val="clear" w:color="auto" w:fill="E6E6E6"/>
          </w:tcPr>
          <w:p>
            <w:pPr>
              <w:ind w:left="80"/>
              <w:spacing w:after="0"/>
              <w:rPr>
                <w:sz w:val="20"/>
                <w:szCs w:val="20"/>
                <w:color w:val="auto"/>
              </w:rPr>
            </w:pPr>
            <w:r>
              <w:rPr>
                <w:rFonts w:ascii="Arial" w:cs="Arial" w:eastAsia="Arial" w:hAnsi="Arial"/>
                <w:sz w:val="17"/>
                <w:szCs w:val="17"/>
                <w:color w:val="auto"/>
              </w:rPr>
              <w:t>denominator.</w:t>
            </w:r>
          </w:p>
        </w:tc>
      </w:tr>
      <w:tr>
        <w:trPr>
          <w:trHeight w:val="215"/>
        </w:trPr>
        <w:tc>
          <w:tcPr>
            <w:tcW w:w="860" w:type="dxa"/>
            <w:vAlign w:val="bottom"/>
          </w:tcPr>
          <w:p>
            <w:pPr>
              <w:ind w:left="40"/>
              <w:spacing w:after="0"/>
              <w:rPr>
                <w:sz w:val="20"/>
                <w:szCs w:val="20"/>
                <w:color w:val="auto"/>
              </w:rPr>
            </w:pPr>
            <w:r>
              <w:rPr>
                <w:rFonts w:ascii="Arial" w:cs="Arial" w:eastAsia="Arial" w:hAnsi="Arial"/>
                <w:sz w:val="17"/>
                <w:szCs w:val="17"/>
                <w:color w:val="auto"/>
              </w:rPr>
              <w:t>2</w:t>
            </w:r>
          </w:p>
        </w:tc>
        <w:tc>
          <w:tcPr>
            <w:tcW w:w="4440" w:type="dxa"/>
            <w:vAlign w:val="bottom"/>
          </w:tcPr>
          <w:p>
            <w:pPr>
              <w:ind w:left="140"/>
              <w:spacing w:after="0"/>
              <w:rPr>
                <w:sz w:val="20"/>
                <w:szCs w:val="20"/>
                <w:color w:val="auto"/>
              </w:rPr>
            </w:pPr>
            <w:r>
              <w:rPr>
                <w:rFonts w:ascii="Arial" w:cs="Arial" w:eastAsia="Arial" w:hAnsi="Arial"/>
                <w:sz w:val="17"/>
                <w:szCs w:val="17"/>
                <w:color w:val="auto"/>
              </w:rPr>
              <w:t>The affirmative vote of holders of a majority of all</w:t>
            </w:r>
          </w:p>
        </w:tc>
        <w:tc>
          <w:tcPr>
            <w:tcW w:w="2180" w:type="dxa"/>
            <w:vAlign w:val="bottom"/>
          </w:tcPr>
          <w:p>
            <w:pPr>
              <w:ind w:left="100"/>
              <w:spacing w:after="0"/>
              <w:rPr>
                <w:sz w:val="20"/>
                <w:szCs w:val="20"/>
                <w:color w:val="auto"/>
              </w:rPr>
            </w:pPr>
            <w:r>
              <w:rPr>
                <w:rFonts w:ascii="Arial" w:cs="Arial" w:eastAsia="Arial" w:hAnsi="Arial"/>
                <w:sz w:val="17"/>
                <w:szCs w:val="17"/>
                <w:color w:val="auto"/>
              </w:rPr>
              <w:t xml:space="preserve">Same effect as </w:t>
            </w:r>
            <w:r>
              <w:rPr>
                <w:rFonts w:ascii="Arial" w:cs="Arial" w:eastAsia="Arial" w:hAnsi="Arial"/>
                <w:sz w:val="17"/>
                <w:szCs w:val="17"/>
                <w:b w:val="1"/>
                <w:bCs w:val="1"/>
                <w:color w:val="auto"/>
              </w:rPr>
              <w:t>AGAINST</w:t>
            </w:r>
            <w:r>
              <w:rPr>
                <w:rFonts w:ascii="Arial" w:cs="Arial" w:eastAsia="Arial" w:hAnsi="Arial"/>
                <w:sz w:val="17"/>
                <w:szCs w:val="17"/>
                <w:color w:val="auto"/>
              </w:rPr>
              <w:t>.</w:t>
            </w:r>
          </w:p>
        </w:tc>
        <w:tc>
          <w:tcPr>
            <w:tcW w:w="3760" w:type="dxa"/>
            <w:vAlign w:val="bottom"/>
          </w:tcPr>
          <w:p>
            <w:pPr>
              <w:ind w:left="80"/>
              <w:spacing w:after="0"/>
              <w:rPr>
                <w:sz w:val="20"/>
                <w:szCs w:val="20"/>
                <w:color w:val="auto"/>
              </w:rPr>
            </w:pPr>
            <w:r>
              <w:rPr>
                <w:rFonts w:ascii="Arial" w:cs="Arial" w:eastAsia="Arial" w:hAnsi="Arial"/>
                <w:sz w:val="17"/>
                <w:szCs w:val="17"/>
                <w:color w:val="auto"/>
              </w:rPr>
              <w:t>Same effect as AGAINST if the shares are not</w:t>
            </w:r>
          </w:p>
        </w:tc>
      </w:tr>
      <w:tr>
        <w:trPr>
          <w:trHeight w:val="246"/>
        </w:trPr>
        <w:tc>
          <w:tcPr>
            <w:tcW w:w="860" w:type="dxa"/>
            <w:vAlign w:val="bottom"/>
          </w:tcPr>
          <w:p>
            <w:pPr>
              <w:spacing w:after="0"/>
              <w:rPr>
                <w:sz w:val="21"/>
                <w:szCs w:val="21"/>
                <w:color w:val="auto"/>
              </w:rPr>
            </w:pPr>
          </w:p>
        </w:tc>
        <w:tc>
          <w:tcPr>
            <w:tcW w:w="4440" w:type="dxa"/>
            <w:vAlign w:val="bottom"/>
          </w:tcPr>
          <w:p>
            <w:pPr>
              <w:ind w:left="140"/>
              <w:spacing w:after="0"/>
              <w:rPr>
                <w:sz w:val="20"/>
                <w:szCs w:val="20"/>
                <w:color w:val="auto"/>
              </w:rPr>
            </w:pPr>
            <w:r>
              <w:rPr>
                <w:rFonts w:ascii="Arial" w:cs="Arial" w:eastAsia="Arial" w:hAnsi="Arial"/>
                <w:sz w:val="17"/>
                <w:szCs w:val="17"/>
                <w:color w:val="auto"/>
              </w:rPr>
              <w:t>outstanding shares entitled to vote on the proposal.</w:t>
            </w:r>
          </w:p>
        </w:tc>
        <w:tc>
          <w:tcPr>
            <w:tcW w:w="2180" w:type="dxa"/>
            <w:vAlign w:val="bottom"/>
          </w:tcPr>
          <w:p>
            <w:pPr>
              <w:spacing w:after="0"/>
              <w:rPr>
                <w:sz w:val="21"/>
                <w:szCs w:val="21"/>
                <w:color w:val="auto"/>
              </w:rPr>
            </w:pPr>
          </w:p>
        </w:tc>
        <w:tc>
          <w:tcPr>
            <w:tcW w:w="3760" w:type="dxa"/>
            <w:vAlign w:val="bottom"/>
          </w:tcPr>
          <w:p>
            <w:pPr>
              <w:ind w:left="80"/>
              <w:spacing w:after="0"/>
              <w:rPr>
                <w:sz w:val="20"/>
                <w:szCs w:val="20"/>
                <w:color w:val="auto"/>
              </w:rPr>
            </w:pPr>
            <w:r>
              <w:rPr>
                <w:rFonts w:ascii="Arial" w:cs="Arial" w:eastAsia="Arial" w:hAnsi="Arial"/>
                <w:sz w:val="17"/>
                <w:szCs w:val="17"/>
                <w:color w:val="auto"/>
              </w:rPr>
              <w:t xml:space="preserve">affirmatively voted </w:t>
            </w:r>
            <w:r>
              <w:rPr>
                <w:rFonts w:ascii="Arial" w:cs="Arial" w:eastAsia="Arial" w:hAnsi="Arial"/>
                <w:sz w:val="17"/>
                <w:szCs w:val="17"/>
                <w:b w:val="1"/>
                <w:bCs w:val="1"/>
                <w:color w:val="auto"/>
              </w:rPr>
              <w:t>FOR</w:t>
            </w:r>
            <w:r>
              <w:rPr>
                <w:rFonts w:ascii="Arial" w:cs="Arial" w:eastAsia="Arial" w:hAnsi="Arial"/>
                <w:sz w:val="17"/>
                <w:szCs w:val="17"/>
                <w:color w:val="auto"/>
              </w:rPr>
              <w:t>.</w:t>
            </w:r>
          </w:p>
        </w:tc>
      </w:tr>
      <w:tr>
        <w:trPr>
          <w:trHeight w:val="280"/>
        </w:trPr>
        <w:tc>
          <w:tcPr>
            <w:tcW w:w="860" w:type="dxa"/>
            <w:vAlign w:val="bottom"/>
            <w:shd w:val="clear" w:color="auto" w:fill="E6E6E6"/>
          </w:tcPr>
          <w:p>
            <w:pPr>
              <w:ind w:left="40"/>
              <w:spacing w:after="0"/>
              <w:rPr>
                <w:sz w:val="20"/>
                <w:szCs w:val="20"/>
                <w:color w:val="auto"/>
              </w:rPr>
            </w:pPr>
            <w:r>
              <w:rPr>
                <w:rFonts w:ascii="Arial" w:cs="Arial" w:eastAsia="Arial" w:hAnsi="Arial"/>
                <w:sz w:val="17"/>
                <w:szCs w:val="17"/>
                <w:color w:val="auto"/>
              </w:rPr>
              <w:t>3</w:t>
            </w:r>
          </w:p>
        </w:tc>
        <w:tc>
          <w:tcPr>
            <w:tcW w:w="4440" w:type="dxa"/>
            <w:vAlign w:val="bottom"/>
            <w:shd w:val="clear" w:color="auto" w:fill="E6E6E6"/>
          </w:tcPr>
          <w:p>
            <w:pPr>
              <w:ind w:left="140"/>
              <w:spacing w:after="0"/>
              <w:rPr>
                <w:sz w:val="20"/>
                <w:szCs w:val="20"/>
                <w:color w:val="auto"/>
              </w:rPr>
            </w:pPr>
            <w:r>
              <w:rPr>
                <w:rFonts w:ascii="Arial" w:cs="Arial" w:eastAsia="Arial" w:hAnsi="Arial"/>
                <w:sz w:val="17"/>
                <w:szCs w:val="17"/>
                <w:color w:val="auto"/>
              </w:rPr>
              <w:t xml:space="preserve">More votes </w:t>
            </w:r>
            <w:r>
              <w:rPr>
                <w:rFonts w:ascii="Arial" w:cs="Arial" w:eastAsia="Arial" w:hAnsi="Arial"/>
                <w:sz w:val="17"/>
                <w:szCs w:val="17"/>
                <w:b w:val="1"/>
                <w:bCs w:val="1"/>
                <w:color w:val="auto"/>
              </w:rPr>
              <w:t>FOR</w:t>
            </w:r>
            <w:r>
              <w:rPr>
                <w:rFonts w:ascii="Arial" w:cs="Arial" w:eastAsia="Arial" w:hAnsi="Arial"/>
                <w:sz w:val="17"/>
                <w:szCs w:val="17"/>
                <w:color w:val="auto"/>
              </w:rPr>
              <w:t xml:space="preserve"> than </w:t>
            </w:r>
            <w:r>
              <w:rPr>
                <w:rFonts w:ascii="Arial" w:cs="Arial" w:eastAsia="Arial" w:hAnsi="Arial"/>
                <w:sz w:val="17"/>
                <w:szCs w:val="17"/>
                <w:b w:val="1"/>
                <w:bCs w:val="1"/>
                <w:color w:val="auto"/>
              </w:rPr>
              <w:t>AGAINST</w:t>
            </w:r>
            <w:r>
              <w:rPr>
                <w:rFonts w:ascii="Arial" w:cs="Arial" w:eastAsia="Arial" w:hAnsi="Arial"/>
                <w:sz w:val="17"/>
                <w:szCs w:val="17"/>
                <w:color w:val="auto"/>
              </w:rPr>
              <w:t>.</w:t>
            </w:r>
          </w:p>
        </w:tc>
        <w:tc>
          <w:tcPr>
            <w:tcW w:w="2180" w:type="dxa"/>
            <w:vAlign w:val="bottom"/>
            <w:shd w:val="clear" w:color="auto" w:fill="E6E6E6"/>
          </w:tcPr>
          <w:p>
            <w:pPr>
              <w:ind w:left="100"/>
              <w:spacing w:after="0"/>
              <w:rPr>
                <w:sz w:val="20"/>
                <w:szCs w:val="20"/>
                <w:color w:val="auto"/>
              </w:rPr>
            </w:pPr>
            <w:r>
              <w:rPr>
                <w:rFonts w:ascii="Arial" w:cs="Arial" w:eastAsia="Arial" w:hAnsi="Arial"/>
                <w:sz w:val="17"/>
                <w:szCs w:val="17"/>
                <w:color w:val="auto"/>
              </w:rPr>
              <w:t>No effect on the outcome.</w:t>
            </w:r>
          </w:p>
        </w:tc>
        <w:tc>
          <w:tcPr>
            <w:tcW w:w="3760" w:type="dxa"/>
            <w:vAlign w:val="bottom"/>
            <w:shd w:val="clear" w:color="auto" w:fill="E6E6E6"/>
          </w:tcPr>
          <w:p>
            <w:pPr>
              <w:ind w:left="80"/>
              <w:spacing w:after="0"/>
              <w:rPr>
                <w:sz w:val="20"/>
                <w:szCs w:val="20"/>
                <w:color w:val="auto"/>
              </w:rPr>
            </w:pPr>
            <w:r>
              <w:rPr>
                <w:rFonts w:ascii="Arial" w:cs="Arial" w:eastAsia="Arial" w:hAnsi="Arial"/>
                <w:sz w:val="17"/>
                <w:szCs w:val="17"/>
                <w:color w:val="auto"/>
              </w:rPr>
              <w:t>No effect on the outcome.</w:t>
            </w:r>
          </w:p>
        </w:tc>
      </w:tr>
      <w:tr>
        <w:trPr>
          <w:trHeight w:val="266"/>
        </w:trPr>
        <w:tc>
          <w:tcPr>
            <w:tcW w:w="860" w:type="dxa"/>
            <w:vAlign w:val="bottom"/>
          </w:tcPr>
          <w:p>
            <w:pPr>
              <w:ind w:left="40"/>
              <w:spacing w:after="0"/>
              <w:rPr>
                <w:sz w:val="20"/>
                <w:szCs w:val="20"/>
                <w:color w:val="auto"/>
              </w:rPr>
            </w:pPr>
            <w:r>
              <w:rPr>
                <w:rFonts w:ascii="Arial" w:cs="Arial" w:eastAsia="Arial" w:hAnsi="Arial"/>
                <w:sz w:val="17"/>
                <w:szCs w:val="17"/>
                <w:color w:val="auto"/>
              </w:rPr>
              <w:t>4</w:t>
            </w:r>
          </w:p>
        </w:tc>
        <w:tc>
          <w:tcPr>
            <w:tcW w:w="4440" w:type="dxa"/>
            <w:vAlign w:val="bottom"/>
          </w:tcPr>
          <w:p>
            <w:pPr>
              <w:ind w:left="140"/>
              <w:spacing w:after="0"/>
              <w:rPr>
                <w:sz w:val="20"/>
                <w:szCs w:val="20"/>
                <w:color w:val="auto"/>
              </w:rPr>
            </w:pPr>
            <w:r>
              <w:rPr>
                <w:rFonts w:ascii="Arial" w:cs="Arial" w:eastAsia="Arial" w:hAnsi="Arial"/>
                <w:sz w:val="17"/>
                <w:szCs w:val="17"/>
                <w:color w:val="auto"/>
              </w:rPr>
              <w:t xml:space="preserve">More votes </w:t>
            </w:r>
            <w:r>
              <w:rPr>
                <w:rFonts w:ascii="Arial" w:cs="Arial" w:eastAsia="Arial" w:hAnsi="Arial"/>
                <w:sz w:val="17"/>
                <w:szCs w:val="17"/>
                <w:b w:val="1"/>
                <w:bCs w:val="1"/>
                <w:color w:val="auto"/>
              </w:rPr>
              <w:t>FOR</w:t>
            </w:r>
            <w:r>
              <w:rPr>
                <w:rFonts w:ascii="Arial" w:cs="Arial" w:eastAsia="Arial" w:hAnsi="Arial"/>
                <w:sz w:val="17"/>
                <w:szCs w:val="17"/>
                <w:color w:val="auto"/>
              </w:rPr>
              <w:t xml:space="preserve"> than </w:t>
            </w:r>
            <w:r>
              <w:rPr>
                <w:rFonts w:ascii="Arial" w:cs="Arial" w:eastAsia="Arial" w:hAnsi="Arial"/>
                <w:sz w:val="17"/>
                <w:szCs w:val="17"/>
                <w:b w:val="1"/>
                <w:bCs w:val="1"/>
                <w:color w:val="auto"/>
              </w:rPr>
              <w:t>AGAINST</w:t>
            </w:r>
            <w:r>
              <w:rPr>
                <w:rFonts w:ascii="Arial" w:cs="Arial" w:eastAsia="Arial" w:hAnsi="Arial"/>
                <w:sz w:val="17"/>
                <w:szCs w:val="17"/>
                <w:color w:val="auto"/>
              </w:rPr>
              <w:t>.</w:t>
            </w:r>
          </w:p>
        </w:tc>
        <w:tc>
          <w:tcPr>
            <w:tcW w:w="2180" w:type="dxa"/>
            <w:vAlign w:val="bottom"/>
          </w:tcPr>
          <w:p>
            <w:pPr>
              <w:ind w:left="100"/>
              <w:spacing w:after="0"/>
              <w:rPr>
                <w:sz w:val="20"/>
                <w:szCs w:val="20"/>
                <w:color w:val="auto"/>
              </w:rPr>
            </w:pPr>
            <w:r>
              <w:rPr>
                <w:rFonts w:ascii="Arial" w:cs="Arial" w:eastAsia="Arial" w:hAnsi="Arial"/>
                <w:sz w:val="17"/>
                <w:szCs w:val="17"/>
                <w:color w:val="auto"/>
              </w:rPr>
              <w:t>No effect on the outcome.</w:t>
            </w:r>
          </w:p>
        </w:tc>
        <w:tc>
          <w:tcPr>
            <w:tcW w:w="3760" w:type="dxa"/>
            <w:vAlign w:val="bottom"/>
          </w:tcPr>
          <w:p>
            <w:pPr>
              <w:ind w:left="80"/>
              <w:spacing w:after="0"/>
              <w:rPr>
                <w:sz w:val="20"/>
                <w:szCs w:val="20"/>
                <w:color w:val="auto"/>
              </w:rPr>
            </w:pPr>
            <w:r>
              <w:rPr>
                <w:rFonts w:ascii="Arial" w:cs="Arial" w:eastAsia="Arial" w:hAnsi="Arial"/>
                <w:sz w:val="17"/>
                <w:szCs w:val="17"/>
                <w:color w:val="auto"/>
              </w:rPr>
              <w:t>No effect on the outcome.</w:t>
            </w:r>
          </w:p>
        </w:tc>
      </w:tr>
      <w:tr>
        <w:trPr>
          <w:trHeight w:val="224"/>
        </w:trPr>
        <w:tc>
          <w:tcPr>
            <w:tcW w:w="860" w:type="dxa"/>
            <w:vAlign w:val="bottom"/>
            <w:shd w:val="clear" w:color="auto" w:fill="E6E6E6"/>
          </w:tcPr>
          <w:p>
            <w:pPr>
              <w:ind w:left="40"/>
              <w:spacing w:after="0"/>
              <w:rPr>
                <w:sz w:val="20"/>
                <w:szCs w:val="20"/>
                <w:color w:val="auto"/>
              </w:rPr>
            </w:pPr>
            <w:r>
              <w:rPr>
                <w:rFonts w:ascii="Arial" w:cs="Arial" w:eastAsia="Arial" w:hAnsi="Arial"/>
                <w:sz w:val="17"/>
                <w:szCs w:val="17"/>
                <w:color w:val="auto"/>
              </w:rPr>
              <w:t>Each of</w:t>
            </w:r>
          </w:p>
        </w:tc>
        <w:tc>
          <w:tcPr>
            <w:tcW w:w="4440" w:type="dxa"/>
            <w:vAlign w:val="bottom"/>
            <w:shd w:val="clear" w:color="auto" w:fill="E6E6E6"/>
          </w:tcPr>
          <w:p>
            <w:pPr>
              <w:ind w:left="140"/>
              <w:spacing w:after="0"/>
              <w:rPr>
                <w:sz w:val="20"/>
                <w:szCs w:val="20"/>
                <w:color w:val="auto"/>
              </w:rPr>
            </w:pPr>
            <w:r>
              <w:rPr>
                <w:rFonts w:ascii="Arial" w:cs="Arial" w:eastAsia="Arial" w:hAnsi="Arial"/>
                <w:sz w:val="17"/>
                <w:szCs w:val="17"/>
                <w:color w:val="auto"/>
              </w:rPr>
              <w:t>The affirmative vote of a majority of the shares present</w:t>
            </w:r>
          </w:p>
        </w:tc>
        <w:tc>
          <w:tcPr>
            <w:tcW w:w="2180" w:type="dxa"/>
            <w:vAlign w:val="bottom"/>
            <w:shd w:val="clear" w:color="auto" w:fill="E6E6E6"/>
          </w:tcPr>
          <w:p>
            <w:pPr>
              <w:ind w:left="100"/>
              <w:spacing w:after="0"/>
              <w:rPr>
                <w:sz w:val="20"/>
                <w:szCs w:val="20"/>
                <w:color w:val="auto"/>
              </w:rPr>
            </w:pPr>
            <w:r>
              <w:rPr>
                <w:rFonts w:ascii="Arial" w:cs="Arial" w:eastAsia="Arial" w:hAnsi="Arial"/>
                <w:sz w:val="17"/>
                <w:szCs w:val="17"/>
                <w:color w:val="auto"/>
              </w:rPr>
              <w:t xml:space="preserve">Same effect as </w:t>
            </w:r>
            <w:r>
              <w:rPr>
                <w:rFonts w:ascii="Arial" w:cs="Arial" w:eastAsia="Arial" w:hAnsi="Arial"/>
                <w:sz w:val="17"/>
                <w:szCs w:val="17"/>
                <w:b w:val="1"/>
                <w:bCs w:val="1"/>
                <w:color w:val="auto"/>
              </w:rPr>
              <w:t>AGAINST</w:t>
            </w:r>
            <w:r>
              <w:rPr>
                <w:rFonts w:ascii="Arial" w:cs="Arial" w:eastAsia="Arial" w:hAnsi="Arial"/>
                <w:sz w:val="17"/>
                <w:szCs w:val="17"/>
                <w:color w:val="auto"/>
              </w:rPr>
              <w:t>.</w:t>
            </w:r>
          </w:p>
        </w:tc>
        <w:tc>
          <w:tcPr>
            <w:tcW w:w="3760" w:type="dxa"/>
            <w:vAlign w:val="bottom"/>
            <w:shd w:val="clear" w:color="auto" w:fill="E6E6E6"/>
          </w:tcPr>
          <w:p>
            <w:pPr>
              <w:ind w:left="80"/>
              <w:spacing w:after="0"/>
              <w:rPr>
                <w:sz w:val="20"/>
                <w:szCs w:val="20"/>
                <w:color w:val="auto"/>
              </w:rPr>
            </w:pPr>
            <w:r>
              <w:rPr>
                <w:rFonts w:ascii="Arial" w:cs="Arial" w:eastAsia="Arial" w:hAnsi="Arial"/>
                <w:sz w:val="17"/>
                <w:szCs w:val="17"/>
                <w:color w:val="auto"/>
              </w:rPr>
              <w:t>Broker non-votes are excluded from that item’s</w:t>
            </w:r>
          </w:p>
        </w:tc>
      </w:tr>
      <w:tr>
        <w:trPr>
          <w:trHeight w:val="195"/>
        </w:trPr>
        <w:tc>
          <w:tcPr>
            <w:tcW w:w="860" w:type="dxa"/>
            <w:vAlign w:val="bottom"/>
            <w:shd w:val="clear" w:color="auto" w:fill="E6E6E6"/>
          </w:tcPr>
          <w:p>
            <w:pPr>
              <w:ind w:left="40"/>
              <w:spacing w:after="0"/>
              <w:rPr>
                <w:sz w:val="20"/>
                <w:szCs w:val="20"/>
                <w:color w:val="auto"/>
              </w:rPr>
            </w:pPr>
            <w:r>
              <w:rPr>
                <w:rFonts w:ascii="Arial" w:cs="Arial" w:eastAsia="Arial" w:hAnsi="Arial"/>
                <w:sz w:val="17"/>
                <w:szCs w:val="17"/>
                <w:color w:val="auto"/>
              </w:rPr>
              <w:t>5(a)–5(i)</w:t>
            </w:r>
          </w:p>
        </w:tc>
        <w:tc>
          <w:tcPr>
            <w:tcW w:w="4440" w:type="dxa"/>
            <w:vAlign w:val="bottom"/>
            <w:shd w:val="clear" w:color="auto" w:fill="E6E6E6"/>
          </w:tcPr>
          <w:p>
            <w:pPr>
              <w:ind w:left="140"/>
              <w:spacing w:after="0"/>
              <w:rPr>
                <w:sz w:val="20"/>
                <w:szCs w:val="20"/>
                <w:color w:val="auto"/>
              </w:rPr>
            </w:pPr>
            <w:r>
              <w:rPr>
                <w:rFonts w:ascii="Arial" w:cs="Arial" w:eastAsia="Arial" w:hAnsi="Arial"/>
                <w:sz w:val="17"/>
                <w:szCs w:val="17"/>
                <w:color w:val="auto"/>
              </w:rPr>
              <w:t>online or represented by proxy and entitled to vote on</w:t>
            </w:r>
          </w:p>
        </w:tc>
        <w:tc>
          <w:tcPr>
            <w:tcW w:w="2180" w:type="dxa"/>
            <w:vAlign w:val="bottom"/>
            <w:shd w:val="clear" w:color="auto" w:fill="E6E6E6"/>
          </w:tcPr>
          <w:p>
            <w:pPr>
              <w:spacing w:after="0"/>
              <w:rPr>
                <w:sz w:val="16"/>
                <w:szCs w:val="16"/>
                <w:color w:val="auto"/>
              </w:rPr>
            </w:pPr>
          </w:p>
        </w:tc>
        <w:tc>
          <w:tcPr>
            <w:tcW w:w="3760" w:type="dxa"/>
            <w:vAlign w:val="bottom"/>
            <w:shd w:val="clear" w:color="auto" w:fill="E6E6E6"/>
          </w:tcPr>
          <w:p>
            <w:pPr>
              <w:ind w:left="80"/>
              <w:spacing w:after="0"/>
              <w:rPr>
                <w:sz w:val="20"/>
                <w:szCs w:val="20"/>
                <w:color w:val="auto"/>
              </w:rPr>
            </w:pPr>
            <w:r>
              <w:rPr>
                <w:rFonts w:ascii="Arial" w:cs="Arial" w:eastAsia="Arial" w:hAnsi="Arial"/>
                <w:sz w:val="17"/>
                <w:szCs w:val="17"/>
                <w:color w:val="auto"/>
              </w:rPr>
              <w:t>voting denominator. Shares not represented</w:t>
            </w:r>
          </w:p>
        </w:tc>
      </w:tr>
      <w:tr>
        <w:trPr>
          <w:trHeight w:val="229"/>
        </w:trPr>
        <w:tc>
          <w:tcPr>
            <w:tcW w:w="860" w:type="dxa"/>
            <w:vAlign w:val="bottom"/>
            <w:shd w:val="clear" w:color="auto" w:fill="E6E6E6"/>
          </w:tcPr>
          <w:p>
            <w:pPr>
              <w:spacing w:after="0"/>
              <w:rPr>
                <w:sz w:val="19"/>
                <w:szCs w:val="19"/>
                <w:color w:val="auto"/>
              </w:rPr>
            </w:pPr>
          </w:p>
        </w:tc>
        <w:tc>
          <w:tcPr>
            <w:tcW w:w="4440" w:type="dxa"/>
            <w:vAlign w:val="bottom"/>
            <w:shd w:val="clear" w:color="auto" w:fill="E6E6E6"/>
          </w:tcPr>
          <w:p>
            <w:pPr>
              <w:ind w:left="140"/>
              <w:spacing w:after="0"/>
              <w:rPr>
                <w:sz w:val="20"/>
                <w:szCs w:val="20"/>
                <w:color w:val="auto"/>
              </w:rPr>
            </w:pPr>
            <w:r>
              <w:rPr>
                <w:rFonts w:ascii="Arial" w:cs="Arial" w:eastAsia="Arial" w:hAnsi="Arial"/>
                <w:sz w:val="17"/>
                <w:szCs w:val="17"/>
                <w:color w:val="auto"/>
              </w:rPr>
              <w:t>that individual ratification.</w:t>
            </w:r>
          </w:p>
        </w:tc>
        <w:tc>
          <w:tcPr>
            <w:tcW w:w="2180" w:type="dxa"/>
            <w:vAlign w:val="bottom"/>
            <w:shd w:val="clear" w:color="auto" w:fill="E6E6E6"/>
          </w:tcPr>
          <w:p>
            <w:pPr>
              <w:spacing w:after="0"/>
              <w:rPr>
                <w:sz w:val="19"/>
                <w:szCs w:val="19"/>
                <w:color w:val="auto"/>
              </w:rPr>
            </w:pPr>
          </w:p>
        </w:tc>
        <w:tc>
          <w:tcPr>
            <w:tcW w:w="3760" w:type="dxa"/>
            <w:vAlign w:val="bottom"/>
            <w:shd w:val="clear" w:color="auto" w:fill="E6E6E6"/>
          </w:tcPr>
          <w:p>
            <w:pPr>
              <w:ind w:left="80"/>
              <w:spacing w:after="0"/>
              <w:rPr>
                <w:sz w:val="20"/>
                <w:szCs w:val="20"/>
                <w:color w:val="auto"/>
              </w:rPr>
            </w:pPr>
            <w:r>
              <w:rPr>
                <w:rFonts w:ascii="Arial" w:cs="Arial" w:eastAsia="Arial" w:hAnsi="Arial"/>
                <w:sz w:val="17"/>
                <w:szCs w:val="17"/>
                <w:color w:val="auto"/>
              </w:rPr>
              <w:t>have no effect.</w:t>
            </w:r>
          </w:p>
        </w:tc>
      </w:tr>
      <w:tr>
        <w:trPr>
          <w:trHeight w:val="22"/>
        </w:trPr>
        <w:tc>
          <w:tcPr>
            <w:tcW w:w="860" w:type="dxa"/>
            <w:vAlign w:val="bottom"/>
            <w:shd w:val="clear" w:color="auto" w:fill="E6E6E6"/>
          </w:tcPr>
          <w:p>
            <w:pPr>
              <w:spacing w:after="0" w:line="20" w:lineRule="exact"/>
              <w:rPr>
                <w:sz w:val="1"/>
                <w:szCs w:val="1"/>
                <w:color w:val="auto"/>
              </w:rPr>
            </w:pPr>
          </w:p>
        </w:tc>
        <w:tc>
          <w:tcPr>
            <w:tcW w:w="4440" w:type="dxa"/>
            <w:vAlign w:val="bottom"/>
            <w:shd w:val="clear" w:color="auto" w:fill="E6E6E6"/>
          </w:tcPr>
          <w:p>
            <w:pPr>
              <w:spacing w:after="0" w:line="20" w:lineRule="exact"/>
              <w:rPr>
                <w:sz w:val="1"/>
                <w:szCs w:val="1"/>
                <w:color w:val="auto"/>
              </w:rPr>
            </w:pPr>
          </w:p>
        </w:tc>
        <w:tc>
          <w:tcPr>
            <w:tcW w:w="2180" w:type="dxa"/>
            <w:vAlign w:val="bottom"/>
            <w:shd w:val="clear" w:color="auto" w:fill="E6E6E6"/>
          </w:tcPr>
          <w:p>
            <w:pPr>
              <w:spacing w:after="0" w:line="20" w:lineRule="exact"/>
              <w:rPr>
                <w:sz w:val="1"/>
                <w:szCs w:val="1"/>
                <w:color w:val="auto"/>
              </w:rPr>
            </w:pPr>
          </w:p>
        </w:tc>
        <w:tc>
          <w:tcPr>
            <w:tcW w:w="3760" w:type="dxa"/>
            <w:vAlign w:val="bottom"/>
            <w:shd w:val="clear" w:color="auto" w:fill="E6E6E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-766445</wp:posOffset>
            </wp:positionV>
            <wp:extent cx="8255" cy="173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-766445</wp:posOffset>
            </wp:positionV>
            <wp:extent cx="8255" cy="173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-766445</wp:posOffset>
            </wp:positionV>
            <wp:extent cx="8255" cy="173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-420370</wp:posOffset>
            </wp:positionV>
            <wp:extent cx="8255" cy="421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421005"/>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-420370</wp:posOffset>
            </wp:positionV>
            <wp:extent cx="8255" cy="421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42100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-420370</wp:posOffset>
            </wp:positionV>
            <wp:extent cx="8255" cy="421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42100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p>
      <w:pPr>
        <w:spacing w:after="0" w:line="20" w:lineRule="exact"/>
        <w:rPr>
          <w:sz w:val="20"/>
          <w:szCs w:val="20"/>
          <w:color w:val="auto"/>
        </w:rPr>
      </w:pPr>
    </w:p>
    <w:p>
      <w:pPr>
        <w:ind w:left="1000" w:hanging="957"/>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More votes </w:t>
      </w:r>
      <w:r>
        <w:rPr>
          <w:rFonts w:ascii="Arial" w:cs="Arial" w:eastAsia="Arial" w:hAnsi="Arial"/>
          <w:sz w:val="17"/>
          <w:szCs w:val="17"/>
          <w:b w:val="1"/>
          <w:bCs w:val="1"/>
          <w:color w:val="auto"/>
        </w:rPr>
        <w:t>FOR</w:t>
      </w:r>
      <w:r>
        <w:rPr>
          <w:rFonts w:ascii="Arial" w:cs="Arial" w:eastAsia="Arial" w:hAnsi="Arial"/>
          <w:sz w:val="17"/>
          <w:szCs w:val="17"/>
          <w:color w:val="auto"/>
        </w:rPr>
        <w:t xml:space="preserve"> than </w:t>
      </w:r>
      <w:r>
        <w:rPr>
          <w:rFonts w:ascii="Arial" w:cs="Arial" w:eastAsia="Arial" w:hAnsi="Arial"/>
          <w:sz w:val="17"/>
          <w:szCs w:val="17"/>
          <w:b w:val="1"/>
          <w:bCs w:val="1"/>
          <w:color w:val="auto"/>
        </w:rPr>
        <w:t>AGAINST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1700"/>
        <w:spacing w:after="0"/>
        <w:tabs>
          <w:tab w:leader="none" w:pos="160" w:val="left"/>
        </w:tabs>
        <w:rPr>
          <w:sz w:val="20"/>
          <w:szCs w:val="20"/>
          <w:color w:val="auto"/>
        </w:rPr>
      </w:pPr>
      <w:r>
        <w:rPr>
          <w:rFonts w:ascii="Arial" w:cs="Arial" w:eastAsia="Arial" w:hAnsi="Arial"/>
          <w:sz w:val="17"/>
          <w:szCs w:val="17"/>
          <w:color w:val="auto"/>
        </w:rPr>
        <w:t>No effect on the outcome.</w:t>
        <w:tab/>
        <w:t>No effect on the outcome.</w:t>
      </w:r>
    </w:p>
    <w:p>
      <w:pPr>
        <w:spacing w:after="0" w:line="200" w:lineRule="exact"/>
        <w:rPr>
          <w:sz w:val="20"/>
          <w:szCs w:val="20"/>
          <w:color w:val="auto"/>
        </w:rPr>
      </w:pPr>
    </w:p>
    <w:p>
      <w:pPr>
        <w:sectPr>
          <w:pgSz w:w="11900" w:h="16838" w:orient="portrait"/>
          <w:cols w:equalWidth="0" w:num="2">
            <w:col w:w="4680" w:space="720"/>
            <w:col w:w="5840"/>
          </w:cols>
          <w:pgMar w:left="320" w:top="579" w:right="339" w:bottom="1440" w:gutter="0" w:footer="0" w:header="0"/>
          <w:type w:val="continuous"/>
        </w:sectPr>
      </w:pP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For a director-ratification item, shares that are represented and entitled to vote but abstain or are otherwise not affirmatively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do not help meet the required majority. By contrast, a beneficial owner’s shares represented only by a broker non-vote on that item are excluded from that item’s voting denominator. A properly signed proxy returned without an instruction will be voted as stated under “What happens if I return a signed proxy without voting instructions?”</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Director ratification is not an ordinary election</w:t>
      </w:r>
    </w:p>
    <w:p>
      <w:pPr>
        <w:spacing w:after="0" w:line="197"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Our charter permits cumulative voting in elections of directors. Proposals 5(a) through 5(i) instead ask stockholders to ratify identified prior elections under Section 204. For that reason, there is no cumulative voting in the ratification of the directors. Each share will have one vote on each separate ratification. Votes will not be pooled or transferred among the nine ratification items. No director is being elected to a new term at the Special Meeting.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1"/>
          <w:szCs w:val="31"/>
          <w:b w:val="1"/>
          <w:bCs w:val="1"/>
          <w:color w:val="FFFFFF"/>
        </w:rPr>
        <w:t>Background and Effect of the Ratifications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-224155</wp:posOffset>
            </wp:positionV>
            <wp:extent cx="7137400" cy="264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The record-date issue</w:t>
      </w:r>
    </w:p>
    <w:p>
      <w:pPr>
        <w:spacing w:after="0" w:line="197" w:lineRule="exact"/>
        <w:rPr>
          <w:sz w:val="20"/>
          <w:szCs w:val="20"/>
          <w:color w:val="auto"/>
        </w:rPr>
      </w:pPr>
    </w:p>
    <w:p>
      <w:pPr>
        <w:jc w:val="both"/>
        <w:ind w:right="120"/>
        <w:spacing w:after="0" w:line="252" w:lineRule="auto"/>
        <w:rPr>
          <w:sz w:val="20"/>
          <w:szCs w:val="20"/>
          <w:color w:val="auto"/>
        </w:rPr>
      </w:pPr>
      <w:r>
        <w:rPr>
          <w:rFonts w:ascii="Arial" w:cs="Arial" w:eastAsia="Arial" w:hAnsi="Arial"/>
          <w:sz w:val="17"/>
          <w:szCs w:val="17"/>
          <w:color w:val="auto"/>
        </w:rPr>
        <w:t>Article VI, Section 5 of our bylaws, as in effect for the annual meetings at issue, limited a record date fixed for determining stockholders entitled to notice of and to vote at a meeting to no more than 50 days before that meeting. The intervals at issue did not exceed the 60-day maximum under Section 213(a) of the DGCL; the identified defect is the failure to comply with the shorter limit in our bylaws. The following intervals exceeded that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1397000</wp:posOffset>
            </wp:positionH>
            <wp:positionV relativeFrom="paragraph">
              <wp:posOffset>107950</wp:posOffset>
            </wp:positionV>
            <wp:extent cx="8255" cy="4705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470535"/>
                    </a:xfrm>
                    <a:prstGeom prst="rect">
                      <a:avLst/>
                    </a:prstGeom>
                    <a:noFill/>
                  </pic:spPr>
                </pic:pic>
              </a:graphicData>
            </a:graphic>
          </wp:anchor>
        </w:drawing>
        <w:drawing>
          <wp:anchor simplePos="0" relativeHeight="251657728" behindDoc="1" locked="0" layoutInCell="0" allowOverlap="1">
            <wp:simplePos x="0" y="0"/>
            <wp:positionH relativeFrom="column">
              <wp:posOffset>2741930</wp:posOffset>
            </wp:positionH>
            <wp:positionV relativeFrom="paragraph">
              <wp:posOffset>107950</wp:posOffset>
            </wp:positionV>
            <wp:extent cx="8255" cy="4705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470535"/>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107950</wp:posOffset>
            </wp:positionV>
            <wp:extent cx="8255" cy="4705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47053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800" w:type="dxa"/>
            <w:vAlign w:val="bottom"/>
            <w:shd w:val="clear" w:color="auto" w:fill="2D53A6"/>
          </w:tcPr>
          <w:p>
            <w:pPr>
              <w:ind w:left="40"/>
              <w:spacing w:after="0"/>
              <w:rPr>
                <w:sz w:val="20"/>
                <w:szCs w:val="20"/>
                <w:color w:val="auto"/>
              </w:rPr>
            </w:pPr>
            <w:r>
              <w:rPr>
                <w:rFonts w:ascii="Arial" w:cs="Arial" w:eastAsia="Arial" w:hAnsi="Arial"/>
                <w:sz w:val="17"/>
                <w:szCs w:val="17"/>
                <w:b w:val="1"/>
                <w:bCs w:val="1"/>
                <w:color w:val="FFFFFF"/>
              </w:rPr>
              <w:t>Annual meeting</w:t>
            </w:r>
          </w:p>
        </w:tc>
        <w:tc>
          <w:tcPr>
            <w:tcW w:w="2400" w:type="dxa"/>
            <w:vAlign w:val="bottom"/>
            <w:shd w:val="clear" w:color="auto" w:fill="2D53A6"/>
          </w:tcPr>
          <w:p>
            <w:pPr>
              <w:ind w:left="460"/>
              <w:spacing w:after="0"/>
              <w:rPr>
                <w:sz w:val="20"/>
                <w:szCs w:val="20"/>
                <w:color w:val="auto"/>
              </w:rPr>
            </w:pPr>
            <w:r>
              <w:rPr>
                <w:rFonts w:ascii="Arial" w:cs="Arial" w:eastAsia="Arial" w:hAnsi="Arial"/>
                <w:sz w:val="17"/>
                <w:szCs w:val="17"/>
                <w:b w:val="1"/>
                <w:bCs w:val="1"/>
                <w:color w:val="FFFFFF"/>
              </w:rPr>
              <w:t>Historical record date</w:t>
            </w:r>
          </w:p>
        </w:tc>
        <w:tc>
          <w:tcPr>
            <w:tcW w:w="1000" w:type="dxa"/>
            <w:vAlign w:val="bottom"/>
            <w:shd w:val="clear" w:color="auto" w:fill="2D53A6"/>
          </w:tcPr>
          <w:p>
            <w:pPr>
              <w:ind w:left="180"/>
              <w:spacing w:after="0"/>
              <w:rPr>
                <w:sz w:val="20"/>
                <w:szCs w:val="20"/>
                <w:color w:val="auto"/>
              </w:rPr>
            </w:pPr>
            <w:r>
              <w:rPr>
                <w:rFonts w:ascii="Arial" w:cs="Arial" w:eastAsia="Arial" w:hAnsi="Arial"/>
                <w:sz w:val="17"/>
                <w:szCs w:val="17"/>
                <w:b w:val="1"/>
                <w:bCs w:val="1"/>
                <w:color w:val="FFFFFF"/>
              </w:rPr>
              <w:t>Interval</w:t>
            </w:r>
          </w:p>
        </w:tc>
        <w:tc>
          <w:tcPr>
            <w:tcW w:w="6040" w:type="dxa"/>
            <w:vAlign w:val="bottom"/>
            <w:shd w:val="clear" w:color="auto" w:fill="2D53A6"/>
          </w:tcPr>
          <w:p>
            <w:pPr>
              <w:ind w:left="200"/>
              <w:spacing w:after="0"/>
              <w:rPr>
                <w:sz w:val="20"/>
                <w:szCs w:val="20"/>
                <w:color w:val="auto"/>
              </w:rPr>
            </w:pPr>
            <w:r>
              <w:rPr>
                <w:rFonts w:ascii="Arial" w:cs="Arial" w:eastAsia="Arial" w:hAnsi="Arial"/>
                <w:sz w:val="17"/>
                <w:szCs w:val="17"/>
                <w:b w:val="1"/>
                <w:bCs w:val="1"/>
                <w:color w:val="FFFFFF"/>
              </w:rPr>
              <w:t>Actions submitted for ratification</w:t>
            </w:r>
          </w:p>
        </w:tc>
      </w:tr>
      <w:tr>
        <w:trPr>
          <w:trHeight w:val="217"/>
        </w:trPr>
        <w:tc>
          <w:tcPr>
            <w:tcW w:w="1800" w:type="dxa"/>
            <w:vAlign w:val="bottom"/>
            <w:shd w:val="clear" w:color="auto" w:fill="E6E6E6"/>
          </w:tcPr>
          <w:p>
            <w:pPr>
              <w:ind w:left="40"/>
              <w:spacing w:after="0"/>
              <w:rPr>
                <w:sz w:val="20"/>
                <w:szCs w:val="20"/>
                <w:color w:val="auto"/>
              </w:rPr>
            </w:pPr>
            <w:r>
              <w:rPr>
                <w:rFonts w:ascii="Arial" w:cs="Arial" w:eastAsia="Arial" w:hAnsi="Arial"/>
                <w:sz w:val="17"/>
                <w:szCs w:val="17"/>
                <w:color w:val="auto"/>
              </w:rPr>
              <w:t>June 5, 2024</w:t>
            </w:r>
          </w:p>
        </w:tc>
        <w:tc>
          <w:tcPr>
            <w:tcW w:w="2400" w:type="dxa"/>
            <w:vAlign w:val="bottom"/>
            <w:shd w:val="clear" w:color="auto" w:fill="E6E6E6"/>
          </w:tcPr>
          <w:p>
            <w:pPr>
              <w:ind w:left="460"/>
              <w:spacing w:after="0"/>
              <w:rPr>
                <w:sz w:val="20"/>
                <w:szCs w:val="20"/>
                <w:color w:val="auto"/>
              </w:rPr>
            </w:pPr>
            <w:r>
              <w:rPr>
                <w:rFonts w:ascii="Arial" w:cs="Arial" w:eastAsia="Arial" w:hAnsi="Arial"/>
                <w:sz w:val="17"/>
                <w:szCs w:val="17"/>
                <w:color w:val="auto"/>
              </w:rPr>
              <w:t>April 12, 2024</w:t>
            </w:r>
          </w:p>
        </w:tc>
        <w:tc>
          <w:tcPr>
            <w:tcW w:w="1000" w:type="dxa"/>
            <w:vAlign w:val="bottom"/>
            <w:shd w:val="clear" w:color="auto" w:fill="E6E6E6"/>
          </w:tcPr>
          <w:p>
            <w:pPr>
              <w:ind w:left="180"/>
              <w:spacing w:after="0"/>
              <w:rPr>
                <w:sz w:val="20"/>
                <w:szCs w:val="20"/>
                <w:color w:val="auto"/>
              </w:rPr>
            </w:pPr>
            <w:r>
              <w:rPr>
                <w:rFonts w:ascii="Arial" w:cs="Arial" w:eastAsia="Arial" w:hAnsi="Arial"/>
                <w:sz w:val="17"/>
                <w:szCs w:val="17"/>
                <w:color w:val="auto"/>
              </w:rPr>
              <w:t>54 days</w:t>
            </w:r>
          </w:p>
        </w:tc>
        <w:tc>
          <w:tcPr>
            <w:tcW w:w="6040" w:type="dxa"/>
            <w:vAlign w:val="bottom"/>
            <w:shd w:val="clear" w:color="auto" w:fill="E6E6E6"/>
          </w:tcPr>
          <w:p>
            <w:pPr>
              <w:ind w:left="200"/>
              <w:spacing w:after="0"/>
              <w:rPr>
                <w:sz w:val="20"/>
                <w:szCs w:val="20"/>
                <w:color w:val="auto"/>
              </w:rPr>
            </w:pPr>
            <w:r>
              <w:rPr>
                <w:rFonts w:ascii="Arial" w:cs="Arial" w:eastAsia="Arial" w:hAnsi="Arial"/>
                <w:sz w:val="17"/>
                <w:szCs w:val="17"/>
                <w:color w:val="auto"/>
              </w:rPr>
              <w:t>Officer-liability amendment; elections of Mr. Caggia, Ms. Jorden and Mr.</w:t>
            </w:r>
          </w:p>
        </w:tc>
      </w:tr>
      <w:tr>
        <w:trPr>
          <w:trHeight w:val="231"/>
        </w:trPr>
        <w:tc>
          <w:tcPr>
            <w:tcW w:w="1800" w:type="dxa"/>
            <w:vAlign w:val="bottom"/>
            <w:tcBorders>
              <w:bottom w:val="single" w:sz="8" w:color="E6E6E6"/>
            </w:tcBorders>
            <w:shd w:val="clear" w:color="auto" w:fill="E6E6E6"/>
          </w:tcPr>
          <w:p>
            <w:pPr>
              <w:spacing w:after="0"/>
              <w:rPr>
                <w:sz w:val="20"/>
                <w:szCs w:val="20"/>
                <w:color w:val="auto"/>
              </w:rPr>
            </w:pPr>
          </w:p>
        </w:tc>
        <w:tc>
          <w:tcPr>
            <w:tcW w:w="2400" w:type="dxa"/>
            <w:vAlign w:val="bottom"/>
            <w:tcBorders>
              <w:bottom w:val="single" w:sz="8" w:color="E6E6E6"/>
            </w:tcBorders>
            <w:shd w:val="clear" w:color="auto" w:fill="E6E6E6"/>
          </w:tcPr>
          <w:p>
            <w:pPr>
              <w:spacing w:after="0"/>
              <w:rPr>
                <w:sz w:val="20"/>
                <w:szCs w:val="20"/>
                <w:color w:val="auto"/>
              </w:rPr>
            </w:pPr>
          </w:p>
        </w:tc>
        <w:tc>
          <w:tcPr>
            <w:tcW w:w="1000" w:type="dxa"/>
            <w:vAlign w:val="bottom"/>
            <w:tcBorders>
              <w:bottom w:val="single" w:sz="8" w:color="E6E6E6"/>
            </w:tcBorders>
            <w:shd w:val="clear" w:color="auto" w:fill="E6E6E6"/>
          </w:tcPr>
          <w:p>
            <w:pPr>
              <w:spacing w:after="0"/>
              <w:rPr>
                <w:sz w:val="20"/>
                <w:szCs w:val="20"/>
                <w:color w:val="auto"/>
              </w:rPr>
            </w:pPr>
          </w:p>
        </w:tc>
        <w:tc>
          <w:tcPr>
            <w:tcW w:w="604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17"/>
                <w:szCs w:val="17"/>
                <w:color w:val="auto"/>
              </w:rPr>
              <w:t>Müller.</w:t>
            </w:r>
          </w:p>
        </w:tc>
      </w:tr>
      <w:tr>
        <w:trPr>
          <w:trHeight w:val="251"/>
        </w:trPr>
        <w:tc>
          <w:tcPr>
            <w:tcW w:w="1800" w:type="dxa"/>
            <w:vAlign w:val="bottom"/>
          </w:tcPr>
          <w:p>
            <w:pPr>
              <w:ind w:left="40"/>
              <w:spacing w:after="0"/>
              <w:rPr>
                <w:sz w:val="20"/>
                <w:szCs w:val="20"/>
                <w:color w:val="auto"/>
              </w:rPr>
            </w:pPr>
            <w:r>
              <w:rPr>
                <w:rFonts w:ascii="Arial" w:cs="Arial" w:eastAsia="Arial" w:hAnsi="Arial"/>
                <w:sz w:val="17"/>
                <w:szCs w:val="17"/>
                <w:color w:val="auto"/>
              </w:rPr>
              <w:t>May 16, 2025</w:t>
            </w:r>
          </w:p>
        </w:tc>
        <w:tc>
          <w:tcPr>
            <w:tcW w:w="2400" w:type="dxa"/>
            <w:vAlign w:val="bottom"/>
          </w:tcPr>
          <w:p>
            <w:pPr>
              <w:ind w:left="460"/>
              <w:spacing w:after="0"/>
              <w:rPr>
                <w:sz w:val="20"/>
                <w:szCs w:val="20"/>
                <w:color w:val="auto"/>
              </w:rPr>
            </w:pPr>
            <w:r>
              <w:rPr>
                <w:rFonts w:ascii="Arial" w:cs="Arial" w:eastAsia="Arial" w:hAnsi="Arial"/>
                <w:sz w:val="17"/>
                <w:szCs w:val="17"/>
                <w:color w:val="auto"/>
              </w:rPr>
              <w:t>March 21, 2025</w:t>
            </w:r>
          </w:p>
        </w:tc>
        <w:tc>
          <w:tcPr>
            <w:tcW w:w="1000" w:type="dxa"/>
            <w:vAlign w:val="bottom"/>
          </w:tcPr>
          <w:p>
            <w:pPr>
              <w:ind w:left="180"/>
              <w:spacing w:after="0"/>
              <w:rPr>
                <w:sz w:val="20"/>
                <w:szCs w:val="20"/>
                <w:color w:val="auto"/>
              </w:rPr>
            </w:pPr>
            <w:r>
              <w:rPr>
                <w:rFonts w:ascii="Arial" w:cs="Arial" w:eastAsia="Arial" w:hAnsi="Arial"/>
                <w:sz w:val="17"/>
                <w:szCs w:val="17"/>
                <w:color w:val="auto"/>
              </w:rPr>
              <w:t>56 days</w:t>
            </w:r>
          </w:p>
        </w:tc>
        <w:tc>
          <w:tcPr>
            <w:tcW w:w="6040" w:type="dxa"/>
            <w:vAlign w:val="bottom"/>
          </w:tcPr>
          <w:p>
            <w:pPr>
              <w:ind w:left="200"/>
              <w:spacing w:after="0"/>
              <w:rPr>
                <w:sz w:val="20"/>
                <w:szCs w:val="20"/>
                <w:color w:val="auto"/>
              </w:rPr>
            </w:pPr>
            <w:r>
              <w:rPr>
                <w:rFonts w:ascii="Arial" w:cs="Arial" w:eastAsia="Arial" w:hAnsi="Arial"/>
                <w:sz w:val="17"/>
                <w:szCs w:val="17"/>
                <w:color w:val="auto"/>
              </w:rPr>
              <w:t>Elections of Messrs. Bilodeau, Donahue and Mattes.</w:t>
            </w:r>
          </w:p>
        </w:tc>
      </w:tr>
      <w:tr>
        <w:trPr>
          <w:trHeight w:val="22"/>
        </w:trPr>
        <w:tc>
          <w:tcPr>
            <w:tcW w:w="1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217"/>
        </w:trPr>
        <w:tc>
          <w:tcPr>
            <w:tcW w:w="1800" w:type="dxa"/>
            <w:vAlign w:val="bottom"/>
            <w:shd w:val="clear" w:color="auto" w:fill="E6E6E6"/>
          </w:tcPr>
          <w:p>
            <w:pPr>
              <w:ind w:left="40"/>
              <w:spacing w:after="0"/>
              <w:rPr>
                <w:sz w:val="20"/>
                <w:szCs w:val="20"/>
                <w:color w:val="auto"/>
              </w:rPr>
            </w:pPr>
            <w:r>
              <w:rPr>
                <w:rFonts w:ascii="Arial" w:cs="Arial" w:eastAsia="Arial" w:hAnsi="Arial"/>
                <w:sz w:val="17"/>
                <w:szCs w:val="17"/>
                <w:color w:val="auto"/>
              </w:rPr>
              <w:t>May 15, 2026</w:t>
            </w:r>
          </w:p>
        </w:tc>
        <w:tc>
          <w:tcPr>
            <w:tcW w:w="2400" w:type="dxa"/>
            <w:vAlign w:val="bottom"/>
            <w:shd w:val="clear" w:color="auto" w:fill="E6E6E6"/>
          </w:tcPr>
          <w:p>
            <w:pPr>
              <w:ind w:left="460"/>
              <w:spacing w:after="0"/>
              <w:rPr>
                <w:sz w:val="20"/>
                <w:szCs w:val="20"/>
                <w:color w:val="auto"/>
              </w:rPr>
            </w:pPr>
            <w:r>
              <w:rPr>
                <w:rFonts w:ascii="Arial" w:cs="Arial" w:eastAsia="Arial" w:hAnsi="Arial"/>
                <w:sz w:val="17"/>
                <w:szCs w:val="17"/>
                <w:color w:val="auto"/>
              </w:rPr>
              <w:t>March 23, 2026</w:t>
            </w:r>
          </w:p>
        </w:tc>
        <w:tc>
          <w:tcPr>
            <w:tcW w:w="1000" w:type="dxa"/>
            <w:vAlign w:val="bottom"/>
            <w:shd w:val="clear" w:color="auto" w:fill="E6E6E6"/>
          </w:tcPr>
          <w:p>
            <w:pPr>
              <w:ind w:left="180"/>
              <w:spacing w:after="0"/>
              <w:rPr>
                <w:sz w:val="20"/>
                <w:szCs w:val="20"/>
                <w:color w:val="auto"/>
              </w:rPr>
            </w:pPr>
            <w:r>
              <w:rPr>
                <w:rFonts w:ascii="Arial" w:cs="Arial" w:eastAsia="Arial" w:hAnsi="Arial"/>
                <w:sz w:val="17"/>
                <w:szCs w:val="17"/>
                <w:color w:val="auto"/>
              </w:rPr>
              <w:t>53 days</w:t>
            </w:r>
          </w:p>
        </w:tc>
        <w:tc>
          <w:tcPr>
            <w:tcW w:w="6040" w:type="dxa"/>
            <w:vAlign w:val="bottom"/>
            <w:shd w:val="clear" w:color="auto" w:fill="E6E6E6"/>
          </w:tcPr>
          <w:p>
            <w:pPr>
              <w:ind w:left="200"/>
              <w:spacing w:after="0"/>
              <w:rPr>
                <w:sz w:val="20"/>
                <w:szCs w:val="20"/>
                <w:color w:val="auto"/>
              </w:rPr>
            </w:pPr>
            <w:r>
              <w:rPr>
                <w:rFonts w:ascii="Arial" w:cs="Arial" w:eastAsia="Arial" w:hAnsi="Arial"/>
                <w:sz w:val="17"/>
                <w:szCs w:val="17"/>
                <w:color w:val="auto"/>
              </w:rPr>
              <w:t>Authorized-share amendment; both plans; elections of Mr. Bendush, Ms.</w:t>
            </w:r>
          </w:p>
        </w:tc>
      </w:tr>
      <w:tr>
        <w:trPr>
          <w:trHeight w:val="229"/>
        </w:trPr>
        <w:tc>
          <w:tcPr>
            <w:tcW w:w="1800" w:type="dxa"/>
            <w:vAlign w:val="bottom"/>
            <w:shd w:val="clear" w:color="auto" w:fill="E6E6E6"/>
          </w:tcPr>
          <w:p>
            <w:pPr>
              <w:spacing w:after="0"/>
              <w:rPr>
                <w:sz w:val="19"/>
                <w:szCs w:val="19"/>
                <w:color w:val="auto"/>
              </w:rPr>
            </w:pPr>
          </w:p>
        </w:tc>
        <w:tc>
          <w:tcPr>
            <w:tcW w:w="2400" w:type="dxa"/>
            <w:vAlign w:val="bottom"/>
            <w:shd w:val="clear" w:color="auto" w:fill="E6E6E6"/>
          </w:tcPr>
          <w:p>
            <w:pPr>
              <w:spacing w:after="0"/>
              <w:rPr>
                <w:sz w:val="19"/>
                <w:szCs w:val="19"/>
                <w:color w:val="auto"/>
              </w:rPr>
            </w:pPr>
          </w:p>
        </w:tc>
        <w:tc>
          <w:tcPr>
            <w:tcW w:w="1000" w:type="dxa"/>
            <w:vAlign w:val="bottom"/>
            <w:shd w:val="clear" w:color="auto" w:fill="E6E6E6"/>
          </w:tcPr>
          <w:p>
            <w:pPr>
              <w:spacing w:after="0"/>
              <w:rPr>
                <w:sz w:val="19"/>
                <w:szCs w:val="19"/>
                <w:color w:val="auto"/>
              </w:rPr>
            </w:pPr>
          </w:p>
        </w:tc>
        <w:tc>
          <w:tcPr>
            <w:tcW w:w="6040" w:type="dxa"/>
            <w:vAlign w:val="bottom"/>
            <w:shd w:val="clear" w:color="auto" w:fill="E6E6E6"/>
          </w:tcPr>
          <w:p>
            <w:pPr>
              <w:ind w:left="200"/>
              <w:spacing w:after="0"/>
              <w:rPr>
                <w:sz w:val="20"/>
                <w:szCs w:val="20"/>
                <w:color w:val="auto"/>
              </w:rPr>
            </w:pPr>
            <w:r>
              <w:rPr>
                <w:rFonts w:ascii="Arial" w:cs="Arial" w:eastAsia="Arial" w:hAnsi="Arial"/>
                <w:sz w:val="17"/>
                <w:szCs w:val="17"/>
                <w:color w:val="auto"/>
              </w:rPr>
              <w:t>Rapp and Ms. Richardson.</w:t>
            </w:r>
          </w:p>
        </w:tc>
      </w:tr>
      <w:tr>
        <w:trPr>
          <w:trHeight w:val="22"/>
        </w:trPr>
        <w:tc>
          <w:tcPr>
            <w:tcW w:w="1800" w:type="dxa"/>
            <w:vAlign w:val="bottom"/>
            <w:shd w:val="clear" w:color="auto" w:fill="E6E6E6"/>
          </w:tcPr>
          <w:p>
            <w:pPr>
              <w:spacing w:after="0" w:line="20" w:lineRule="exact"/>
              <w:rPr>
                <w:sz w:val="1"/>
                <w:szCs w:val="1"/>
                <w:color w:val="auto"/>
              </w:rPr>
            </w:pPr>
          </w:p>
        </w:tc>
        <w:tc>
          <w:tcPr>
            <w:tcW w:w="2400" w:type="dxa"/>
            <w:vAlign w:val="bottom"/>
            <w:shd w:val="clear" w:color="auto" w:fill="E6E6E6"/>
          </w:tcPr>
          <w:p>
            <w:pPr>
              <w:spacing w:after="0" w:line="20" w:lineRule="exact"/>
              <w:rPr>
                <w:sz w:val="1"/>
                <w:szCs w:val="1"/>
                <w:color w:val="auto"/>
              </w:rPr>
            </w:pPr>
          </w:p>
        </w:tc>
        <w:tc>
          <w:tcPr>
            <w:tcW w:w="1000" w:type="dxa"/>
            <w:vAlign w:val="bottom"/>
            <w:shd w:val="clear" w:color="auto" w:fill="E6E6E6"/>
          </w:tcPr>
          <w:p>
            <w:pPr>
              <w:spacing w:after="0" w:line="20" w:lineRule="exact"/>
              <w:rPr>
                <w:sz w:val="1"/>
                <w:szCs w:val="1"/>
                <w:color w:val="auto"/>
              </w:rPr>
            </w:pPr>
          </w:p>
        </w:tc>
        <w:tc>
          <w:tcPr>
            <w:tcW w:w="6040" w:type="dxa"/>
            <w:vAlign w:val="bottom"/>
            <w:shd w:val="clear" w:color="auto" w:fill="E6E6E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1397000</wp:posOffset>
            </wp:positionH>
            <wp:positionV relativeFrom="paragraph">
              <wp:posOffset>-296545</wp:posOffset>
            </wp:positionV>
            <wp:extent cx="8255" cy="297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297180"/>
                    </a:xfrm>
                    <a:prstGeom prst="rect">
                      <a:avLst/>
                    </a:prstGeom>
                    <a:noFill/>
                  </pic:spPr>
                </pic:pic>
              </a:graphicData>
            </a:graphic>
          </wp:anchor>
        </w:drawing>
        <w:drawing>
          <wp:anchor simplePos="0" relativeHeight="251657728" behindDoc="1" locked="0" layoutInCell="0" allowOverlap="1">
            <wp:simplePos x="0" y="0"/>
            <wp:positionH relativeFrom="column">
              <wp:posOffset>2741930</wp:posOffset>
            </wp:positionH>
            <wp:positionV relativeFrom="paragraph">
              <wp:posOffset>-296545</wp:posOffset>
            </wp:positionV>
            <wp:extent cx="8255" cy="297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297180"/>
                    </a:xfrm>
                    <a:prstGeom prst="rect">
                      <a:avLst/>
                    </a:prstGeom>
                    <a:noFill/>
                  </pic:spPr>
                </pic:pic>
              </a:graphicData>
            </a:graphic>
          </wp:anchor>
        </w:drawing>
        <w:drawing>
          <wp:anchor simplePos="0" relativeHeight="251657728" behindDoc="1" locked="0" layoutInCell="0" allowOverlap="1">
            <wp:simplePos x="0" y="0"/>
            <wp:positionH relativeFrom="column">
              <wp:posOffset>3394075</wp:posOffset>
            </wp:positionH>
            <wp:positionV relativeFrom="paragraph">
              <wp:posOffset>-296545</wp:posOffset>
            </wp:positionV>
            <wp:extent cx="8255" cy="297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297180"/>
                    </a:xfrm>
                    <a:prstGeom prst="rect">
                      <a:avLst/>
                    </a:prstGeom>
                    <a:noFill/>
                  </pic:spPr>
                </pic:pic>
              </a:graphicData>
            </a:graphic>
          </wp:anchor>
        </w:drawing>
      </w:r>
    </w:p>
    <w:p>
      <w:pPr>
        <w:spacing w:after="0" w:line="158"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The record-date issue creates uncertainty as to whether the stockholder approvals and the resulting specified corporate acts were validly authorized. We are seeking ratification to the extent those acts are void or voidable because of that issue. The Company has confirmed that no shares of putative stock were issued in connection with the identified acts.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Board action</w:t>
      </w:r>
    </w:p>
    <w:p>
      <w:pPr>
        <w:spacing w:after="0" w:line="197"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 xml:space="preserve">On October 7, 2026, the Board acted by unanimous written consent to approve the ratification of each identified act, subject to the required stockholder approval and compliance with Section 204. The Board determined that each ratification is advisable and in the best interests of the Company and its stockholders and recommended a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each ratification.</w:t>
      </w:r>
    </w:p>
    <w:p>
      <w:pPr>
        <w:spacing w:after="0" w:line="135"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The Board’s purpose is to remove the uncertainty arising from the record-date issue while preserving the substance of the actions previously submitted to stockholders. The proposals do not ratify the annual meetings generally or independently ratify grants, share issuances, other plan approvals or director elections that are not identified in the Board’s schedule. For the two plan ratifications, the Company is relying on the Compensation Committee’s prior recommendations concerning those same plans. No new substantive plan approval by the Committee is being sought in connection with these ratifications.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Effect of approval</w:t>
      </w:r>
    </w:p>
    <w:p>
      <w:pPr>
        <w:spacing w:after="0" w:line="197"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If an act is ratified in accordance with Section 204, then, from its validation effective time and subject to any determination by the Court of Chancery under Section 205, the act will no longer be void or voidable because of the identified failure of authorization. That effect will relate back to the time of the original act. For a director election, the effect relates back to the identified election date, with the original class and scheduled term endpoint unchanged.</w:t>
      </w:r>
    </w:p>
    <w:p>
      <w:pPr>
        <w:spacing w:after="0" w:line="154" w:lineRule="exact"/>
        <w:rPr>
          <w:sz w:val="20"/>
          <w:szCs w:val="20"/>
          <w:color w:val="auto"/>
        </w:rPr>
      </w:pPr>
    </w:p>
    <w:p>
      <w:pPr>
        <w:ind w:right="440"/>
        <w:spacing w:after="0" w:line="252" w:lineRule="auto"/>
        <w:rPr>
          <w:sz w:val="20"/>
          <w:szCs w:val="20"/>
          <w:color w:val="auto"/>
        </w:rPr>
      </w:pPr>
      <w:r>
        <w:rPr>
          <w:rFonts w:ascii="Arial" w:cs="Arial" w:eastAsia="Arial" w:hAnsi="Arial"/>
          <w:sz w:val="17"/>
          <w:szCs w:val="17"/>
          <w:color w:val="auto"/>
        </w:rPr>
        <w:t>Proposals 3, 4 and 5(a) through 5(i) do not require a certificate of validation. The certificates implementing the June 5, 2024, officer-liability amendment (Proposal 1) and the May 15, 2026, authorized-share amendment (Proposal 2) were already filed and became effective on those respective dates. Because these ratifications do not change the text or effective date of either filed amendment, no certificate of validation is required for those two identified amendments under Section 204(e).</w:t>
      </w:r>
    </w:p>
    <w:p>
      <w:pPr>
        <w:spacing w:after="0" w:line="154"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The Board has reserved the right to abandon a ratification before its validation effective time, even after stockholder approval. Each ratification is considered separately. No ratification proposal creates a new substantive charter amendment, replenishes a plan reserve, or restarts a plan term.</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Notice of the statutory challenge period</w:t>
      </w:r>
    </w:p>
    <w:p>
      <w:pPr>
        <w:spacing w:after="0" w:line="195"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b w:val="1"/>
          <w:bCs w:val="1"/>
          <w:color w:val="auto"/>
        </w:rPr>
        <w:t>Any claim that a defective corporate act ratified under Section 204 is void or voidable due to the failure of authorization identified in the Board</w:t>
      </w:r>
      <w:r>
        <w:rPr>
          <w:rFonts w:ascii="Arial" w:cs="Arial" w:eastAsia="Arial" w:hAnsi="Arial"/>
          <w:sz w:val="17"/>
          <w:szCs w:val="17"/>
          <w:color w:val="auto"/>
        </w:rPr>
        <w:t>’</w:t>
      </w:r>
      <w:r>
        <w:rPr>
          <w:rFonts w:ascii="Arial" w:cs="Arial" w:eastAsia="Arial" w:hAnsi="Arial"/>
          <w:sz w:val="17"/>
          <w:szCs w:val="17"/>
          <w:b w:val="1"/>
          <w:bCs w:val="1"/>
          <w:color w:val="auto"/>
        </w:rPr>
        <w:t>s resolutions, or that the Delaware Court of Chancery should declare in its discretion that a ratification under Section 204 is not effective or is effective only on certain conditions, must be brought within 120 days from the applicable validation effective time. Under Section 205(f), this 120-day limitation does not apply to an action asserting that a ratification was not accomplished in accordance with Section 204 or to a person entitled to notice under Section 204(d) or (g) who was not given that notice.</w:t>
      </w:r>
    </w:p>
    <w:p>
      <w:pPr>
        <w:spacing w:after="0" w:line="136"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No appraisal rights</w:t>
      </w:r>
    </w:p>
    <w:p>
      <w:pPr>
        <w:spacing w:after="0" w:line="197"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The proposals do not provide stockholders with the right to require the Company to purchase their shares at an appraised value under the DGCL or our governing documents. Stockholders retain the statutory rights concerning ratification described above.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8" w:name="page9"/>
    <w:bookmarkEnd w:id="8"/>
    <w:p>
      <w:pPr>
        <w:spacing w:after="0"/>
        <w:rPr>
          <w:sz w:val="20"/>
          <w:szCs w:val="20"/>
          <w:color w:val="auto"/>
        </w:rPr>
      </w:pPr>
      <w:r>
        <w:rPr>
          <w:rFonts w:ascii="Arial" w:cs="Arial" w:eastAsia="Arial" w:hAnsi="Arial"/>
          <w:sz w:val="24"/>
          <w:szCs w:val="24"/>
          <w:b w:val="1"/>
          <w:bCs w:val="1"/>
          <w:color w:val="auto"/>
        </w:rPr>
        <w:t>Proposal 1: Ratification of the Officer-Liability Limitation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37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The action to be ratified</w:t>
      </w:r>
    </w:p>
    <w:p>
      <w:pPr>
        <w:spacing w:after="0" w:line="197" w:lineRule="exact"/>
        <w:rPr>
          <w:sz w:val="20"/>
          <w:szCs w:val="20"/>
          <w:color w:val="auto"/>
        </w:rPr>
      </w:pPr>
    </w:p>
    <w:p>
      <w:pPr>
        <w:jc w:val="both"/>
        <w:ind w:right="80"/>
        <w:spacing w:after="0" w:line="256" w:lineRule="auto"/>
        <w:rPr>
          <w:sz w:val="20"/>
          <w:szCs w:val="20"/>
          <w:color w:val="auto"/>
        </w:rPr>
      </w:pPr>
      <w:r>
        <w:rPr>
          <w:rFonts w:ascii="Arial" w:cs="Arial" w:eastAsia="Arial" w:hAnsi="Arial"/>
          <w:sz w:val="17"/>
          <w:szCs w:val="17"/>
          <w:color w:val="auto"/>
        </w:rPr>
        <w:t xml:space="preserve">We ask stockholders to ratify the adoption and implementation of the amendment to Article Nineteenth of our certificate of incorporation approved on June 5, 2024, including its implementation in the Amended and Restated Certificate of Incorporation filed with the Delaware Secretary of State that day. The amendment extended the charter’s limitation of monetary liability to certain officers to the extent permitted by Delaware law. The text of Article Nineteenth appears in </w:t>
      </w:r>
      <w:r>
        <w:rPr>
          <w:rFonts w:ascii="Arial" w:cs="Arial" w:eastAsia="Arial" w:hAnsi="Arial"/>
          <w:sz w:val="17"/>
          <w:szCs w:val="17"/>
          <w:b w:val="1"/>
          <w:bCs w:val="1"/>
          <w:u w:val="single" w:color="auto"/>
          <w:color w:val="auto"/>
        </w:rPr>
        <w:t>Annex A</w:t>
      </w:r>
      <w:r>
        <w:rPr>
          <w:rFonts w:ascii="Arial" w:cs="Arial" w:eastAsia="Arial" w:hAnsi="Arial"/>
          <w:sz w:val="17"/>
          <w:szCs w:val="17"/>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historical vote reported for the amendment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121285</wp:posOffset>
            </wp:positionV>
            <wp:extent cx="33655" cy="367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36766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121285</wp:posOffset>
            </wp:positionV>
            <wp:extent cx="33655" cy="3676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36766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121285</wp:posOffset>
            </wp:positionV>
            <wp:extent cx="33655" cy="3676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36766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900" w:type="dxa"/>
            <w:vAlign w:val="bottom"/>
            <w:tcBorders>
              <w:bottom w:val="single" w:sz="8" w:color="auto"/>
            </w:tcBorders>
            <w:shd w:val="clear" w:color="auto" w:fill="2D53A6"/>
          </w:tcPr>
          <w:p>
            <w:pPr>
              <w:ind w:left="40"/>
              <w:spacing w:after="0"/>
              <w:rPr>
                <w:sz w:val="20"/>
                <w:szCs w:val="20"/>
                <w:color w:val="auto"/>
              </w:rPr>
            </w:pPr>
            <w:r>
              <w:rPr>
                <w:rFonts w:ascii="Arial" w:cs="Arial" w:eastAsia="Arial" w:hAnsi="Arial"/>
                <w:sz w:val="17"/>
                <w:szCs w:val="17"/>
                <w:b w:val="1"/>
                <w:bCs w:val="1"/>
                <w:color w:val="FFFFFF"/>
              </w:rPr>
              <w:t>FOR</w:t>
            </w:r>
          </w:p>
        </w:tc>
        <w:tc>
          <w:tcPr>
            <w:tcW w:w="2780" w:type="dxa"/>
            <w:vAlign w:val="bottom"/>
            <w:tcBorders>
              <w:bottom w:val="single" w:sz="8" w:color="auto"/>
            </w:tcBorders>
            <w:shd w:val="clear" w:color="auto" w:fill="2D53A6"/>
          </w:tcPr>
          <w:p>
            <w:pPr>
              <w:ind w:left="980"/>
              <w:spacing w:after="0"/>
              <w:rPr>
                <w:sz w:val="20"/>
                <w:szCs w:val="20"/>
                <w:color w:val="auto"/>
              </w:rPr>
            </w:pPr>
            <w:r>
              <w:rPr>
                <w:rFonts w:ascii="Arial" w:cs="Arial" w:eastAsia="Arial" w:hAnsi="Arial"/>
                <w:sz w:val="17"/>
                <w:szCs w:val="17"/>
                <w:b w:val="1"/>
                <w:bCs w:val="1"/>
                <w:color w:val="FFFFFF"/>
              </w:rPr>
              <w:t>AGAINST</w:t>
            </w:r>
          </w:p>
        </w:tc>
        <w:tc>
          <w:tcPr>
            <w:tcW w:w="2820" w:type="dxa"/>
            <w:vAlign w:val="bottom"/>
            <w:tcBorders>
              <w:bottom w:val="single" w:sz="8" w:color="auto"/>
            </w:tcBorders>
            <w:shd w:val="clear" w:color="auto" w:fill="2D53A6"/>
          </w:tcPr>
          <w:p>
            <w:pPr>
              <w:ind w:left="1020"/>
              <w:spacing w:after="0"/>
              <w:rPr>
                <w:sz w:val="20"/>
                <w:szCs w:val="20"/>
                <w:color w:val="auto"/>
              </w:rPr>
            </w:pPr>
            <w:r>
              <w:rPr>
                <w:rFonts w:ascii="Arial" w:cs="Arial" w:eastAsia="Arial" w:hAnsi="Arial"/>
                <w:sz w:val="17"/>
                <w:szCs w:val="17"/>
                <w:b w:val="1"/>
                <w:bCs w:val="1"/>
                <w:color w:val="FFFFFF"/>
              </w:rPr>
              <w:t>ABSTAIN</w:t>
            </w:r>
          </w:p>
        </w:tc>
        <w:tc>
          <w:tcPr>
            <w:tcW w:w="3740" w:type="dxa"/>
            <w:vAlign w:val="bottom"/>
            <w:tcBorders>
              <w:bottom w:val="single" w:sz="8" w:color="auto"/>
            </w:tcBorders>
            <w:shd w:val="clear" w:color="auto" w:fill="2D53A6"/>
          </w:tcPr>
          <w:p>
            <w:pPr>
              <w:ind w:left="1040"/>
              <w:spacing w:after="0"/>
              <w:rPr>
                <w:sz w:val="20"/>
                <w:szCs w:val="20"/>
                <w:color w:val="auto"/>
              </w:rPr>
            </w:pPr>
            <w:r>
              <w:rPr>
                <w:rFonts w:ascii="Arial" w:cs="Arial" w:eastAsia="Arial" w:hAnsi="Arial"/>
                <w:sz w:val="17"/>
                <w:szCs w:val="17"/>
                <w:b w:val="1"/>
                <w:bCs w:val="1"/>
                <w:color w:val="FFFFFF"/>
              </w:rPr>
              <w:t>Broker non-votes</w:t>
            </w:r>
          </w:p>
        </w:tc>
      </w:tr>
      <w:tr>
        <w:trPr>
          <w:trHeight w:val="251"/>
        </w:trPr>
        <w:tc>
          <w:tcPr>
            <w:tcW w:w="1900" w:type="dxa"/>
            <w:vAlign w:val="bottom"/>
            <w:shd w:val="clear" w:color="auto" w:fill="E6E6E6"/>
          </w:tcPr>
          <w:p>
            <w:pPr>
              <w:ind w:left="40"/>
              <w:spacing w:after="0"/>
              <w:rPr>
                <w:sz w:val="20"/>
                <w:szCs w:val="20"/>
                <w:color w:val="auto"/>
              </w:rPr>
            </w:pPr>
            <w:r>
              <w:rPr>
                <w:rFonts w:ascii="Arial" w:cs="Arial" w:eastAsia="Arial" w:hAnsi="Arial"/>
                <w:sz w:val="17"/>
                <w:szCs w:val="17"/>
                <w:color w:val="auto"/>
              </w:rPr>
              <w:t>36,685,697</w:t>
            </w:r>
          </w:p>
        </w:tc>
        <w:tc>
          <w:tcPr>
            <w:tcW w:w="2780" w:type="dxa"/>
            <w:vAlign w:val="bottom"/>
            <w:shd w:val="clear" w:color="auto" w:fill="E6E6E6"/>
          </w:tcPr>
          <w:p>
            <w:pPr>
              <w:ind w:left="980"/>
              <w:spacing w:after="0"/>
              <w:rPr>
                <w:sz w:val="20"/>
                <w:szCs w:val="20"/>
                <w:color w:val="auto"/>
              </w:rPr>
            </w:pPr>
            <w:r>
              <w:rPr>
                <w:rFonts w:ascii="Arial" w:cs="Arial" w:eastAsia="Arial" w:hAnsi="Arial"/>
                <w:sz w:val="17"/>
                <w:szCs w:val="17"/>
                <w:color w:val="auto"/>
              </w:rPr>
              <w:t>4,123,584</w:t>
            </w:r>
          </w:p>
        </w:tc>
        <w:tc>
          <w:tcPr>
            <w:tcW w:w="2820" w:type="dxa"/>
            <w:vAlign w:val="bottom"/>
            <w:shd w:val="clear" w:color="auto" w:fill="E6E6E6"/>
          </w:tcPr>
          <w:p>
            <w:pPr>
              <w:ind w:left="1020"/>
              <w:spacing w:after="0"/>
              <w:rPr>
                <w:sz w:val="20"/>
                <w:szCs w:val="20"/>
                <w:color w:val="auto"/>
              </w:rPr>
            </w:pPr>
            <w:r>
              <w:rPr>
                <w:rFonts w:ascii="Arial" w:cs="Arial" w:eastAsia="Arial" w:hAnsi="Arial"/>
                <w:sz w:val="17"/>
                <w:szCs w:val="17"/>
                <w:color w:val="auto"/>
              </w:rPr>
              <w:t>49,140</w:t>
            </w:r>
          </w:p>
        </w:tc>
        <w:tc>
          <w:tcPr>
            <w:tcW w:w="3740" w:type="dxa"/>
            <w:vAlign w:val="bottom"/>
            <w:shd w:val="clear" w:color="auto" w:fill="E6E6E6"/>
          </w:tcPr>
          <w:p>
            <w:pPr>
              <w:ind w:left="1040"/>
              <w:spacing w:after="0"/>
              <w:rPr>
                <w:sz w:val="20"/>
                <w:szCs w:val="20"/>
                <w:color w:val="auto"/>
              </w:rPr>
            </w:pPr>
            <w:r>
              <w:rPr>
                <w:rFonts w:ascii="Arial" w:cs="Arial" w:eastAsia="Arial" w:hAnsi="Arial"/>
                <w:sz w:val="17"/>
                <w:szCs w:val="17"/>
                <w:color w:val="auto"/>
              </w:rPr>
              <w:t>2,928,823</w:t>
            </w:r>
          </w:p>
        </w:tc>
      </w:tr>
      <w:tr>
        <w:trPr>
          <w:trHeight w:val="22"/>
        </w:trPr>
        <w:tc>
          <w:tcPr>
            <w:tcW w:w="1900" w:type="dxa"/>
            <w:vAlign w:val="bottom"/>
            <w:shd w:val="clear" w:color="auto" w:fill="E6E6E6"/>
          </w:tcPr>
          <w:p>
            <w:pPr>
              <w:spacing w:after="0" w:line="20" w:lineRule="exact"/>
              <w:rPr>
                <w:sz w:val="1"/>
                <w:szCs w:val="1"/>
                <w:color w:val="auto"/>
              </w:rPr>
            </w:pPr>
          </w:p>
        </w:tc>
        <w:tc>
          <w:tcPr>
            <w:tcW w:w="2780" w:type="dxa"/>
            <w:vAlign w:val="bottom"/>
            <w:shd w:val="clear" w:color="auto" w:fill="E6E6E6"/>
          </w:tcPr>
          <w:p>
            <w:pPr>
              <w:spacing w:after="0" w:line="20" w:lineRule="exact"/>
              <w:rPr>
                <w:sz w:val="1"/>
                <w:szCs w:val="1"/>
                <w:color w:val="auto"/>
              </w:rPr>
            </w:pPr>
          </w:p>
        </w:tc>
        <w:tc>
          <w:tcPr>
            <w:tcW w:w="2820" w:type="dxa"/>
            <w:vAlign w:val="bottom"/>
            <w:shd w:val="clear" w:color="auto" w:fill="E6E6E6"/>
          </w:tcPr>
          <w:p>
            <w:pPr>
              <w:spacing w:after="0" w:line="20" w:lineRule="exact"/>
              <w:rPr>
                <w:sz w:val="1"/>
                <w:szCs w:val="1"/>
                <w:color w:val="auto"/>
              </w:rPr>
            </w:pPr>
          </w:p>
        </w:tc>
        <w:tc>
          <w:tcPr>
            <w:tcW w:w="3740" w:type="dxa"/>
            <w:vAlign w:val="bottom"/>
            <w:shd w:val="clear" w:color="auto" w:fill="E6E6E6"/>
          </w:tcPr>
          <w:p>
            <w:pPr>
              <w:spacing w:after="0" w:line="20" w:lineRule="exact"/>
              <w:rPr>
                <w:sz w:val="1"/>
                <w:szCs w:val="1"/>
                <w:color w:val="auto"/>
              </w:rPr>
            </w:pPr>
          </w:p>
        </w:tc>
      </w:tr>
    </w:tbl>
    <w:p>
      <w:pPr>
        <w:spacing w:after="0" w:line="178"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The April 12, 2024, record date was 54 days before the June 5, 2024, annual meeting, exceeding the bylaw’s 50-day limit. That record-date defect is the failure of authorization addressed by this proposal.</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Purpose and effect</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What the amendment does and does not do</w:t>
      </w:r>
    </w:p>
    <w:p>
      <w:pPr>
        <w:spacing w:after="0" w:line="19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Article Nineteenth limits monetary liability for certain fiduciary-duty claims to the extent permitted by the DGCL. For officers, Delaware law does not permit the provision to eliminate liability for a breach of the duty of loyalty, acts or omissions not in good faith, intentional misconduct, a knowing violation of law or a transaction from which the officer derived an improper personal benefit. It also does not permit officer exculpation in an action by or in the right of the Company. The provision does not eliminate fiduciary duties or prevent available nonmonetary relief.</w:t>
      </w:r>
    </w:p>
    <w:p>
      <w:pPr>
        <w:spacing w:after="0" w:line="154"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Ratification would address the identified defect in the historical amendment. It would not expand the provision beyond its terms or protect conduct occurring before the amendment’s original effective time on June 5, 2024. It is not a separate ratification of any particular officer’s conduct.</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Reasons for ratification and interests</w:t>
      </w:r>
    </w:p>
    <w:p>
      <w:pPr>
        <w:spacing w:after="0" w:line="191"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The Board believes it is in the best interests of the Company and its stockholders to remove uncertainty concerning the amendment previously approved by stockholders. Certain current and former officers have an interest in this proposal because they may receive the protection afforded by the amendment. That interest differs from the interests of stockholders generally.</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Vote and recommendation</w:t>
      </w:r>
    </w:p>
    <w:p>
      <w:pPr>
        <w:spacing w:after="0" w:line="197"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 xml:space="preserve">Approval requires the affirmative vote of holders of a majority of the outstanding shares entitled to vote on this proposal. Abstentions, broker non-votes, and other shares not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have the same effect on approval as votes AGAINST.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a vote FOR Proposal 1.</w:t>
      </w:r>
    </w:p>
    <w:p>
      <w:pPr>
        <w:spacing w:after="0" w:line="194"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 xml:space="preserve">By voting </w:t>
      </w:r>
      <w:r>
        <w:rPr>
          <w:rFonts w:ascii="Arial" w:cs="Arial" w:eastAsia="Arial" w:hAnsi="Arial"/>
          <w:sz w:val="17"/>
          <w:szCs w:val="17"/>
          <w:b w:val="1"/>
          <w:bCs w:val="1"/>
          <w:color w:val="auto"/>
        </w:rPr>
        <w:t>FOR</w:t>
      </w:r>
      <w:r>
        <w:rPr>
          <w:rFonts w:ascii="Arial" w:cs="Arial" w:eastAsia="Arial" w:hAnsi="Arial"/>
          <w:sz w:val="17"/>
          <w:szCs w:val="17"/>
          <w:color w:val="auto"/>
        </w:rPr>
        <w:t xml:space="preserve"> Proposal 1, you are voting to ratify, under Section 204 of the DGCL, the historical action described above to the extent it is void or voidable because of the identified record-date failure of authorization.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9" w:name="page10"/>
    <w:bookmarkEnd w:id="9"/>
    <w:p>
      <w:pPr>
        <w:spacing w:after="0"/>
        <w:rPr>
          <w:sz w:val="20"/>
          <w:szCs w:val="20"/>
          <w:color w:val="auto"/>
        </w:rPr>
      </w:pPr>
      <w:r>
        <w:rPr>
          <w:rFonts w:ascii="Arial" w:cs="Arial" w:eastAsia="Arial" w:hAnsi="Arial"/>
          <w:sz w:val="24"/>
          <w:szCs w:val="24"/>
          <w:b w:val="1"/>
          <w:bCs w:val="1"/>
          <w:color w:val="auto"/>
        </w:rPr>
        <w:t>Proposal 2: Ratification of the Authorized-Share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37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The action to be ratified</w:t>
      </w:r>
    </w:p>
    <w:p>
      <w:pPr>
        <w:spacing w:after="0" w:line="19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 xml:space="preserve">We ask stockholders to ratify the adoption and implementation of the amendment to Article Fourth of our certificate of incorporation approved on May 15, 2026, including its implementation in the Amended and Restated Certificate of Incorporation filed with the Delaware Secretary of State that day. The amendment increased authorized common stock from 90,000,000 to 150,000,000 shares, with a par value of $ 1.00 per share. Authorized preferred stock remained 1,000,000 shares, with a par value of $1.00 per share. The amended first paragraph of Article Fourth appears in </w:t>
      </w:r>
      <w:r>
        <w:rPr>
          <w:rFonts w:ascii="Arial" w:cs="Arial" w:eastAsia="Arial" w:hAnsi="Arial"/>
          <w:sz w:val="17"/>
          <w:szCs w:val="17"/>
          <w:b w:val="1"/>
          <w:bCs w:val="1"/>
          <w:u w:val="single" w:color="auto"/>
          <w:color w:val="auto"/>
        </w:rPr>
        <w:t>Annex B</w:t>
      </w:r>
      <w:r>
        <w:rPr>
          <w:rFonts w:ascii="Arial" w:cs="Arial" w:eastAsia="Arial" w:hAnsi="Arial"/>
          <w:sz w:val="17"/>
          <w:szCs w:val="17"/>
          <w:color w:val="auto"/>
        </w:rPr>
        <w:t>.</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The historical vote reported for the amendment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2395220</wp:posOffset>
            </wp:positionH>
            <wp:positionV relativeFrom="paragraph">
              <wp:posOffset>133985</wp:posOffset>
            </wp:positionV>
            <wp:extent cx="8255" cy="3467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133985</wp:posOffset>
            </wp:positionV>
            <wp:extent cx="8255" cy="3467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34671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360" w:type="dxa"/>
            <w:vAlign w:val="bottom"/>
            <w:shd w:val="clear" w:color="auto" w:fill="2D53A6"/>
          </w:tcPr>
          <w:p>
            <w:pPr>
              <w:ind w:left="40"/>
              <w:spacing w:after="0"/>
              <w:rPr>
                <w:sz w:val="20"/>
                <w:szCs w:val="20"/>
                <w:color w:val="auto"/>
              </w:rPr>
            </w:pPr>
            <w:r>
              <w:rPr>
                <w:rFonts w:ascii="Arial" w:cs="Arial" w:eastAsia="Arial" w:hAnsi="Arial"/>
                <w:sz w:val="17"/>
                <w:szCs w:val="17"/>
                <w:b w:val="1"/>
                <w:bCs w:val="1"/>
                <w:color w:val="FFFFFF"/>
              </w:rPr>
              <w:t>FOR</w:t>
            </w:r>
          </w:p>
        </w:tc>
        <w:tc>
          <w:tcPr>
            <w:tcW w:w="3740" w:type="dxa"/>
            <w:vAlign w:val="bottom"/>
            <w:shd w:val="clear" w:color="auto" w:fill="2D53A6"/>
          </w:tcPr>
          <w:p>
            <w:pPr>
              <w:ind w:left="1460"/>
              <w:spacing w:after="0"/>
              <w:rPr>
                <w:sz w:val="20"/>
                <w:szCs w:val="20"/>
                <w:color w:val="auto"/>
              </w:rPr>
            </w:pPr>
            <w:r>
              <w:rPr>
                <w:rFonts w:ascii="Arial" w:cs="Arial" w:eastAsia="Arial" w:hAnsi="Arial"/>
                <w:sz w:val="17"/>
                <w:szCs w:val="17"/>
                <w:b w:val="1"/>
                <w:bCs w:val="1"/>
                <w:color w:val="FFFFFF"/>
              </w:rPr>
              <w:t>AGAINST</w:t>
            </w:r>
          </w:p>
        </w:tc>
        <w:tc>
          <w:tcPr>
            <w:tcW w:w="5140" w:type="dxa"/>
            <w:vAlign w:val="bottom"/>
            <w:shd w:val="clear" w:color="auto" w:fill="2D53A6"/>
          </w:tcPr>
          <w:p>
            <w:pPr>
              <w:ind w:left="1500"/>
              <w:spacing w:after="0"/>
              <w:rPr>
                <w:sz w:val="20"/>
                <w:szCs w:val="20"/>
                <w:color w:val="auto"/>
              </w:rPr>
            </w:pPr>
            <w:r>
              <w:rPr>
                <w:rFonts w:ascii="Arial" w:cs="Arial" w:eastAsia="Arial" w:hAnsi="Arial"/>
                <w:sz w:val="17"/>
                <w:szCs w:val="17"/>
                <w:b w:val="1"/>
                <w:bCs w:val="1"/>
                <w:color w:val="FFFFFF"/>
              </w:rPr>
              <w:t>ABSTAIN</w:t>
            </w:r>
          </w:p>
        </w:tc>
      </w:tr>
      <w:tr>
        <w:trPr>
          <w:trHeight w:val="251"/>
        </w:trPr>
        <w:tc>
          <w:tcPr>
            <w:tcW w:w="2360" w:type="dxa"/>
            <w:vAlign w:val="bottom"/>
            <w:shd w:val="clear" w:color="auto" w:fill="E6E6E6"/>
          </w:tcPr>
          <w:p>
            <w:pPr>
              <w:ind w:left="40"/>
              <w:spacing w:after="0"/>
              <w:rPr>
                <w:sz w:val="20"/>
                <w:szCs w:val="20"/>
                <w:color w:val="auto"/>
              </w:rPr>
            </w:pPr>
            <w:r>
              <w:rPr>
                <w:rFonts w:ascii="Arial" w:cs="Arial" w:eastAsia="Arial" w:hAnsi="Arial"/>
                <w:sz w:val="17"/>
                <w:szCs w:val="17"/>
                <w:color w:val="auto"/>
              </w:rPr>
              <w:t>40,897,112</w:t>
            </w:r>
          </w:p>
        </w:tc>
        <w:tc>
          <w:tcPr>
            <w:tcW w:w="3740" w:type="dxa"/>
            <w:vAlign w:val="bottom"/>
            <w:shd w:val="clear" w:color="auto" w:fill="E6E6E6"/>
          </w:tcPr>
          <w:p>
            <w:pPr>
              <w:ind w:left="1460"/>
              <w:spacing w:after="0"/>
              <w:rPr>
                <w:sz w:val="20"/>
                <w:szCs w:val="20"/>
                <w:color w:val="auto"/>
              </w:rPr>
            </w:pPr>
            <w:r>
              <w:rPr>
                <w:rFonts w:ascii="Arial" w:cs="Arial" w:eastAsia="Arial" w:hAnsi="Arial"/>
                <w:sz w:val="17"/>
                <w:szCs w:val="17"/>
                <w:color w:val="auto"/>
              </w:rPr>
              <w:t>1,251,088</w:t>
            </w:r>
          </w:p>
        </w:tc>
        <w:tc>
          <w:tcPr>
            <w:tcW w:w="5140" w:type="dxa"/>
            <w:vAlign w:val="bottom"/>
            <w:shd w:val="clear" w:color="auto" w:fill="E6E6E6"/>
          </w:tcPr>
          <w:p>
            <w:pPr>
              <w:ind w:left="1500"/>
              <w:spacing w:after="0"/>
              <w:rPr>
                <w:sz w:val="20"/>
                <w:szCs w:val="20"/>
                <w:color w:val="auto"/>
              </w:rPr>
            </w:pPr>
            <w:r>
              <w:rPr>
                <w:rFonts w:ascii="Arial" w:cs="Arial" w:eastAsia="Arial" w:hAnsi="Arial"/>
                <w:sz w:val="17"/>
                <w:szCs w:val="17"/>
                <w:color w:val="auto"/>
              </w:rPr>
              <w:t>342,568</w:t>
            </w:r>
          </w:p>
        </w:tc>
      </w:tr>
      <w:tr>
        <w:trPr>
          <w:trHeight w:val="22"/>
        </w:trPr>
        <w:tc>
          <w:tcPr>
            <w:tcW w:w="2360" w:type="dxa"/>
            <w:vAlign w:val="bottom"/>
            <w:shd w:val="clear" w:color="auto" w:fill="E6E6E6"/>
          </w:tcPr>
          <w:p>
            <w:pPr>
              <w:spacing w:after="0" w:line="20" w:lineRule="exact"/>
              <w:rPr>
                <w:sz w:val="1"/>
                <w:szCs w:val="1"/>
                <w:color w:val="auto"/>
              </w:rPr>
            </w:pPr>
          </w:p>
        </w:tc>
        <w:tc>
          <w:tcPr>
            <w:tcW w:w="3740" w:type="dxa"/>
            <w:vAlign w:val="bottom"/>
            <w:shd w:val="clear" w:color="auto" w:fill="E6E6E6"/>
          </w:tcPr>
          <w:p>
            <w:pPr>
              <w:spacing w:after="0" w:line="20" w:lineRule="exact"/>
              <w:rPr>
                <w:sz w:val="1"/>
                <w:szCs w:val="1"/>
                <w:color w:val="auto"/>
              </w:rPr>
            </w:pPr>
          </w:p>
        </w:tc>
        <w:tc>
          <w:tcPr>
            <w:tcW w:w="5140" w:type="dxa"/>
            <w:vAlign w:val="bottom"/>
            <w:shd w:val="clear" w:color="auto" w:fill="E6E6E6"/>
          </w:tcPr>
          <w:p>
            <w:pPr>
              <w:spacing w:after="0" w:line="20" w:lineRule="exact"/>
              <w:rPr>
                <w:sz w:val="1"/>
                <w:szCs w:val="1"/>
                <w:color w:val="auto"/>
              </w:rPr>
            </w:pPr>
          </w:p>
        </w:tc>
      </w:tr>
    </w:tbl>
    <w:p>
      <w:pPr>
        <w:spacing w:after="0" w:line="178" w:lineRule="exact"/>
        <w:rPr>
          <w:sz w:val="20"/>
          <w:szCs w:val="20"/>
          <w:color w:val="auto"/>
        </w:rPr>
      </w:pPr>
    </w:p>
    <w:p>
      <w:pPr>
        <w:ind w:right="500"/>
        <w:spacing w:after="0" w:line="280" w:lineRule="auto"/>
        <w:rPr>
          <w:sz w:val="20"/>
          <w:szCs w:val="20"/>
          <w:color w:val="auto"/>
        </w:rPr>
      </w:pPr>
      <w:r>
        <w:rPr>
          <w:rFonts w:ascii="Arial" w:cs="Arial" w:eastAsia="Arial" w:hAnsi="Arial"/>
          <w:sz w:val="17"/>
          <w:szCs w:val="17"/>
          <w:color w:val="auto"/>
        </w:rPr>
        <w:t>The March 23, 2026 record date was 53 days before the May 15, 2026 annual meeting, exceeding the bylaw’s 50-day limit. That record-date defect is the failure of authorization addressed by this proposal.</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Purpose and effect</w:t>
      </w:r>
    </w:p>
    <w:p>
      <w:pPr>
        <w:spacing w:after="0" w:line="197" w:lineRule="exact"/>
        <w:rPr>
          <w:sz w:val="20"/>
          <w:szCs w:val="20"/>
          <w:color w:val="auto"/>
        </w:rPr>
      </w:pPr>
    </w:p>
    <w:p>
      <w:pPr>
        <w:jc w:val="both"/>
        <w:ind w:right="480"/>
        <w:spacing w:after="0" w:line="259" w:lineRule="auto"/>
        <w:rPr>
          <w:sz w:val="20"/>
          <w:szCs w:val="20"/>
          <w:color w:val="auto"/>
        </w:rPr>
      </w:pPr>
      <w:r>
        <w:rPr>
          <w:rFonts w:ascii="Arial" w:cs="Arial" w:eastAsia="Arial" w:hAnsi="Arial"/>
          <w:sz w:val="17"/>
          <w:szCs w:val="17"/>
          <w:color w:val="auto"/>
        </w:rPr>
        <w:t>As described when the amendment was originally submitted, the additional authorized common shares were intended to provide flexibility for corporate purposes, including financing, acquisitions, equity compensation, and other business needs. Ratification would remove uncertainty concerning that historical authorization. It would not increase authorized common stock above 150,000,000 shares or itself issue shares.</w:t>
      </w:r>
    </w:p>
    <w:p>
      <w:pPr>
        <w:spacing w:after="0" w:line="14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additional authorized common shares have the same rights as the other shares of our common stock. Holders do not have preemptive rights. Subject to applicable law and stock-exchange requirements, authorized shares may be issued without further stockholder approval. An issuance could dilute existing stockholders’ ownership and voting interests. The availability of authorized but unissued shares could also affect a transaction seeking control of the Company, depending on how those shares are used.</w:t>
      </w:r>
    </w:p>
    <w:p>
      <w:pPr>
        <w:spacing w:after="0" w:line="154"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As of October 23, 2026, 47,346,050 shares of common stock were outstanding, and 20,162,201 shares were reserved for issuance under equity plans, convertible securities, and other commitments.</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Vote and recommendation</w:t>
      </w:r>
    </w:p>
    <w:p>
      <w:pPr>
        <w:spacing w:after="0" w:line="197"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 xml:space="preserve">The proposed approval condition for this submission is the affirmative vote of holders of a majority of the outstanding shares entitled to vote on the proposal. Under that condition, abstentions, broker non-votes, and other shares not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would have the same effect on approval as votes </w:t>
      </w:r>
      <w:r>
        <w:rPr>
          <w:rFonts w:ascii="Arial" w:cs="Arial" w:eastAsia="Arial" w:hAnsi="Arial"/>
          <w:sz w:val="17"/>
          <w:szCs w:val="17"/>
          <w:b w:val="1"/>
          <w:bCs w:val="1"/>
          <w:color w:val="auto"/>
        </w:rPr>
        <w:t>AGAINST</w:t>
      </w:r>
      <w:r>
        <w:rPr>
          <w:rFonts w:ascii="Arial" w:cs="Arial" w:eastAsia="Arial" w:hAnsi="Arial"/>
          <w:sz w:val="17"/>
          <w:szCs w:val="17"/>
          <w:color w:val="auto"/>
        </w:rPr>
        <w:t>. Proposal 2 is routine. Brokers may vote shares on this proposal without instructions, and we do not expect broker non-votes.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a vote FOR Proposal 2.</w:t>
      </w:r>
    </w:p>
    <w:p>
      <w:pPr>
        <w:spacing w:after="0" w:line="194"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 xml:space="preserve">By voting </w:t>
      </w:r>
      <w:r>
        <w:rPr>
          <w:rFonts w:ascii="Arial" w:cs="Arial" w:eastAsia="Arial" w:hAnsi="Arial"/>
          <w:sz w:val="17"/>
          <w:szCs w:val="17"/>
          <w:b w:val="1"/>
          <w:bCs w:val="1"/>
          <w:color w:val="auto"/>
        </w:rPr>
        <w:t>FOR</w:t>
      </w:r>
      <w:r>
        <w:rPr>
          <w:rFonts w:ascii="Arial" w:cs="Arial" w:eastAsia="Arial" w:hAnsi="Arial"/>
          <w:sz w:val="17"/>
          <w:szCs w:val="17"/>
          <w:color w:val="auto"/>
        </w:rPr>
        <w:t xml:space="preserve"> Proposal 2, you are voting to ratify, under Section 204 of the DGCL, the historical action described above to the extent it is void or voidable because of the identified record-date failure of authorization.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10" w:name="page11"/>
    <w:bookmarkEnd w:id="10"/>
    <w:p>
      <w:pPr>
        <w:spacing w:after="0"/>
        <w:rPr>
          <w:sz w:val="20"/>
          <w:szCs w:val="20"/>
          <w:color w:val="auto"/>
        </w:rPr>
      </w:pPr>
      <w:r>
        <w:rPr>
          <w:rFonts w:ascii="Arial" w:cs="Arial" w:eastAsia="Arial" w:hAnsi="Arial"/>
          <w:sz w:val="24"/>
          <w:szCs w:val="24"/>
          <w:b w:val="1"/>
          <w:bCs w:val="1"/>
          <w:color w:val="auto"/>
        </w:rPr>
        <w:t>Proposal 3: Ratification of the 2026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37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The action to be ratified</w:t>
      </w:r>
    </w:p>
    <w:p>
      <w:pPr>
        <w:spacing w:after="0" w:line="197"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We are asking stockholders to ratify the adoption of the Cohu, Inc. 2026 Equity Incentive Plan (the “</w:t>
      </w:r>
      <w:r>
        <w:rPr>
          <w:rFonts w:ascii="Arial" w:cs="Arial" w:eastAsia="Arial" w:hAnsi="Arial"/>
          <w:sz w:val="17"/>
          <w:szCs w:val="17"/>
          <w:b w:val="1"/>
          <w:bCs w:val="1"/>
          <w:i w:val="1"/>
          <w:iCs w:val="1"/>
          <w:color w:val="auto"/>
        </w:rPr>
        <w:t>2026 Plan</w:t>
      </w:r>
      <w:r>
        <w:rPr>
          <w:rFonts w:ascii="Arial" w:cs="Arial" w:eastAsia="Arial" w:hAnsi="Arial"/>
          <w:sz w:val="17"/>
          <w:szCs w:val="17"/>
          <w:color w:val="auto"/>
        </w:rPr>
        <w:t>”), including the stockholder approval obtained on May 15, 2026. The Board of Directors adopted the 2026 Plan on March 20, 2026, subject to its approval by stockholders. The 2026 Plan is the successor to the Cohu, Inc., 2005 Equity Incentive Plan (“</w:t>
      </w:r>
      <w:r>
        <w:rPr>
          <w:rFonts w:ascii="Arial" w:cs="Arial" w:eastAsia="Arial" w:hAnsi="Arial"/>
          <w:sz w:val="17"/>
          <w:szCs w:val="17"/>
          <w:b w:val="1"/>
          <w:bCs w:val="1"/>
          <w:i w:val="1"/>
          <w:iCs w:val="1"/>
          <w:color w:val="auto"/>
        </w:rPr>
        <w:t>2005 Plan</w:t>
      </w:r>
      <w:r>
        <w:rPr>
          <w:rFonts w:ascii="Arial" w:cs="Arial" w:eastAsia="Arial" w:hAnsi="Arial"/>
          <w:sz w:val="17"/>
          <w:szCs w:val="17"/>
          <w:color w:val="auto"/>
        </w:rPr>
        <w:t>”). As of the May 15, 2026 stockholder approval, (i) no additional awards may be granted under the 2005 Plan; (ii) any Returning Shares will become available for issuance pursuant to Awards granted under the 2026 Plan; and (iii) all awards granted under the 2005 Plan that are outstanding on the Effective Date will remain subject to the terms of the 2005 Plan (except to the extent such outstanding awards result in Returning Shares that become available for issuance pursuant to Awards granted under this Plan).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historical vote reported for the plan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1793240</wp:posOffset>
            </wp:positionH>
            <wp:positionV relativeFrom="paragraph">
              <wp:posOffset>133985</wp:posOffset>
            </wp:positionV>
            <wp:extent cx="8255" cy="3467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3591560</wp:posOffset>
            </wp:positionH>
            <wp:positionV relativeFrom="paragraph">
              <wp:posOffset>133985</wp:posOffset>
            </wp:positionV>
            <wp:extent cx="8255" cy="3467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133985</wp:posOffset>
            </wp:positionV>
            <wp:extent cx="8255" cy="3467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34671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900" w:type="dxa"/>
            <w:vAlign w:val="bottom"/>
            <w:shd w:val="clear" w:color="auto" w:fill="2D53A6"/>
          </w:tcPr>
          <w:p>
            <w:pPr>
              <w:ind w:left="40"/>
              <w:spacing w:after="0"/>
              <w:rPr>
                <w:sz w:val="20"/>
                <w:szCs w:val="20"/>
                <w:color w:val="auto"/>
              </w:rPr>
            </w:pPr>
            <w:r>
              <w:rPr>
                <w:rFonts w:ascii="Arial" w:cs="Arial" w:eastAsia="Arial" w:hAnsi="Arial"/>
                <w:sz w:val="17"/>
                <w:szCs w:val="17"/>
                <w:b w:val="1"/>
                <w:bCs w:val="1"/>
                <w:color w:val="FFFFFF"/>
              </w:rPr>
              <w:t>FOR</w:t>
            </w:r>
          </w:p>
        </w:tc>
        <w:tc>
          <w:tcPr>
            <w:tcW w:w="2780" w:type="dxa"/>
            <w:vAlign w:val="bottom"/>
            <w:shd w:val="clear" w:color="auto" w:fill="2D53A6"/>
          </w:tcPr>
          <w:p>
            <w:pPr>
              <w:ind w:left="980"/>
              <w:spacing w:after="0"/>
              <w:rPr>
                <w:sz w:val="20"/>
                <w:szCs w:val="20"/>
                <w:color w:val="auto"/>
              </w:rPr>
            </w:pPr>
            <w:r>
              <w:rPr>
                <w:rFonts w:ascii="Arial" w:cs="Arial" w:eastAsia="Arial" w:hAnsi="Arial"/>
                <w:sz w:val="17"/>
                <w:szCs w:val="17"/>
                <w:b w:val="1"/>
                <w:bCs w:val="1"/>
                <w:color w:val="FFFFFF"/>
              </w:rPr>
              <w:t>AGAINST</w:t>
            </w:r>
          </w:p>
        </w:tc>
        <w:tc>
          <w:tcPr>
            <w:tcW w:w="2820" w:type="dxa"/>
            <w:vAlign w:val="bottom"/>
            <w:shd w:val="clear" w:color="auto" w:fill="2D53A6"/>
          </w:tcPr>
          <w:p>
            <w:pPr>
              <w:ind w:left="1020"/>
              <w:spacing w:after="0"/>
              <w:rPr>
                <w:sz w:val="20"/>
                <w:szCs w:val="20"/>
                <w:color w:val="auto"/>
              </w:rPr>
            </w:pPr>
            <w:r>
              <w:rPr>
                <w:rFonts w:ascii="Arial" w:cs="Arial" w:eastAsia="Arial" w:hAnsi="Arial"/>
                <w:sz w:val="17"/>
                <w:szCs w:val="17"/>
                <w:b w:val="1"/>
                <w:bCs w:val="1"/>
                <w:color w:val="FFFFFF"/>
              </w:rPr>
              <w:t>ABSTAIN</w:t>
            </w:r>
          </w:p>
        </w:tc>
        <w:tc>
          <w:tcPr>
            <w:tcW w:w="3740" w:type="dxa"/>
            <w:vAlign w:val="bottom"/>
            <w:shd w:val="clear" w:color="auto" w:fill="2D53A6"/>
          </w:tcPr>
          <w:p>
            <w:pPr>
              <w:ind w:left="1040"/>
              <w:spacing w:after="0"/>
              <w:rPr>
                <w:sz w:val="20"/>
                <w:szCs w:val="20"/>
                <w:color w:val="auto"/>
              </w:rPr>
            </w:pPr>
            <w:r>
              <w:rPr>
                <w:rFonts w:ascii="Arial" w:cs="Arial" w:eastAsia="Arial" w:hAnsi="Arial"/>
                <w:sz w:val="17"/>
                <w:szCs w:val="17"/>
                <w:b w:val="1"/>
                <w:bCs w:val="1"/>
                <w:color w:val="FFFFFF"/>
              </w:rPr>
              <w:t>Broker non-votes</w:t>
            </w:r>
          </w:p>
        </w:tc>
      </w:tr>
      <w:tr>
        <w:trPr>
          <w:trHeight w:val="251"/>
        </w:trPr>
        <w:tc>
          <w:tcPr>
            <w:tcW w:w="1900" w:type="dxa"/>
            <w:vAlign w:val="bottom"/>
            <w:shd w:val="clear" w:color="auto" w:fill="E6E6E6"/>
          </w:tcPr>
          <w:p>
            <w:pPr>
              <w:ind w:left="40"/>
              <w:spacing w:after="0"/>
              <w:rPr>
                <w:sz w:val="20"/>
                <w:szCs w:val="20"/>
                <w:color w:val="auto"/>
              </w:rPr>
            </w:pPr>
            <w:r>
              <w:rPr>
                <w:rFonts w:ascii="Arial" w:cs="Arial" w:eastAsia="Arial" w:hAnsi="Arial"/>
                <w:sz w:val="17"/>
                <w:szCs w:val="17"/>
                <w:color w:val="auto"/>
              </w:rPr>
              <w:t>37,846,714</w:t>
            </w:r>
          </w:p>
        </w:tc>
        <w:tc>
          <w:tcPr>
            <w:tcW w:w="2780" w:type="dxa"/>
            <w:vAlign w:val="bottom"/>
            <w:shd w:val="clear" w:color="auto" w:fill="E6E6E6"/>
          </w:tcPr>
          <w:p>
            <w:pPr>
              <w:ind w:left="980"/>
              <w:spacing w:after="0"/>
              <w:rPr>
                <w:sz w:val="20"/>
                <w:szCs w:val="20"/>
                <w:color w:val="auto"/>
              </w:rPr>
            </w:pPr>
            <w:r>
              <w:rPr>
                <w:rFonts w:ascii="Arial" w:cs="Arial" w:eastAsia="Arial" w:hAnsi="Arial"/>
                <w:sz w:val="17"/>
                <w:szCs w:val="17"/>
                <w:color w:val="auto"/>
              </w:rPr>
              <w:t>1,671,677</w:t>
            </w:r>
          </w:p>
        </w:tc>
        <w:tc>
          <w:tcPr>
            <w:tcW w:w="2820" w:type="dxa"/>
            <w:vAlign w:val="bottom"/>
            <w:shd w:val="clear" w:color="auto" w:fill="E6E6E6"/>
          </w:tcPr>
          <w:p>
            <w:pPr>
              <w:ind w:left="1020"/>
              <w:spacing w:after="0"/>
              <w:rPr>
                <w:sz w:val="20"/>
                <w:szCs w:val="20"/>
                <w:color w:val="auto"/>
              </w:rPr>
            </w:pPr>
            <w:r>
              <w:rPr>
                <w:rFonts w:ascii="Arial" w:cs="Arial" w:eastAsia="Arial" w:hAnsi="Arial"/>
                <w:sz w:val="17"/>
                <w:szCs w:val="17"/>
                <w:color w:val="auto"/>
              </w:rPr>
              <w:t>288,731</w:t>
            </w:r>
          </w:p>
        </w:tc>
        <w:tc>
          <w:tcPr>
            <w:tcW w:w="3740" w:type="dxa"/>
            <w:vAlign w:val="bottom"/>
            <w:shd w:val="clear" w:color="auto" w:fill="E6E6E6"/>
          </w:tcPr>
          <w:p>
            <w:pPr>
              <w:ind w:left="1040"/>
              <w:spacing w:after="0"/>
              <w:rPr>
                <w:sz w:val="20"/>
                <w:szCs w:val="20"/>
                <w:color w:val="auto"/>
              </w:rPr>
            </w:pPr>
            <w:r>
              <w:rPr>
                <w:rFonts w:ascii="Arial" w:cs="Arial" w:eastAsia="Arial" w:hAnsi="Arial"/>
                <w:sz w:val="17"/>
                <w:szCs w:val="17"/>
                <w:color w:val="auto"/>
              </w:rPr>
              <w:t>2,683,646</w:t>
            </w:r>
          </w:p>
        </w:tc>
      </w:tr>
      <w:tr>
        <w:trPr>
          <w:trHeight w:val="22"/>
        </w:trPr>
        <w:tc>
          <w:tcPr>
            <w:tcW w:w="1900" w:type="dxa"/>
            <w:vAlign w:val="bottom"/>
            <w:shd w:val="clear" w:color="auto" w:fill="E6E6E6"/>
          </w:tcPr>
          <w:p>
            <w:pPr>
              <w:spacing w:after="0" w:line="20" w:lineRule="exact"/>
              <w:rPr>
                <w:sz w:val="1"/>
                <w:szCs w:val="1"/>
                <w:color w:val="auto"/>
              </w:rPr>
            </w:pPr>
          </w:p>
        </w:tc>
        <w:tc>
          <w:tcPr>
            <w:tcW w:w="2780" w:type="dxa"/>
            <w:vAlign w:val="bottom"/>
            <w:shd w:val="clear" w:color="auto" w:fill="E6E6E6"/>
          </w:tcPr>
          <w:p>
            <w:pPr>
              <w:spacing w:after="0" w:line="20" w:lineRule="exact"/>
              <w:rPr>
                <w:sz w:val="1"/>
                <w:szCs w:val="1"/>
                <w:color w:val="auto"/>
              </w:rPr>
            </w:pPr>
          </w:p>
        </w:tc>
        <w:tc>
          <w:tcPr>
            <w:tcW w:w="2820" w:type="dxa"/>
            <w:vAlign w:val="bottom"/>
            <w:shd w:val="clear" w:color="auto" w:fill="E6E6E6"/>
          </w:tcPr>
          <w:p>
            <w:pPr>
              <w:spacing w:after="0" w:line="20" w:lineRule="exact"/>
              <w:rPr>
                <w:sz w:val="1"/>
                <w:szCs w:val="1"/>
                <w:color w:val="auto"/>
              </w:rPr>
            </w:pPr>
          </w:p>
        </w:tc>
        <w:tc>
          <w:tcPr>
            <w:tcW w:w="3740" w:type="dxa"/>
            <w:vAlign w:val="bottom"/>
            <w:shd w:val="clear" w:color="auto" w:fill="E6E6E6"/>
          </w:tcPr>
          <w:p>
            <w:pPr>
              <w:spacing w:after="0" w:line="20" w:lineRule="exact"/>
              <w:rPr>
                <w:sz w:val="1"/>
                <w:szCs w:val="1"/>
                <w:color w:val="auto"/>
              </w:rPr>
            </w:pPr>
          </w:p>
        </w:tc>
      </w:tr>
    </w:tbl>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March 23, 2026 record date was 53 days before the May 15, 2026 annual meeting, exceeding the bylaw’s 50-day limit. Ratification addresses the resulting uncertainty concerning the plan’s adoption. It does not adopt a new plan, restart the plan, replenish or otherwise add to the share reserve or change the terms of outstanding awards.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Purpose and effect</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Historical Share Authorization</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2026 Plan empowers the Compensation Committee to provide incentive compensation in the form of stock options, stock appreciation rights, restricted stock and stock units, performance shares and units, other stock-based awards, and cash-based awards. Under the 2026 Plan, the initial reserve was a maximum of 3,400,000 shares, consisting of:</w:t>
      </w:r>
    </w:p>
    <w:p>
      <w:pPr>
        <w:spacing w:after="0" w:line="147" w:lineRule="exact"/>
        <w:rPr>
          <w:sz w:val="20"/>
          <w:szCs w:val="20"/>
          <w:color w:val="auto"/>
        </w:rPr>
      </w:pPr>
    </w:p>
    <w:p>
      <w:pPr>
        <w:ind w:left="320" w:hanging="160"/>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3,400,000 shares</w:t>
      </w:r>
    </w:p>
    <w:p>
      <w:pPr>
        <w:spacing w:after="0" w:line="233" w:lineRule="exact"/>
        <w:rPr>
          <w:rFonts w:ascii="Arial" w:cs="Arial" w:eastAsia="Arial" w:hAnsi="Arial"/>
          <w:sz w:val="17"/>
          <w:szCs w:val="17"/>
          <w:color w:val="auto"/>
        </w:rPr>
      </w:pPr>
    </w:p>
    <w:p>
      <w:pPr>
        <w:ind w:left="320" w:right="440" w:hanging="160"/>
        <w:spacing w:after="0" w:line="280" w:lineRule="auto"/>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less one share for each share subject to any award granted under the 2005 Plan between March 20, 2026, and prior to the May 15, 2026 annual meeting</w:t>
      </w:r>
    </w:p>
    <w:p>
      <w:pPr>
        <w:spacing w:after="0" w:line="12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no event could the number of shares subject to any equity award granted under the 2005 Plan after March 20, 2026, and prior to the May 15, 2026, annual meeting exceed 10,000 shares, and no equity awards were granted under the 2005 Plan during that period. As further described below, the share reserve will automatically increase by an additional number of shares which is equal to any shares subject to outstanding awards granted under 2005 Plan that are outstanding as of the annual meeting, and with respect to grants made under the 2026 Plan after the annual meeting date, that may subsequently be forfeited after the annual meeting due to expiration or failure to vest or which are instead settled in cash.</w:t>
      </w:r>
    </w:p>
    <w:p>
      <w:pPr>
        <w:spacing w:after="0" w:line="155"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Our Board recommends stockholders ratify the adoption of the 2026 Plan to promote our long-term growth and profitability by aligning the interests of our key employees with those of other stockholders and providing additional incentives to enhance stockholder value.</w:t>
      </w:r>
    </w:p>
    <w:p>
      <w:pPr>
        <w:spacing w:after="0" w:line="12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Our Board believes that Cohu’s success is due to its highly talented employee base and that future success depends on our ability to continue attracting and retaining high-caliber employees. Our ability to grant equity awards is a necessary and powerful recruiting and retention tool to maintain and create stockholder value. At the time of the May 15, 2026 annual meeting, apart from our broad-based 1997 Employee Stock Purchase Plan (see Proposal 4 in this proxy statement), the 2005 Plan was our only active current employee equity incentive plan. As a result, we believed that the current authorized number of shares under the 2005 Plan was completely inadequate to provide reasonable incentives to our employees going forward. We explained that non-approval of the 2026 Plan might compel us to increase the cash component of employee compensation because the Company would need to replace components of compensation previously delivered through equity awards.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11" w:name="page12"/>
    <w:bookmarkEnd w:id="11"/>
    <w:p>
      <w:pPr>
        <w:ind w:right="40"/>
        <w:spacing w:after="0" w:line="244" w:lineRule="auto"/>
        <w:rPr>
          <w:sz w:val="20"/>
          <w:szCs w:val="20"/>
          <w:color w:val="auto"/>
        </w:rPr>
      </w:pPr>
      <w:r>
        <w:rPr>
          <w:rFonts w:ascii="Arial" w:cs="Arial" w:eastAsia="Arial" w:hAnsi="Arial"/>
          <w:sz w:val="17"/>
          <w:szCs w:val="17"/>
          <w:color w:val="auto"/>
        </w:rPr>
        <w:t xml:space="preserve">In connection with our share-based compensation programs, we are committed to using equity incentive awards prudently and within reasonable limits. We closely monitor our share award annual “burn rate.” Our annual burn rate is determined by dividing a) two-times the number of our common shares subject to “full-value” time-based awards we grant during a fiscal year (currently all in the form of RSUs) and the performance share units (“ </w:t>
      </w:r>
      <w:r>
        <w:rPr>
          <w:rFonts w:ascii="Arial" w:cs="Arial" w:eastAsia="Arial" w:hAnsi="Arial"/>
          <w:sz w:val="17"/>
          <w:szCs w:val="17"/>
          <w:b w:val="1"/>
          <w:bCs w:val="1"/>
          <w:i w:val="1"/>
          <w:iCs w:val="1"/>
          <w:color w:val="auto"/>
        </w:rPr>
        <w:t>PSUs</w:t>
      </w:r>
      <w:r>
        <w:rPr>
          <w:rFonts w:ascii="Arial" w:cs="Arial" w:eastAsia="Arial" w:hAnsi="Arial"/>
          <w:sz w:val="17"/>
          <w:szCs w:val="17"/>
          <w:color w:val="auto"/>
        </w:rPr>
        <w:t xml:space="preserve"> ”) that are earned and become vested based on the achievement of the applicable performance goals during the fiscal year by</w:t>
      </w:r>
    </w:p>
    <w:p>
      <w:pPr>
        <w:spacing w:after="0" w:line="1" w:lineRule="exact"/>
        <w:rPr>
          <w:sz w:val="20"/>
          <w:szCs w:val="20"/>
          <w:color w:val="auto"/>
        </w:rPr>
      </w:pPr>
    </w:p>
    <w:p>
      <w:pPr>
        <w:ind w:right="140" w:firstLine="4"/>
        <w:spacing w:after="0" w:line="260" w:lineRule="auto"/>
        <w:tabs>
          <w:tab w:leader="none" w:pos="20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weighted average number of our shares of common stock outstanding during that fiscal year. We do not include deferred stock unit awards issued in lieu of cash compensation of equal value in determining the burn rate illustrated in the following table.</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280" w:type="dxa"/>
            <w:vAlign w:val="bottom"/>
            <w:tcBorders>
              <w:top w:val="single" w:sz="8" w:color="auto"/>
              <w:left w:val="single" w:sz="8" w:color="auto"/>
              <w:right w:val="single" w:sz="8" w:color="auto"/>
            </w:tcBorders>
            <w:shd w:val="clear" w:color="auto" w:fill="2D53A6"/>
          </w:tcPr>
          <w:p>
            <w:pPr>
              <w:ind w:left="20"/>
              <w:spacing w:after="0" w:line="193" w:lineRule="exact"/>
              <w:rPr>
                <w:sz w:val="20"/>
                <w:szCs w:val="20"/>
                <w:color w:val="auto"/>
              </w:rPr>
            </w:pPr>
            <w:r>
              <w:rPr>
                <w:rFonts w:ascii="Arial" w:cs="Arial" w:eastAsia="Arial" w:hAnsi="Arial"/>
                <w:sz w:val="17"/>
                <w:szCs w:val="17"/>
                <w:b w:val="1"/>
                <w:bCs w:val="1"/>
                <w:color w:val="FFFFFF"/>
              </w:rPr>
              <w:t>Fiscal Year</w:t>
            </w:r>
          </w:p>
        </w:tc>
        <w:tc>
          <w:tcPr>
            <w:tcW w:w="920" w:type="dxa"/>
            <w:vAlign w:val="bottom"/>
            <w:tcBorders>
              <w:top w:val="single" w:sz="8" w:color="auto"/>
            </w:tcBorders>
            <w:shd w:val="clear" w:color="auto" w:fill="2D53A6"/>
          </w:tcPr>
          <w:p>
            <w:pPr>
              <w:ind w:left="100"/>
              <w:spacing w:after="0" w:line="193" w:lineRule="exact"/>
              <w:rPr>
                <w:sz w:val="20"/>
                <w:szCs w:val="20"/>
                <w:color w:val="auto"/>
              </w:rPr>
            </w:pPr>
            <w:r>
              <w:rPr>
                <w:rFonts w:ascii="Arial" w:cs="Arial" w:eastAsia="Arial" w:hAnsi="Arial"/>
                <w:sz w:val="17"/>
                <w:szCs w:val="17"/>
                <w:b w:val="1"/>
                <w:bCs w:val="1"/>
                <w:color w:val="FFFFFF"/>
              </w:rPr>
              <w:t>Options</w:t>
            </w:r>
          </w:p>
        </w:tc>
        <w:tc>
          <w:tcPr>
            <w:tcW w:w="320" w:type="dxa"/>
            <w:vAlign w:val="bottom"/>
            <w:tcBorders>
              <w:top w:val="single" w:sz="8" w:color="auto"/>
              <w:right w:val="single" w:sz="8" w:color="auto"/>
            </w:tcBorders>
            <w:shd w:val="clear" w:color="auto" w:fill="2D53A6"/>
          </w:tcPr>
          <w:p>
            <w:pPr>
              <w:spacing w:after="0"/>
              <w:rPr>
                <w:sz w:val="16"/>
                <w:szCs w:val="16"/>
                <w:color w:val="auto"/>
              </w:rPr>
            </w:pPr>
          </w:p>
        </w:tc>
        <w:tc>
          <w:tcPr>
            <w:tcW w:w="1580" w:type="dxa"/>
            <w:vAlign w:val="bottom"/>
            <w:tcBorders>
              <w:top w:val="single" w:sz="8" w:color="auto"/>
              <w:right w:val="single" w:sz="8" w:color="auto"/>
            </w:tcBorders>
            <w:shd w:val="clear" w:color="auto" w:fill="2D53A6"/>
          </w:tcPr>
          <w:p>
            <w:pPr>
              <w:jc w:val="right"/>
              <w:ind w:right="213"/>
              <w:spacing w:after="0" w:line="193" w:lineRule="exact"/>
              <w:rPr>
                <w:sz w:val="20"/>
                <w:szCs w:val="20"/>
                <w:color w:val="auto"/>
              </w:rPr>
            </w:pPr>
            <w:r>
              <w:rPr>
                <w:rFonts w:ascii="Arial" w:cs="Arial" w:eastAsia="Arial" w:hAnsi="Arial"/>
                <w:sz w:val="17"/>
                <w:szCs w:val="17"/>
                <w:b w:val="1"/>
                <w:bCs w:val="1"/>
                <w:color w:val="FFFFFF"/>
              </w:rPr>
              <w:t>RSUs Granted</w:t>
            </w:r>
          </w:p>
        </w:tc>
        <w:tc>
          <w:tcPr>
            <w:tcW w:w="1260" w:type="dxa"/>
            <w:vAlign w:val="bottom"/>
            <w:tcBorders>
              <w:top w:val="single" w:sz="8" w:color="auto"/>
              <w:right w:val="single" w:sz="8" w:color="auto"/>
            </w:tcBorders>
            <w:shd w:val="clear" w:color="auto" w:fill="2D53A6"/>
          </w:tcPr>
          <w:p>
            <w:pPr>
              <w:ind w:left="120"/>
              <w:spacing w:after="0" w:line="193" w:lineRule="exact"/>
              <w:rPr>
                <w:sz w:val="20"/>
                <w:szCs w:val="20"/>
                <w:color w:val="auto"/>
              </w:rPr>
            </w:pPr>
            <w:r>
              <w:rPr>
                <w:rFonts w:ascii="Arial" w:cs="Arial" w:eastAsia="Arial" w:hAnsi="Arial"/>
                <w:sz w:val="17"/>
                <w:szCs w:val="17"/>
                <w:b w:val="1"/>
                <w:bCs w:val="1"/>
                <w:color w:val="FFFFFF"/>
              </w:rPr>
              <w:t>PSUs</w:t>
            </w:r>
          </w:p>
        </w:tc>
        <w:tc>
          <w:tcPr>
            <w:tcW w:w="1780" w:type="dxa"/>
            <w:vAlign w:val="bottom"/>
            <w:tcBorders>
              <w:top w:val="single" w:sz="8" w:color="auto"/>
              <w:right w:val="single" w:sz="8" w:color="auto"/>
            </w:tcBorders>
            <w:shd w:val="clear" w:color="auto" w:fill="2D53A6"/>
          </w:tcPr>
          <w:p>
            <w:pPr>
              <w:ind w:left="100"/>
              <w:spacing w:after="0" w:line="193" w:lineRule="exact"/>
              <w:rPr>
                <w:sz w:val="20"/>
                <w:szCs w:val="20"/>
                <w:color w:val="auto"/>
              </w:rPr>
            </w:pPr>
            <w:r>
              <w:rPr>
                <w:rFonts w:ascii="Arial" w:cs="Arial" w:eastAsia="Arial" w:hAnsi="Arial"/>
                <w:sz w:val="17"/>
                <w:szCs w:val="17"/>
                <w:b w:val="1"/>
                <w:bCs w:val="1"/>
                <w:color w:val="FFFFFF"/>
              </w:rPr>
              <w:t>Total RSUs</w:t>
            </w:r>
          </w:p>
        </w:tc>
        <w:tc>
          <w:tcPr>
            <w:tcW w:w="1780" w:type="dxa"/>
            <w:vAlign w:val="bottom"/>
            <w:tcBorders>
              <w:top w:val="single" w:sz="8" w:color="auto"/>
              <w:right w:val="single" w:sz="8" w:color="auto"/>
            </w:tcBorders>
            <w:shd w:val="clear" w:color="auto" w:fill="2D53A6"/>
          </w:tcPr>
          <w:p>
            <w:pPr>
              <w:ind w:left="100"/>
              <w:spacing w:after="0" w:line="193" w:lineRule="exact"/>
              <w:rPr>
                <w:sz w:val="20"/>
                <w:szCs w:val="20"/>
                <w:color w:val="auto"/>
              </w:rPr>
            </w:pPr>
            <w:r>
              <w:rPr>
                <w:rFonts w:ascii="Arial" w:cs="Arial" w:eastAsia="Arial" w:hAnsi="Arial"/>
                <w:sz w:val="17"/>
                <w:szCs w:val="17"/>
                <w:b w:val="1"/>
                <w:bCs w:val="1"/>
                <w:color w:val="FFFFFF"/>
              </w:rPr>
              <w:t>Weighted Average</w:t>
            </w:r>
          </w:p>
        </w:tc>
        <w:tc>
          <w:tcPr>
            <w:tcW w:w="1340" w:type="dxa"/>
            <w:vAlign w:val="bottom"/>
            <w:tcBorders>
              <w:top w:val="single" w:sz="8" w:color="auto"/>
              <w:right w:val="single" w:sz="8" w:color="auto"/>
            </w:tcBorders>
            <w:shd w:val="clear" w:color="auto" w:fill="2D53A6"/>
          </w:tcPr>
          <w:p>
            <w:pPr>
              <w:jc w:val="right"/>
              <w:ind w:right="313"/>
              <w:spacing w:after="0" w:line="193" w:lineRule="exact"/>
              <w:rPr>
                <w:sz w:val="20"/>
                <w:szCs w:val="20"/>
                <w:color w:val="auto"/>
              </w:rPr>
            </w:pPr>
            <w:r>
              <w:rPr>
                <w:rFonts w:ascii="Arial" w:cs="Arial" w:eastAsia="Arial" w:hAnsi="Arial"/>
                <w:sz w:val="17"/>
                <w:szCs w:val="17"/>
                <w:b w:val="1"/>
                <w:bCs w:val="1"/>
                <w:color w:val="FFFFFF"/>
              </w:rPr>
              <w:t>Burn Rate</w:t>
            </w:r>
          </w:p>
        </w:tc>
      </w:tr>
      <w:tr>
        <w:trPr>
          <w:trHeight w:val="195"/>
        </w:trPr>
        <w:tc>
          <w:tcPr>
            <w:tcW w:w="2280" w:type="dxa"/>
            <w:vAlign w:val="bottom"/>
            <w:tcBorders>
              <w:left w:val="single" w:sz="8" w:color="auto"/>
              <w:right w:val="single" w:sz="8" w:color="auto"/>
            </w:tcBorders>
            <w:shd w:val="clear" w:color="auto" w:fill="2D53A6"/>
          </w:tcPr>
          <w:p>
            <w:pPr>
              <w:spacing w:after="0"/>
              <w:rPr>
                <w:sz w:val="16"/>
                <w:szCs w:val="16"/>
                <w:color w:val="auto"/>
              </w:rPr>
            </w:pPr>
          </w:p>
        </w:tc>
        <w:tc>
          <w:tcPr>
            <w:tcW w:w="920" w:type="dxa"/>
            <w:vAlign w:val="bottom"/>
            <w:shd w:val="clear" w:color="auto" w:fill="2D53A6"/>
          </w:tcPr>
          <w:p>
            <w:pPr>
              <w:ind w:left="100"/>
              <w:spacing w:after="0"/>
              <w:rPr>
                <w:sz w:val="20"/>
                <w:szCs w:val="20"/>
                <w:color w:val="auto"/>
              </w:rPr>
            </w:pPr>
            <w:r>
              <w:rPr>
                <w:rFonts w:ascii="Arial" w:cs="Arial" w:eastAsia="Arial" w:hAnsi="Arial"/>
                <w:sz w:val="17"/>
                <w:szCs w:val="17"/>
                <w:b w:val="1"/>
                <w:bCs w:val="1"/>
                <w:color w:val="FFFFFF"/>
              </w:rPr>
              <w:t>Granted</w:t>
            </w:r>
          </w:p>
        </w:tc>
        <w:tc>
          <w:tcPr>
            <w:tcW w:w="320" w:type="dxa"/>
            <w:vAlign w:val="bottom"/>
            <w:tcBorders>
              <w:right w:val="single" w:sz="8" w:color="auto"/>
            </w:tcBorders>
            <w:shd w:val="clear" w:color="auto" w:fill="2D53A6"/>
          </w:tcPr>
          <w:p>
            <w:pPr>
              <w:spacing w:after="0"/>
              <w:rPr>
                <w:sz w:val="16"/>
                <w:szCs w:val="16"/>
                <w:color w:val="auto"/>
              </w:rPr>
            </w:pPr>
          </w:p>
        </w:tc>
        <w:tc>
          <w:tcPr>
            <w:tcW w:w="1580" w:type="dxa"/>
            <w:vAlign w:val="bottom"/>
            <w:tcBorders>
              <w:right w:val="single" w:sz="8" w:color="auto"/>
            </w:tcBorders>
            <w:shd w:val="clear" w:color="auto" w:fill="2D53A6"/>
          </w:tcPr>
          <w:p>
            <w:pPr>
              <w:spacing w:after="0"/>
              <w:rPr>
                <w:sz w:val="16"/>
                <w:szCs w:val="16"/>
                <w:color w:val="auto"/>
              </w:rPr>
            </w:pPr>
          </w:p>
        </w:tc>
        <w:tc>
          <w:tcPr>
            <w:tcW w:w="1260" w:type="dxa"/>
            <w:vAlign w:val="bottom"/>
            <w:tcBorders>
              <w:right w:val="single" w:sz="8" w:color="auto"/>
            </w:tcBorders>
            <w:shd w:val="clear" w:color="auto" w:fill="2D53A6"/>
          </w:tcPr>
          <w:p>
            <w:pPr>
              <w:ind w:left="120"/>
              <w:spacing w:after="0"/>
              <w:rPr>
                <w:sz w:val="20"/>
                <w:szCs w:val="20"/>
                <w:color w:val="auto"/>
              </w:rPr>
            </w:pPr>
            <w:r>
              <w:rPr>
                <w:rFonts w:ascii="Arial" w:cs="Arial" w:eastAsia="Arial" w:hAnsi="Arial"/>
                <w:sz w:val="17"/>
                <w:szCs w:val="17"/>
                <w:b w:val="1"/>
                <w:bCs w:val="1"/>
                <w:color w:val="FFFFFF"/>
              </w:rPr>
              <w:t xml:space="preserve">Vested </w:t>
            </w:r>
            <w:r>
              <w:rPr>
                <w:rFonts w:ascii="Arial" w:cs="Arial" w:eastAsia="Arial" w:hAnsi="Arial"/>
                <w:sz w:val="14"/>
                <w:szCs w:val="14"/>
                <w:b w:val="1"/>
                <w:bCs w:val="1"/>
                <w:color w:val="FFFFFF"/>
              </w:rPr>
              <w:t>(1)</w:t>
            </w:r>
          </w:p>
        </w:tc>
        <w:tc>
          <w:tcPr>
            <w:tcW w:w="1780" w:type="dxa"/>
            <w:vAlign w:val="bottom"/>
            <w:tcBorders>
              <w:right w:val="single" w:sz="8" w:color="auto"/>
            </w:tcBorders>
            <w:shd w:val="clear" w:color="auto" w:fill="2D53A6"/>
          </w:tcPr>
          <w:p>
            <w:pPr>
              <w:ind w:left="100"/>
              <w:spacing w:after="0"/>
              <w:rPr>
                <w:sz w:val="20"/>
                <w:szCs w:val="20"/>
                <w:color w:val="auto"/>
              </w:rPr>
            </w:pPr>
            <w:r>
              <w:rPr>
                <w:rFonts w:ascii="Arial" w:cs="Arial" w:eastAsia="Arial" w:hAnsi="Arial"/>
                <w:sz w:val="17"/>
                <w:szCs w:val="17"/>
                <w:b w:val="1"/>
                <w:bCs w:val="1"/>
                <w:color w:val="FFFFFF"/>
              </w:rPr>
              <w:t>Granted and PSUs</w:t>
            </w:r>
          </w:p>
        </w:tc>
        <w:tc>
          <w:tcPr>
            <w:tcW w:w="1780" w:type="dxa"/>
            <w:vAlign w:val="bottom"/>
            <w:tcBorders>
              <w:right w:val="single" w:sz="8" w:color="auto"/>
            </w:tcBorders>
            <w:shd w:val="clear" w:color="auto" w:fill="2D53A6"/>
          </w:tcPr>
          <w:p>
            <w:pPr>
              <w:ind w:left="100"/>
              <w:spacing w:after="0"/>
              <w:rPr>
                <w:sz w:val="20"/>
                <w:szCs w:val="20"/>
                <w:color w:val="auto"/>
              </w:rPr>
            </w:pPr>
            <w:r>
              <w:rPr>
                <w:rFonts w:ascii="Arial" w:cs="Arial" w:eastAsia="Arial" w:hAnsi="Arial"/>
                <w:sz w:val="17"/>
                <w:szCs w:val="17"/>
                <w:b w:val="1"/>
                <w:bCs w:val="1"/>
                <w:color w:val="FFFFFF"/>
              </w:rPr>
              <w:t>Common Share</w:t>
            </w:r>
          </w:p>
        </w:tc>
        <w:tc>
          <w:tcPr>
            <w:tcW w:w="1340" w:type="dxa"/>
            <w:vAlign w:val="bottom"/>
            <w:tcBorders>
              <w:right w:val="single" w:sz="8" w:color="auto"/>
            </w:tcBorders>
            <w:shd w:val="clear" w:color="auto" w:fill="2D53A6"/>
          </w:tcPr>
          <w:p>
            <w:pPr>
              <w:spacing w:after="0"/>
              <w:rPr>
                <w:sz w:val="16"/>
                <w:szCs w:val="16"/>
                <w:color w:val="auto"/>
              </w:rPr>
            </w:pPr>
          </w:p>
        </w:tc>
      </w:tr>
      <w:tr>
        <w:trPr>
          <w:trHeight w:val="235"/>
        </w:trPr>
        <w:tc>
          <w:tcPr>
            <w:tcW w:w="2280" w:type="dxa"/>
            <w:vAlign w:val="bottom"/>
            <w:tcBorders>
              <w:left w:val="single" w:sz="8" w:color="auto"/>
              <w:bottom w:val="single" w:sz="8" w:color="auto"/>
              <w:right w:val="single" w:sz="8" w:color="auto"/>
            </w:tcBorders>
            <w:shd w:val="clear" w:color="auto" w:fill="2D53A6"/>
          </w:tcPr>
          <w:p>
            <w:pPr>
              <w:spacing w:after="0"/>
              <w:rPr>
                <w:sz w:val="20"/>
                <w:szCs w:val="20"/>
                <w:color w:val="auto"/>
              </w:rPr>
            </w:pPr>
          </w:p>
        </w:tc>
        <w:tc>
          <w:tcPr>
            <w:tcW w:w="920" w:type="dxa"/>
            <w:vAlign w:val="bottom"/>
            <w:tcBorders>
              <w:bottom w:val="single" w:sz="8" w:color="auto"/>
            </w:tcBorders>
            <w:shd w:val="clear" w:color="auto" w:fill="2D53A6"/>
          </w:tcPr>
          <w:p>
            <w:pPr>
              <w:spacing w:after="0"/>
              <w:rPr>
                <w:sz w:val="20"/>
                <w:szCs w:val="20"/>
                <w:color w:val="auto"/>
              </w:rPr>
            </w:pPr>
          </w:p>
        </w:tc>
        <w:tc>
          <w:tcPr>
            <w:tcW w:w="320" w:type="dxa"/>
            <w:vAlign w:val="bottom"/>
            <w:tcBorders>
              <w:bottom w:val="single" w:sz="8" w:color="auto"/>
              <w:right w:val="single" w:sz="8" w:color="auto"/>
            </w:tcBorders>
            <w:shd w:val="clear" w:color="auto" w:fill="2D53A6"/>
          </w:tcPr>
          <w:p>
            <w:pPr>
              <w:spacing w:after="0"/>
              <w:rPr>
                <w:sz w:val="20"/>
                <w:szCs w:val="20"/>
                <w:color w:val="auto"/>
              </w:rPr>
            </w:pPr>
          </w:p>
        </w:tc>
        <w:tc>
          <w:tcPr>
            <w:tcW w:w="1580" w:type="dxa"/>
            <w:vAlign w:val="bottom"/>
            <w:tcBorders>
              <w:bottom w:val="single" w:sz="8" w:color="auto"/>
              <w:right w:val="single" w:sz="8" w:color="auto"/>
            </w:tcBorders>
            <w:shd w:val="clear" w:color="auto" w:fill="2D53A6"/>
          </w:tcPr>
          <w:p>
            <w:pPr>
              <w:spacing w:after="0"/>
              <w:rPr>
                <w:sz w:val="20"/>
                <w:szCs w:val="20"/>
                <w:color w:val="auto"/>
              </w:rPr>
            </w:pPr>
          </w:p>
        </w:tc>
        <w:tc>
          <w:tcPr>
            <w:tcW w:w="1260" w:type="dxa"/>
            <w:vAlign w:val="bottom"/>
            <w:tcBorders>
              <w:bottom w:val="single" w:sz="8" w:color="auto"/>
              <w:right w:val="single" w:sz="8" w:color="auto"/>
            </w:tcBorders>
            <w:shd w:val="clear" w:color="auto" w:fill="2D53A6"/>
          </w:tcPr>
          <w:p>
            <w:pPr>
              <w:spacing w:after="0"/>
              <w:rPr>
                <w:sz w:val="20"/>
                <w:szCs w:val="20"/>
                <w:color w:val="auto"/>
              </w:rPr>
            </w:pPr>
          </w:p>
        </w:tc>
        <w:tc>
          <w:tcPr>
            <w:tcW w:w="1780" w:type="dxa"/>
            <w:vAlign w:val="bottom"/>
            <w:tcBorders>
              <w:bottom w:val="single" w:sz="8" w:color="auto"/>
              <w:right w:val="single" w:sz="8" w:color="auto"/>
            </w:tcBorders>
            <w:shd w:val="clear" w:color="auto" w:fill="2D53A6"/>
          </w:tcPr>
          <w:p>
            <w:pPr>
              <w:ind w:left="100"/>
              <w:spacing w:after="0"/>
              <w:rPr>
                <w:sz w:val="20"/>
                <w:szCs w:val="20"/>
                <w:color w:val="auto"/>
              </w:rPr>
            </w:pPr>
            <w:r>
              <w:rPr>
                <w:rFonts w:ascii="Arial" w:cs="Arial" w:eastAsia="Arial" w:hAnsi="Arial"/>
                <w:sz w:val="17"/>
                <w:szCs w:val="17"/>
                <w:b w:val="1"/>
                <w:bCs w:val="1"/>
                <w:color w:val="FFFFFF"/>
              </w:rPr>
              <w:t>Vested</w:t>
            </w:r>
          </w:p>
        </w:tc>
        <w:tc>
          <w:tcPr>
            <w:tcW w:w="1780" w:type="dxa"/>
            <w:vAlign w:val="bottom"/>
            <w:tcBorders>
              <w:bottom w:val="single" w:sz="8" w:color="auto"/>
              <w:right w:val="single" w:sz="8" w:color="auto"/>
            </w:tcBorders>
            <w:shd w:val="clear" w:color="auto" w:fill="2D53A6"/>
          </w:tcPr>
          <w:p>
            <w:pPr>
              <w:ind w:left="100"/>
              <w:spacing w:after="0"/>
              <w:rPr>
                <w:sz w:val="20"/>
                <w:szCs w:val="20"/>
                <w:color w:val="auto"/>
              </w:rPr>
            </w:pPr>
            <w:r>
              <w:rPr>
                <w:rFonts w:ascii="Arial" w:cs="Arial" w:eastAsia="Arial" w:hAnsi="Arial"/>
                <w:sz w:val="17"/>
                <w:szCs w:val="17"/>
                <w:b w:val="1"/>
                <w:bCs w:val="1"/>
                <w:color w:val="FFFFFF"/>
              </w:rPr>
              <w:t>Outstanding</w:t>
            </w:r>
          </w:p>
        </w:tc>
        <w:tc>
          <w:tcPr>
            <w:tcW w:w="1340" w:type="dxa"/>
            <w:vAlign w:val="bottom"/>
            <w:tcBorders>
              <w:bottom w:val="single" w:sz="8" w:color="auto"/>
              <w:right w:val="single" w:sz="8" w:color="auto"/>
            </w:tcBorders>
            <w:shd w:val="clear" w:color="auto" w:fill="2D53A6"/>
          </w:tcPr>
          <w:p>
            <w:pPr>
              <w:spacing w:after="0"/>
              <w:rPr>
                <w:sz w:val="20"/>
                <w:szCs w:val="20"/>
                <w:color w:val="auto"/>
              </w:rPr>
            </w:pPr>
          </w:p>
        </w:tc>
      </w:tr>
      <w:tr>
        <w:trPr>
          <w:trHeight w:val="171"/>
        </w:trPr>
        <w:tc>
          <w:tcPr>
            <w:tcW w:w="2280" w:type="dxa"/>
            <w:vAlign w:val="bottom"/>
            <w:tcBorders>
              <w:top w:val="single" w:sz="8" w:color="auto"/>
              <w:left w:val="single" w:sz="8" w:color="E6E6E6"/>
              <w:bottom w:val="single" w:sz="8" w:color="auto"/>
              <w:right w:val="single" w:sz="8" w:color="auto"/>
            </w:tcBorders>
            <w:shd w:val="clear" w:color="auto" w:fill="E6E6E6"/>
          </w:tcPr>
          <w:p>
            <w:pPr>
              <w:ind w:left="20"/>
              <w:spacing w:after="0" w:line="172" w:lineRule="exact"/>
              <w:rPr>
                <w:sz w:val="20"/>
                <w:szCs w:val="20"/>
                <w:color w:val="auto"/>
              </w:rPr>
            </w:pPr>
            <w:r>
              <w:rPr>
                <w:rFonts w:ascii="Arial" w:cs="Arial" w:eastAsia="Arial" w:hAnsi="Arial"/>
                <w:sz w:val="17"/>
                <w:szCs w:val="17"/>
                <w:color w:val="auto"/>
              </w:rPr>
              <w:t>2025</w:t>
            </w:r>
          </w:p>
        </w:tc>
        <w:tc>
          <w:tcPr>
            <w:tcW w:w="920" w:type="dxa"/>
            <w:vAlign w:val="bottom"/>
            <w:tcBorders>
              <w:top w:val="single" w:sz="8" w:color="E6E6E6"/>
              <w:bottom w:val="single" w:sz="8" w:color="auto"/>
            </w:tcBorders>
            <w:shd w:val="clear" w:color="auto" w:fill="E6E6E6"/>
          </w:tcPr>
          <w:p>
            <w:pPr>
              <w:spacing w:after="0"/>
              <w:rPr>
                <w:sz w:val="14"/>
                <w:szCs w:val="14"/>
                <w:color w:val="auto"/>
              </w:rPr>
            </w:pPr>
          </w:p>
        </w:tc>
        <w:tc>
          <w:tcPr>
            <w:tcW w:w="320" w:type="dxa"/>
            <w:vAlign w:val="bottom"/>
            <w:tcBorders>
              <w:top w:val="single" w:sz="8" w:color="E6E6E6"/>
              <w:bottom w:val="single" w:sz="8" w:color="auto"/>
              <w:right w:val="single" w:sz="8" w:color="auto"/>
            </w:tcBorders>
            <w:shd w:val="clear" w:color="auto" w:fill="E6E6E6"/>
          </w:tcPr>
          <w:p>
            <w:pPr>
              <w:jc w:val="right"/>
              <w:ind w:right="33"/>
              <w:spacing w:after="0" w:line="172" w:lineRule="exact"/>
              <w:rPr>
                <w:sz w:val="20"/>
                <w:szCs w:val="20"/>
                <w:color w:val="auto"/>
              </w:rPr>
            </w:pPr>
            <w:r>
              <w:rPr>
                <w:rFonts w:ascii="Arial" w:cs="Arial" w:eastAsia="Arial" w:hAnsi="Arial"/>
                <w:sz w:val="17"/>
                <w:szCs w:val="17"/>
                <w:color w:val="auto"/>
              </w:rPr>
              <w:t>-</w:t>
            </w:r>
          </w:p>
        </w:tc>
        <w:tc>
          <w:tcPr>
            <w:tcW w:w="1580" w:type="dxa"/>
            <w:vAlign w:val="bottom"/>
            <w:tcBorders>
              <w:top w:val="single" w:sz="8" w:color="E6E6E6"/>
              <w:bottom w:val="single" w:sz="8" w:color="auto"/>
              <w:right w:val="single" w:sz="8" w:color="auto"/>
            </w:tcBorders>
            <w:shd w:val="clear" w:color="auto" w:fill="E6E6E6"/>
          </w:tcPr>
          <w:p>
            <w:pPr>
              <w:jc w:val="right"/>
              <w:ind w:right="33"/>
              <w:spacing w:after="0" w:line="172" w:lineRule="exact"/>
              <w:rPr>
                <w:sz w:val="20"/>
                <w:szCs w:val="20"/>
                <w:color w:val="auto"/>
              </w:rPr>
            </w:pPr>
            <w:r>
              <w:rPr>
                <w:rFonts w:ascii="Arial" w:cs="Arial" w:eastAsia="Arial" w:hAnsi="Arial"/>
                <w:sz w:val="17"/>
                <w:szCs w:val="17"/>
                <w:color w:val="auto"/>
              </w:rPr>
              <w:t>902,256</w:t>
            </w:r>
          </w:p>
        </w:tc>
        <w:tc>
          <w:tcPr>
            <w:tcW w:w="1260" w:type="dxa"/>
            <w:vAlign w:val="bottom"/>
            <w:tcBorders>
              <w:top w:val="single" w:sz="8" w:color="E6E6E6"/>
              <w:bottom w:val="single" w:sz="8" w:color="auto"/>
              <w:right w:val="single" w:sz="8" w:color="auto"/>
            </w:tcBorders>
            <w:shd w:val="clear" w:color="auto" w:fill="E6E6E6"/>
          </w:tcPr>
          <w:p>
            <w:pPr>
              <w:jc w:val="right"/>
              <w:ind w:right="53"/>
              <w:spacing w:after="0" w:line="172" w:lineRule="exact"/>
              <w:rPr>
                <w:sz w:val="20"/>
                <w:szCs w:val="20"/>
                <w:color w:val="auto"/>
              </w:rPr>
            </w:pPr>
            <w:r>
              <w:rPr>
                <w:rFonts w:ascii="Arial" w:cs="Arial" w:eastAsia="Arial" w:hAnsi="Arial"/>
                <w:sz w:val="17"/>
                <w:szCs w:val="17"/>
                <w:color w:val="auto"/>
              </w:rPr>
              <w:t>70,004</w:t>
            </w:r>
          </w:p>
        </w:tc>
        <w:tc>
          <w:tcPr>
            <w:tcW w:w="1780" w:type="dxa"/>
            <w:vAlign w:val="bottom"/>
            <w:tcBorders>
              <w:top w:val="single" w:sz="8" w:color="E6E6E6"/>
              <w:bottom w:val="single" w:sz="8" w:color="auto"/>
              <w:right w:val="single" w:sz="8" w:color="auto"/>
            </w:tcBorders>
            <w:shd w:val="clear" w:color="auto" w:fill="E6E6E6"/>
          </w:tcPr>
          <w:p>
            <w:pPr>
              <w:jc w:val="right"/>
              <w:ind w:right="13"/>
              <w:spacing w:after="0" w:line="172" w:lineRule="exact"/>
              <w:rPr>
                <w:sz w:val="20"/>
                <w:szCs w:val="20"/>
                <w:color w:val="auto"/>
              </w:rPr>
            </w:pPr>
            <w:r>
              <w:rPr>
                <w:rFonts w:ascii="Arial" w:cs="Arial" w:eastAsia="Arial" w:hAnsi="Arial"/>
                <w:sz w:val="17"/>
                <w:szCs w:val="17"/>
                <w:color w:val="auto"/>
              </w:rPr>
              <w:t>972,260</w:t>
            </w:r>
          </w:p>
        </w:tc>
        <w:tc>
          <w:tcPr>
            <w:tcW w:w="1780" w:type="dxa"/>
            <w:vAlign w:val="bottom"/>
            <w:tcBorders>
              <w:top w:val="single" w:sz="8" w:color="E6E6E6"/>
              <w:bottom w:val="single" w:sz="8" w:color="auto"/>
              <w:right w:val="single" w:sz="8" w:color="auto"/>
            </w:tcBorders>
            <w:shd w:val="clear" w:color="auto" w:fill="E6E6E6"/>
          </w:tcPr>
          <w:p>
            <w:pPr>
              <w:jc w:val="right"/>
              <w:ind w:right="13"/>
              <w:spacing w:after="0" w:line="172" w:lineRule="exact"/>
              <w:rPr>
                <w:sz w:val="20"/>
                <w:szCs w:val="20"/>
                <w:color w:val="auto"/>
              </w:rPr>
            </w:pPr>
            <w:r>
              <w:rPr>
                <w:rFonts w:ascii="Arial" w:cs="Arial" w:eastAsia="Arial" w:hAnsi="Arial"/>
                <w:sz w:val="17"/>
                <w:szCs w:val="17"/>
                <w:color w:val="auto"/>
              </w:rPr>
              <w:t>46,723,047</w:t>
            </w:r>
          </w:p>
        </w:tc>
        <w:tc>
          <w:tcPr>
            <w:tcW w:w="1340" w:type="dxa"/>
            <w:vAlign w:val="bottom"/>
            <w:tcBorders>
              <w:top w:val="single" w:sz="8" w:color="E6E6E6"/>
              <w:bottom w:val="single" w:sz="8" w:color="auto"/>
              <w:right w:val="single" w:sz="8" w:color="auto"/>
            </w:tcBorders>
            <w:shd w:val="clear" w:color="auto" w:fill="E6E6E6"/>
          </w:tcPr>
          <w:p>
            <w:pPr>
              <w:jc w:val="right"/>
              <w:spacing w:after="0" w:line="172" w:lineRule="exact"/>
              <w:rPr>
                <w:sz w:val="20"/>
                <w:szCs w:val="20"/>
                <w:color w:val="auto"/>
              </w:rPr>
            </w:pPr>
            <w:r>
              <w:rPr>
                <w:rFonts w:ascii="Arial" w:cs="Arial" w:eastAsia="Arial" w:hAnsi="Arial"/>
                <w:sz w:val="17"/>
                <w:szCs w:val="17"/>
                <w:color w:val="auto"/>
              </w:rPr>
              <w:t>4.16%</w:t>
            </w:r>
          </w:p>
        </w:tc>
      </w:tr>
      <w:tr>
        <w:trPr>
          <w:trHeight w:val="188"/>
        </w:trPr>
        <w:tc>
          <w:tcPr>
            <w:tcW w:w="2280" w:type="dxa"/>
            <w:vAlign w:val="bottom"/>
            <w:tcBorders>
              <w:bottom w:val="single" w:sz="8" w:color="auto"/>
              <w:right w:val="single" w:sz="8" w:color="auto"/>
            </w:tcBorders>
          </w:tcPr>
          <w:p>
            <w:pPr>
              <w:ind w:left="20"/>
              <w:spacing w:after="0" w:line="188" w:lineRule="exact"/>
              <w:rPr>
                <w:sz w:val="20"/>
                <w:szCs w:val="20"/>
                <w:color w:val="auto"/>
              </w:rPr>
            </w:pPr>
            <w:r>
              <w:rPr>
                <w:rFonts w:ascii="Arial" w:cs="Arial" w:eastAsia="Arial" w:hAnsi="Arial"/>
                <w:sz w:val="17"/>
                <w:szCs w:val="17"/>
                <w:color w:val="auto"/>
              </w:rPr>
              <w:t>2024</w:t>
            </w: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33"/>
              <w:spacing w:after="0" w:line="188" w:lineRule="exact"/>
              <w:rPr>
                <w:sz w:val="20"/>
                <w:szCs w:val="20"/>
                <w:color w:val="auto"/>
              </w:rPr>
            </w:pPr>
            <w:r>
              <w:rPr>
                <w:rFonts w:ascii="Arial" w:cs="Arial" w:eastAsia="Arial" w:hAnsi="Arial"/>
                <w:sz w:val="17"/>
                <w:szCs w:val="17"/>
                <w:color w:val="auto"/>
              </w:rPr>
              <w:t>-</w:t>
            </w:r>
          </w:p>
        </w:tc>
        <w:tc>
          <w:tcPr>
            <w:tcW w:w="1580" w:type="dxa"/>
            <w:vAlign w:val="bottom"/>
            <w:tcBorders>
              <w:bottom w:val="single" w:sz="8" w:color="auto"/>
              <w:right w:val="single" w:sz="8" w:color="auto"/>
            </w:tcBorders>
          </w:tcPr>
          <w:p>
            <w:pPr>
              <w:jc w:val="right"/>
              <w:ind w:right="33"/>
              <w:spacing w:after="0" w:line="188" w:lineRule="exact"/>
              <w:rPr>
                <w:sz w:val="20"/>
                <w:szCs w:val="20"/>
                <w:color w:val="auto"/>
              </w:rPr>
            </w:pPr>
            <w:r>
              <w:rPr>
                <w:rFonts w:ascii="Arial" w:cs="Arial" w:eastAsia="Arial" w:hAnsi="Arial"/>
                <w:sz w:val="17"/>
                <w:szCs w:val="17"/>
                <w:color w:val="auto"/>
              </w:rPr>
              <w:t>407,217</w:t>
            </w:r>
          </w:p>
        </w:tc>
        <w:tc>
          <w:tcPr>
            <w:tcW w:w="1260" w:type="dxa"/>
            <w:vAlign w:val="bottom"/>
            <w:tcBorders>
              <w:bottom w:val="single" w:sz="8" w:color="auto"/>
              <w:right w:val="single" w:sz="8" w:color="auto"/>
            </w:tcBorders>
          </w:tcPr>
          <w:p>
            <w:pPr>
              <w:jc w:val="right"/>
              <w:ind w:right="53"/>
              <w:spacing w:after="0" w:line="188" w:lineRule="exact"/>
              <w:rPr>
                <w:sz w:val="20"/>
                <w:szCs w:val="20"/>
                <w:color w:val="auto"/>
              </w:rPr>
            </w:pPr>
            <w:r>
              <w:rPr>
                <w:rFonts w:ascii="Arial" w:cs="Arial" w:eastAsia="Arial" w:hAnsi="Arial"/>
                <w:sz w:val="17"/>
                <w:szCs w:val="17"/>
                <w:color w:val="auto"/>
              </w:rPr>
              <w:t>62,680</w:t>
            </w:r>
          </w:p>
        </w:tc>
        <w:tc>
          <w:tcPr>
            <w:tcW w:w="1780" w:type="dxa"/>
            <w:vAlign w:val="bottom"/>
            <w:tcBorders>
              <w:bottom w:val="single" w:sz="8" w:color="auto"/>
              <w:right w:val="single" w:sz="8" w:color="auto"/>
            </w:tcBorders>
          </w:tcPr>
          <w:p>
            <w:pPr>
              <w:jc w:val="right"/>
              <w:ind w:right="13"/>
              <w:spacing w:after="0" w:line="188" w:lineRule="exact"/>
              <w:rPr>
                <w:sz w:val="20"/>
                <w:szCs w:val="20"/>
                <w:color w:val="auto"/>
              </w:rPr>
            </w:pPr>
            <w:r>
              <w:rPr>
                <w:rFonts w:ascii="Arial" w:cs="Arial" w:eastAsia="Arial" w:hAnsi="Arial"/>
                <w:sz w:val="17"/>
                <w:szCs w:val="17"/>
                <w:color w:val="auto"/>
              </w:rPr>
              <w:t>469,897</w:t>
            </w:r>
          </w:p>
        </w:tc>
        <w:tc>
          <w:tcPr>
            <w:tcW w:w="1780" w:type="dxa"/>
            <w:vAlign w:val="bottom"/>
            <w:tcBorders>
              <w:bottom w:val="single" w:sz="8" w:color="auto"/>
              <w:right w:val="single" w:sz="8" w:color="auto"/>
            </w:tcBorders>
          </w:tcPr>
          <w:p>
            <w:pPr>
              <w:jc w:val="right"/>
              <w:ind w:right="13"/>
              <w:spacing w:after="0" w:line="188" w:lineRule="exact"/>
              <w:rPr>
                <w:sz w:val="20"/>
                <w:szCs w:val="20"/>
                <w:color w:val="auto"/>
              </w:rPr>
            </w:pPr>
            <w:r>
              <w:rPr>
                <w:rFonts w:ascii="Arial" w:cs="Arial" w:eastAsia="Arial" w:hAnsi="Arial"/>
                <w:sz w:val="17"/>
                <w:szCs w:val="17"/>
                <w:color w:val="auto"/>
              </w:rPr>
              <w:t>46,908,260</w:t>
            </w:r>
          </w:p>
        </w:tc>
        <w:tc>
          <w:tcPr>
            <w:tcW w:w="1340" w:type="dxa"/>
            <w:vAlign w:val="bottom"/>
            <w:tcBorders>
              <w:bottom w:val="single" w:sz="8" w:color="auto"/>
              <w:right w:val="single" w:sz="8" w:color="auto"/>
            </w:tcBorders>
          </w:tcPr>
          <w:p>
            <w:pPr>
              <w:jc w:val="right"/>
              <w:spacing w:after="0" w:line="188" w:lineRule="exact"/>
              <w:rPr>
                <w:sz w:val="20"/>
                <w:szCs w:val="20"/>
                <w:color w:val="auto"/>
              </w:rPr>
            </w:pPr>
            <w:r>
              <w:rPr>
                <w:rFonts w:ascii="Arial" w:cs="Arial" w:eastAsia="Arial" w:hAnsi="Arial"/>
                <w:sz w:val="17"/>
                <w:szCs w:val="17"/>
                <w:color w:val="auto"/>
              </w:rPr>
              <w:t>2.00%</w:t>
            </w:r>
          </w:p>
        </w:tc>
      </w:tr>
      <w:tr>
        <w:trPr>
          <w:trHeight w:val="188"/>
        </w:trPr>
        <w:tc>
          <w:tcPr>
            <w:tcW w:w="2280" w:type="dxa"/>
            <w:vAlign w:val="bottom"/>
            <w:tcBorders>
              <w:left w:val="single" w:sz="8" w:color="E6E6E6"/>
              <w:bottom w:val="single" w:sz="8" w:color="auto"/>
              <w:right w:val="single" w:sz="8" w:color="auto"/>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2023</w:t>
            </w:r>
          </w:p>
        </w:tc>
        <w:tc>
          <w:tcPr>
            <w:tcW w:w="920" w:type="dxa"/>
            <w:vAlign w:val="bottom"/>
            <w:tcBorders>
              <w:bottom w:val="single" w:sz="8" w:color="auto"/>
            </w:tcBorders>
            <w:shd w:val="clear" w:color="auto" w:fill="E6E6E6"/>
          </w:tcPr>
          <w:p>
            <w:pPr>
              <w:spacing w:after="0"/>
              <w:rPr>
                <w:sz w:val="16"/>
                <w:szCs w:val="16"/>
                <w:color w:val="auto"/>
              </w:rPr>
            </w:pPr>
          </w:p>
        </w:tc>
        <w:tc>
          <w:tcPr>
            <w:tcW w:w="320" w:type="dxa"/>
            <w:vAlign w:val="bottom"/>
            <w:tcBorders>
              <w:bottom w:val="single" w:sz="8" w:color="auto"/>
              <w:right w:val="single" w:sz="8" w:color="auto"/>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w:t>
            </w:r>
          </w:p>
        </w:tc>
        <w:tc>
          <w:tcPr>
            <w:tcW w:w="1580" w:type="dxa"/>
            <w:vAlign w:val="bottom"/>
            <w:tcBorders>
              <w:bottom w:val="single" w:sz="8" w:color="auto"/>
              <w:right w:val="single" w:sz="8" w:color="auto"/>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357,504</w:t>
            </w:r>
          </w:p>
        </w:tc>
        <w:tc>
          <w:tcPr>
            <w:tcW w:w="1260" w:type="dxa"/>
            <w:vAlign w:val="bottom"/>
            <w:tcBorders>
              <w:bottom w:val="single" w:sz="8" w:color="auto"/>
              <w:right w:val="single" w:sz="8" w:color="auto"/>
            </w:tcBorders>
            <w:shd w:val="clear" w:color="auto" w:fill="E6E6E6"/>
          </w:tcPr>
          <w:p>
            <w:pPr>
              <w:jc w:val="right"/>
              <w:ind w:right="53"/>
              <w:spacing w:after="0" w:line="188" w:lineRule="exact"/>
              <w:rPr>
                <w:sz w:val="20"/>
                <w:szCs w:val="20"/>
                <w:color w:val="auto"/>
              </w:rPr>
            </w:pPr>
            <w:r>
              <w:rPr>
                <w:rFonts w:ascii="Arial" w:cs="Arial" w:eastAsia="Arial" w:hAnsi="Arial"/>
                <w:sz w:val="17"/>
                <w:szCs w:val="17"/>
                <w:color w:val="auto"/>
              </w:rPr>
              <w:t>257,845</w:t>
            </w:r>
          </w:p>
        </w:tc>
        <w:tc>
          <w:tcPr>
            <w:tcW w:w="1780" w:type="dxa"/>
            <w:vAlign w:val="bottom"/>
            <w:tcBorders>
              <w:bottom w:val="single" w:sz="8" w:color="auto"/>
              <w:right w:val="single" w:sz="8" w:color="auto"/>
            </w:tcBorders>
            <w:shd w:val="clear" w:color="auto" w:fill="E6E6E6"/>
          </w:tcPr>
          <w:p>
            <w:pPr>
              <w:jc w:val="right"/>
              <w:ind w:right="13"/>
              <w:spacing w:after="0" w:line="188" w:lineRule="exact"/>
              <w:rPr>
                <w:sz w:val="20"/>
                <w:szCs w:val="20"/>
                <w:color w:val="auto"/>
              </w:rPr>
            </w:pPr>
            <w:r>
              <w:rPr>
                <w:rFonts w:ascii="Arial" w:cs="Arial" w:eastAsia="Arial" w:hAnsi="Arial"/>
                <w:sz w:val="17"/>
                <w:szCs w:val="17"/>
                <w:color w:val="auto"/>
              </w:rPr>
              <w:t>615,349</w:t>
            </w:r>
          </w:p>
        </w:tc>
        <w:tc>
          <w:tcPr>
            <w:tcW w:w="1780" w:type="dxa"/>
            <w:vAlign w:val="bottom"/>
            <w:tcBorders>
              <w:bottom w:val="single" w:sz="8" w:color="auto"/>
              <w:right w:val="single" w:sz="8" w:color="auto"/>
            </w:tcBorders>
            <w:shd w:val="clear" w:color="auto" w:fill="E6E6E6"/>
          </w:tcPr>
          <w:p>
            <w:pPr>
              <w:jc w:val="right"/>
              <w:ind w:right="13"/>
              <w:spacing w:after="0" w:line="188" w:lineRule="exact"/>
              <w:rPr>
                <w:sz w:val="20"/>
                <w:szCs w:val="20"/>
                <w:color w:val="auto"/>
              </w:rPr>
            </w:pPr>
            <w:r>
              <w:rPr>
                <w:rFonts w:ascii="Arial" w:cs="Arial" w:eastAsia="Arial" w:hAnsi="Arial"/>
                <w:sz w:val="17"/>
                <w:szCs w:val="17"/>
                <w:color w:val="auto"/>
              </w:rPr>
              <w:t>47,486,284</w:t>
            </w:r>
          </w:p>
        </w:tc>
        <w:tc>
          <w:tcPr>
            <w:tcW w:w="1340" w:type="dxa"/>
            <w:vAlign w:val="bottom"/>
            <w:tcBorders>
              <w:bottom w:val="single" w:sz="8" w:color="auto"/>
              <w:right w:val="single" w:sz="8" w:color="auto"/>
            </w:tcBorders>
            <w:shd w:val="clear" w:color="auto" w:fill="E6E6E6"/>
          </w:tcPr>
          <w:p>
            <w:pPr>
              <w:jc w:val="right"/>
              <w:spacing w:after="0" w:line="188" w:lineRule="exact"/>
              <w:rPr>
                <w:sz w:val="20"/>
                <w:szCs w:val="20"/>
                <w:color w:val="auto"/>
              </w:rPr>
            </w:pPr>
            <w:r>
              <w:rPr>
                <w:rFonts w:ascii="Arial" w:cs="Arial" w:eastAsia="Arial" w:hAnsi="Arial"/>
                <w:sz w:val="17"/>
                <w:szCs w:val="17"/>
                <w:color w:val="auto"/>
              </w:rPr>
              <w:t>2.59%</w:t>
            </w:r>
          </w:p>
        </w:tc>
      </w:tr>
      <w:tr>
        <w:trPr>
          <w:trHeight w:val="188"/>
        </w:trPr>
        <w:tc>
          <w:tcPr>
            <w:tcW w:w="2280" w:type="dxa"/>
            <w:vAlign w:val="bottom"/>
            <w:tcBorders>
              <w:bottom w:val="single" w:sz="8" w:color="auto"/>
              <w:right w:val="single" w:sz="8" w:color="auto"/>
            </w:tcBorders>
          </w:tcPr>
          <w:p>
            <w:pPr>
              <w:ind w:left="20"/>
              <w:spacing w:after="0" w:line="188" w:lineRule="exact"/>
              <w:rPr>
                <w:sz w:val="20"/>
                <w:szCs w:val="20"/>
                <w:color w:val="auto"/>
              </w:rPr>
            </w:pPr>
            <w:r>
              <w:rPr>
                <w:rFonts w:ascii="Arial" w:cs="Arial" w:eastAsia="Arial" w:hAnsi="Arial"/>
                <w:sz w:val="17"/>
                <w:szCs w:val="17"/>
                <w:color w:val="auto"/>
              </w:rPr>
              <w:t>3-Year Average</w:t>
            </w: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jc w:val="right"/>
              <w:ind w:right="33"/>
              <w:spacing w:after="0" w:line="188" w:lineRule="exact"/>
              <w:rPr>
                <w:sz w:val="20"/>
                <w:szCs w:val="20"/>
                <w:color w:val="auto"/>
              </w:rPr>
            </w:pPr>
            <w:r>
              <w:rPr>
                <w:rFonts w:ascii="Arial" w:cs="Arial" w:eastAsia="Arial" w:hAnsi="Arial"/>
                <w:sz w:val="17"/>
                <w:szCs w:val="17"/>
                <w:color w:val="auto"/>
              </w:rPr>
              <w:t>-</w:t>
            </w:r>
          </w:p>
        </w:tc>
        <w:tc>
          <w:tcPr>
            <w:tcW w:w="1580" w:type="dxa"/>
            <w:vAlign w:val="bottom"/>
            <w:tcBorders>
              <w:bottom w:val="single" w:sz="8" w:color="auto"/>
              <w:right w:val="single" w:sz="8" w:color="auto"/>
            </w:tcBorders>
          </w:tcPr>
          <w:p>
            <w:pPr>
              <w:jc w:val="right"/>
              <w:ind w:right="33"/>
              <w:spacing w:after="0" w:line="188" w:lineRule="exact"/>
              <w:rPr>
                <w:sz w:val="20"/>
                <w:szCs w:val="20"/>
                <w:color w:val="auto"/>
              </w:rPr>
            </w:pPr>
            <w:r>
              <w:rPr>
                <w:rFonts w:ascii="Arial" w:cs="Arial" w:eastAsia="Arial" w:hAnsi="Arial"/>
                <w:sz w:val="17"/>
                <w:szCs w:val="17"/>
                <w:color w:val="auto"/>
              </w:rPr>
              <w:t>555,659</w:t>
            </w:r>
          </w:p>
        </w:tc>
        <w:tc>
          <w:tcPr>
            <w:tcW w:w="1260" w:type="dxa"/>
            <w:vAlign w:val="bottom"/>
            <w:tcBorders>
              <w:bottom w:val="single" w:sz="8" w:color="auto"/>
              <w:right w:val="single" w:sz="8" w:color="auto"/>
            </w:tcBorders>
          </w:tcPr>
          <w:p>
            <w:pPr>
              <w:jc w:val="right"/>
              <w:ind w:right="53"/>
              <w:spacing w:after="0" w:line="188" w:lineRule="exact"/>
              <w:rPr>
                <w:sz w:val="20"/>
                <w:szCs w:val="20"/>
                <w:color w:val="auto"/>
              </w:rPr>
            </w:pPr>
            <w:r>
              <w:rPr>
                <w:rFonts w:ascii="Arial" w:cs="Arial" w:eastAsia="Arial" w:hAnsi="Arial"/>
                <w:sz w:val="17"/>
                <w:szCs w:val="17"/>
                <w:color w:val="auto"/>
              </w:rPr>
              <w:t>130,176</w:t>
            </w:r>
          </w:p>
        </w:tc>
        <w:tc>
          <w:tcPr>
            <w:tcW w:w="1780" w:type="dxa"/>
            <w:vAlign w:val="bottom"/>
            <w:tcBorders>
              <w:bottom w:val="single" w:sz="8" w:color="auto"/>
              <w:right w:val="single" w:sz="8" w:color="auto"/>
            </w:tcBorders>
          </w:tcPr>
          <w:p>
            <w:pPr>
              <w:jc w:val="right"/>
              <w:ind w:right="13"/>
              <w:spacing w:after="0" w:line="188" w:lineRule="exact"/>
              <w:rPr>
                <w:sz w:val="20"/>
                <w:szCs w:val="20"/>
                <w:color w:val="auto"/>
              </w:rPr>
            </w:pPr>
            <w:r>
              <w:rPr>
                <w:rFonts w:ascii="Arial" w:cs="Arial" w:eastAsia="Arial" w:hAnsi="Arial"/>
                <w:sz w:val="17"/>
                <w:szCs w:val="17"/>
                <w:color w:val="auto"/>
              </w:rPr>
              <w:t>685,835</w:t>
            </w:r>
          </w:p>
        </w:tc>
        <w:tc>
          <w:tcPr>
            <w:tcW w:w="1780" w:type="dxa"/>
            <w:vAlign w:val="bottom"/>
            <w:tcBorders>
              <w:bottom w:val="single" w:sz="8" w:color="auto"/>
              <w:right w:val="single" w:sz="8" w:color="auto"/>
            </w:tcBorders>
          </w:tcPr>
          <w:p>
            <w:pPr>
              <w:jc w:val="right"/>
              <w:ind w:right="13"/>
              <w:spacing w:after="0" w:line="188" w:lineRule="exact"/>
              <w:rPr>
                <w:sz w:val="20"/>
                <w:szCs w:val="20"/>
                <w:color w:val="auto"/>
              </w:rPr>
            </w:pPr>
            <w:r>
              <w:rPr>
                <w:rFonts w:ascii="Arial" w:cs="Arial" w:eastAsia="Arial" w:hAnsi="Arial"/>
                <w:sz w:val="17"/>
                <w:szCs w:val="17"/>
                <w:color w:val="auto"/>
              </w:rPr>
              <w:t>47,039,197</w:t>
            </w:r>
          </w:p>
        </w:tc>
        <w:tc>
          <w:tcPr>
            <w:tcW w:w="1340" w:type="dxa"/>
            <w:vAlign w:val="bottom"/>
            <w:tcBorders>
              <w:bottom w:val="single" w:sz="8" w:color="auto"/>
              <w:right w:val="single" w:sz="8" w:color="auto"/>
            </w:tcBorders>
          </w:tcPr>
          <w:p>
            <w:pPr>
              <w:jc w:val="right"/>
              <w:spacing w:after="0" w:line="188" w:lineRule="exact"/>
              <w:rPr>
                <w:sz w:val="20"/>
                <w:szCs w:val="20"/>
                <w:color w:val="auto"/>
              </w:rPr>
            </w:pPr>
            <w:r>
              <w:rPr>
                <w:rFonts w:ascii="Arial" w:cs="Arial" w:eastAsia="Arial" w:hAnsi="Arial"/>
                <w:sz w:val="17"/>
                <w:szCs w:val="17"/>
                <w:color w:val="auto"/>
              </w:rPr>
              <w:t>2.92%</w:t>
            </w:r>
          </w:p>
        </w:tc>
      </w:tr>
    </w:tbl>
    <w:p>
      <w:pPr>
        <w:ind w:left="320" w:right="40" w:hanging="316"/>
        <w:spacing w:after="0" w:line="241"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the number of PSUs which were earned and became vested in the fiscal year, and which are reported as “Released” in our annual report on Form 10-K for the applicable fiscal year. In fiscal year 2025, 2024 and 2023 we granted 396,708 PSUs, 202,521 PSUs and 270,073 PSUs, respectively. For additional information on the number of our PSUs outstanding, granted, vested, and cancelled for each fiscal year, please see our annual report on Form 10-K for such fiscal year.</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On March 16, 2026, the closing price of our common stock on the Nasdaq Global Select Market was $28.58 per share. As of March 16, 2026, 46,903,489 shares of our common stock were outstanding. The table below presents the number of shares that were subject to outstanding equity awards and the number of shares available for grant as of March 16, 2026.</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8820" w:type="dxa"/>
            <w:vAlign w:val="bottom"/>
            <w:tcBorders>
              <w:top w:val="single" w:sz="8" w:color="auto"/>
              <w:left w:val="single" w:sz="8" w:color="auto"/>
              <w:bottom w:val="single" w:sz="8" w:color="auto"/>
              <w:right w:val="single" w:sz="8" w:color="auto"/>
            </w:tcBorders>
            <w:shd w:val="clear" w:color="auto" w:fill="2D53A6"/>
          </w:tcPr>
          <w:p>
            <w:pPr>
              <w:spacing w:after="0"/>
              <w:rPr>
                <w:sz w:val="19"/>
                <w:szCs w:val="19"/>
                <w:color w:val="auto"/>
              </w:rPr>
            </w:pPr>
          </w:p>
        </w:tc>
        <w:tc>
          <w:tcPr>
            <w:tcW w:w="2440" w:type="dxa"/>
            <w:vAlign w:val="bottom"/>
            <w:tcBorders>
              <w:top w:val="single" w:sz="8" w:color="auto"/>
              <w:bottom w:val="single" w:sz="8" w:color="auto"/>
              <w:right w:val="single" w:sz="8" w:color="auto"/>
            </w:tcBorders>
            <w:shd w:val="clear" w:color="auto" w:fill="2D53A6"/>
          </w:tcPr>
          <w:p>
            <w:pPr>
              <w:ind w:left="80"/>
              <w:spacing w:after="0"/>
              <w:rPr>
                <w:sz w:val="20"/>
                <w:szCs w:val="20"/>
                <w:color w:val="auto"/>
              </w:rPr>
            </w:pPr>
            <w:r>
              <w:rPr>
                <w:rFonts w:ascii="Arial" w:cs="Arial" w:eastAsia="Arial" w:hAnsi="Arial"/>
                <w:sz w:val="17"/>
                <w:szCs w:val="17"/>
                <w:b w:val="1"/>
                <w:bCs w:val="1"/>
                <w:color w:val="FFFFFF"/>
              </w:rPr>
              <w:t>As of March 16, 2026</w:t>
            </w:r>
          </w:p>
        </w:tc>
      </w:tr>
      <w:tr>
        <w:trPr>
          <w:trHeight w:val="171"/>
        </w:trPr>
        <w:tc>
          <w:tcPr>
            <w:tcW w:w="8820" w:type="dxa"/>
            <w:vAlign w:val="bottom"/>
            <w:tcBorders>
              <w:top w:val="single" w:sz="8" w:color="auto"/>
              <w:left w:val="single" w:sz="8" w:color="2D53A6"/>
              <w:bottom w:val="single" w:sz="8" w:color="auto"/>
              <w:right w:val="single" w:sz="8" w:color="auto"/>
            </w:tcBorders>
            <w:shd w:val="clear" w:color="auto" w:fill="2D53A6"/>
          </w:tcPr>
          <w:p>
            <w:pPr>
              <w:ind w:left="20"/>
              <w:spacing w:after="0" w:line="172" w:lineRule="exact"/>
              <w:rPr>
                <w:sz w:val="20"/>
                <w:szCs w:val="20"/>
                <w:color w:val="auto"/>
              </w:rPr>
            </w:pPr>
            <w:r>
              <w:rPr>
                <w:rFonts w:ascii="Arial" w:cs="Arial" w:eastAsia="Arial" w:hAnsi="Arial"/>
                <w:sz w:val="17"/>
                <w:szCs w:val="17"/>
                <w:b w:val="1"/>
                <w:bCs w:val="1"/>
                <w:color w:val="FFFFFF"/>
              </w:rPr>
              <w:t>Outstanding Award Type</w:t>
            </w:r>
          </w:p>
        </w:tc>
        <w:tc>
          <w:tcPr>
            <w:tcW w:w="2440" w:type="dxa"/>
            <w:vAlign w:val="bottom"/>
            <w:tcBorders>
              <w:top w:val="single" w:sz="8" w:color="2D53A6"/>
              <w:bottom w:val="single" w:sz="8" w:color="auto"/>
              <w:right w:val="single" w:sz="8" w:color="auto"/>
            </w:tcBorders>
            <w:shd w:val="clear" w:color="auto" w:fill="2D53A6"/>
          </w:tcPr>
          <w:p>
            <w:pPr>
              <w:ind w:left="80"/>
              <w:spacing w:after="0" w:line="172" w:lineRule="exact"/>
              <w:rPr>
                <w:sz w:val="20"/>
                <w:szCs w:val="20"/>
                <w:color w:val="auto"/>
              </w:rPr>
            </w:pPr>
            <w:r>
              <w:rPr>
                <w:rFonts w:ascii="Arial" w:cs="Arial" w:eastAsia="Arial" w:hAnsi="Arial"/>
                <w:sz w:val="17"/>
                <w:szCs w:val="17"/>
                <w:b w:val="1"/>
                <w:bCs w:val="1"/>
                <w:color w:val="FFFFFF"/>
              </w:rPr>
              <w:t>Number of Shares</w:t>
            </w:r>
          </w:p>
        </w:tc>
      </w:tr>
      <w:tr>
        <w:trPr>
          <w:trHeight w:val="188"/>
        </w:trPr>
        <w:tc>
          <w:tcPr>
            <w:tcW w:w="8820" w:type="dxa"/>
            <w:vAlign w:val="bottom"/>
            <w:tcBorders>
              <w:left w:val="single" w:sz="8" w:color="E6E6E6"/>
              <w:bottom w:val="single" w:sz="8" w:color="auto"/>
              <w:right w:val="single" w:sz="8" w:color="auto"/>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Restricted stock units</w:t>
            </w:r>
          </w:p>
        </w:tc>
        <w:tc>
          <w:tcPr>
            <w:tcW w:w="2440" w:type="dxa"/>
            <w:vAlign w:val="bottom"/>
            <w:tcBorders>
              <w:bottom w:val="single" w:sz="8" w:color="auto"/>
              <w:right w:val="single" w:sz="8" w:color="auto"/>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1,269,479</w:t>
            </w:r>
          </w:p>
        </w:tc>
      </w:tr>
      <w:tr>
        <w:trPr>
          <w:trHeight w:val="188"/>
        </w:trPr>
        <w:tc>
          <w:tcPr>
            <w:tcW w:w="8820" w:type="dxa"/>
            <w:vAlign w:val="bottom"/>
            <w:tcBorders>
              <w:bottom w:val="single" w:sz="8" w:color="auto"/>
              <w:right w:val="single" w:sz="8" w:color="auto"/>
            </w:tcBorders>
          </w:tcPr>
          <w:p>
            <w:pPr>
              <w:ind w:left="20"/>
              <w:spacing w:after="0" w:line="188" w:lineRule="exact"/>
              <w:rPr>
                <w:sz w:val="20"/>
                <w:szCs w:val="20"/>
                <w:color w:val="auto"/>
              </w:rPr>
            </w:pPr>
            <w:r>
              <w:rPr>
                <w:rFonts w:ascii="Arial" w:cs="Arial" w:eastAsia="Arial" w:hAnsi="Arial"/>
                <w:sz w:val="17"/>
                <w:szCs w:val="17"/>
                <w:color w:val="auto"/>
              </w:rPr>
              <w:t xml:space="preserve">Performance stock units </w:t>
            </w:r>
            <w:r>
              <w:rPr>
                <w:rFonts w:ascii="Arial" w:cs="Arial" w:eastAsia="Arial" w:hAnsi="Arial"/>
                <w:sz w:val="14"/>
                <w:szCs w:val="14"/>
                <w:color w:val="auto"/>
              </w:rPr>
              <w:t>(1)</w:t>
            </w:r>
          </w:p>
        </w:tc>
        <w:tc>
          <w:tcPr>
            <w:tcW w:w="2440" w:type="dxa"/>
            <w:vAlign w:val="bottom"/>
            <w:tcBorders>
              <w:bottom w:val="single" w:sz="8" w:color="auto"/>
              <w:right w:val="single" w:sz="8" w:color="auto"/>
            </w:tcBorders>
          </w:tcPr>
          <w:p>
            <w:pPr>
              <w:jc w:val="right"/>
              <w:ind w:right="33"/>
              <w:spacing w:after="0" w:line="188" w:lineRule="exact"/>
              <w:rPr>
                <w:sz w:val="20"/>
                <w:szCs w:val="20"/>
                <w:color w:val="auto"/>
              </w:rPr>
            </w:pPr>
            <w:r>
              <w:rPr>
                <w:rFonts w:ascii="Arial" w:cs="Arial" w:eastAsia="Arial" w:hAnsi="Arial"/>
                <w:sz w:val="17"/>
                <w:szCs w:val="17"/>
                <w:color w:val="auto"/>
              </w:rPr>
              <w:t>835,532</w:t>
            </w:r>
          </w:p>
        </w:tc>
      </w:tr>
      <w:tr>
        <w:trPr>
          <w:trHeight w:val="188"/>
        </w:trPr>
        <w:tc>
          <w:tcPr>
            <w:tcW w:w="8820" w:type="dxa"/>
            <w:vAlign w:val="bottom"/>
            <w:tcBorders>
              <w:left w:val="single" w:sz="8" w:color="E6E6E6"/>
              <w:bottom w:val="single" w:sz="8" w:color="auto"/>
              <w:right w:val="single" w:sz="8" w:color="auto"/>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Total shares subject to outstanding awards</w:t>
            </w:r>
          </w:p>
        </w:tc>
        <w:tc>
          <w:tcPr>
            <w:tcW w:w="2440" w:type="dxa"/>
            <w:vAlign w:val="bottom"/>
            <w:tcBorders>
              <w:bottom w:val="single" w:sz="8" w:color="auto"/>
              <w:right w:val="single" w:sz="8" w:color="auto"/>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2,105,011</w:t>
            </w:r>
          </w:p>
        </w:tc>
      </w:tr>
      <w:tr>
        <w:trPr>
          <w:trHeight w:val="188"/>
        </w:trPr>
        <w:tc>
          <w:tcPr>
            <w:tcW w:w="8820" w:type="dxa"/>
            <w:vAlign w:val="bottom"/>
            <w:tcBorders>
              <w:bottom w:val="single" w:sz="8" w:color="auto"/>
              <w:right w:val="single" w:sz="8" w:color="auto"/>
            </w:tcBorders>
          </w:tcPr>
          <w:p>
            <w:pPr>
              <w:ind w:left="20"/>
              <w:spacing w:after="0" w:line="188" w:lineRule="exact"/>
              <w:rPr>
                <w:sz w:val="20"/>
                <w:szCs w:val="20"/>
                <w:color w:val="auto"/>
              </w:rPr>
            </w:pPr>
            <w:r>
              <w:rPr>
                <w:rFonts w:ascii="Arial" w:cs="Arial" w:eastAsia="Arial" w:hAnsi="Arial"/>
                <w:sz w:val="17"/>
                <w:szCs w:val="17"/>
                <w:color w:val="auto"/>
              </w:rPr>
              <w:t>Number of shares remaining available for grant</w:t>
            </w:r>
          </w:p>
        </w:tc>
        <w:tc>
          <w:tcPr>
            <w:tcW w:w="2440" w:type="dxa"/>
            <w:vAlign w:val="bottom"/>
            <w:tcBorders>
              <w:bottom w:val="single" w:sz="8" w:color="auto"/>
              <w:right w:val="single" w:sz="8" w:color="auto"/>
            </w:tcBorders>
          </w:tcPr>
          <w:p>
            <w:pPr>
              <w:jc w:val="right"/>
              <w:ind w:right="33"/>
              <w:spacing w:after="0" w:line="188" w:lineRule="exact"/>
              <w:rPr>
                <w:sz w:val="20"/>
                <w:szCs w:val="20"/>
                <w:color w:val="auto"/>
              </w:rPr>
            </w:pPr>
            <w:r>
              <w:rPr>
                <w:rFonts w:ascii="Arial" w:cs="Arial" w:eastAsia="Arial" w:hAnsi="Arial"/>
                <w:sz w:val="17"/>
                <w:szCs w:val="17"/>
                <w:color w:val="auto"/>
              </w:rPr>
              <w:t>1,314,460</w:t>
            </w:r>
          </w:p>
        </w:tc>
      </w:tr>
    </w:tbl>
    <w:p>
      <w:pPr>
        <w:ind w:left="320" w:right="480" w:hanging="316"/>
        <w:spacing w:after="0" w:line="248"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PSUs that are outstanding as of March 16, 2026, reflects the target number of shares. Up to 200% of the target number of PSUs may be earned based on satisfaction of the applicable performance goals.</w:t>
      </w:r>
    </w:p>
    <w:p>
      <w:pPr>
        <w:spacing w:after="0" w:line="162"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On October 23, 2026, the closing price of our common stock on the Nasdaq Global Select Market was $47.96 per share. As of October 23, 2026, 47,346,050 shares of our common stock were outstanding. The table below presents the number of shares that were subject to outstanding equity awards and the number of shares that were available for grant as of October 23, 2026 (as calculated after giving effect to the May 15, 2026 stockholder approval of the 2026 Plan).</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8820" w:type="dxa"/>
            <w:vAlign w:val="bottom"/>
            <w:tcBorders>
              <w:top w:val="single" w:sz="8" w:color="auto"/>
              <w:left w:val="single" w:sz="8" w:color="auto"/>
              <w:bottom w:val="single" w:sz="8" w:color="auto"/>
              <w:right w:val="single" w:sz="8" w:color="auto"/>
            </w:tcBorders>
            <w:shd w:val="clear" w:color="auto" w:fill="2D53A6"/>
          </w:tcPr>
          <w:p>
            <w:pPr>
              <w:spacing w:after="0"/>
              <w:rPr>
                <w:sz w:val="19"/>
                <w:szCs w:val="19"/>
                <w:color w:val="auto"/>
              </w:rPr>
            </w:pPr>
          </w:p>
        </w:tc>
        <w:tc>
          <w:tcPr>
            <w:tcW w:w="2440" w:type="dxa"/>
            <w:vAlign w:val="bottom"/>
            <w:tcBorders>
              <w:top w:val="single" w:sz="8" w:color="auto"/>
              <w:bottom w:val="single" w:sz="8" w:color="auto"/>
              <w:right w:val="single" w:sz="8" w:color="auto"/>
            </w:tcBorders>
            <w:shd w:val="clear" w:color="auto" w:fill="2D53A6"/>
          </w:tcPr>
          <w:p>
            <w:pPr>
              <w:ind w:left="80"/>
              <w:spacing w:after="0"/>
              <w:rPr>
                <w:sz w:val="20"/>
                <w:szCs w:val="20"/>
                <w:color w:val="auto"/>
              </w:rPr>
            </w:pPr>
            <w:r>
              <w:rPr>
                <w:rFonts w:ascii="Arial" w:cs="Arial" w:eastAsia="Arial" w:hAnsi="Arial"/>
                <w:sz w:val="17"/>
                <w:szCs w:val="17"/>
                <w:b w:val="1"/>
                <w:bCs w:val="1"/>
                <w:color w:val="FFFFFF"/>
              </w:rPr>
              <w:t>As of October 23, 2026</w:t>
            </w:r>
          </w:p>
        </w:tc>
      </w:tr>
      <w:tr>
        <w:trPr>
          <w:trHeight w:val="171"/>
        </w:trPr>
        <w:tc>
          <w:tcPr>
            <w:tcW w:w="8820" w:type="dxa"/>
            <w:vAlign w:val="bottom"/>
            <w:tcBorders>
              <w:top w:val="single" w:sz="8" w:color="auto"/>
              <w:left w:val="single" w:sz="8" w:color="2D53A6"/>
              <w:bottom w:val="single" w:sz="8" w:color="auto"/>
              <w:right w:val="single" w:sz="8" w:color="auto"/>
            </w:tcBorders>
            <w:shd w:val="clear" w:color="auto" w:fill="2D53A6"/>
          </w:tcPr>
          <w:p>
            <w:pPr>
              <w:ind w:left="20"/>
              <w:spacing w:after="0" w:line="172" w:lineRule="exact"/>
              <w:rPr>
                <w:sz w:val="20"/>
                <w:szCs w:val="20"/>
                <w:color w:val="auto"/>
              </w:rPr>
            </w:pPr>
            <w:r>
              <w:rPr>
                <w:rFonts w:ascii="Arial" w:cs="Arial" w:eastAsia="Arial" w:hAnsi="Arial"/>
                <w:sz w:val="17"/>
                <w:szCs w:val="17"/>
                <w:b w:val="1"/>
                <w:bCs w:val="1"/>
                <w:color w:val="FFFFFF"/>
              </w:rPr>
              <w:t>Outstanding Award Type</w:t>
            </w:r>
          </w:p>
        </w:tc>
        <w:tc>
          <w:tcPr>
            <w:tcW w:w="2440" w:type="dxa"/>
            <w:vAlign w:val="bottom"/>
            <w:tcBorders>
              <w:top w:val="single" w:sz="8" w:color="2D53A6"/>
              <w:bottom w:val="single" w:sz="8" w:color="auto"/>
              <w:right w:val="single" w:sz="8" w:color="auto"/>
            </w:tcBorders>
            <w:shd w:val="clear" w:color="auto" w:fill="2D53A6"/>
          </w:tcPr>
          <w:p>
            <w:pPr>
              <w:ind w:left="80"/>
              <w:spacing w:after="0" w:line="172" w:lineRule="exact"/>
              <w:rPr>
                <w:sz w:val="20"/>
                <w:szCs w:val="20"/>
                <w:color w:val="auto"/>
              </w:rPr>
            </w:pPr>
            <w:r>
              <w:rPr>
                <w:rFonts w:ascii="Arial" w:cs="Arial" w:eastAsia="Arial" w:hAnsi="Arial"/>
                <w:sz w:val="17"/>
                <w:szCs w:val="17"/>
                <w:b w:val="1"/>
                <w:bCs w:val="1"/>
                <w:color w:val="FFFFFF"/>
              </w:rPr>
              <w:t>Number of Shares</w:t>
            </w:r>
          </w:p>
        </w:tc>
      </w:tr>
      <w:tr>
        <w:trPr>
          <w:trHeight w:val="188"/>
        </w:trPr>
        <w:tc>
          <w:tcPr>
            <w:tcW w:w="8820" w:type="dxa"/>
            <w:vAlign w:val="bottom"/>
            <w:tcBorders>
              <w:left w:val="single" w:sz="8" w:color="E6E6E6"/>
              <w:bottom w:val="single" w:sz="8" w:color="auto"/>
              <w:right w:val="single" w:sz="8" w:color="auto"/>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Restricted stock units</w:t>
            </w:r>
          </w:p>
        </w:tc>
        <w:tc>
          <w:tcPr>
            <w:tcW w:w="2440" w:type="dxa"/>
            <w:vAlign w:val="bottom"/>
            <w:tcBorders>
              <w:bottom w:val="single" w:sz="8" w:color="auto"/>
              <w:right w:val="single" w:sz="8" w:color="auto"/>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1,158,469</w:t>
            </w:r>
          </w:p>
        </w:tc>
      </w:tr>
      <w:tr>
        <w:trPr>
          <w:trHeight w:val="188"/>
        </w:trPr>
        <w:tc>
          <w:tcPr>
            <w:tcW w:w="8820" w:type="dxa"/>
            <w:vAlign w:val="bottom"/>
            <w:tcBorders>
              <w:bottom w:val="single" w:sz="8" w:color="auto"/>
              <w:right w:val="single" w:sz="8" w:color="auto"/>
            </w:tcBorders>
          </w:tcPr>
          <w:p>
            <w:pPr>
              <w:ind w:left="20"/>
              <w:spacing w:after="0" w:line="188" w:lineRule="exact"/>
              <w:rPr>
                <w:sz w:val="20"/>
                <w:szCs w:val="20"/>
                <w:color w:val="auto"/>
              </w:rPr>
            </w:pPr>
            <w:r>
              <w:rPr>
                <w:rFonts w:ascii="Arial" w:cs="Arial" w:eastAsia="Arial" w:hAnsi="Arial"/>
                <w:sz w:val="17"/>
                <w:szCs w:val="17"/>
                <w:color w:val="auto"/>
              </w:rPr>
              <w:t>Performance stock units</w:t>
            </w:r>
          </w:p>
        </w:tc>
        <w:tc>
          <w:tcPr>
            <w:tcW w:w="2440" w:type="dxa"/>
            <w:vAlign w:val="bottom"/>
            <w:tcBorders>
              <w:bottom w:val="single" w:sz="8" w:color="auto"/>
              <w:right w:val="single" w:sz="8" w:color="auto"/>
            </w:tcBorders>
          </w:tcPr>
          <w:p>
            <w:pPr>
              <w:jc w:val="right"/>
              <w:ind w:right="33"/>
              <w:spacing w:after="0" w:line="188" w:lineRule="exact"/>
              <w:rPr>
                <w:sz w:val="20"/>
                <w:szCs w:val="20"/>
                <w:color w:val="auto"/>
              </w:rPr>
            </w:pPr>
            <w:r>
              <w:rPr>
                <w:rFonts w:ascii="Arial" w:cs="Arial" w:eastAsia="Arial" w:hAnsi="Arial"/>
                <w:sz w:val="17"/>
                <w:szCs w:val="17"/>
                <w:color w:val="auto"/>
              </w:rPr>
              <w:t>784,554</w:t>
            </w:r>
          </w:p>
        </w:tc>
      </w:tr>
      <w:tr>
        <w:trPr>
          <w:trHeight w:val="188"/>
        </w:trPr>
        <w:tc>
          <w:tcPr>
            <w:tcW w:w="8820" w:type="dxa"/>
            <w:vAlign w:val="bottom"/>
            <w:tcBorders>
              <w:left w:val="single" w:sz="8" w:color="E6E6E6"/>
              <w:bottom w:val="single" w:sz="8" w:color="auto"/>
              <w:right w:val="single" w:sz="8" w:color="auto"/>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Total shares subject to outstanding awards</w:t>
            </w:r>
          </w:p>
        </w:tc>
        <w:tc>
          <w:tcPr>
            <w:tcW w:w="2440" w:type="dxa"/>
            <w:vAlign w:val="bottom"/>
            <w:tcBorders>
              <w:bottom w:val="single" w:sz="8" w:color="auto"/>
              <w:right w:val="single" w:sz="8" w:color="auto"/>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1,943,023</w:t>
            </w:r>
          </w:p>
        </w:tc>
      </w:tr>
      <w:tr>
        <w:trPr>
          <w:trHeight w:val="188"/>
        </w:trPr>
        <w:tc>
          <w:tcPr>
            <w:tcW w:w="8820" w:type="dxa"/>
            <w:vAlign w:val="bottom"/>
            <w:tcBorders>
              <w:bottom w:val="single" w:sz="8" w:color="auto"/>
              <w:right w:val="single" w:sz="8" w:color="auto"/>
            </w:tcBorders>
          </w:tcPr>
          <w:p>
            <w:pPr>
              <w:ind w:left="20"/>
              <w:spacing w:after="0" w:line="188" w:lineRule="exact"/>
              <w:rPr>
                <w:sz w:val="20"/>
                <w:szCs w:val="20"/>
                <w:color w:val="auto"/>
              </w:rPr>
            </w:pPr>
            <w:r>
              <w:rPr>
                <w:rFonts w:ascii="Arial" w:cs="Arial" w:eastAsia="Arial" w:hAnsi="Arial"/>
                <w:sz w:val="17"/>
                <w:szCs w:val="17"/>
                <w:color w:val="auto"/>
              </w:rPr>
              <w:t>Number of shares remaining available for grant</w:t>
            </w:r>
          </w:p>
        </w:tc>
        <w:tc>
          <w:tcPr>
            <w:tcW w:w="2440" w:type="dxa"/>
            <w:vAlign w:val="bottom"/>
            <w:tcBorders>
              <w:bottom w:val="single" w:sz="8" w:color="auto"/>
              <w:right w:val="single" w:sz="8" w:color="auto"/>
            </w:tcBorders>
          </w:tcPr>
          <w:p>
            <w:pPr>
              <w:jc w:val="right"/>
              <w:ind w:right="33"/>
              <w:spacing w:after="0" w:line="188" w:lineRule="exact"/>
              <w:rPr>
                <w:sz w:val="20"/>
                <w:szCs w:val="20"/>
                <w:color w:val="auto"/>
              </w:rPr>
            </w:pPr>
            <w:r>
              <w:rPr>
                <w:rFonts w:ascii="Arial" w:cs="Arial" w:eastAsia="Arial" w:hAnsi="Arial"/>
                <w:sz w:val="17"/>
                <w:szCs w:val="17"/>
                <w:color w:val="auto"/>
              </w:rPr>
              <w:t>3,441,157</w:t>
            </w:r>
          </w:p>
        </w:tc>
      </w:tr>
    </w:tbl>
    <w:p>
      <w:pPr>
        <w:spacing w:after="0" w:line="178"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determining the number of shares to request for approval under the 2026 Plan at the 2026 annual meeting, our Compensation Committee had considered various factors, including our recent share usage, anticipated hiring needs in the next two years, potential dilution, our current stock price, recent experiences in the equity awards expected by new hire candidates, and general guidance from institutional proxy advisory firms, such as ISS, that our stockholders might consider in evaluating the 2026 Plan .</w:t>
      </w:r>
    </w:p>
    <w:p>
      <w:pPr>
        <w:spacing w:after="0" w:line="154"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Based on our equity award practices at the time of the 2026 annual proxy, the Compensation Committee estimated that the additional shares that would be authorized by the 2026 Plan may be sufficient to provide us with an opportunity to grant equity awards for approximately three (3) years. Circumstances that could alter this estimate include the future price of our common shares, the mix of options and full -value awards provided as long-term incentive compensation, grant amounts provided by our competitors, payout of performance-based awards in excess of target in the event of superior performance, hiring activity, and promotions during the next few years.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2" w:name="page13"/>
    <w:bookmarkEnd w:id="12"/>
    <w:p>
      <w:pPr>
        <w:ind w:right="20"/>
        <w:spacing w:after="0" w:line="259" w:lineRule="auto"/>
        <w:rPr>
          <w:sz w:val="20"/>
          <w:szCs w:val="20"/>
          <w:color w:val="auto"/>
        </w:rPr>
      </w:pPr>
      <w:r>
        <w:rPr>
          <w:rFonts w:ascii="Arial" w:cs="Arial" w:eastAsia="Arial" w:hAnsi="Arial"/>
          <w:sz w:val="17"/>
          <w:szCs w:val="17"/>
          <w:color w:val="auto"/>
        </w:rPr>
        <w:t>Our Board adopted the 2026 Plan on March 20, 2026, subject to approval by our stockholders, and stockholder approval was obtained on May 15, 2026. If this ratification is not approved, the historical adoption will not be ratified through the proposed Section 204 process and the uncertainty arising from the identified record-date defect will remain. See “Background and Effect of the Ratifications.”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Highlights of the 2026 Plan</w:t>
      </w:r>
    </w:p>
    <w:p>
      <w:pPr>
        <w:spacing w:after="0" w:line="191" w:lineRule="exact"/>
        <w:rPr>
          <w:sz w:val="20"/>
          <w:szCs w:val="20"/>
          <w:color w:val="auto"/>
        </w:rPr>
      </w:pPr>
    </w:p>
    <w:p>
      <w:pPr>
        <w:ind w:right="540"/>
        <w:spacing w:after="0" w:line="280" w:lineRule="auto"/>
        <w:rPr>
          <w:sz w:val="20"/>
          <w:szCs w:val="20"/>
          <w:color w:val="auto"/>
        </w:rPr>
      </w:pPr>
      <w:r>
        <w:rPr>
          <w:rFonts w:ascii="Arial" w:cs="Arial" w:eastAsia="Arial" w:hAnsi="Arial"/>
          <w:sz w:val="17"/>
          <w:szCs w:val="17"/>
          <w:color w:val="auto"/>
        </w:rPr>
        <w:t>The 2026 Plan continues to contain provisions that are included in the 2005 Plan that we believe are consistent with best practices in equity compensation and which protect the stockholders’ interests, as described below.</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evergreen authorization.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2026 Plan does not have an evergreen provision.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share counting.</w:t>
      </w:r>
    </w:p>
    <w:p>
      <w:pPr>
        <w:spacing w:after="0" w:line="19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2026 Plan generally provides for gross share counting. The number of shares remaining available for grant under the 2026 Plan is reduced by the gross number of shares subject to options and stock appreciation rights, including those settled on a net basis, and any shares withheld for taxes in connection with the vesting or settlement of any award will not again be available for the future grant of awards. Further, any shares of our common stock we repurchase in the open market with option exercise proceeds will not increase the maximum number of shares that may be issued under the 2026 Plan.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Minimum vesting.</w:t>
      </w:r>
    </w:p>
    <w:p>
      <w:pPr>
        <w:spacing w:after="0" w:line="194"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The 2026 Plan requires each award to have a minimum vesting period of one year, except for (i) substitute awards granted in connection with a transaction, (ii) shares delivered in lieu of fully vested cash obligations, (iii) awards to non-employee directors that vest on the earlier of the one year anniversary of grant and the next annual meeting of stockholders that is at least 50 weeks after the immediately preceding years’ annual meeting of stockholders, (iv) 5% of the aggregate number of shares authorized for issuance under the 2026 Plan, or (v) if vesting is accelerated upon a participant’s retirement, death or disability or in connection with a change in control.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automatic vesting upon a change in control.</w:t>
      </w:r>
    </w:p>
    <w:p>
      <w:pPr>
        <w:spacing w:after="0" w:line="194"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The 2026 Plan does not provide for automatic acceleration of award vesting upon a change in control, except for any non-employee director awards which will automatically accelerate vesting upon a change in control. An acquiring corporation may assume, continue, or substitute new awards for outstanding awards, and if it does so, the vesting of the outstanding awards will generally not accelerate on the change in control. The vesting of awards that are not assumed, continued, or replaced by a publicly held corporation may be accelerated. The plan administrator has the discretion to accelerate the vesting of outstanding awards or to require that participants exchange outstanding stock-based awards for a payment in cash.</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Prohibition on repricing.</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2026 Plan prohibits the repricing of options or stock appreciation rights without the approval of our stockholders, including the cancellation and replacement of options or stock appreciation rights with a grant of options or stock appreciation rights having lower exercise prices, a grant of full-value awards or payments in cash.</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discounted options or stock appreciation rights.</w:t>
      </w:r>
    </w:p>
    <w:p>
      <w:pPr>
        <w:spacing w:after="0" w:line="194"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Options and stock appreciation rights must have an exercise price or base price at or above the fair market value per share of our common stock on the date of grant.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tax gross-ups.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2026 Plan does not provide for any tax gross-ups.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liberal change-in-control definition.</w:t>
      </w:r>
    </w:p>
    <w:p>
      <w:pPr>
        <w:spacing w:after="0" w:line="194"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Under the 2026 Plan, a change in control generally occurs upon consummation of the transaction rather than its announcement or stockholder approval. For a plan of complete liquidation or dissolution, the definition provides for a date specified by the Committee following stockholder approval.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 on dividends and dividend equivalents.</w:t>
      </w:r>
    </w:p>
    <w:p>
      <w:pPr>
        <w:spacing w:after="0" w:line="194"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Any dividends or dividend equivalents payable in connection with an award will be subject to the same restrictions as the underlying award and will not be paid until and unless such award vests or is settled, if later.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i w:val="1"/>
          <w:iCs w:val="1"/>
          <w:color w:val="auto"/>
        </w:rPr>
        <w:t>Limited Transferability.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Awards are not transferable except by will or by the laws of descent and distribution, or pursuant to a domestic relations order.</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Awards Subject to Clawback.</w:t>
      </w:r>
    </w:p>
    <w:p>
      <w:pPr>
        <w:spacing w:after="0" w:line="194"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All awards granted under the 2026 Plan are subject to forfeiture or recovery to the fullest extent required by the listing standards of the Nasdaq or any current or future clawback policy that may be adopted by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Summary of the 2026 Plan</w:t>
      </w:r>
    </w:p>
    <w:p>
      <w:pPr>
        <w:spacing w:after="0" w:line="19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 xml:space="preserve">A summary of the principal provisions of the 2026 Plan is set forth below. The summary does not purport to be a complete description of all of the provisions of the 2026 Plan and is qualified by reference to the full text of the 2026 Plan, a copy of which is attached as </w:t>
      </w:r>
      <w:r>
        <w:rPr>
          <w:rFonts w:ascii="Arial" w:cs="Arial" w:eastAsia="Arial" w:hAnsi="Arial"/>
          <w:sz w:val="17"/>
          <w:szCs w:val="17"/>
          <w:b w:val="1"/>
          <w:bCs w:val="1"/>
          <w:u w:val="single" w:color="auto"/>
          <w:color w:val="auto"/>
        </w:rPr>
        <w:t>Annex C</w:t>
      </w:r>
      <w:r>
        <w:rPr>
          <w:rFonts w:ascii="Arial" w:cs="Arial" w:eastAsia="Arial" w:hAnsi="Arial"/>
          <w:sz w:val="17"/>
          <w:szCs w:val="17"/>
          <w:color w:val="auto"/>
        </w:rPr>
        <w:t xml:space="preserve"> to this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94"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purpose of the 2026 Plan is to advance the interests of the Company by providing an incentive program that will enable the Company to attract and retain employees, consultants and directors upon whose judgment, interest and efforts the Company’s success is dependent and to provide them with an equity interest in the success of the Company in order to motivate superior performance. These incentives may be provided through the grant of stock options, stock appreciation rights, restricted stock, restricted stock units, performance shares (which may consist of performance share units (“</w:t>
      </w:r>
      <w:r>
        <w:rPr>
          <w:rFonts w:ascii="Arial" w:cs="Arial" w:eastAsia="Arial" w:hAnsi="Arial"/>
          <w:sz w:val="17"/>
          <w:szCs w:val="17"/>
          <w:b w:val="1"/>
          <w:bCs w:val="1"/>
          <w:i w:val="1"/>
          <w:iCs w:val="1"/>
          <w:color w:val="auto"/>
        </w:rPr>
        <w:t>PSUs</w:t>
      </w:r>
      <w:r>
        <w:rPr>
          <w:rFonts w:ascii="Arial" w:cs="Arial" w:eastAsia="Arial" w:hAnsi="Arial"/>
          <w:sz w:val="17"/>
          <w:szCs w:val="17"/>
          <w:color w:val="auto"/>
        </w:rPr>
        <w:t>”), deferred stock units (“</w:t>
      </w:r>
      <w:r>
        <w:rPr>
          <w:rFonts w:ascii="Arial" w:cs="Arial" w:eastAsia="Arial" w:hAnsi="Arial"/>
          <w:sz w:val="17"/>
          <w:szCs w:val="17"/>
          <w:b w:val="1"/>
          <w:bCs w:val="1"/>
          <w:i w:val="1"/>
          <w:iCs w:val="1"/>
          <w:color w:val="auto"/>
        </w:rPr>
        <w:t>DSUs</w:t>
      </w:r>
      <w:r>
        <w:rPr>
          <w:rFonts w:ascii="Arial" w:cs="Arial" w:eastAsia="Arial" w:hAnsi="Arial"/>
          <w:sz w:val="17"/>
          <w:szCs w:val="17"/>
          <w:color w:val="auto"/>
        </w:rPr>
        <w:t>”), performance units, certain other stock-based awards, and cash-based performance awards). Incentive stock options granted under the 2026 Plan are intended to qualify as "incentive stock options" within the meaning of Section 422 of the Internal Revenue Code of 1986, as amended, which is referred to as "the Code" in this Proposal. Nonstatutory stock options granted under the 2026 Plan are not intended to qualify as incentive stock options under the Code.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Shares.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maximum aggregate number of shares authorized for issuance under the 2026 Plan is equal to:</w:t>
      </w:r>
    </w:p>
    <w:p>
      <w:pPr>
        <w:spacing w:after="0" w:line="194" w:lineRule="exact"/>
        <w:rPr>
          <w:sz w:val="20"/>
          <w:szCs w:val="20"/>
          <w:color w:val="auto"/>
        </w:rPr>
      </w:pPr>
    </w:p>
    <w:p>
      <w:pPr>
        <w:ind w:left="320" w:hanging="160"/>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3,400,000 shares</w:t>
      </w:r>
    </w:p>
    <w:p>
      <w:pPr>
        <w:spacing w:after="0" w:line="233" w:lineRule="exact"/>
        <w:rPr>
          <w:rFonts w:ascii="Arial" w:cs="Arial" w:eastAsia="Arial" w:hAnsi="Arial"/>
          <w:sz w:val="17"/>
          <w:szCs w:val="17"/>
          <w:color w:val="auto"/>
        </w:rPr>
      </w:pPr>
    </w:p>
    <w:p>
      <w:pPr>
        <w:ind w:left="320" w:right="480" w:hanging="160"/>
        <w:spacing w:after="0" w:line="280"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less one share for each share subject to any award granted under the 2005 Plan between March 20, 2026 and prior to the May 15, 2026 annual meeting.</w:t>
      </w:r>
    </w:p>
    <w:p>
      <w:pPr>
        <w:spacing w:after="0" w:line="12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no event shall the number of shares subject to any equity award granted under the 2005 Plan after March 20, 2026 and prior to the May 15, 2026 annual meeting exceed 10,000 shares. If any stock option or stock appreciation right previously granted under the 2005 Plan or granted under the 2026 Plan expires or is forfeited, cancelled or terminated for any reason without having been exercised, or if any awards are not issued pursuant to full-value awards because such award or any portion thereof expires or otherwise terminates without all of the shares covered having been issued, are not issued because such award is settled in cash, or if shares subject to forfeiture or repurchase are forfeited or repurchased by the Company for an amount not greater than the purchase price, any such shares that are reacquired or subject to such a terminated award will again become available for issuance under the 2026 Plan. Upon any stock dividend, stock split, reverse stock split, recapitalization or similar change in our capital structure, appropriate adjustments will be made to the shares subject to the 2026 Plan, to the award limits described below and to all outstanding awards. However, shares will not again become available for issuance under the 2026 Plan if they are (i) withheld or surrendered to satisfy tax withholding obligations or (ii) surrendered in payment of the purchase or exercise price of an option or stock appreciation right (either by means of a cashless exercise, attestation, or actual surrender of shares).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 on Awards and Other Compensation to Nonemployee Directors.</w:t>
      </w:r>
    </w:p>
    <w:p>
      <w:pPr>
        <w:spacing w:after="0" w:line="194"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The 2026 Plan provides for an annual limit of $750,000 for compensation awarded to any nonemployee director during each calendar year, including both shares of stock subject to 2026 Plan awards (calculating the value of any such awards based on the grant date fair value of such awards for financial reporting purposes) and any cash fees paid to such nonemployee director (but excluding any expense reimbursements or distributions from any deferred compensation program.</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t>Administration.</w:t>
      </w:r>
    </w:p>
    <w:p>
      <w:pPr>
        <w:spacing w:after="0" w:line="194"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2026 Plan is administered by the Compensation Committee of the Board of Directors, or, in the absence of such committee, by the Board of Directors. To the extent permitted by applicable law and the terms of the 2026 Plan, the Committee may delegate to the appropriate officers of Cohu the authority to grant, amend, modify, cancel, extend or renew awards to persons other than directors or executive officers whose transactions are subject to Section 16 of the Exchange Act, as amended (for purposes of this summary, the term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refers to either such committee, the Board of Directors and any of Cohu’s officers to whom such authority may be delegated as provided in the 2026 Plan, to the extent such delegation is applicable). Subject to the provisions of the 2026 Plan, the Committee determines in its discretion the persons to whom and the times at which awards are granted, the types and sizes of such awards, and all of their terms and conditions. All awards granted under the 2026 Plan must be evidenced by a written agreement between the Company and the participant specifying the number of shares subject to the award and the other terms and conditions of the award, consistent with the requirements of the 2026 Plan. The Committee may amend, cancel, renew any award, waive any restrictions or conditions applicable to any award, and accelerate, continue, extend, or defer the vesting of any award. The 2026 Plan provides, subject to certain limitations, for indemnification by the Company of any director, officer, or employee against all reasonable expenses, including attorneys’ fees, incurred in connection with any legal action arising from such person’s action or failure to act in administering the 2026 Plan. The Committee will interpret the 2026 Plan and awards granted thereunder, and all determinations of the Committee will be final and binding on all persons having an interest in the 2026 Plan or any award.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Prohibition of Option and SAR Repricing.</w:t>
      </w:r>
    </w:p>
    <w:p>
      <w:pPr>
        <w:spacing w:after="0" w:line="194"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2026 Plan expressly provides that, without the approval of a majority of the votes cast in person or by proxy at a meeting of our stockholders, the Committee may not provide for any of the following with respect to underwater options or stock appreciation rights: (1) either the cancellation of such outstanding options or stock appreciation rights in exchange for the grant of new options or stock appreciation rights at a lower exercise price or the amendment of outstanding options or stock appreciation rights to reduce the exercise price, (2) the issuance of new full-value awards in exchange for the cancellation of such outstanding options or stock appreciation rights, or (3) the cancellation of such outstanding options or stock appreciation rights in exchange for payments in cash.</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Minimum Vesting.</w:t>
      </w:r>
    </w:p>
    <w:p>
      <w:pPr>
        <w:spacing w:after="0" w:line="194"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No more than 5% of the aggregate number of shares authorized under the 2026 Plan may be issued pursuant to awards that provide for vesting over a period of less than one year. This minimum vesting requirement will not prohibit the vesting of (i) substitute awards granted in connection with a transaction, (ii) shares delivered in lieu of fully vested cash obligations, (iii) awards to non-employee directors that vest on the earlier of the one year anniversary or grant and the next annual meeting of stockholders that is at least 50 weeks after the immediately preceding years’ annual meeting of stockholders, (iv) 5% of the aggregate number of shares authorized for issuance under the 2026 Plan or (v) accelerating the vesting of awards in connection with a “Change in Control,” as defined by the 2026 Plan, or upon a participant’s retirement, death or disability.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Eligibility.</w:t>
      </w:r>
    </w:p>
    <w:p>
      <w:pPr>
        <w:spacing w:after="0" w:line="19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Awards other than incentive stock options may be granted to employees, directors, and consultants of the Company or any present or future parent or subsidiary corporations of the Company. Incentive stock options may only be granted to employees of the Company or any present or future parent or subsidiary corporations of the Company. As of March 16, 2026, the Company had approximately 2,800 employees, 41 consultants and 8 non-employee directors who would be eligible to receive awards under the 2026 Plan if it were effective as of such date. As of October 23, 2026, approximately 2,800 employees, 41 consultants and 8 non-employee directors are eligible to receive awards under the 2026 Plan.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 and Stock Appreciation Rights.</w:t>
      </w:r>
    </w:p>
    <w:p>
      <w:pPr>
        <w:spacing w:after="0" w:line="194" w:lineRule="exact"/>
        <w:rPr>
          <w:sz w:val="20"/>
          <w:szCs w:val="20"/>
          <w:color w:val="auto"/>
        </w:rPr>
      </w:pPr>
    </w:p>
    <w:p>
      <w:pPr>
        <w:ind w:right="600"/>
        <w:spacing w:after="0" w:line="280" w:lineRule="auto"/>
        <w:rPr>
          <w:sz w:val="20"/>
          <w:szCs w:val="20"/>
          <w:color w:val="auto"/>
        </w:rPr>
      </w:pPr>
      <w:r>
        <w:rPr>
          <w:rFonts w:ascii="Arial" w:cs="Arial" w:eastAsia="Arial" w:hAnsi="Arial"/>
          <w:sz w:val="17"/>
          <w:szCs w:val="17"/>
          <w:color w:val="auto"/>
        </w:rPr>
        <w:t>The following is a general description of the terms of stock options and stock appreciation rights that may be awarded under the 2026 Plan. Individual grants may have different terms, subject to the overall requirements of the 2026 Plan</w:t>
      </w:r>
    </w:p>
    <w:p>
      <w:pPr>
        <w:spacing w:after="0" w:line="12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exercise price of each option may not be less than the fair market value of a share of our common stock on the date of grant. However, any incentive stock option granted to a person who at the time of grant owns stock possessing more than 10% of the total combined voting power of all classes of stock of the Company or any parent or subsidiary corporation of the Company (a “</w:t>
      </w:r>
      <w:r>
        <w:rPr>
          <w:rFonts w:ascii="Arial" w:cs="Arial" w:eastAsia="Arial" w:hAnsi="Arial"/>
          <w:sz w:val="17"/>
          <w:szCs w:val="17"/>
          <w:b w:val="1"/>
          <w:bCs w:val="1"/>
          <w:i w:val="1"/>
          <w:iCs w:val="1"/>
          <w:color w:val="auto"/>
        </w:rPr>
        <w:t>Ten Percent Stockholder</w:t>
      </w:r>
      <w:r>
        <w:rPr>
          <w:rFonts w:ascii="Arial" w:cs="Arial" w:eastAsia="Arial" w:hAnsi="Arial"/>
          <w:sz w:val="17"/>
          <w:szCs w:val="17"/>
          <w:color w:val="auto"/>
        </w:rPr>
        <w:t>”) must have an exercise price equal to at least 110% of the fair market value of a share of common stock on the date of grant.</w:t>
      </w:r>
    </w:p>
    <w:p>
      <w:pPr>
        <w:spacing w:after="0" w:line="154"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The 2026 Plan provides that the option exercise price may be paid: (1) in cash, check or a cash equivalent; (2) by cashless exercise or tender of shares of common stock of the Company subject to attestation to the ownership of the shares and to having a fair market value not greater than the aggregate exercise price; (3) by net exercise whereby the number of shares issuable upon the exercise of the option is reduced by a number of shares having a fair market value equal to the exercise price; (4) in any other form of payment as may be approved by the Committee; or (5) by a combination of the above forms of payment. Nevertheless, the Committee may restrict the forms of payment permitted in connection with any option grant. No option may be exercised unless the optionee has made adequate provision for federal, state, local and foreign taxes, if any, relating to the exercise of the option, including, if permitted or required by the Company, through the optionee’s surrender of a portion of the option shares to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5" w:name="page16"/>
    <w:bookmarkEnd w:id="15"/>
    <w:p>
      <w:pPr>
        <w:spacing w:after="0" w:line="247" w:lineRule="auto"/>
        <w:rPr>
          <w:sz w:val="20"/>
          <w:szCs w:val="20"/>
          <w:color w:val="auto"/>
        </w:rPr>
      </w:pPr>
      <w:r>
        <w:rPr>
          <w:rFonts w:ascii="Arial" w:cs="Arial" w:eastAsia="Arial" w:hAnsi="Arial"/>
          <w:sz w:val="17"/>
          <w:szCs w:val="17"/>
          <w:color w:val="auto"/>
        </w:rPr>
        <w:t>Options and stock appreciation rights granted under the 2026 Plan will become vested and exercisable at such times or upon such events and subject to such terms, conditions, performance criteria, or restrictions as specified by the Committee, subject to the minimum vesting requirements described above and the continued service of the holder. The maximum term of any option or stock appreciation right granted under the 2026 Plan is ten years, provided that an incentive stock option granted to a Ten Percent Stockholder must have a term not exceeding five years. The Committee will specify in each written option or stock appreciation right agreement, and solely in its discretion, the period of post-termination exercise applicable to each option or stock appreciation right.</w:t>
      </w:r>
    </w:p>
    <w:p>
      <w:pPr>
        <w:spacing w:after="0" w:line="157" w:lineRule="exact"/>
        <w:rPr>
          <w:sz w:val="20"/>
          <w:szCs w:val="20"/>
          <w:color w:val="auto"/>
        </w:rPr>
      </w:pPr>
    </w:p>
    <w:p>
      <w:pPr>
        <w:jc w:val="both"/>
        <w:ind w:right="780"/>
        <w:spacing w:after="0" w:line="259" w:lineRule="auto"/>
        <w:rPr>
          <w:sz w:val="20"/>
          <w:szCs w:val="20"/>
          <w:color w:val="auto"/>
        </w:rPr>
      </w:pPr>
      <w:r>
        <w:rPr>
          <w:rFonts w:ascii="Arial" w:cs="Arial" w:eastAsia="Arial" w:hAnsi="Arial"/>
          <w:sz w:val="17"/>
          <w:szCs w:val="17"/>
          <w:color w:val="auto"/>
        </w:rPr>
        <w:t>Generally, stock options and stock appreciation rights are nontransferable by the holder other than by will or by the laws of descent and distribution, and are exercisable during the holder’s lifetime only by the holder. However, a nonstatutory stock option may be assigned or transferred to the extent permitted by the Committee in its sole discretion, other than to a third party financial institution for value.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issued under the 2026 Plan pursuant to the exercise of incentive stock options may not exceed 3,400,000 shares.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9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Committee may grant restricted stock awards under the 2026 Plan specifying the number of shares of stock subject to the award and including such terms and conditions as the Committee shall from time to time establish. The Committee determines the purchase price payable under restricted stock purchase rights, which may be less than the then current fair market value of Cohu’s common stock, or may grant restricted stock without any purchase price. Restricted stock awards may be subject to vesting conditions specified by the Committee based on service or performance criteria. Participants may not transfer shares acquired pursuant to a restricted stock award until the shares vest. Unless otherwise provided by the Committee, participants forfeit any unvested shares of restricted stock upon termination of service. Participants holding restricted stock generally may vote the shares and receive any dividends paid; however, no dividends or distributions will be paid on shares of stock subject to vesting conditions except to the extent that such vesting conditions are satisfied, and the restrictions on the original restricted stock award apply to adjustments made upon a change in the capital structure of Cohu, and any substituted or additional securities or property arising from such award.</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9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Committee may grant restricted stock units under the 2026 Plan which represent a right to receive shares of our common stock at a future date determined in accordance with the participant’s award agreement. No monetary payment is required for receipt of restricted stock units or the shares issued in settlement of the award, the consideration for which is furnished in the form of the participant’s services to the Company. The Committee may grant restricted stock unit awards subject to vesting conditions based on such service or performance criteria as the Committee specifies, subject to the minimum vesting requirements described above. Participants have no voting rights or rights to receive cash dividends with respect to restricted stock unit awards until the restricted stock units vest and shares of common stock are issued in settlement of such awards. Non-employee directors who elect to defer settlement of their RSU shares are eligible to receive dividend equivalents during the deferral period and are paid when the award is ultimately settled at the deferred settlement date. The Committee may grant restricted stock units that entitle their holders to receive dividend equivalents, which are rights to receive additional restricted stock units for a number of shares whose value is equal to any cash dividends we pay and that are subject to the same vesting conditions and settled at the time that the vested restricted stock units are settled. Any dividend equivalents are subject to the same restrictions and risk of forfeiture as the underlying award.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Awards.</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Committee may grant performance awards subject to such conditions and the attainment of such performance goals over such periods as the Committee determines, subject to the minimum vesting requirements described above. The performance goals are set forth in a written agreement between the Company and the participant. These awards may be designated as performance shares (which may include performance units) or as cash-settled performance units or other cash-based performance bonuses.</w:t>
      </w:r>
    </w:p>
    <w:p>
      <w:pPr>
        <w:spacing w:after="0" w:line="154"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Performance shares may be granted in the form of restricted stock or performance units and represent the right to earn or receive shares subject to attainment of performance goals. Performance units represent the right to receive a cash payment, the amount of which is determined by reference to the value of a specified number of our shares, subject to the attainment of performance goals. Cash-based performance bonuses represent the right to receive a cash payment determined pursuant to such formula and other terms as determined by the Committee, subject to the attainment of performance goals.</w:t>
      </w:r>
    </w:p>
    <w:p>
      <w:pPr>
        <w:spacing w:after="0" w:line="155"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Performance awards will specify a predetermined amount of cash or shares that may be earned by the participant to the extent that one or more performance goals are attained within the applicable performance period. In granting a performance award, the Committee will establish one or more performance goals based on the attainment of specified target levels with respect to one or more measures of objective or subjective business, financial, or individual performance or other performance criteria as may be selected by the Committee.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564" w:right="379" w:bottom="1440" w:gutter="0" w:footer="0" w:header="0"/>
        </w:sectPr>
      </w:pPr>
    </w:p>
    <w:bookmarkStart w:id="16" w:name="page17"/>
    <w:bookmarkEnd w:id="16"/>
    <w:p>
      <w:pPr>
        <w:ind w:right="80"/>
        <w:spacing w:after="0" w:line="247" w:lineRule="auto"/>
        <w:rPr>
          <w:sz w:val="20"/>
          <w:szCs w:val="20"/>
          <w:color w:val="auto"/>
        </w:rPr>
      </w:pPr>
      <w:r>
        <w:rPr>
          <w:rFonts w:ascii="Arial" w:cs="Arial" w:eastAsia="Arial" w:hAnsi="Arial"/>
          <w:sz w:val="17"/>
          <w:szCs w:val="17"/>
          <w:color w:val="auto"/>
        </w:rPr>
        <w:t>Following completion of the applicable performance period, the Committee will determine the extent to which the applicable performance goals have been attained and the resulting value to be paid, or number of shares to be issued to or otherwise earned by the participant. The Committee may make positive or negative adjustments to performance award payments to reflect individual job performance or other factors. In its discretion, the Committee may provide for the payment to a participant awarded performance shares of dividend equivalents with respect to cash dividends paid on the Company’s common stock, provided that the dividend equivalents will be paid only to the extent that the performance award becomes vested and nonforfeitable.</w:t>
      </w:r>
    </w:p>
    <w:p>
      <w:pPr>
        <w:spacing w:after="0" w:line="157" w:lineRule="exact"/>
        <w:rPr>
          <w:sz w:val="20"/>
          <w:szCs w:val="20"/>
          <w:color w:val="auto"/>
        </w:rPr>
      </w:pPr>
    </w:p>
    <w:p>
      <w:pPr>
        <w:ind w:right="580"/>
        <w:spacing w:after="0" w:line="280" w:lineRule="auto"/>
        <w:rPr>
          <w:sz w:val="20"/>
          <w:szCs w:val="20"/>
          <w:color w:val="auto"/>
        </w:rPr>
      </w:pPr>
      <w:r>
        <w:rPr>
          <w:rFonts w:ascii="Arial" w:cs="Arial" w:eastAsia="Arial" w:hAnsi="Arial"/>
          <w:sz w:val="17"/>
          <w:szCs w:val="17"/>
          <w:color w:val="auto"/>
        </w:rPr>
        <w:t>No performance award may be sold or transferred other than by will or the laws of descent and distribution prior to the end of the applicable performance period.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Stock Unit Awards.</w:t>
      </w:r>
    </w:p>
    <w:p>
      <w:pPr>
        <w:spacing w:after="0" w:line="194" w:lineRule="exact"/>
        <w:rPr>
          <w:sz w:val="20"/>
          <w:szCs w:val="20"/>
          <w:color w:val="auto"/>
        </w:rPr>
      </w:pPr>
    </w:p>
    <w:p>
      <w:pPr>
        <w:ind w:right="540"/>
        <w:spacing w:after="0" w:line="259" w:lineRule="auto"/>
        <w:rPr>
          <w:sz w:val="20"/>
          <w:szCs w:val="20"/>
          <w:color w:val="auto"/>
        </w:rPr>
      </w:pPr>
      <w:r>
        <w:rPr>
          <w:rFonts w:ascii="Arial" w:cs="Arial" w:eastAsia="Arial" w:hAnsi="Arial"/>
          <w:sz w:val="17"/>
          <w:szCs w:val="17"/>
          <w:color w:val="auto"/>
        </w:rPr>
        <w:t>Deferred stock unit awards may be granted in lieu of payment in cash or stock of all or any portion of such participant’s cash and/or stock compensation. Deferred stock units are unfunded bookkeeping units, each representing a right to receive one share of our common stock in accordance with the terms and conditions of a deferred stock unit award agreement.</w:t>
      </w:r>
    </w:p>
    <w:p>
      <w:pPr>
        <w:spacing w:after="0" w:line="147"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Deferred stock unit awards granted in lieu of earned cash compensation are fully vested upon grant and will be settled by distribution to the participant of a number of whole shares of common stock equal to the number of units subject to the award on a date set forth in the participant’s written agreement in accordance with the terms of the 2026 Plan at the time of his or her advance election. Such deferred stock units granted in lieu of earned cash compensation are not subject to the minimum vesting requirements described above. The Committee may also grant deferred stock units that are linked to the achievement of performance goals or other vesting criteria, in which case they would be subject to the minimum vesting requirements.</w:t>
      </w:r>
    </w:p>
    <w:p>
      <w:pPr>
        <w:spacing w:after="0" w:line="157"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A holder of a deferred stock unit has no voting rights or other rights as a stockholder until shares of common stock are issued to the participant in settlement of the deferred stock unit. However, the Committee may grant deferred stock units entitling their holders to be credited with dividend equivalents with respect to any payment of cash dividends on an equivalent number of shares of common stock. Such dividend equivalents will be credited in the form of additional whole and fractional units determined by the fair market value of a share of common stock on the dividend payment date and will be paid to the holder at the same time that the deferred stock units are settled. Prior to settlement, no deferred stock unit may be assigned or transferred other than by will or the laws of descent and distribution.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Stock-Based Awards.</w:t>
      </w:r>
    </w:p>
    <w:p>
      <w:pPr>
        <w:spacing w:after="0" w:line="194"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The 2026 Plan permits the Committee to grant other awards based on Cohu’s stock or based on dividends paid on its stock. Participants have no voting rights or rights to receive cash dividends with respect to other awards until shares of common stock are issued in settlement of such awards. At its discretion, the Committee may provide for the payment of dividend equivalents (which will be subject to the same restrictions and risks of forfeiture as the underlying award) with respect to cash dividends paid on Cohu’s common stock that are subject to such awards.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Control.</w:t>
      </w:r>
    </w:p>
    <w:p>
      <w:pPr>
        <w:spacing w:after="0" w:line="194" w:lineRule="exact"/>
        <w:rPr>
          <w:sz w:val="20"/>
          <w:szCs w:val="20"/>
          <w:color w:val="auto"/>
        </w:rPr>
      </w:pPr>
    </w:p>
    <w:p>
      <w:pPr>
        <w:jc w:val="both"/>
        <w:ind w:right="40"/>
        <w:spacing w:after="0" w:line="245" w:lineRule="auto"/>
        <w:rPr>
          <w:sz w:val="20"/>
          <w:szCs w:val="20"/>
          <w:color w:val="auto"/>
        </w:rPr>
      </w:pPr>
      <w:r>
        <w:rPr>
          <w:rFonts w:ascii="Arial" w:cs="Arial" w:eastAsia="Arial" w:hAnsi="Arial"/>
          <w:sz w:val="17"/>
          <w:szCs w:val="17"/>
          <w:color w:val="auto"/>
        </w:rPr>
        <w:t>The 2026 Plan defines a “Change in Control,” unless otherwise defined in the applicable award agreement, to include the following events, subject to the exclusions and conditions in Section 2.1(h) of the plan: (i) a person becomes the beneficial owner of securities representing more than 50% of the total fair market value or total combined voting power of the Company’s outstanding securities entitled to vote generally in director elections;</w:t>
      </w:r>
    </w:p>
    <w:p>
      <w:pPr>
        <w:spacing w:after="0" w:line="2" w:lineRule="exact"/>
        <w:rPr>
          <w:sz w:val="20"/>
          <w:szCs w:val="20"/>
          <w:color w:val="auto"/>
        </w:rPr>
      </w:pPr>
    </w:p>
    <w:p>
      <w:pPr>
        <w:ind w:right="20" w:firstLine="4"/>
        <w:spacing w:after="0" w:line="239" w:lineRule="auto"/>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sale or exchange of more than 50% of the Company’s voting power, a merger or consolidation, or a transfer of all or substantially all of its assets, in which the Company’s stockholders do not retain more than 50% of the combined voting power of the relevant entity after the transaction; or (iii) a date specified by the Committee following stockholder approval of a plan of complete liquidation or dissolution. A transaction under (i) or</w:t>
      </w:r>
    </w:p>
    <w:p>
      <w:pPr>
        <w:ind w:right="120" w:firstLine="4"/>
        <w:spacing w:after="0" w:line="260" w:lineRule="auto"/>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is excluded if a majority of the board of the continuing, surviving or successor entity, or its parent, immediately afterward consists of Incumbent Directors, as defined in the plan.</w:t>
      </w:r>
    </w:p>
    <w:p>
      <w:pPr>
        <w:spacing w:after="0" w:line="145"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If a Change in Control occurs, the surviving, continuing, successor or purchasing corporation or parent corporation thereof may, without any participant’s consent, assume or continue any or all outstanding awards or substitute substantially equivalent new awards for any or all outstanding awards. The 2026 Plan also authorizes the Committee, in its discretion and without the consent of any participant, to cancel each or any award denominated in shares of stock upon a Change in Control in exchange for a payment to the participant with respect each share subject to the cancelled award of an amount equal to the excess of the consideration to be paid per share of common stock in the Change in Control transaction over the exercise or purchase price per share, if any, under the award. The Committee may provide for the acceleration of vesting of any or all outstanding awards upon such terms and to such extent as it determines, except that the vesting of all awards held by members of the Board who are not employees will automatically be accelerated in full.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7" w:name="page18"/>
    <w:bookmarkEnd w:id="17"/>
    <w:p>
      <w:pPr>
        <w:ind w:right="160"/>
        <w:spacing w:after="0" w:line="252" w:lineRule="auto"/>
        <w:rPr>
          <w:sz w:val="20"/>
          <w:szCs w:val="20"/>
          <w:color w:val="auto"/>
        </w:rPr>
      </w:pPr>
      <w:r>
        <w:rPr>
          <w:rFonts w:ascii="Arial" w:cs="Arial" w:eastAsia="Arial" w:hAnsi="Arial"/>
          <w:sz w:val="17"/>
          <w:szCs w:val="17"/>
          <w:color w:val="auto"/>
        </w:rPr>
        <w:t>Any award not assumed, exercised, or settled prior to the Change in Control will terminate effective as of the time of the change in control. The 2026 Plan authorizes the Committee, in its discretion, to provide for different treatment of any award, as may be specified in such award’s written agreement, which may provide for acceleration of the vesting or settlement of any award, or provide for longer periods of exercisability, upon a Change in Control.</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or Amendment.</w:t>
      </w:r>
    </w:p>
    <w:p>
      <w:pPr>
        <w:spacing w:after="0" w:line="19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Board may terminate or amend the 2026 Plan at any time, provided that no amendment may be made without stockholder approval if the Board deems such approval necessary for compliance with any applicable tax or securities law or other regulatory requirements, including the requirements of any stock exchange or market system on which the common stock of the Company is then listed. Incentive stock option awards will not be granted under the 2026 Plan later than the tenth anniversary of the date the Board or Committee most recently approved the applicable number of shares issuable under the 2026 Plan pursuant to the exercise of incentive stock options, or if earlier, the tenth anniversary of the date the stockholders most recently approved the applicable number of shares issuable under the 2026 Plan pursuant to the exercise of incentive stock options. No termination or amendment may affect any outstanding award unless expressly provided by the Board, and, in any event, may not materially adversely affect an outstanding award without the consent of the participant unless necessary to comply with any applicable law, regulation or rule.</w:t>
      </w: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Summary of U.S. Federal Income Tax Consequences</w:t>
      </w:r>
    </w:p>
    <w:p>
      <w:pPr>
        <w:spacing w:after="0" w:line="19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The following is only a summary of the United States federal income tax consequences to participants who receive 2026 Plan awards and does not purport to be complete. Interested parties and participants should refer to the applicable provisions of the Code. The summary does not address other taxes such as state and local income taxes, federal and state estate, inheritance and gift taxes and foreign taxes. Each participant should consult his or her own tax advisor concerning the tax consequences of the 2026 Plan.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Incentive Stock Options.</w:t>
      </w:r>
    </w:p>
    <w:p>
      <w:pPr>
        <w:spacing w:after="0" w:line="19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will normally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determination date (see discussion under “</w:t>
      </w:r>
      <w:r>
        <w:rPr>
          <w:rFonts w:ascii="Arial" w:cs="Arial" w:eastAsia="Arial" w:hAnsi="Arial"/>
          <w:sz w:val="17"/>
          <w:szCs w:val="17"/>
          <w:b w:val="1"/>
          <w:bCs w:val="1"/>
          <w:i w:val="1"/>
          <w:iCs w:val="1"/>
          <w:color w:val="auto"/>
        </w:rPr>
        <w:t>Nonstatutory Stock Options</w:t>
      </w:r>
      <w:r>
        <w:rPr>
          <w:rFonts w:ascii="Arial" w:cs="Arial" w:eastAsia="Arial" w:hAnsi="Arial"/>
          <w:sz w:val="17"/>
          <w:szCs w:val="17"/>
          <w:color w:val="auto"/>
        </w:rPr>
        <w:t>” below)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162"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difference between the option exercise price and the fair market value of the shares on the determination date of an incentive stock option (see discussion under “</w:t>
      </w:r>
      <w:r>
        <w:rPr>
          <w:rFonts w:ascii="Arial" w:cs="Arial" w:eastAsia="Arial" w:hAnsi="Arial"/>
          <w:sz w:val="17"/>
          <w:szCs w:val="17"/>
          <w:b w:val="1"/>
          <w:bCs w:val="1"/>
          <w:i w:val="1"/>
          <w:iCs w:val="1"/>
          <w:color w:val="auto"/>
        </w:rPr>
        <w:t>Nonstatutory Stock Options</w:t>
      </w:r>
      <w:r>
        <w:rPr>
          <w:rFonts w:ascii="Arial" w:cs="Arial" w:eastAsia="Arial" w:hAnsi="Arial"/>
          <w:sz w:val="17"/>
          <w:szCs w:val="17"/>
          <w:color w:val="auto"/>
        </w:rPr>
        <w:t>” below)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Nonstatutory Stock Options.</w:t>
      </w:r>
    </w:p>
    <w:p>
      <w:pPr>
        <w:spacing w:after="0" w:line="194"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Options not designated or qualifying as incentive stock options will be nonstatutory stock options having no special tax status. An optionee generally recognizes no taxable income as the result of the grant of such an option. Upon exercise of a nonstatutory stock option, the optionee normally recognizes ordinary income in the amount of the difference between the option exercise price and the fair market value of the shares on the determination date (as defined below). If the optionee is an employee, such ordinary income generally is subject to withholding of income and employment taxes.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8" w:name="page19"/>
    <w:bookmarkEnd w:id="18"/>
    <w:p>
      <w:pPr>
        <w:spacing w:after="0" w:line="243" w:lineRule="auto"/>
        <w:rPr>
          <w:sz w:val="20"/>
          <w:szCs w:val="20"/>
          <w:color w:val="auto"/>
        </w:rPr>
      </w:pPr>
      <w:r>
        <w:rPr>
          <w:rFonts w:ascii="Arial" w:cs="Arial" w:eastAsia="Arial" w:hAnsi="Arial"/>
          <w:sz w:val="17"/>
          <w:szCs w:val="17"/>
          <w:color w:val="auto"/>
        </w:rPr>
        <w:t>The “determination date” is the date on which a nonstatutory stock option is exercised unless the shares are subject to a substantial risk of forfeiture (as in the case where an optionee is permitted to exercise an unvested option and receive unvested shares which, until they vest, are subject to the Company’s right to repurchase them at the original exercise price upon the optionee’s termination of service) and are not transferable, in which case the determination date is the earlier of (i) the date on which the shares become transferable or (ii) the date on which the shares are no longer subject to a substantial risk of forfeiture. If the determination date is after the exercise date, the optionee may elect, pursuant to Section 83(b) of the Code, to have the exercise date be the determination date by filing an election with the Internal Revenue Service no later than 30 days after the date the option is exercised. Upon the sale of stock acquired by the exercise of a nonstatutory stock option, any gain or loss, based on the difference between the sale price and the fair market value on the determination date, will be taxed as capital gain or loss. No tax deduction is available to the Company with respect to the grant of a nonstatutory stock option or the sale of the stock acquired pursuant to such grant. The Company generally should be entitled to a deduction equal to the amount of ordinary income recognized by the optionee as a result of the exercise of a nonstatutory stock option, except to the extent such deduction is limited by applicable provisions of the Code.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94" w:lineRule="exact"/>
        <w:rPr>
          <w:sz w:val="20"/>
          <w:szCs w:val="20"/>
          <w:color w:val="auto"/>
        </w:rPr>
      </w:pPr>
    </w:p>
    <w:p>
      <w:pPr>
        <w:jc w:val="both"/>
        <w:ind w:right="160"/>
        <w:spacing w:after="0" w:line="259" w:lineRule="auto"/>
        <w:rPr>
          <w:sz w:val="20"/>
          <w:szCs w:val="20"/>
          <w:color w:val="auto"/>
        </w:rPr>
      </w:pPr>
      <w:r>
        <w:rPr>
          <w:rFonts w:ascii="Arial" w:cs="Arial" w:eastAsia="Arial" w:hAnsi="Arial"/>
          <w:sz w:val="17"/>
          <w:szCs w:val="17"/>
          <w:color w:val="auto"/>
        </w:rPr>
        <w:t>No taxable income is recognized when a stock appreciation right is granted to a participant. Upon exercise, the participant will recognize ordinary income in an amount equal to the amount of cash received and the fair market value of any shares of our common stock received. Any additional gain or loss recognized upon any later disposition of the shares would be capital gain or loss.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94"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A participant acquiring restricted stock generally will recognize ordinary income equal to the fair market value of the shares on the “determination date” (as defined above under “Nonstatutory Stock Options”). If the participant is an employee, such ordinary income generally is subject to withholding of income and employment taxes. If the determination date is after the date on which the participant acquires the shares, the participant may elect, pursuant to Section 83(b) of the Code, to have the date of acquisition be the determination date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and Restricted Stock Units Awards.</w:t>
      </w:r>
    </w:p>
    <w:p>
      <w:pPr>
        <w:spacing w:after="0" w:line="19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 participant generally will recognize no income upon the grant of performance shares (including PSUs), performance units, RSUs and cash-based performance bonus opportunities. Upon the settlement and/or payment of such awards, participants normally will recognize ordinary income in the year of receipt in an amount equal to the cash received and the fair market value of any nonrestricted shares received. If the participant is an employee, such ordinary income generally is subject to withholding of income and employment taxes. If the participant receives shares of restricted stock, the participant generally will be taxed in the same manner as described above (see discussion under “</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Upon the sale of any shares received, any gain or loss, based on the difference between the sale price and the fair market value on the “determination date” (as defined above under “</w:t>
      </w:r>
      <w:r>
        <w:rPr>
          <w:rFonts w:ascii="Arial" w:cs="Arial" w:eastAsia="Arial" w:hAnsi="Arial"/>
          <w:sz w:val="17"/>
          <w:szCs w:val="17"/>
          <w:b w:val="1"/>
          <w:bCs w:val="1"/>
          <w:i w:val="1"/>
          <w:iCs w:val="1"/>
          <w:color w:val="auto"/>
        </w:rPr>
        <w:t>Nonstatutory Stock Options</w:t>
      </w:r>
      <w:r>
        <w:rPr>
          <w:rFonts w:ascii="Arial" w:cs="Arial" w:eastAsia="Arial" w:hAnsi="Arial"/>
          <w:sz w:val="17"/>
          <w:szCs w:val="17"/>
          <w:color w:val="auto"/>
        </w:rPr>
        <w:t>”),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Stock Unit Awards.</w:t>
      </w:r>
    </w:p>
    <w:p>
      <w:pPr>
        <w:spacing w:after="0" w:line="194"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A participant generally will recognize no income upon the grant of a Deferred Stock Unit Award. Upon the settlement of such an award, the participant normally will recognize ordinary income in the year of settlement in an amount equal to the fair market value of any unrestricted shares of our common stock received. Upon the sale of any shares received,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Stock-Based Awards.</w:t>
      </w:r>
    </w:p>
    <w:p>
      <w:pPr>
        <w:spacing w:after="0" w:line="19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A participant generally will recognize income with respect to any other stock-based award at the time and in the manner required by the applicable provisions of the Code and such taxation will depend upon the specifics of any such award. Upon the sale of any shares received,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Section 162(m) or other applicable provisions of the Code.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9" w:name="page20"/>
    <w:bookmarkEnd w:id="19"/>
    <w:p>
      <w:pPr>
        <w:spacing w:after="0"/>
        <w:rPr>
          <w:sz w:val="20"/>
          <w:szCs w:val="20"/>
          <w:color w:val="auto"/>
        </w:rPr>
      </w:pPr>
      <w:r>
        <w:rPr>
          <w:rFonts w:ascii="Arial" w:cs="Arial" w:eastAsia="Arial" w:hAnsi="Arial"/>
          <w:sz w:val="19"/>
          <w:szCs w:val="19"/>
          <w:b w:val="1"/>
          <w:bCs w:val="1"/>
          <w:color w:val="2D53A6"/>
        </w:rPr>
        <w:t>New Plan Benefits</w:t>
      </w:r>
    </w:p>
    <w:p>
      <w:pPr>
        <w:spacing w:after="0" w:line="19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Stock Options Granted to Certain Individuals and Groups . The number of awards (if any) that an individual may receive under the 2026 Plan in the future is at the discretion of the Compensation Committee and therefore cannot be determined in advance of grant. Our executive officers and non-employee directors are eligible to receive awards under the 2026 Plan and, accordingly, our executive officers and non-employee directors have an interest in this proposal</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Prior Grants Under the 2026 Plan</w:t>
      </w:r>
    </w:p>
    <w:p>
      <w:pPr>
        <w:spacing w:after="0" w:line="19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following table shows, for each of the individuals and the various groups indicated, the number of shares of our common stock subject to equity awards that have been granted (even if not currently outstanding) under the 2026 Plan since its initial approval by our stockholders on May 15, 2026 through October 23, 2026, which equity awards will be ratified if this Proposal 3 is approved.</w:t>
      </w:r>
    </w:p>
    <w:p>
      <w:pPr>
        <w:sectPr>
          <w:pgSz w:w="11900" w:h="16838" w:orient="portrait"/>
          <w:cols w:equalWidth="0" w:num="1">
            <w:col w:w="11240"/>
          </w:cols>
          <w:pgMar w:left="320" w:top="5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Name and Position</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23"/>
          <w:szCs w:val="23"/>
          <w:b w:val="1"/>
          <w:bCs w:val="1"/>
          <w:color w:val="FFFFFF"/>
        </w:rPr>
        <w:t>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-153035</wp:posOffset>
            </wp:positionV>
            <wp:extent cx="7137400" cy="544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7400" cy="54483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Options</w:t>
      </w:r>
    </w:p>
    <w:p>
      <w:pPr>
        <w:spacing w:after="0" w:line="10"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Granted</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320"/>
        <w:spacing w:after="0" w:line="262" w:lineRule="auto"/>
        <w:rPr>
          <w:sz w:val="20"/>
          <w:szCs w:val="20"/>
          <w:color w:val="auto"/>
        </w:rPr>
      </w:pPr>
      <w:r>
        <w:rPr>
          <w:rFonts w:ascii="Arial" w:cs="Arial" w:eastAsia="Arial" w:hAnsi="Arial"/>
          <w:sz w:val="24"/>
          <w:szCs w:val="24"/>
          <w:b w:val="1"/>
          <w:bCs w:val="1"/>
          <w:color w:val="FFFFFF"/>
        </w:rPr>
        <w:t>Number of RSUs/PSUs Granted</w:t>
      </w:r>
    </w:p>
    <w:p>
      <w:pPr>
        <w:spacing w:after="0" w:line="1" w:lineRule="exact"/>
        <w:rPr>
          <w:sz w:val="20"/>
          <w:szCs w:val="20"/>
          <w:color w:val="auto"/>
        </w:rPr>
      </w:pPr>
    </w:p>
    <w:p>
      <w:pPr>
        <w:sectPr>
          <w:pgSz w:w="11900" w:h="16838" w:orient="portrait"/>
          <w:cols w:equalWidth="0" w:num="3">
            <w:col w:w="7060" w:space="720"/>
            <w:col w:w="1200" w:space="580"/>
            <w:col w:w="1680"/>
          </w:cols>
          <w:pgMar w:left="320" w:top="55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20"/>
                <w:szCs w:val="20"/>
                <w:color w:val="auto"/>
              </w:rPr>
            </w:pPr>
            <w:r>
              <w:rPr>
                <w:rFonts w:ascii="Arial" w:cs="Arial" w:eastAsia="Arial" w:hAnsi="Arial"/>
                <w:sz w:val="17"/>
                <w:szCs w:val="17"/>
                <w:color w:val="auto"/>
              </w:rPr>
              <w:t>Luis A. Müller President and Chief Executive Officer</w:t>
            </w:r>
          </w:p>
        </w:tc>
        <w:tc>
          <w:tcPr>
            <w:tcW w:w="1840" w:type="dxa"/>
            <w:vAlign w:val="bottom"/>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195"/>
        </w:trPr>
        <w:tc>
          <w:tcPr>
            <w:tcW w:w="8140" w:type="dxa"/>
            <w:vAlign w:val="bottom"/>
            <w:shd w:val="clear" w:color="auto" w:fill="E6E6E6"/>
          </w:tcPr>
          <w:p>
            <w:pPr>
              <w:spacing w:after="0"/>
              <w:rPr>
                <w:sz w:val="20"/>
                <w:szCs w:val="20"/>
                <w:color w:val="auto"/>
              </w:rPr>
            </w:pPr>
            <w:r>
              <w:rPr>
                <w:rFonts w:ascii="Arial" w:cs="Arial" w:eastAsia="Arial" w:hAnsi="Arial"/>
                <w:sz w:val="17"/>
                <w:szCs w:val="17"/>
                <w:color w:val="auto"/>
              </w:rPr>
              <w:t>Jeffrey D. Jones Senior Vice President Finance and Chief Financial Officer</w:t>
            </w:r>
          </w:p>
        </w:tc>
        <w:tc>
          <w:tcPr>
            <w:tcW w:w="1840" w:type="dxa"/>
            <w:vAlign w:val="bottom"/>
            <w:shd w:val="clear" w:color="auto" w:fill="E6E6E6"/>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shd w:val="clear" w:color="auto" w:fill="E6E6E6"/>
          </w:tcPr>
          <w:p>
            <w:pPr>
              <w:jc w:val="right"/>
              <w:ind w:right="13"/>
              <w:spacing w:after="0"/>
              <w:rPr>
                <w:sz w:val="20"/>
                <w:szCs w:val="20"/>
                <w:color w:val="auto"/>
              </w:rPr>
            </w:pPr>
            <w:r>
              <w:rPr>
                <w:rFonts w:ascii="Arial" w:cs="Arial" w:eastAsia="Arial" w:hAnsi="Arial"/>
                <w:sz w:val="17"/>
                <w:szCs w:val="17"/>
                <w:color w:val="auto"/>
              </w:rPr>
              <w:t>-</w:t>
            </w:r>
          </w:p>
        </w:tc>
      </w:tr>
      <w:tr>
        <w:trPr>
          <w:trHeight w:val="195"/>
        </w:trPr>
        <w:tc>
          <w:tcPr>
            <w:tcW w:w="8140" w:type="dxa"/>
            <w:vAlign w:val="bottom"/>
          </w:tcPr>
          <w:p>
            <w:pPr>
              <w:spacing w:after="0"/>
              <w:rPr>
                <w:sz w:val="20"/>
                <w:szCs w:val="20"/>
                <w:color w:val="auto"/>
              </w:rPr>
            </w:pPr>
            <w:r>
              <w:rPr>
                <w:rFonts w:ascii="Arial" w:cs="Arial" w:eastAsia="Arial" w:hAnsi="Arial"/>
                <w:sz w:val="17"/>
                <w:szCs w:val="17"/>
                <w:color w:val="auto"/>
              </w:rPr>
              <w:t>Christopher G. Bohrson Senior Vice President and Chief Customer Officer</w:t>
            </w:r>
          </w:p>
        </w:tc>
        <w:tc>
          <w:tcPr>
            <w:tcW w:w="1840" w:type="dxa"/>
            <w:vAlign w:val="bottom"/>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195"/>
        </w:trPr>
        <w:tc>
          <w:tcPr>
            <w:tcW w:w="8140" w:type="dxa"/>
            <w:vAlign w:val="bottom"/>
            <w:shd w:val="clear" w:color="auto" w:fill="E6E6E6"/>
          </w:tcPr>
          <w:p>
            <w:pPr>
              <w:spacing w:after="0"/>
              <w:rPr>
                <w:sz w:val="20"/>
                <w:szCs w:val="20"/>
                <w:color w:val="auto"/>
              </w:rPr>
            </w:pPr>
            <w:r>
              <w:rPr>
                <w:rFonts w:ascii="Arial" w:cs="Arial" w:eastAsia="Arial" w:hAnsi="Arial"/>
                <w:sz w:val="17"/>
                <w:szCs w:val="17"/>
                <w:color w:val="auto"/>
              </w:rPr>
              <w:t>Klaus Ilgenfritz Senior Vice President and Chief Product Officer</w:t>
            </w:r>
          </w:p>
        </w:tc>
        <w:tc>
          <w:tcPr>
            <w:tcW w:w="1840" w:type="dxa"/>
            <w:vAlign w:val="bottom"/>
            <w:shd w:val="clear" w:color="auto" w:fill="E6E6E6"/>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shd w:val="clear" w:color="auto" w:fill="E6E6E6"/>
          </w:tcPr>
          <w:p>
            <w:pPr>
              <w:jc w:val="right"/>
              <w:ind w:right="13"/>
              <w:spacing w:after="0"/>
              <w:rPr>
                <w:sz w:val="20"/>
                <w:szCs w:val="20"/>
                <w:color w:val="auto"/>
              </w:rPr>
            </w:pPr>
            <w:r>
              <w:rPr>
                <w:rFonts w:ascii="Arial" w:cs="Arial" w:eastAsia="Arial" w:hAnsi="Arial"/>
                <w:sz w:val="17"/>
                <w:szCs w:val="17"/>
                <w:color w:val="auto"/>
              </w:rPr>
              <w:t>-</w:t>
            </w:r>
          </w:p>
        </w:tc>
      </w:tr>
      <w:tr>
        <w:trPr>
          <w:trHeight w:val="195"/>
        </w:trPr>
        <w:tc>
          <w:tcPr>
            <w:tcW w:w="8140" w:type="dxa"/>
            <w:vAlign w:val="bottom"/>
          </w:tcPr>
          <w:p>
            <w:pPr>
              <w:spacing w:after="0"/>
              <w:rPr>
                <w:sz w:val="20"/>
                <w:szCs w:val="20"/>
                <w:color w:val="auto"/>
              </w:rPr>
            </w:pPr>
            <w:r>
              <w:rPr>
                <w:rFonts w:ascii="Arial" w:cs="Arial" w:eastAsia="Arial" w:hAnsi="Arial"/>
                <w:sz w:val="17"/>
                <w:szCs w:val="17"/>
                <w:color w:val="auto"/>
              </w:rPr>
              <w:t>All current executive officers, as a group (4 persons)</w:t>
            </w:r>
          </w:p>
        </w:tc>
        <w:tc>
          <w:tcPr>
            <w:tcW w:w="1840" w:type="dxa"/>
            <w:vAlign w:val="bottom"/>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195"/>
        </w:trPr>
        <w:tc>
          <w:tcPr>
            <w:tcW w:w="8140" w:type="dxa"/>
            <w:vAlign w:val="bottom"/>
            <w:shd w:val="clear" w:color="auto" w:fill="E6E6E6"/>
          </w:tcPr>
          <w:p>
            <w:pPr>
              <w:spacing w:after="0"/>
              <w:rPr>
                <w:sz w:val="20"/>
                <w:szCs w:val="20"/>
                <w:color w:val="auto"/>
              </w:rPr>
            </w:pPr>
            <w:r>
              <w:rPr>
                <w:rFonts w:ascii="Arial" w:cs="Arial" w:eastAsia="Arial" w:hAnsi="Arial"/>
                <w:sz w:val="17"/>
                <w:szCs w:val="17"/>
                <w:color w:val="auto"/>
              </w:rPr>
              <w:t>All current non-employee directors who are not executive officers, as a group (9 persons)</w:t>
            </w:r>
          </w:p>
        </w:tc>
        <w:tc>
          <w:tcPr>
            <w:tcW w:w="1840" w:type="dxa"/>
            <w:vAlign w:val="bottom"/>
            <w:shd w:val="clear" w:color="auto" w:fill="E6E6E6"/>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shd w:val="clear" w:color="auto" w:fill="E6E6E6"/>
          </w:tcPr>
          <w:p>
            <w:pPr>
              <w:jc w:val="right"/>
              <w:ind w:right="13"/>
              <w:spacing w:after="0"/>
              <w:rPr>
                <w:sz w:val="20"/>
                <w:szCs w:val="20"/>
                <w:color w:val="auto"/>
              </w:rPr>
            </w:pPr>
            <w:r>
              <w:rPr>
                <w:rFonts w:ascii="Arial" w:cs="Arial" w:eastAsia="Arial" w:hAnsi="Arial"/>
                <w:sz w:val="17"/>
                <w:szCs w:val="17"/>
                <w:color w:val="auto"/>
              </w:rPr>
              <w:t>28,624</w:t>
            </w:r>
          </w:p>
        </w:tc>
      </w:tr>
      <w:tr>
        <w:trPr>
          <w:trHeight w:val="178"/>
        </w:trPr>
        <w:tc>
          <w:tcPr>
            <w:tcW w:w="8140" w:type="dxa"/>
            <w:vAlign w:val="bottom"/>
          </w:tcPr>
          <w:p>
            <w:pPr>
              <w:spacing w:after="0" w:line="178" w:lineRule="exact"/>
              <w:rPr>
                <w:sz w:val="20"/>
                <w:szCs w:val="20"/>
                <w:color w:val="auto"/>
              </w:rPr>
            </w:pPr>
            <w:r>
              <w:rPr>
                <w:rFonts w:ascii="Arial" w:cs="Arial" w:eastAsia="Arial" w:hAnsi="Arial"/>
                <w:sz w:val="17"/>
                <w:szCs w:val="17"/>
                <w:color w:val="auto"/>
              </w:rPr>
              <w:t>Each nominee for election as a director:</w:t>
            </w:r>
          </w:p>
        </w:tc>
        <w:tc>
          <w:tcPr>
            <w:tcW w:w="18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95"/>
        </w:trPr>
        <w:tc>
          <w:tcPr>
            <w:tcW w:w="8140" w:type="dxa"/>
            <w:vAlign w:val="bottom"/>
          </w:tcPr>
          <w:p>
            <w:pPr>
              <w:ind w:left="480"/>
              <w:spacing w:after="0"/>
              <w:rPr>
                <w:sz w:val="20"/>
                <w:szCs w:val="20"/>
                <w:color w:val="auto"/>
              </w:rPr>
            </w:pPr>
            <w:r>
              <w:rPr>
                <w:rFonts w:ascii="Arial" w:cs="Arial" w:eastAsia="Arial" w:hAnsi="Arial"/>
                <w:sz w:val="17"/>
                <w:szCs w:val="17"/>
                <w:color w:val="auto"/>
              </w:rPr>
              <w:t>Andrew M. Caggia</w:t>
            </w:r>
          </w:p>
        </w:tc>
        <w:tc>
          <w:tcPr>
            <w:tcW w:w="1840" w:type="dxa"/>
            <w:vAlign w:val="bottom"/>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
              <w:spacing w:after="0"/>
              <w:rPr>
                <w:sz w:val="20"/>
                <w:szCs w:val="20"/>
                <w:color w:val="auto"/>
              </w:rPr>
            </w:pPr>
            <w:r>
              <w:rPr>
                <w:rFonts w:ascii="Arial" w:cs="Arial" w:eastAsia="Arial" w:hAnsi="Arial"/>
                <w:sz w:val="17"/>
                <w:szCs w:val="17"/>
                <w:color w:val="auto"/>
              </w:rPr>
              <w:t>3,578</w:t>
            </w:r>
          </w:p>
        </w:tc>
      </w:tr>
      <w:tr>
        <w:trPr>
          <w:trHeight w:val="195"/>
        </w:trPr>
        <w:tc>
          <w:tcPr>
            <w:tcW w:w="8140" w:type="dxa"/>
            <w:vAlign w:val="bottom"/>
          </w:tcPr>
          <w:p>
            <w:pPr>
              <w:ind w:left="480"/>
              <w:spacing w:after="0"/>
              <w:rPr>
                <w:sz w:val="20"/>
                <w:szCs w:val="20"/>
                <w:color w:val="auto"/>
              </w:rPr>
            </w:pPr>
            <w:r>
              <w:rPr>
                <w:rFonts w:ascii="Arial" w:cs="Arial" w:eastAsia="Arial" w:hAnsi="Arial"/>
                <w:sz w:val="17"/>
                <w:szCs w:val="17"/>
                <w:color w:val="auto"/>
              </w:rPr>
              <w:t>Yon Y. Jorden</w:t>
            </w:r>
          </w:p>
        </w:tc>
        <w:tc>
          <w:tcPr>
            <w:tcW w:w="1840" w:type="dxa"/>
            <w:vAlign w:val="bottom"/>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
              <w:spacing w:after="0"/>
              <w:rPr>
                <w:sz w:val="20"/>
                <w:szCs w:val="20"/>
                <w:color w:val="auto"/>
              </w:rPr>
            </w:pPr>
            <w:r>
              <w:rPr>
                <w:rFonts w:ascii="Arial" w:cs="Arial" w:eastAsia="Arial" w:hAnsi="Arial"/>
                <w:sz w:val="17"/>
                <w:szCs w:val="17"/>
                <w:color w:val="auto"/>
              </w:rPr>
              <w:t>3,578</w:t>
            </w:r>
          </w:p>
        </w:tc>
      </w:tr>
      <w:tr>
        <w:trPr>
          <w:trHeight w:val="195"/>
        </w:trPr>
        <w:tc>
          <w:tcPr>
            <w:tcW w:w="8140" w:type="dxa"/>
            <w:vAlign w:val="bottom"/>
          </w:tcPr>
          <w:p>
            <w:pPr>
              <w:ind w:left="480"/>
              <w:spacing w:after="0"/>
              <w:rPr>
                <w:sz w:val="20"/>
                <w:szCs w:val="20"/>
                <w:color w:val="auto"/>
              </w:rPr>
            </w:pPr>
            <w:r>
              <w:rPr>
                <w:rFonts w:ascii="Arial" w:cs="Arial" w:eastAsia="Arial" w:hAnsi="Arial"/>
                <w:sz w:val="17"/>
                <w:szCs w:val="17"/>
                <w:color w:val="auto"/>
              </w:rPr>
              <w:t>Luis A. Müller</w:t>
            </w:r>
          </w:p>
        </w:tc>
        <w:tc>
          <w:tcPr>
            <w:tcW w:w="1840" w:type="dxa"/>
            <w:vAlign w:val="bottom"/>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195"/>
        </w:trPr>
        <w:tc>
          <w:tcPr>
            <w:tcW w:w="8140" w:type="dxa"/>
            <w:vAlign w:val="bottom"/>
          </w:tcPr>
          <w:p>
            <w:pPr>
              <w:ind w:left="480"/>
              <w:spacing w:after="0"/>
              <w:rPr>
                <w:sz w:val="20"/>
                <w:szCs w:val="20"/>
                <w:color w:val="auto"/>
              </w:rPr>
            </w:pPr>
            <w:r>
              <w:rPr>
                <w:rFonts w:ascii="Arial" w:cs="Arial" w:eastAsia="Arial" w:hAnsi="Arial"/>
                <w:sz w:val="17"/>
                <w:szCs w:val="17"/>
                <w:color w:val="auto"/>
              </w:rPr>
              <w:t>Steven J. Bilodeau</w:t>
            </w:r>
          </w:p>
        </w:tc>
        <w:tc>
          <w:tcPr>
            <w:tcW w:w="1840" w:type="dxa"/>
            <w:vAlign w:val="bottom"/>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
              <w:spacing w:after="0"/>
              <w:rPr>
                <w:sz w:val="20"/>
                <w:szCs w:val="20"/>
                <w:color w:val="auto"/>
              </w:rPr>
            </w:pPr>
            <w:r>
              <w:rPr>
                <w:rFonts w:ascii="Arial" w:cs="Arial" w:eastAsia="Arial" w:hAnsi="Arial"/>
                <w:sz w:val="17"/>
                <w:szCs w:val="17"/>
                <w:color w:val="auto"/>
              </w:rPr>
              <w:t>3,578</w:t>
            </w:r>
          </w:p>
        </w:tc>
      </w:tr>
      <w:tr>
        <w:trPr>
          <w:trHeight w:val="195"/>
        </w:trPr>
        <w:tc>
          <w:tcPr>
            <w:tcW w:w="8140" w:type="dxa"/>
            <w:vAlign w:val="bottom"/>
          </w:tcPr>
          <w:p>
            <w:pPr>
              <w:ind w:left="480"/>
              <w:spacing w:after="0"/>
              <w:rPr>
                <w:sz w:val="20"/>
                <w:szCs w:val="20"/>
                <w:color w:val="auto"/>
              </w:rPr>
            </w:pPr>
            <w:r>
              <w:rPr>
                <w:rFonts w:ascii="Arial" w:cs="Arial" w:eastAsia="Arial" w:hAnsi="Arial"/>
                <w:sz w:val="17"/>
                <w:szCs w:val="17"/>
                <w:color w:val="auto"/>
              </w:rPr>
              <w:t>James A. Donahue</w:t>
            </w:r>
          </w:p>
        </w:tc>
        <w:tc>
          <w:tcPr>
            <w:tcW w:w="1840" w:type="dxa"/>
            <w:vAlign w:val="bottom"/>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
              <w:spacing w:after="0"/>
              <w:rPr>
                <w:sz w:val="20"/>
                <w:szCs w:val="20"/>
                <w:color w:val="auto"/>
              </w:rPr>
            </w:pPr>
            <w:r>
              <w:rPr>
                <w:rFonts w:ascii="Arial" w:cs="Arial" w:eastAsia="Arial" w:hAnsi="Arial"/>
                <w:sz w:val="17"/>
                <w:szCs w:val="17"/>
                <w:color w:val="auto"/>
              </w:rPr>
              <w:t>3,578</w:t>
            </w:r>
          </w:p>
        </w:tc>
      </w:tr>
      <w:tr>
        <w:trPr>
          <w:trHeight w:val="195"/>
        </w:trPr>
        <w:tc>
          <w:tcPr>
            <w:tcW w:w="8140" w:type="dxa"/>
            <w:vAlign w:val="bottom"/>
          </w:tcPr>
          <w:p>
            <w:pPr>
              <w:ind w:left="480"/>
              <w:spacing w:after="0"/>
              <w:rPr>
                <w:sz w:val="20"/>
                <w:szCs w:val="20"/>
                <w:color w:val="auto"/>
              </w:rPr>
            </w:pPr>
            <w:r>
              <w:rPr>
                <w:rFonts w:ascii="Arial" w:cs="Arial" w:eastAsia="Arial" w:hAnsi="Arial"/>
                <w:sz w:val="17"/>
                <w:szCs w:val="17"/>
                <w:color w:val="auto"/>
              </w:rPr>
              <w:t>Andreas W. Mattes</w:t>
            </w:r>
          </w:p>
        </w:tc>
        <w:tc>
          <w:tcPr>
            <w:tcW w:w="1840" w:type="dxa"/>
            <w:vAlign w:val="bottom"/>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
              <w:spacing w:after="0"/>
              <w:rPr>
                <w:sz w:val="20"/>
                <w:szCs w:val="20"/>
                <w:color w:val="auto"/>
              </w:rPr>
            </w:pPr>
            <w:r>
              <w:rPr>
                <w:rFonts w:ascii="Arial" w:cs="Arial" w:eastAsia="Arial" w:hAnsi="Arial"/>
                <w:sz w:val="17"/>
                <w:szCs w:val="17"/>
                <w:color w:val="auto"/>
              </w:rPr>
              <w:t>3,578</w:t>
            </w:r>
          </w:p>
        </w:tc>
      </w:tr>
      <w:tr>
        <w:trPr>
          <w:trHeight w:val="195"/>
        </w:trPr>
        <w:tc>
          <w:tcPr>
            <w:tcW w:w="8140" w:type="dxa"/>
            <w:vAlign w:val="bottom"/>
          </w:tcPr>
          <w:p>
            <w:pPr>
              <w:ind w:left="480"/>
              <w:spacing w:after="0"/>
              <w:rPr>
                <w:sz w:val="20"/>
                <w:szCs w:val="20"/>
                <w:color w:val="auto"/>
              </w:rPr>
            </w:pPr>
            <w:r>
              <w:rPr>
                <w:rFonts w:ascii="Arial" w:cs="Arial" w:eastAsia="Arial" w:hAnsi="Arial"/>
                <w:sz w:val="17"/>
                <w:szCs w:val="17"/>
                <w:color w:val="auto"/>
              </w:rPr>
              <w:t>William E. Bendush</w:t>
            </w:r>
          </w:p>
        </w:tc>
        <w:tc>
          <w:tcPr>
            <w:tcW w:w="1840" w:type="dxa"/>
            <w:vAlign w:val="bottom"/>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
              <w:spacing w:after="0"/>
              <w:rPr>
                <w:sz w:val="20"/>
                <w:szCs w:val="20"/>
                <w:color w:val="auto"/>
              </w:rPr>
            </w:pPr>
            <w:r>
              <w:rPr>
                <w:rFonts w:ascii="Arial" w:cs="Arial" w:eastAsia="Arial" w:hAnsi="Arial"/>
                <w:sz w:val="17"/>
                <w:szCs w:val="17"/>
                <w:color w:val="auto"/>
              </w:rPr>
              <w:t>3,578</w:t>
            </w:r>
          </w:p>
        </w:tc>
      </w:tr>
      <w:tr>
        <w:trPr>
          <w:trHeight w:val="195"/>
        </w:trPr>
        <w:tc>
          <w:tcPr>
            <w:tcW w:w="8140" w:type="dxa"/>
            <w:vAlign w:val="bottom"/>
          </w:tcPr>
          <w:p>
            <w:pPr>
              <w:ind w:left="480"/>
              <w:spacing w:after="0"/>
              <w:rPr>
                <w:sz w:val="20"/>
                <w:szCs w:val="20"/>
                <w:color w:val="auto"/>
              </w:rPr>
            </w:pPr>
            <w:r>
              <w:rPr>
                <w:rFonts w:ascii="Arial" w:cs="Arial" w:eastAsia="Arial" w:hAnsi="Arial"/>
                <w:sz w:val="17"/>
                <w:szCs w:val="17"/>
                <w:color w:val="auto"/>
              </w:rPr>
              <w:t>Karen M. Rapp</w:t>
            </w:r>
          </w:p>
        </w:tc>
        <w:tc>
          <w:tcPr>
            <w:tcW w:w="1840" w:type="dxa"/>
            <w:vAlign w:val="bottom"/>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
              <w:spacing w:after="0"/>
              <w:rPr>
                <w:sz w:val="20"/>
                <w:szCs w:val="20"/>
                <w:color w:val="auto"/>
              </w:rPr>
            </w:pPr>
            <w:r>
              <w:rPr>
                <w:rFonts w:ascii="Arial" w:cs="Arial" w:eastAsia="Arial" w:hAnsi="Arial"/>
                <w:sz w:val="17"/>
                <w:szCs w:val="17"/>
                <w:color w:val="auto"/>
              </w:rPr>
              <w:t>3,578</w:t>
            </w:r>
          </w:p>
        </w:tc>
      </w:tr>
      <w:tr>
        <w:trPr>
          <w:trHeight w:val="212"/>
        </w:trPr>
        <w:tc>
          <w:tcPr>
            <w:tcW w:w="8140" w:type="dxa"/>
            <w:vAlign w:val="bottom"/>
          </w:tcPr>
          <w:p>
            <w:pPr>
              <w:ind w:left="480"/>
              <w:spacing w:after="0"/>
              <w:rPr>
                <w:sz w:val="20"/>
                <w:szCs w:val="20"/>
                <w:color w:val="auto"/>
              </w:rPr>
            </w:pPr>
            <w:r>
              <w:rPr>
                <w:rFonts w:ascii="Arial" w:cs="Arial" w:eastAsia="Arial" w:hAnsi="Arial"/>
                <w:sz w:val="17"/>
                <w:szCs w:val="17"/>
                <w:color w:val="auto"/>
              </w:rPr>
              <w:t>Nina L. Richardson</w:t>
            </w:r>
          </w:p>
        </w:tc>
        <w:tc>
          <w:tcPr>
            <w:tcW w:w="1840" w:type="dxa"/>
            <w:vAlign w:val="bottom"/>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
              <w:spacing w:after="0"/>
              <w:rPr>
                <w:sz w:val="20"/>
                <w:szCs w:val="20"/>
                <w:color w:val="auto"/>
              </w:rPr>
            </w:pPr>
            <w:r>
              <w:rPr>
                <w:rFonts w:ascii="Arial" w:cs="Arial" w:eastAsia="Arial" w:hAnsi="Arial"/>
                <w:sz w:val="17"/>
                <w:szCs w:val="17"/>
                <w:color w:val="auto"/>
              </w:rPr>
              <w:t>3,578</w:t>
            </w:r>
          </w:p>
        </w:tc>
      </w:tr>
      <w:tr>
        <w:trPr>
          <w:trHeight w:val="195"/>
        </w:trPr>
        <w:tc>
          <w:tcPr>
            <w:tcW w:w="8140" w:type="dxa"/>
            <w:vAlign w:val="bottom"/>
            <w:tcBorders>
              <w:bottom w:val="single" w:sz="8" w:color="auto"/>
            </w:tcBorders>
            <w:shd w:val="clear" w:color="auto" w:fill="E6E6E6"/>
          </w:tcPr>
          <w:p>
            <w:pPr>
              <w:spacing w:after="0"/>
              <w:rPr>
                <w:sz w:val="20"/>
                <w:szCs w:val="20"/>
                <w:color w:val="auto"/>
              </w:rPr>
            </w:pPr>
            <w:r>
              <w:rPr>
                <w:rFonts w:ascii="Arial" w:cs="Arial" w:eastAsia="Arial" w:hAnsi="Arial"/>
                <w:sz w:val="17"/>
                <w:szCs w:val="17"/>
                <w:color w:val="auto"/>
              </w:rPr>
              <w:t>All other employees, Including all current officers who are not executive officers, as a group</w:t>
            </w:r>
          </w:p>
        </w:tc>
        <w:tc>
          <w:tcPr>
            <w:tcW w:w="1840" w:type="dxa"/>
            <w:vAlign w:val="bottom"/>
            <w:tcBorders>
              <w:bottom w:val="single" w:sz="8" w:color="auto"/>
            </w:tcBorders>
            <w:shd w:val="clear" w:color="auto" w:fill="E6E6E6"/>
          </w:tcPr>
          <w:p>
            <w:pPr>
              <w:jc w:val="right"/>
              <w:ind w:right="533"/>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E6E6E6"/>
          </w:tcPr>
          <w:p>
            <w:pPr>
              <w:jc w:val="right"/>
              <w:ind w:right="13"/>
              <w:spacing w:after="0"/>
              <w:rPr>
                <w:sz w:val="20"/>
                <w:szCs w:val="20"/>
                <w:color w:val="auto"/>
              </w:rPr>
            </w:pPr>
            <w:r>
              <w:rPr>
                <w:rFonts w:ascii="Arial" w:cs="Arial" w:eastAsia="Arial" w:hAnsi="Arial"/>
                <w:sz w:val="17"/>
                <w:szCs w:val="17"/>
                <w:color w:val="auto"/>
              </w:rPr>
              <w:t>57,736</w:t>
            </w:r>
          </w:p>
        </w:tc>
      </w:tr>
    </w:tbl>
    <w:p>
      <w:pPr>
        <w:spacing w:after="0" w:line="176" w:lineRule="exact"/>
        <w:rPr>
          <w:sz w:val="20"/>
          <w:szCs w:val="20"/>
          <w:color w:val="auto"/>
        </w:rPr>
      </w:pPr>
    </w:p>
    <w:p>
      <w:pPr>
        <w:ind w:right="600"/>
        <w:spacing w:after="0" w:line="292" w:lineRule="auto"/>
        <w:rPr>
          <w:sz w:val="20"/>
          <w:szCs w:val="20"/>
          <w:color w:val="auto"/>
        </w:rPr>
      </w:pPr>
      <w:r>
        <w:rPr>
          <w:rFonts w:ascii="Arial" w:cs="Arial" w:eastAsia="Arial" w:hAnsi="Arial"/>
          <w:sz w:val="17"/>
          <w:szCs w:val="17"/>
          <w:color w:val="auto"/>
        </w:rPr>
        <w:t xml:space="preserve">Governance and fiscal 2025 compensation information for our named executive officers is provided in </w:t>
      </w:r>
      <w:r>
        <w:rPr>
          <w:rFonts w:ascii="Arial" w:cs="Arial" w:eastAsia="Arial" w:hAnsi="Arial"/>
          <w:sz w:val="17"/>
          <w:szCs w:val="17"/>
          <w:b w:val="1"/>
          <w:bCs w:val="1"/>
          <w:u w:val="single" w:color="auto"/>
          <w:color w:val="auto"/>
        </w:rPr>
        <w:t>Annex E</w:t>
      </w:r>
      <w:r>
        <w:rPr>
          <w:rFonts w:ascii="Arial" w:cs="Arial" w:eastAsia="Arial" w:hAnsi="Arial"/>
          <w:sz w:val="17"/>
          <w:szCs w:val="17"/>
          <w:color w:val="auto"/>
        </w:rPr>
        <w:t xml:space="preserve">, and the related non-GAAP reconciliations are in </w:t>
      </w:r>
      <w:r>
        <w:rPr>
          <w:rFonts w:ascii="Arial" w:cs="Arial" w:eastAsia="Arial" w:hAnsi="Arial"/>
          <w:sz w:val="17"/>
          <w:szCs w:val="17"/>
          <w:b w:val="1"/>
          <w:bCs w:val="1"/>
          <w:u w:val="single" w:color="auto"/>
          <w:color w:val="auto"/>
        </w:rPr>
        <w:t>Annex F</w:t>
      </w:r>
      <w:r>
        <w:rPr>
          <w:rFonts w:ascii="Arial" w:cs="Arial" w:eastAsia="Arial" w:hAnsi="Arial"/>
          <w:sz w:val="17"/>
          <w:szCs w:val="17"/>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Vote and recommendation</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 majority of the votes cast is required to approve Proposal No. 3. Abstentions and broker non-votes will have no effect on the approval of this proposal. Brokers do not have discretion to vote on this proposal without your instruction. The treatment of uninstructed shares is described under “Questions and Answers” and “Voting Requirements.”</w:t>
      </w:r>
    </w:p>
    <w:p>
      <w:pPr>
        <w:spacing w:after="0" w:line="147"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The Board of Directors unanimously recommends a vote “FOR” ratification of the adoption of the Cohu 2026 Equity Incentive Plan. The Board of Directors believes that ratification of the adoption of the 2026 Plan is in the best interests of the Company and its stockholders for the reasons stated above. Therefore, the Board unanimously recommends a vote “FOR” ratification of the adoption of the 2026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4"/>
          <w:szCs w:val="24"/>
          <w:b w:val="1"/>
          <w:bCs w:val="1"/>
          <w:color w:val="auto"/>
        </w:rPr>
        <w:t>Proposal 4: Ratification of the Amended and Restated 1997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374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The action to be ratified</w:t>
      </w:r>
    </w:p>
    <w:p>
      <w:pPr>
        <w:spacing w:after="0" w:line="197"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We are asking stockholders to ratify the adoption of an amendment and restatement of our 1997 Employee Stock Purchase Plan (the “</w:t>
      </w:r>
      <w:r>
        <w:rPr>
          <w:rFonts w:ascii="Arial" w:cs="Arial" w:eastAsia="Arial" w:hAnsi="Arial"/>
          <w:sz w:val="17"/>
          <w:szCs w:val="17"/>
          <w:b w:val="1"/>
          <w:bCs w:val="1"/>
          <w:i w:val="1"/>
          <w:iCs w:val="1"/>
          <w:color w:val="auto"/>
        </w:rPr>
        <w:t>1997</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ESPP</w:t>
      </w:r>
      <w:r>
        <w:rPr>
          <w:rFonts w:ascii="Arial" w:cs="Arial" w:eastAsia="Arial" w:hAnsi="Arial"/>
          <w:sz w:val="17"/>
          <w:szCs w:val="17"/>
          <w:color w:val="auto"/>
        </w:rPr>
        <w:t>”) to increase the number of shares that may be issued under the 1997 ESPP by an additional 600,000 shares, including the stockholder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approval obtained on May 15, 2026. As amended and restated on May 15, 2026 (the “Amended and Restated 1997 ESPP”), our Amended and Restated 1997 ESPP increased the number of shares of common stock available for issuance by an additional 600,000 shares to 4,350,000 shares. Other than this increase to the share reserve the terms of the Amended and Restated 1997 ESPP were materially the same as the terms of the 1997 ESPP.</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historical vote reported for the amendment and restatement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1776730</wp:posOffset>
            </wp:positionH>
            <wp:positionV relativeFrom="paragraph">
              <wp:posOffset>133985</wp:posOffset>
            </wp:positionV>
            <wp:extent cx="8255" cy="3467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133985</wp:posOffset>
            </wp:positionV>
            <wp:extent cx="8255" cy="3467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5340985</wp:posOffset>
            </wp:positionH>
            <wp:positionV relativeFrom="paragraph">
              <wp:posOffset>133985</wp:posOffset>
            </wp:positionV>
            <wp:extent cx="8255" cy="3467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34671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880" w:type="dxa"/>
            <w:vAlign w:val="bottom"/>
            <w:shd w:val="clear" w:color="auto" w:fill="2D53A6"/>
          </w:tcPr>
          <w:p>
            <w:pPr>
              <w:ind w:left="40"/>
              <w:spacing w:after="0"/>
              <w:rPr>
                <w:sz w:val="20"/>
                <w:szCs w:val="20"/>
                <w:color w:val="auto"/>
              </w:rPr>
            </w:pPr>
            <w:r>
              <w:rPr>
                <w:rFonts w:ascii="Arial" w:cs="Arial" w:eastAsia="Arial" w:hAnsi="Arial"/>
                <w:sz w:val="17"/>
                <w:szCs w:val="17"/>
                <w:b w:val="1"/>
                <w:bCs w:val="1"/>
                <w:color w:val="FFFFFF"/>
              </w:rPr>
              <w:t>FOR</w:t>
            </w:r>
          </w:p>
        </w:tc>
        <w:tc>
          <w:tcPr>
            <w:tcW w:w="2760" w:type="dxa"/>
            <w:vAlign w:val="bottom"/>
            <w:shd w:val="clear" w:color="auto" w:fill="2D53A6"/>
          </w:tcPr>
          <w:p>
            <w:pPr>
              <w:ind w:left="960"/>
              <w:spacing w:after="0"/>
              <w:rPr>
                <w:sz w:val="20"/>
                <w:szCs w:val="20"/>
                <w:color w:val="auto"/>
              </w:rPr>
            </w:pPr>
            <w:r>
              <w:rPr>
                <w:rFonts w:ascii="Arial" w:cs="Arial" w:eastAsia="Arial" w:hAnsi="Arial"/>
                <w:sz w:val="17"/>
                <w:szCs w:val="17"/>
                <w:b w:val="1"/>
                <w:bCs w:val="1"/>
                <w:color w:val="FFFFFF"/>
              </w:rPr>
              <w:t>AGAINST</w:t>
            </w:r>
          </w:p>
        </w:tc>
        <w:tc>
          <w:tcPr>
            <w:tcW w:w="2800" w:type="dxa"/>
            <w:vAlign w:val="bottom"/>
            <w:shd w:val="clear" w:color="auto" w:fill="2D53A6"/>
          </w:tcPr>
          <w:p>
            <w:pPr>
              <w:ind w:left="1020"/>
              <w:spacing w:after="0"/>
              <w:rPr>
                <w:sz w:val="20"/>
                <w:szCs w:val="20"/>
                <w:color w:val="auto"/>
              </w:rPr>
            </w:pPr>
            <w:r>
              <w:rPr>
                <w:rFonts w:ascii="Arial" w:cs="Arial" w:eastAsia="Arial" w:hAnsi="Arial"/>
                <w:sz w:val="17"/>
                <w:szCs w:val="17"/>
                <w:b w:val="1"/>
                <w:bCs w:val="1"/>
                <w:color w:val="FFFFFF"/>
              </w:rPr>
              <w:t>ABSTAIN</w:t>
            </w:r>
          </w:p>
        </w:tc>
        <w:tc>
          <w:tcPr>
            <w:tcW w:w="3800" w:type="dxa"/>
            <w:vAlign w:val="bottom"/>
            <w:shd w:val="clear" w:color="auto" w:fill="2D53A6"/>
          </w:tcPr>
          <w:p>
            <w:pPr>
              <w:ind w:left="1020"/>
              <w:spacing w:after="0"/>
              <w:rPr>
                <w:sz w:val="20"/>
                <w:szCs w:val="20"/>
                <w:color w:val="auto"/>
              </w:rPr>
            </w:pPr>
            <w:r>
              <w:rPr>
                <w:rFonts w:ascii="Arial" w:cs="Arial" w:eastAsia="Arial" w:hAnsi="Arial"/>
                <w:sz w:val="17"/>
                <w:szCs w:val="17"/>
                <w:b w:val="1"/>
                <w:bCs w:val="1"/>
                <w:color w:val="FFFFFF"/>
              </w:rPr>
              <w:t>Broker non-votes</w:t>
            </w:r>
          </w:p>
        </w:tc>
      </w:tr>
      <w:tr>
        <w:trPr>
          <w:trHeight w:val="251"/>
        </w:trPr>
        <w:tc>
          <w:tcPr>
            <w:tcW w:w="1880" w:type="dxa"/>
            <w:vAlign w:val="bottom"/>
            <w:shd w:val="clear" w:color="auto" w:fill="E6E6E6"/>
          </w:tcPr>
          <w:p>
            <w:pPr>
              <w:ind w:left="40"/>
              <w:spacing w:after="0"/>
              <w:rPr>
                <w:sz w:val="20"/>
                <w:szCs w:val="20"/>
                <w:color w:val="auto"/>
              </w:rPr>
            </w:pPr>
            <w:r>
              <w:rPr>
                <w:rFonts w:ascii="Arial" w:cs="Arial" w:eastAsia="Arial" w:hAnsi="Arial"/>
                <w:sz w:val="17"/>
                <w:szCs w:val="17"/>
                <w:color w:val="auto"/>
              </w:rPr>
              <w:t>39,339,878</w:t>
            </w:r>
          </w:p>
        </w:tc>
        <w:tc>
          <w:tcPr>
            <w:tcW w:w="2760" w:type="dxa"/>
            <w:vAlign w:val="bottom"/>
            <w:shd w:val="clear" w:color="auto" w:fill="E6E6E6"/>
          </w:tcPr>
          <w:p>
            <w:pPr>
              <w:ind w:left="960"/>
              <w:spacing w:after="0"/>
              <w:rPr>
                <w:sz w:val="20"/>
                <w:szCs w:val="20"/>
                <w:color w:val="auto"/>
              </w:rPr>
            </w:pPr>
            <w:r>
              <w:rPr>
                <w:rFonts w:ascii="Arial" w:cs="Arial" w:eastAsia="Arial" w:hAnsi="Arial"/>
                <w:sz w:val="17"/>
                <w:szCs w:val="17"/>
                <w:color w:val="auto"/>
              </w:rPr>
              <w:t>194,210</w:t>
            </w:r>
          </w:p>
        </w:tc>
        <w:tc>
          <w:tcPr>
            <w:tcW w:w="2800" w:type="dxa"/>
            <w:vAlign w:val="bottom"/>
            <w:shd w:val="clear" w:color="auto" w:fill="E6E6E6"/>
          </w:tcPr>
          <w:p>
            <w:pPr>
              <w:ind w:left="1020"/>
              <w:spacing w:after="0"/>
              <w:rPr>
                <w:sz w:val="20"/>
                <w:szCs w:val="20"/>
                <w:color w:val="auto"/>
              </w:rPr>
            </w:pPr>
            <w:r>
              <w:rPr>
                <w:rFonts w:ascii="Arial" w:cs="Arial" w:eastAsia="Arial" w:hAnsi="Arial"/>
                <w:sz w:val="17"/>
                <w:szCs w:val="17"/>
                <w:color w:val="auto"/>
              </w:rPr>
              <w:t>273,034</w:t>
            </w:r>
          </w:p>
        </w:tc>
        <w:tc>
          <w:tcPr>
            <w:tcW w:w="3800" w:type="dxa"/>
            <w:vAlign w:val="bottom"/>
            <w:shd w:val="clear" w:color="auto" w:fill="E6E6E6"/>
          </w:tcPr>
          <w:p>
            <w:pPr>
              <w:ind w:left="1020"/>
              <w:spacing w:after="0"/>
              <w:rPr>
                <w:sz w:val="20"/>
                <w:szCs w:val="20"/>
                <w:color w:val="auto"/>
              </w:rPr>
            </w:pPr>
            <w:r>
              <w:rPr>
                <w:rFonts w:ascii="Arial" w:cs="Arial" w:eastAsia="Arial" w:hAnsi="Arial"/>
                <w:sz w:val="17"/>
                <w:szCs w:val="17"/>
                <w:color w:val="auto"/>
              </w:rPr>
              <w:t>2,683,646</w:t>
            </w:r>
          </w:p>
        </w:tc>
      </w:tr>
      <w:tr>
        <w:trPr>
          <w:trHeight w:val="22"/>
        </w:trPr>
        <w:tc>
          <w:tcPr>
            <w:tcW w:w="1880" w:type="dxa"/>
            <w:vAlign w:val="bottom"/>
            <w:shd w:val="clear" w:color="auto" w:fill="E6E6E6"/>
          </w:tcPr>
          <w:p>
            <w:pPr>
              <w:spacing w:after="0" w:line="20" w:lineRule="exact"/>
              <w:rPr>
                <w:sz w:val="1"/>
                <w:szCs w:val="1"/>
                <w:color w:val="auto"/>
              </w:rPr>
            </w:pPr>
          </w:p>
        </w:tc>
        <w:tc>
          <w:tcPr>
            <w:tcW w:w="2760" w:type="dxa"/>
            <w:vAlign w:val="bottom"/>
            <w:shd w:val="clear" w:color="auto" w:fill="E6E6E6"/>
          </w:tcPr>
          <w:p>
            <w:pPr>
              <w:spacing w:after="0" w:line="20" w:lineRule="exact"/>
              <w:rPr>
                <w:sz w:val="1"/>
                <w:szCs w:val="1"/>
                <w:color w:val="auto"/>
              </w:rPr>
            </w:pPr>
          </w:p>
        </w:tc>
        <w:tc>
          <w:tcPr>
            <w:tcW w:w="2800" w:type="dxa"/>
            <w:vAlign w:val="bottom"/>
            <w:shd w:val="clear" w:color="auto" w:fill="E6E6E6"/>
          </w:tcPr>
          <w:p>
            <w:pPr>
              <w:spacing w:after="0" w:line="20" w:lineRule="exact"/>
              <w:rPr>
                <w:sz w:val="1"/>
                <w:szCs w:val="1"/>
                <w:color w:val="auto"/>
              </w:rPr>
            </w:pPr>
          </w:p>
        </w:tc>
        <w:tc>
          <w:tcPr>
            <w:tcW w:w="3800" w:type="dxa"/>
            <w:vAlign w:val="bottom"/>
            <w:shd w:val="clear" w:color="auto" w:fill="E6E6E6"/>
          </w:tcPr>
          <w:p>
            <w:pPr>
              <w:spacing w:after="0" w:line="20" w:lineRule="exact"/>
              <w:rPr>
                <w:sz w:val="1"/>
                <w:szCs w:val="1"/>
                <w:color w:val="auto"/>
              </w:rPr>
            </w:pPr>
          </w:p>
        </w:tc>
      </w:tr>
    </w:tbl>
    <w:p>
      <w:pPr>
        <w:spacing w:after="0" w:line="178" w:lineRule="exact"/>
        <w:rPr>
          <w:sz w:val="20"/>
          <w:szCs w:val="20"/>
          <w:color w:val="auto"/>
        </w:rPr>
      </w:pPr>
    </w:p>
    <w:p>
      <w:pPr>
        <w:jc w:val="both"/>
        <w:ind w:right="20"/>
        <w:spacing w:after="0" w:line="280" w:lineRule="auto"/>
        <w:rPr>
          <w:sz w:val="20"/>
          <w:szCs w:val="20"/>
          <w:color w:val="auto"/>
        </w:rPr>
      </w:pPr>
      <w:r>
        <w:rPr>
          <w:rFonts w:ascii="Arial" w:cs="Arial" w:eastAsia="Arial" w:hAnsi="Arial"/>
          <w:sz w:val="17"/>
          <w:szCs w:val="17"/>
          <w:color w:val="auto"/>
        </w:rPr>
        <w:t>The March 23, 2026 record date was 53 days before the May 15, 2026 annual meeting. This exceeded the bylaw’s 50-day limit and is the failure of authorization addressed by this proposal.</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Purpose and effect</w:t>
      </w:r>
    </w:p>
    <w:p>
      <w:pPr>
        <w:spacing w:after="0" w:line="197"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Our Board recommends stockholders ratify the adoption of the Amended and Restated 1997 ESPP to promote our long-term growth and profitability by aligning the interests of our employees with those of other stockholders and providing additional incentives to enhance stockholder value. The 1997 ESPP is designed to allow eligible employees of the Company and its participating subsidiaries (whether now existing or subsequently established or acquired) to purchase common shares at designated intervals at a discount through their accumulated payroll deductions.</w:t>
      </w:r>
    </w:p>
    <w:p>
      <w:pPr>
        <w:spacing w:after="0" w:line="155"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Our Board believes that Cohu’s success is due to its highly talented employee base and that future success depends on our ability to continue attracting and retaining high-caliber employees. Our ability to grant equity awards is a necessary and powerful recruiting and retention tool to maintain and create stockholder value. Before the May 15, 2026 amendment, a maximum of 3,750,000 shares of our common stock could be issued under the 1997 ESPP. As of March 16, 2026, a total of 3,396,419 shares of our common stock had been issued under the 1997 ESPP, and 353,581 shares were available for future issuances. As a result, we believed that the current authorized number of shares under the 1997 ESPP was inadequate to provide reasonable incentives to our employees going forward when we requested stockholder approval of the Amended and Restated 1997 ESPP at the 2026 annual meeting.</w:t>
      </w:r>
    </w:p>
    <w:p>
      <w:pPr>
        <w:spacing w:after="0" w:line="157"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As of October 23, 2026, a total of 3,485,641 shares of our common stock had been issued under the 1997 ESPP, and 864,359 shares were available for future issuances, as calculated after giving effect to the stockholder approval of the Amended and Restated 1997 ESPP obtained on May 15, 2026.</w:t>
      </w:r>
    </w:p>
    <w:p>
      <w:pPr>
        <w:spacing w:after="0" w:line="14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described in the 2026 annual proxy, the 1997 ESPP was and is otherwise substantially unchanged since our stockholders last approved certain amendments to the 1997 ESPP at the 2023 Annual Meeting of Stockholders. Our employees are our most valuable assets, and the 1997 ESPP is important to our ability to attract and retain outstanding and highly skilled individuals in the extremely competitive labor markets in which we must compete. The purchase of stock is also crucial to our ability to motivate employees to achieve our long-term goals and provides a source of capital.</w:t>
      </w:r>
    </w:p>
    <w:p>
      <w:pPr>
        <w:spacing w:after="0" w:line="154"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color w:val="auto"/>
        </w:rPr>
        <w:t>Our Board adopted the Amended and Restated 1997 ESPP on March 20, 2026, subject to approval by stockholders, and stockholder approval was obtained on May 15, 2026. If this ratification is not approved, the historical adoption will not be ratified through the proposed Section 204 process and the uncertainty arising from the identified record-date defect will remain, as described under “Background and Effect of the Ratifications.” A summary of the principal provisions of the Amended and Restated 1997 ESPP is set forth below. The summary is qualified by reference to the full text of the Amended and Restated 1997 ESPP, a copy of which is attached as Annex D to this Proxy Statement.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1" w:name="page22"/>
    <w:bookmarkEnd w:id="21"/>
    <w:p>
      <w:pPr>
        <w:spacing w:after="0"/>
        <w:rPr>
          <w:sz w:val="20"/>
          <w:szCs w:val="20"/>
          <w:color w:val="auto"/>
        </w:rPr>
      </w:pPr>
      <w:r>
        <w:rPr>
          <w:rFonts w:ascii="Arial" w:cs="Arial" w:eastAsia="Arial" w:hAnsi="Arial"/>
          <w:sz w:val="19"/>
          <w:szCs w:val="19"/>
          <w:b w:val="1"/>
          <w:bCs w:val="1"/>
          <w:color w:val="2D53A6"/>
        </w:rPr>
        <w:t>Summary of the Amended and Restated 1997 ESPP</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Purpose.</w:t>
      </w:r>
    </w:p>
    <w:p>
      <w:pPr>
        <w:spacing w:after="0" w:line="194"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The Board of Directors believes that the recruitment and retention of qualified personnel are essential to the Company’s continued growth and success and that the Amended and Restated 1997 ESPP is necessary for the Company to remain competitive in its compensation practices. The majority of high technology companies have purchase plans similar to the Amended and Restated 1997 ESPP described herein. The Amended and Restated 1997 ESPP provides employees the opportunity to purchase our common stock at a discount from market through payroll deductions.</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Administration.</w:t>
      </w:r>
    </w:p>
    <w:p>
      <w:pPr>
        <w:spacing w:after="0" w:line="194" w:lineRule="exact"/>
        <w:rPr>
          <w:sz w:val="20"/>
          <w:szCs w:val="20"/>
          <w:color w:val="auto"/>
        </w:rPr>
      </w:pPr>
    </w:p>
    <w:p>
      <w:pPr>
        <w:jc w:val="both"/>
        <w:ind w:right="80"/>
        <w:spacing w:after="0" w:line="259" w:lineRule="auto"/>
        <w:rPr>
          <w:sz w:val="20"/>
          <w:szCs w:val="20"/>
          <w:color w:val="auto"/>
        </w:rPr>
      </w:pPr>
      <w:r>
        <w:rPr>
          <w:rFonts w:ascii="Arial" w:cs="Arial" w:eastAsia="Arial" w:hAnsi="Arial"/>
          <w:sz w:val="17"/>
          <w:szCs w:val="17"/>
          <w:color w:val="auto"/>
        </w:rPr>
        <w:t>The Amended and Restated 1997 ESPP is administered by the Compensation Committee of the Board. The Committee has full authority to adopt such rules and procedures as it may deem necessary for proper plan administration and to interpret the provisions of the Amended and Restated 1997 ESPP. All costs and expenses incurred in plan administration are paid by the Company without charge to participants.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Eligibility and Participation.</w:t>
      </w:r>
    </w:p>
    <w:p>
      <w:pPr>
        <w:spacing w:after="0" w:line="19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Any regular employee, including officers, who is employed by the Company (or any of its majority-owned subsidiaries) for more than 20 hours per week and more than five months in a calendar year is eligible to participate in the Amended and Restated 1997 ESPP, provided that the employee is employed on the first day of an offering period and subject to certain limitations imposed by the Code. As of March 16, 2026, approximately 2,500 employees were eligible to participate in the 1997 ESPP. As of October 23, 2026, approximately 2,800 employees are eligible to participate in the 1997 ESPP. Eligible employees become participants in the Amended and Restated 1997 ESPP by delivering a subscription agreement authorizing payroll deductions prior to the applicable offering date, or at such other time as may be determined by the Compensation Committee with respect to a given offering. By executing a subscription agreement to participate in the Amended and Restated 1997 ESPP, each employee is granted a right to purchase shares of our common stock. No employee may subscribe for shares under the Amended and Restated 1997 ESPP if, immediately after the grant of the purchase right, the employee would own 5% or more of the voting stock of all classes of stock of the Company, nor may any employee be granted purchase right that would permit such employee to purchase stock under the Amended and Restated 1997 ESPP at a rate that exceeds $25,000 in value (determined at the fair market value of the shares at the time the purchase right is granted) for each calendar year in which such purchase right is outstanding at any time.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Offering Periods.</w:t>
      </w:r>
    </w:p>
    <w:p>
      <w:pPr>
        <w:spacing w:after="0" w:line="194" w:lineRule="exact"/>
        <w:rPr>
          <w:sz w:val="20"/>
          <w:szCs w:val="20"/>
          <w:color w:val="auto"/>
        </w:rPr>
      </w:pPr>
    </w:p>
    <w:p>
      <w:pPr>
        <w:jc w:val="both"/>
        <w:ind w:right="320"/>
        <w:spacing w:after="0" w:line="252" w:lineRule="auto"/>
        <w:rPr>
          <w:sz w:val="20"/>
          <w:szCs w:val="20"/>
          <w:color w:val="auto"/>
        </w:rPr>
      </w:pPr>
      <w:r>
        <w:rPr>
          <w:rFonts w:ascii="Arial" w:cs="Arial" w:eastAsia="Arial" w:hAnsi="Arial"/>
          <w:sz w:val="17"/>
          <w:szCs w:val="17"/>
          <w:color w:val="auto"/>
        </w:rPr>
        <w:t>The Amended and Restated 1997 ESPP is implemented in a series of successive offering periods each with a duration of six months. Offering periods commence on or about November 1 and May 1. Shares are purchased by participants on the last business day of each offering period. The Board of Directors may alter the duration of the offering periods without stockholder approval, provided that no offering period may have a term exceeding 27 months.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Price.</w:t>
      </w:r>
    </w:p>
    <w:p>
      <w:pPr>
        <w:spacing w:after="0" w:line="194"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price per share at which shares are purchased under the Amended and Restated 1997 ESPP is equal to the lower of (i) 85% of the fair market value of the common stock on the date of commencement of the offering period and (ii) 85% of the fair market value of the common stock on the last day of the offering period. The fair market value of our common stock on any relevant date will be deemed to equal the closing price on such date on the Nasdaq Global Select Market. On March 16, 2026, the closing price of the Company’s common stock on the Nasdaq Global Select Market was $28.58 per share. As of October 23, 2026, the closing price of the Company’s common stock on the Nasdaq Global Select Market was $47.96 per share.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 of Purchase Price; Payroll Deductions.</w:t>
      </w:r>
    </w:p>
    <w:p>
      <w:pPr>
        <w:spacing w:after="0" w:line="19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purchase price for shares is accumulated by payroll deductions during the offering period. The deductions may not exceed 10% of a participant’s eligible compensation, which is defined in the 1997 ESPP to include regular straight-time salary, exclusive of any payments for overtime, bonuses, commissions, or incentive compensation. Each participant’s right to purchase shares during a six-month offering period is limited to 3,000 shares. Payroll deductions commence on the first payday following the commencement of the offering and continue until the end of the offering period unless sooner terminated as provided for in the Amended and Restated 1997 ESPP. All payroll deductions are credited to the participant’s account under the Amended and Restated 1997 ESPP and are deposited with our general funds and may be used by the Company for any corporate purpose.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Withdrawal.</w:t>
      </w:r>
    </w:p>
    <w:p>
      <w:pPr>
        <w:spacing w:after="0" w:line="194"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A participant’s interest in a given offering may be terminated in whole, but not in part, by signing and delivering a notice of withdrawal from the Amended and Restated 1997 ESPP. Such withdrawal may be elected at any time prior to the end of the applicable six-month offering period and will result in a refund of all payroll deductions for that offering period. Any withdrawal by the participant of accumulated payroll deductions for a given offering automatically terminates the participant’s interest in that offering. A participant who ceases to be an eligible employee receives a refund of their payroll deductions for the offering period in which such loss of eligibility status occurs. No interest is paid on such refunds.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Reserved for Issuance; Capital Changes.</w:t>
      </w:r>
    </w:p>
    <w:p>
      <w:pPr>
        <w:spacing w:after="0" w:line="194"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Following the May 15, 2026 stockholder approval, the number of shares authorized for issuance under the Amended and Restated 1997 ESPP was 4,350,000 shares. In the event any change is made in the capitalization of the Company, such as stock splits or stock dividends, which results in an increase or decrease in the number of shares of common stock outstanding, we will make appropriate adjustments to outstanding purchase rights and the offering period purchase limits. In the event the Company is acquired by merger or asset sale during an offering period, all outstanding purchase rights may be assumed or equivalent purchase rights may be substituted by the successor corporation. If the successor corporation does not agree to assume or substitute for the purchase rights, the Board will provide for outstanding purchase rights to be exercised immediately prior to the acquisition.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Nonassignability.</w:t>
      </w:r>
    </w:p>
    <w:p>
      <w:pPr>
        <w:spacing w:after="0" w:line="194" w:lineRule="exact"/>
        <w:rPr>
          <w:sz w:val="20"/>
          <w:szCs w:val="20"/>
          <w:color w:val="auto"/>
        </w:rPr>
      </w:pPr>
    </w:p>
    <w:p>
      <w:pPr>
        <w:ind w:right="700"/>
        <w:spacing w:after="0" w:line="280" w:lineRule="auto"/>
        <w:rPr>
          <w:sz w:val="20"/>
          <w:szCs w:val="20"/>
          <w:color w:val="auto"/>
        </w:rPr>
      </w:pPr>
      <w:r>
        <w:rPr>
          <w:rFonts w:ascii="Arial" w:cs="Arial" w:eastAsia="Arial" w:hAnsi="Arial"/>
          <w:sz w:val="17"/>
          <w:szCs w:val="17"/>
          <w:color w:val="auto"/>
        </w:rPr>
        <w:t>No rights or accumulated payroll deductions of an employee under the Amended and Restated 1997 ESPP may be pledged, assigned, or transferred for any reason, and any such attempt will be treated as an election to withdraw from the Amended and Restated 1997 ESPP.</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and Termination.</w:t>
      </w:r>
    </w:p>
    <w:p>
      <w:pPr>
        <w:spacing w:after="0" w:line="194"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Amended and Restated 1997 ESPP will continue in effect until the first to occur of (i) its termination by the Board of Directors, (ii) the date on which all shares available for issuance under the Amended and Restated 1997 ESPP have been issued or (iii) the date on which all outstanding purchase rights are exercised in connection with an acquisition of the Company. The Board of Directors may at any time amend or terminate the Amended and Restated 1997 ESPP, except that such termination shall not affect purchase rights previously granted nor may any amendment make any change in a purchase right granted prior thereto which adversely affects the rights of any participant. An amendment to the Amended and Restated 1997 ESPP must be approved by our stockholders if such amendment would increase the number of shares reserved under the Amended and Restated 1997 ESPP, permit payroll deductions in excess of 10% of the participant’s compensation, materially modify the eligibility requirements, or materially increase the benefits which may accrue under the 1997 ESPP.</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Summary of U.S. Federal Income Tax Consequences</w:t>
      </w:r>
    </w:p>
    <w:p>
      <w:pPr>
        <w:spacing w:after="0" w:line="19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following is only a summary of the United States federal income tax consequences to participants in the Amended and Restated 1997 ESPP and does not purport to be complete. Interested parties and participants should refer to the applicable provisions of the Code. The summary does not address other taxes such as state and local income taxes, federal and state estate, inheritance and gift taxes and foreign taxes. Each participant should consult his or her own tax advisor concerning the tax consequences of the Amended and Restated 1997 ESPP.</w:t>
      </w:r>
    </w:p>
    <w:p>
      <w:pPr>
        <w:spacing w:after="0" w:line="15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Amended and Restated 1997 ESPP is intended to qualify under the provisions of Sections 421 and 423 of the Code. Under these provisions, no income will be taxable to a participant at the time of grant of the purchase right or when shares are purchased. Upon disposition of the shares, the participant will generally be subject to tax, and the amount of the tax will depend upon the holding period. If the shares have been held by the participant for more than two years after the first day of the offering period in which the shares were acquired and more than one year after the purchase date of the shares then the lesser of (i) the excess of the fair market value of the shares at the time of such disposition over the purchase price of the shares, or (ii) 15% of the fair market value of the shares on the first day of the offering period, will be treated as ordinary income, and any further gain upon such disposition will be treated as long-term capital gain. If the shares are disposed of before the expiration of the holding periods described above, the excess of the fair market value of the shares on the last day of the offering period over the purchase price will be treated as ordinary income, and any further gain or loss on such disposition will be long-term or short-term capital gain or loss, depending on the holding period. We are not entitled to a deduction for amounts taxable to a participant, except to the extent of ordinary income reported by participants upon disposition of shares prior to the expiration of the holding periods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Plan Benefits and Additional Information</w:t>
      </w:r>
    </w:p>
    <w:p>
      <w:pPr>
        <w:spacing w:after="0" w:line="19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Because benefits under the Amended and Restated 1997 ESPP will depend on employees’ elections to participate and the fair market value of the Company’s common stock at various future dates, it is not possible to determine the benefits that will be received by executive officers and other employees in the future under the Amended and Restated 1997 ESPP. Non-employee directors are not eligible to participate in the Amended and Restated 1997 ESPP.</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23" w:name="page24"/>
    <w:bookmarkEnd w:id="23"/>
    <w:p>
      <w:pPr>
        <w:ind w:right="160"/>
        <w:spacing w:after="0" w:line="280" w:lineRule="auto"/>
        <w:rPr>
          <w:sz w:val="20"/>
          <w:szCs w:val="20"/>
          <w:color w:val="auto"/>
        </w:rPr>
      </w:pPr>
      <w:r>
        <w:rPr>
          <w:rFonts w:ascii="Arial" w:cs="Arial" w:eastAsia="Arial" w:hAnsi="Arial"/>
          <w:sz w:val="17"/>
          <w:szCs w:val="17"/>
          <w:color w:val="auto"/>
        </w:rPr>
        <w:t>The number of shares of common stock purchased under the 1997 ESPP since its inception through March 16, 2026, by the following individuals and groups are as follows:</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9040" w:type="dxa"/>
            <w:vAlign w:val="bottom"/>
            <w:tcBorders>
              <w:top w:val="single" w:sz="8" w:color="auto"/>
              <w:left w:val="single" w:sz="8" w:color="auto"/>
              <w:bottom w:val="single" w:sz="8" w:color="auto"/>
              <w:right w:val="single" w:sz="8" w:color="auto"/>
            </w:tcBorders>
            <w:shd w:val="clear" w:color="auto" w:fill="2D53A6"/>
          </w:tcPr>
          <w:p>
            <w:pPr>
              <w:ind w:left="20"/>
              <w:spacing w:after="0"/>
              <w:rPr>
                <w:sz w:val="20"/>
                <w:szCs w:val="20"/>
                <w:color w:val="auto"/>
              </w:rPr>
            </w:pPr>
            <w:r>
              <w:rPr>
                <w:rFonts w:ascii="Arial" w:cs="Arial" w:eastAsia="Arial" w:hAnsi="Arial"/>
                <w:sz w:val="17"/>
                <w:szCs w:val="17"/>
                <w:b w:val="1"/>
                <w:bCs w:val="1"/>
                <w:color w:val="FFFFFF"/>
              </w:rPr>
              <w:t>Name and Position</w:t>
            </w:r>
          </w:p>
        </w:tc>
        <w:tc>
          <w:tcPr>
            <w:tcW w:w="2220" w:type="dxa"/>
            <w:vAlign w:val="bottom"/>
            <w:tcBorders>
              <w:top w:val="single" w:sz="8" w:color="auto"/>
              <w:bottom w:val="single" w:sz="8" w:color="auto"/>
              <w:right w:val="single" w:sz="8" w:color="auto"/>
            </w:tcBorders>
            <w:shd w:val="clear" w:color="auto" w:fill="2D53A6"/>
          </w:tcPr>
          <w:p>
            <w:pPr>
              <w:jc w:val="right"/>
              <w:ind w:right="553"/>
              <w:spacing w:after="0"/>
              <w:rPr>
                <w:sz w:val="20"/>
                <w:szCs w:val="20"/>
                <w:color w:val="auto"/>
              </w:rPr>
            </w:pPr>
            <w:r>
              <w:rPr>
                <w:rFonts w:ascii="Arial" w:cs="Arial" w:eastAsia="Arial" w:hAnsi="Arial"/>
                <w:sz w:val="17"/>
                <w:szCs w:val="17"/>
                <w:b w:val="1"/>
                <w:bCs w:val="1"/>
                <w:color w:val="FFFFFF"/>
              </w:rPr>
              <w:t>Number of Shares</w:t>
            </w:r>
          </w:p>
        </w:tc>
      </w:tr>
      <w:tr>
        <w:trPr>
          <w:trHeight w:val="171"/>
        </w:trPr>
        <w:tc>
          <w:tcPr>
            <w:tcW w:w="9040" w:type="dxa"/>
            <w:vAlign w:val="bottom"/>
            <w:tcBorders>
              <w:top w:val="single" w:sz="8" w:color="auto"/>
              <w:left w:val="single" w:sz="8" w:color="E6E6E6"/>
              <w:bottom w:val="single" w:sz="8" w:color="auto"/>
              <w:right w:val="single" w:sz="8" w:color="auto"/>
            </w:tcBorders>
            <w:shd w:val="clear" w:color="auto" w:fill="E6E6E6"/>
          </w:tcPr>
          <w:p>
            <w:pPr>
              <w:ind w:left="20"/>
              <w:spacing w:after="0" w:line="172" w:lineRule="exact"/>
              <w:rPr>
                <w:sz w:val="20"/>
                <w:szCs w:val="20"/>
                <w:color w:val="auto"/>
              </w:rPr>
            </w:pPr>
            <w:r>
              <w:rPr>
                <w:rFonts w:ascii="Arial" w:cs="Arial" w:eastAsia="Arial" w:hAnsi="Arial"/>
                <w:sz w:val="17"/>
                <w:szCs w:val="17"/>
                <w:color w:val="auto"/>
              </w:rPr>
              <w:t>Luis A. Müller President and Chief Executive Officer</w:t>
            </w:r>
          </w:p>
        </w:tc>
        <w:tc>
          <w:tcPr>
            <w:tcW w:w="2220" w:type="dxa"/>
            <w:vAlign w:val="bottom"/>
            <w:tcBorders>
              <w:top w:val="single" w:sz="8" w:color="E6E6E6"/>
              <w:bottom w:val="single" w:sz="8" w:color="auto"/>
              <w:right w:val="single" w:sz="8" w:color="auto"/>
            </w:tcBorders>
            <w:shd w:val="clear" w:color="auto" w:fill="E6E6E6"/>
          </w:tcPr>
          <w:p>
            <w:pPr>
              <w:jc w:val="right"/>
              <w:ind w:right="33"/>
              <w:spacing w:after="0" w:line="172" w:lineRule="exact"/>
              <w:rPr>
                <w:sz w:val="20"/>
                <w:szCs w:val="20"/>
                <w:color w:val="auto"/>
              </w:rPr>
            </w:pPr>
            <w:r>
              <w:rPr>
                <w:rFonts w:ascii="Arial" w:cs="Arial" w:eastAsia="Arial" w:hAnsi="Arial"/>
                <w:sz w:val="17"/>
                <w:szCs w:val="17"/>
                <w:color w:val="auto"/>
              </w:rPr>
              <w:t>-</w:t>
            </w:r>
          </w:p>
        </w:tc>
      </w:tr>
      <w:tr>
        <w:trPr>
          <w:trHeight w:val="188"/>
        </w:trPr>
        <w:tc>
          <w:tcPr>
            <w:tcW w:w="9040" w:type="dxa"/>
            <w:vAlign w:val="bottom"/>
            <w:tcBorders>
              <w:bottom w:val="single" w:sz="8" w:color="auto"/>
              <w:right w:val="single" w:sz="8" w:color="auto"/>
            </w:tcBorders>
          </w:tcPr>
          <w:p>
            <w:pPr>
              <w:ind w:left="20"/>
              <w:spacing w:after="0" w:line="188" w:lineRule="exact"/>
              <w:rPr>
                <w:sz w:val="20"/>
                <w:szCs w:val="20"/>
                <w:color w:val="auto"/>
              </w:rPr>
            </w:pPr>
            <w:r>
              <w:rPr>
                <w:rFonts w:ascii="Arial" w:cs="Arial" w:eastAsia="Arial" w:hAnsi="Arial"/>
                <w:sz w:val="17"/>
                <w:szCs w:val="17"/>
                <w:color w:val="auto"/>
              </w:rPr>
              <w:t>Jeffrey D. Jones Senior Vice President Finance and Chief Financial Officer</w:t>
            </w:r>
          </w:p>
        </w:tc>
        <w:tc>
          <w:tcPr>
            <w:tcW w:w="2220" w:type="dxa"/>
            <w:vAlign w:val="bottom"/>
            <w:tcBorders>
              <w:bottom w:val="single" w:sz="8" w:color="auto"/>
              <w:right w:val="single" w:sz="8" w:color="auto"/>
            </w:tcBorders>
          </w:tcPr>
          <w:p>
            <w:pPr>
              <w:jc w:val="right"/>
              <w:ind w:right="33"/>
              <w:spacing w:after="0" w:line="188" w:lineRule="exact"/>
              <w:rPr>
                <w:sz w:val="20"/>
                <w:szCs w:val="20"/>
                <w:color w:val="auto"/>
              </w:rPr>
            </w:pPr>
            <w:r>
              <w:rPr>
                <w:rFonts w:ascii="Arial" w:cs="Arial" w:eastAsia="Arial" w:hAnsi="Arial"/>
                <w:sz w:val="17"/>
                <w:szCs w:val="17"/>
                <w:color w:val="auto"/>
              </w:rPr>
              <w:t>-</w:t>
            </w:r>
          </w:p>
        </w:tc>
      </w:tr>
      <w:tr>
        <w:trPr>
          <w:trHeight w:val="188"/>
        </w:trPr>
        <w:tc>
          <w:tcPr>
            <w:tcW w:w="9040" w:type="dxa"/>
            <w:vAlign w:val="bottom"/>
            <w:tcBorders>
              <w:left w:val="single" w:sz="8" w:color="E6E6E6"/>
              <w:bottom w:val="single" w:sz="8" w:color="auto"/>
              <w:right w:val="single" w:sz="8" w:color="auto"/>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Christopher G. Bohrson Senior Vice President and Chief Customer Officer</w:t>
            </w:r>
          </w:p>
        </w:tc>
        <w:tc>
          <w:tcPr>
            <w:tcW w:w="2220" w:type="dxa"/>
            <w:vAlign w:val="bottom"/>
            <w:tcBorders>
              <w:bottom w:val="single" w:sz="8" w:color="auto"/>
              <w:right w:val="single" w:sz="8" w:color="auto"/>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1,221</w:t>
            </w:r>
          </w:p>
        </w:tc>
      </w:tr>
      <w:tr>
        <w:trPr>
          <w:trHeight w:val="188"/>
        </w:trPr>
        <w:tc>
          <w:tcPr>
            <w:tcW w:w="9040" w:type="dxa"/>
            <w:vAlign w:val="bottom"/>
            <w:tcBorders>
              <w:bottom w:val="single" w:sz="8" w:color="auto"/>
              <w:right w:val="single" w:sz="8" w:color="auto"/>
            </w:tcBorders>
          </w:tcPr>
          <w:p>
            <w:pPr>
              <w:ind w:left="20"/>
              <w:spacing w:after="0" w:line="188" w:lineRule="exact"/>
              <w:rPr>
                <w:sz w:val="20"/>
                <w:szCs w:val="20"/>
                <w:color w:val="auto"/>
              </w:rPr>
            </w:pPr>
            <w:r>
              <w:rPr>
                <w:rFonts w:ascii="Arial" w:cs="Arial" w:eastAsia="Arial" w:hAnsi="Arial"/>
                <w:sz w:val="17"/>
                <w:szCs w:val="17"/>
                <w:color w:val="auto"/>
              </w:rPr>
              <w:t>Klaus Ilgenfritz Senior Vice President and Chief Product Officer</w:t>
            </w:r>
          </w:p>
        </w:tc>
        <w:tc>
          <w:tcPr>
            <w:tcW w:w="2220" w:type="dxa"/>
            <w:vAlign w:val="bottom"/>
            <w:tcBorders>
              <w:bottom w:val="single" w:sz="8" w:color="auto"/>
              <w:right w:val="single" w:sz="8" w:color="auto"/>
            </w:tcBorders>
          </w:tcPr>
          <w:p>
            <w:pPr>
              <w:jc w:val="right"/>
              <w:ind w:right="33"/>
              <w:spacing w:after="0" w:line="188" w:lineRule="exact"/>
              <w:rPr>
                <w:sz w:val="20"/>
                <w:szCs w:val="20"/>
                <w:color w:val="auto"/>
              </w:rPr>
            </w:pPr>
            <w:r>
              <w:rPr>
                <w:rFonts w:ascii="Arial" w:cs="Arial" w:eastAsia="Arial" w:hAnsi="Arial"/>
                <w:sz w:val="17"/>
                <w:szCs w:val="17"/>
                <w:color w:val="auto"/>
              </w:rPr>
              <w:t>15,697</w:t>
            </w:r>
          </w:p>
        </w:tc>
      </w:tr>
      <w:tr>
        <w:trPr>
          <w:trHeight w:val="188"/>
        </w:trPr>
        <w:tc>
          <w:tcPr>
            <w:tcW w:w="9040" w:type="dxa"/>
            <w:vAlign w:val="bottom"/>
            <w:tcBorders>
              <w:left w:val="single" w:sz="8" w:color="E6E6E6"/>
              <w:bottom w:val="single" w:sz="8" w:color="auto"/>
              <w:right w:val="single" w:sz="8" w:color="auto"/>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All Current executive officers, as a group (4 Persons)</w:t>
            </w:r>
          </w:p>
        </w:tc>
        <w:tc>
          <w:tcPr>
            <w:tcW w:w="2220" w:type="dxa"/>
            <w:vAlign w:val="bottom"/>
            <w:tcBorders>
              <w:bottom w:val="single" w:sz="8" w:color="auto"/>
              <w:right w:val="single" w:sz="8" w:color="auto"/>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16,918</w:t>
            </w:r>
          </w:p>
        </w:tc>
      </w:tr>
      <w:tr>
        <w:trPr>
          <w:trHeight w:val="188"/>
        </w:trPr>
        <w:tc>
          <w:tcPr>
            <w:tcW w:w="9040" w:type="dxa"/>
            <w:vAlign w:val="bottom"/>
            <w:tcBorders>
              <w:bottom w:val="single" w:sz="8" w:color="auto"/>
              <w:right w:val="single" w:sz="8" w:color="auto"/>
            </w:tcBorders>
          </w:tcPr>
          <w:p>
            <w:pPr>
              <w:ind w:left="20"/>
              <w:spacing w:after="0" w:line="188" w:lineRule="exact"/>
              <w:rPr>
                <w:sz w:val="20"/>
                <w:szCs w:val="20"/>
                <w:color w:val="auto"/>
              </w:rPr>
            </w:pPr>
            <w:r>
              <w:rPr>
                <w:rFonts w:ascii="Arial" w:cs="Arial" w:eastAsia="Arial" w:hAnsi="Arial"/>
                <w:sz w:val="17"/>
                <w:szCs w:val="17"/>
                <w:color w:val="auto"/>
              </w:rPr>
              <w:t>All other employees, Including all current officers who are not executive officers, as a group</w:t>
            </w:r>
          </w:p>
        </w:tc>
        <w:tc>
          <w:tcPr>
            <w:tcW w:w="2220" w:type="dxa"/>
            <w:vAlign w:val="bottom"/>
            <w:tcBorders>
              <w:bottom w:val="single" w:sz="8" w:color="auto"/>
              <w:right w:val="single" w:sz="8" w:color="auto"/>
            </w:tcBorders>
          </w:tcPr>
          <w:p>
            <w:pPr>
              <w:jc w:val="right"/>
              <w:ind w:right="33"/>
              <w:spacing w:after="0" w:line="188" w:lineRule="exact"/>
              <w:rPr>
                <w:sz w:val="20"/>
                <w:szCs w:val="20"/>
                <w:color w:val="auto"/>
              </w:rPr>
            </w:pPr>
            <w:r>
              <w:rPr>
                <w:rFonts w:ascii="Arial" w:cs="Arial" w:eastAsia="Arial" w:hAnsi="Arial"/>
                <w:sz w:val="17"/>
                <w:szCs w:val="17"/>
                <w:color w:val="auto"/>
              </w:rPr>
              <w:t>3,379,501</w:t>
            </w:r>
          </w:p>
        </w:tc>
      </w:tr>
    </w:tbl>
    <w:p>
      <w:pPr>
        <w:spacing w:after="0" w:line="178" w:lineRule="exact"/>
        <w:rPr>
          <w:sz w:val="20"/>
          <w:szCs w:val="20"/>
          <w:color w:val="auto"/>
        </w:rPr>
      </w:pPr>
    </w:p>
    <w:p>
      <w:pPr>
        <w:ind w:right="580"/>
        <w:spacing w:after="0" w:line="280" w:lineRule="auto"/>
        <w:rPr>
          <w:sz w:val="20"/>
          <w:szCs w:val="20"/>
          <w:color w:val="auto"/>
        </w:rPr>
      </w:pPr>
      <w:r>
        <w:rPr>
          <w:rFonts w:ascii="Arial" w:cs="Arial" w:eastAsia="Arial" w:hAnsi="Arial"/>
          <w:sz w:val="17"/>
          <w:szCs w:val="17"/>
          <w:color w:val="auto"/>
        </w:rPr>
        <w:t>The number of shares of common stock purchased under the 1997 ESPP since its inception through October 23, 2026, (inclusive of shares purchased through March 16, 2026, as reflected in the table above) by the following individuals and groups are as follows:</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9040" w:type="dxa"/>
            <w:vAlign w:val="bottom"/>
            <w:tcBorders>
              <w:top w:val="single" w:sz="8" w:color="auto"/>
              <w:left w:val="single" w:sz="8" w:color="auto"/>
              <w:bottom w:val="single" w:sz="8" w:color="auto"/>
              <w:right w:val="single" w:sz="8" w:color="auto"/>
            </w:tcBorders>
            <w:shd w:val="clear" w:color="auto" w:fill="2D53A6"/>
          </w:tcPr>
          <w:p>
            <w:pPr>
              <w:ind w:left="20"/>
              <w:spacing w:after="0"/>
              <w:rPr>
                <w:sz w:val="20"/>
                <w:szCs w:val="20"/>
                <w:color w:val="auto"/>
              </w:rPr>
            </w:pPr>
            <w:r>
              <w:rPr>
                <w:rFonts w:ascii="Arial" w:cs="Arial" w:eastAsia="Arial" w:hAnsi="Arial"/>
                <w:sz w:val="17"/>
                <w:szCs w:val="17"/>
                <w:b w:val="1"/>
                <w:bCs w:val="1"/>
                <w:color w:val="FFFFFF"/>
              </w:rPr>
              <w:t>Name and Position</w:t>
            </w:r>
          </w:p>
        </w:tc>
        <w:tc>
          <w:tcPr>
            <w:tcW w:w="2220" w:type="dxa"/>
            <w:vAlign w:val="bottom"/>
            <w:tcBorders>
              <w:top w:val="single" w:sz="8" w:color="auto"/>
              <w:bottom w:val="single" w:sz="8" w:color="auto"/>
              <w:right w:val="single" w:sz="8" w:color="auto"/>
            </w:tcBorders>
            <w:shd w:val="clear" w:color="auto" w:fill="2D53A6"/>
          </w:tcPr>
          <w:p>
            <w:pPr>
              <w:jc w:val="right"/>
              <w:ind w:right="553"/>
              <w:spacing w:after="0"/>
              <w:rPr>
                <w:sz w:val="20"/>
                <w:szCs w:val="20"/>
                <w:color w:val="auto"/>
              </w:rPr>
            </w:pPr>
            <w:r>
              <w:rPr>
                <w:rFonts w:ascii="Arial" w:cs="Arial" w:eastAsia="Arial" w:hAnsi="Arial"/>
                <w:sz w:val="17"/>
                <w:szCs w:val="17"/>
                <w:b w:val="1"/>
                <w:bCs w:val="1"/>
                <w:color w:val="FFFFFF"/>
              </w:rPr>
              <w:t>Number of Shares</w:t>
            </w:r>
          </w:p>
        </w:tc>
      </w:tr>
      <w:tr>
        <w:trPr>
          <w:trHeight w:val="171"/>
        </w:trPr>
        <w:tc>
          <w:tcPr>
            <w:tcW w:w="9040" w:type="dxa"/>
            <w:vAlign w:val="bottom"/>
            <w:tcBorders>
              <w:top w:val="single" w:sz="8" w:color="auto"/>
              <w:left w:val="single" w:sz="8" w:color="E6E6E6"/>
              <w:bottom w:val="single" w:sz="8" w:color="auto"/>
              <w:right w:val="single" w:sz="8" w:color="auto"/>
            </w:tcBorders>
            <w:shd w:val="clear" w:color="auto" w:fill="E6E6E6"/>
          </w:tcPr>
          <w:p>
            <w:pPr>
              <w:ind w:left="20"/>
              <w:spacing w:after="0" w:line="172" w:lineRule="exact"/>
              <w:rPr>
                <w:sz w:val="20"/>
                <w:szCs w:val="20"/>
                <w:color w:val="auto"/>
              </w:rPr>
            </w:pPr>
            <w:r>
              <w:rPr>
                <w:rFonts w:ascii="Arial" w:cs="Arial" w:eastAsia="Arial" w:hAnsi="Arial"/>
                <w:sz w:val="17"/>
                <w:szCs w:val="17"/>
                <w:color w:val="auto"/>
              </w:rPr>
              <w:t>Luis A. Müller President and Chief Executive Officer</w:t>
            </w:r>
          </w:p>
        </w:tc>
        <w:tc>
          <w:tcPr>
            <w:tcW w:w="2220" w:type="dxa"/>
            <w:vAlign w:val="bottom"/>
            <w:tcBorders>
              <w:top w:val="single" w:sz="8" w:color="E6E6E6"/>
              <w:bottom w:val="single" w:sz="8" w:color="auto"/>
              <w:right w:val="single" w:sz="8" w:color="auto"/>
            </w:tcBorders>
            <w:shd w:val="clear" w:color="auto" w:fill="E6E6E6"/>
          </w:tcPr>
          <w:p>
            <w:pPr>
              <w:jc w:val="right"/>
              <w:ind w:right="33"/>
              <w:spacing w:after="0" w:line="172" w:lineRule="exact"/>
              <w:rPr>
                <w:sz w:val="20"/>
                <w:szCs w:val="20"/>
                <w:color w:val="auto"/>
              </w:rPr>
            </w:pPr>
            <w:r>
              <w:rPr>
                <w:rFonts w:ascii="Arial" w:cs="Arial" w:eastAsia="Arial" w:hAnsi="Arial"/>
                <w:sz w:val="17"/>
                <w:szCs w:val="17"/>
                <w:color w:val="auto"/>
              </w:rPr>
              <w:t>-</w:t>
            </w:r>
          </w:p>
        </w:tc>
      </w:tr>
      <w:tr>
        <w:trPr>
          <w:trHeight w:val="188"/>
        </w:trPr>
        <w:tc>
          <w:tcPr>
            <w:tcW w:w="9040" w:type="dxa"/>
            <w:vAlign w:val="bottom"/>
            <w:tcBorders>
              <w:bottom w:val="single" w:sz="8" w:color="auto"/>
              <w:right w:val="single" w:sz="8" w:color="auto"/>
            </w:tcBorders>
          </w:tcPr>
          <w:p>
            <w:pPr>
              <w:ind w:left="20"/>
              <w:spacing w:after="0" w:line="188" w:lineRule="exact"/>
              <w:rPr>
                <w:sz w:val="20"/>
                <w:szCs w:val="20"/>
                <w:color w:val="auto"/>
              </w:rPr>
            </w:pPr>
            <w:r>
              <w:rPr>
                <w:rFonts w:ascii="Arial" w:cs="Arial" w:eastAsia="Arial" w:hAnsi="Arial"/>
                <w:sz w:val="17"/>
                <w:szCs w:val="17"/>
                <w:color w:val="auto"/>
              </w:rPr>
              <w:t>Jeffrey D. Jones Senior Vice President Finance and Chief Financial Officer</w:t>
            </w:r>
          </w:p>
        </w:tc>
        <w:tc>
          <w:tcPr>
            <w:tcW w:w="2220" w:type="dxa"/>
            <w:vAlign w:val="bottom"/>
            <w:tcBorders>
              <w:bottom w:val="single" w:sz="8" w:color="auto"/>
              <w:right w:val="single" w:sz="8" w:color="auto"/>
            </w:tcBorders>
          </w:tcPr>
          <w:p>
            <w:pPr>
              <w:jc w:val="right"/>
              <w:ind w:right="33"/>
              <w:spacing w:after="0" w:line="188" w:lineRule="exact"/>
              <w:rPr>
                <w:sz w:val="20"/>
                <w:szCs w:val="20"/>
                <w:color w:val="auto"/>
              </w:rPr>
            </w:pPr>
            <w:r>
              <w:rPr>
                <w:rFonts w:ascii="Arial" w:cs="Arial" w:eastAsia="Arial" w:hAnsi="Arial"/>
                <w:sz w:val="17"/>
                <w:szCs w:val="17"/>
                <w:color w:val="auto"/>
              </w:rPr>
              <w:t>-</w:t>
            </w:r>
          </w:p>
        </w:tc>
      </w:tr>
      <w:tr>
        <w:trPr>
          <w:trHeight w:val="188"/>
        </w:trPr>
        <w:tc>
          <w:tcPr>
            <w:tcW w:w="9040" w:type="dxa"/>
            <w:vAlign w:val="bottom"/>
            <w:tcBorders>
              <w:left w:val="single" w:sz="8" w:color="E6E6E6"/>
              <w:bottom w:val="single" w:sz="8" w:color="auto"/>
              <w:right w:val="single" w:sz="8" w:color="auto"/>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Christopher G. Bohrson Senior Vice President and Chief Customer Officer</w:t>
            </w:r>
          </w:p>
        </w:tc>
        <w:tc>
          <w:tcPr>
            <w:tcW w:w="2220" w:type="dxa"/>
            <w:vAlign w:val="bottom"/>
            <w:tcBorders>
              <w:bottom w:val="single" w:sz="8" w:color="auto"/>
              <w:right w:val="single" w:sz="8" w:color="auto"/>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1,221</w:t>
            </w:r>
          </w:p>
        </w:tc>
      </w:tr>
      <w:tr>
        <w:trPr>
          <w:trHeight w:val="188"/>
        </w:trPr>
        <w:tc>
          <w:tcPr>
            <w:tcW w:w="9040" w:type="dxa"/>
            <w:vAlign w:val="bottom"/>
            <w:tcBorders>
              <w:bottom w:val="single" w:sz="8" w:color="auto"/>
              <w:right w:val="single" w:sz="8" w:color="auto"/>
            </w:tcBorders>
          </w:tcPr>
          <w:p>
            <w:pPr>
              <w:ind w:left="20"/>
              <w:spacing w:after="0" w:line="188" w:lineRule="exact"/>
              <w:rPr>
                <w:sz w:val="20"/>
                <w:szCs w:val="20"/>
                <w:color w:val="auto"/>
              </w:rPr>
            </w:pPr>
            <w:r>
              <w:rPr>
                <w:rFonts w:ascii="Arial" w:cs="Arial" w:eastAsia="Arial" w:hAnsi="Arial"/>
                <w:sz w:val="17"/>
                <w:szCs w:val="17"/>
                <w:color w:val="auto"/>
              </w:rPr>
              <w:t>Klaus Ilgenfritz Senior Vice President and Chief Product Officer</w:t>
            </w:r>
          </w:p>
        </w:tc>
        <w:tc>
          <w:tcPr>
            <w:tcW w:w="2220" w:type="dxa"/>
            <w:vAlign w:val="bottom"/>
            <w:tcBorders>
              <w:bottom w:val="single" w:sz="8" w:color="auto"/>
              <w:right w:val="single" w:sz="8" w:color="auto"/>
            </w:tcBorders>
          </w:tcPr>
          <w:p>
            <w:pPr>
              <w:jc w:val="right"/>
              <w:ind w:right="33"/>
              <w:spacing w:after="0" w:line="188" w:lineRule="exact"/>
              <w:rPr>
                <w:sz w:val="20"/>
                <w:szCs w:val="20"/>
                <w:color w:val="auto"/>
              </w:rPr>
            </w:pPr>
            <w:r>
              <w:rPr>
                <w:rFonts w:ascii="Arial" w:cs="Arial" w:eastAsia="Arial" w:hAnsi="Arial"/>
                <w:sz w:val="17"/>
                <w:szCs w:val="17"/>
                <w:color w:val="auto"/>
              </w:rPr>
              <w:t>15,697</w:t>
            </w:r>
          </w:p>
        </w:tc>
      </w:tr>
      <w:tr>
        <w:trPr>
          <w:trHeight w:val="188"/>
        </w:trPr>
        <w:tc>
          <w:tcPr>
            <w:tcW w:w="9040" w:type="dxa"/>
            <w:vAlign w:val="bottom"/>
            <w:tcBorders>
              <w:left w:val="single" w:sz="8" w:color="E6E6E6"/>
              <w:bottom w:val="single" w:sz="8" w:color="auto"/>
              <w:right w:val="single" w:sz="8" w:color="auto"/>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All current executive officers, as a group (4 persons)</w:t>
            </w:r>
          </w:p>
        </w:tc>
        <w:tc>
          <w:tcPr>
            <w:tcW w:w="2220" w:type="dxa"/>
            <w:vAlign w:val="bottom"/>
            <w:tcBorders>
              <w:bottom w:val="single" w:sz="8" w:color="auto"/>
              <w:right w:val="single" w:sz="8" w:color="auto"/>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16,918</w:t>
            </w:r>
          </w:p>
        </w:tc>
      </w:tr>
      <w:tr>
        <w:trPr>
          <w:trHeight w:val="188"/>
        </w:trPr>
        <w:tc>
          <w:tcPr>
            <w:tcW w:w="9040" w:type="dxa"/>
            <w:vAlign w:val="bottom"/>
            <w:tcBorders>
              <w:bottom w:val="single" w:sz="8" w:color="auto"/>
              <w:right w:val="single" w:sz="8" w:color="auto"/>
            </w:tcBorders>
          </w:tcPr>
          <w:p>
            <w:pPr>
              <w:ind w:left="20"/>
              <w:spacing w:after="0" w:line="188" w:lineRule="exact"/>
              <w:rPr>
                <w:sz w:val="20"/>
                <w:szCs w:val="20"/>
                <w:color w:val="auto"/>
              </w:rPr>
            </w:pPr>
            <w:r>
              <w:rPr>
                <w:rFonts w:ascii="Arial" w:cs="Arial" w:eastAsia="Arial" w:hAnsi="Arial"/>
                <w:sz w:val="17"/>
                <w:szCs w:val="17"/>
                <w:color w:val="auto"/>
              </w:rPr>
              <w:t>All other employees, including all current officers who are not named executive officers, as a group</w:t>
            </w:r>
          </w:p>
        </w:tc>
        <w:tc>
          <w:tcPr>
            <w:tcW w:w="2220" w:type="dxa"/>
            <w:vAlign w:val="bottom"/>
            <w:tcBorders>
              <w:bottom w:val="single" w:sz="8" w:color="auto"/>
              <w:right w:val="single" w:sz="8" w:color="auto"/>
            </w:tcBorders>
          </w:tcPr>
          <w:p>
            <w:pPr>
              <w:jc w:val="right"/>
              <w:ind w:right="33"/>
              <w:spacing w:after="0" w:line="188" w:lineRule="exact"/>
              <w:rPr>
                <w:sz w:val="20"/>
                <w:szCs w:val="20"/>
                <w:color w:val="auto"/>
              </w:rPr>
            </w:pPr>
            <w:r>
              <w:rPr>
                <w:rFonts w:ascii="Arial" w:cs="Arial" w:eastAsia="Arial" w:hAnsi="Arial"/>
                <w:sz w:val="17"/>
                <w:szCs w:val="17"/>
                <w:color w:val="auto"/>
              </w:rPr>
              <w:t>3,468,723</w:t>
            </w:r>
          </w:p>
        </w:tc>
      </w:tr>
    </w:tbl>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Since its inception and through October 23, 2026, no shares were purchased under the 1997 ESPP by any non-employee directors, any other nominees for election as directors or any associates of such directors or nominees or of any executive officers, and no person had purchased five percent or more of the total number of shares issued under the 1997 ESPP.</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1997 ESPP share purchases that are scheduled to occur on October 31, 2026, will be ratified if this Proposal 4 is approved.</w:t>
      </w:r>
    </w:p>
    <w:p>
      <w:pPr>
        <w:spacing w:after="0" w:line="194"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color w:val="auto"/>
        </w:rPr>
        <w:t>Eligible executive officers and employees may purchase shares under the Amended and Restated 1997 ESPP and therefore have an interest in the proposal.</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Vote and recommendation</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 majority of the votes cast is required to approve Proposal No. 4. Abstentions and broker non-votes will have no effect on the approval of this proposal. Brokers do not have discretion to vote on this proposal without your instruction. The treatment of uninstructed shares is described under “Questions and Answers” and “Voting Requirements.”</w:t>
      </w:r>
    </w:p>
    <w:p>
      <w:pPr>
        <w:spacing w:after="0" w:line="147"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The Board of Directors unanimously recommends a vote “FOR” ratification of the adoption of the Amended and Restated 1997 ESPP. The Board of Directors believes that ratification of the adoption of the Amended and Restated 1997 ESPP is in the best interests of the Company and its stockholders for the reasons stated above. Therefore, the Board unanimously recommends a vote “FOR” ratification of the adoption of the Amended and Restated 1997 ESPP.</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4" w:name="page25"/>
    <w:bookmarkEnd w:id="24"/>
    <w:p>
      <w:pPr>
        <w:spacing w:after="0"/>
        <w:rPr>
          <w:sz w:val="20"/>
          <w:szCs w:val="20"/>
          <w:color w:val="auto"/>
        </w:rPr>
      </w:pPr>
      <w:r>
        <w:rPr>
          <w:rFonts w:ascii="Arial" w:cs="Arial" w:eastAsia="Arial" w:hAnsi="Arial"/>
          <w:sz w:val="24"/>
          <w:szCs w:val="24"/>
          <w:b w:val="1"/>
          <w:bCs w:val="1"/>
          <w:color w:val="auto"/>
        </w:rPr>
        <w:t>Proposals 5(a) through 5(i): Ratification of Prior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374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The action to be ratified</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Nine separate decisions</w:t>
      </w:r>
    </w:p>
    <w:p>
      <w:pPr>
        <w:spacing w:after="0" w:line="191"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We ask stockholders to ratify each of the nine prior elections identified below under Section 204 of the DGCL. Each prior election is a separate corporate act and a separate voting item. You may vote FOR, AGAINST or ABSTAIN on each item independently. These are not nominations or elections to new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104140</wp:posOffset>
            </wp:positionV>
            <wp:extent cx="8255" cy="3467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104140</wp:posOffset>
            </wp:positionV>
            <wp:extent cx="8255" cy="3467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34671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104140</wp:posOffset>
            </wp:positionV>
            <wp:extent cx="8255" cy="3467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346710"/>
                    </a:xfrm>
                    <a:prstGeom prst="rect">
                      <a:avLst/>
                    </a:prstGeom>
                    <a:noFill/>
                  </pic:spPr>
                </pic:pic>
              </a:graphicData>
            </a:graphic>
          </wp:anchor>
        </w:drawing>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240" w:type="dxa"/>
            <w:vAlign w:val="bottom"/>
            <w:gridSpan w:val="2"/>
            <w:shd w:val="clear" w:color="auto" w:fill="2D53A6"/>
          </w:tcPr>
          <w:p>
            <w:pPr>
              <w:ind w:left="40"/>
              <w:spacing w:after="0"/>
              <w:rPr>
                <w:sz w:val="20"/>
                <w:szCs w:val="20"/>
                <w:color w:val="auto"/>
              </w:rPr>
            </w:pPr>
            <w:r>
              <w:rPr>
                <w:rFonts w:ascii="Arial" w:cs="Arial" w:eastAsia="Arial" w:hAnsi="Arial"/>
                <w:sz w:val="17"/>
                <w:szCs w:val="17"/>
                <w:b w:val="1"/>
                <w:bCs w:val="1"/>
                <w:color w:val="FFFFFF"/>
              </w:rPr>
              <w:t>Proposal / director</w:t>
            </w:r>
          </w:p>
        </w:tc>
        <w:tc>
          <w:tcPr>
            <w:tcW w:w="3420" w:type="dxa"/>
            <w:vAlign w:val="bottom"/>
            <w:shd w:val="clear" w:color="auto" w:fill="2D53A6"/>
          </w:tcPr>
          <w:p>
            <w:pPr>
              <w:ind w:left="1360"/>
              <w:spacing w:after="0"/>
              <w:rPr>
                <w:sz w:val="20"/>
                <w:szCs w:val="20"/>
                <w:color w:val="auto"/>
              </w:rPr>
            </w:pPr>
            <w:r>
              <w:rPr>
                <w:rFonts w:ascii="Arial" w:cs="Arial" w:eastAsia="Arial" w:hAnsi="Arial"/>
                <w:sz w:val="17"/>
                <w:szCs w:val="17"/>
                <w:b w:val="1"/>
                <w:bCs w:val="1"/>
                <w:color w:val="FFFFFF"/>
              </w:rPr>
              <w:t>Prior election date</w:t>
            </w:r>
          </w:p>
        </w:tc>
        <w:tc>
          <w:tcPr>
            <w:tcW w:w="1180" w:type="dxa"/>
            <w:vAlign w:val="bottom"/>
            <w:shd w:val="clear" w:color="auto" w:fill="2D53A6"/>
          </w:tcPr>
          <w:p>
            <w:pPr>
              <w:ind w:left="560"/>
              <w:spacing w:after="0"/>
              <w:rPr>
                <w:sz w:val="20"/>
                <w:szCs w:val="20"/>
                <w:color w:val="auto"/>
              </w:rPr>
            </w:pPr>
            <w:r>
              <w:rPr>
                <w:rFonts w:ascii="Arial" w:cs="Arial" w:eastAsia="Arial" w:hAnsi="Arial"/>
                <w:sz w:val="17"/>
                <w:szCs w:val="17"/>
                <w:b w:val="1"/>
                <w:bCs w:val="1"/>
                <w:color w:val="FFFFFF"/>
              </w:rPr>
              <w:t>Class</w:t>
            </w:r>
          </w:p>
        </w:tc>
        <w:tc>
          <w:tcPr>
            <w:tcW w:w="3400" w:type="dxa"/>
            <w:vAlign w:val="bottom"/>
            <w:shd w:val="clear" w:color="auto" w:fill="2D53A6"/>
          </w:tcPr>
          <w:p>
            <w:pPr>
              <w:ind w:left="160"/>
              <w:spacing w:after="0"/>
              <w:rPr>
                <w:sz w:val="20"/>
                <w:szCs w:val="20"/>
                <w:color w:val="auto"/>
              </w:rPr>
            </w:pPr>
            <w:r>
              <w:rPr>
                <w:rFonts w:ascii="Arial" w:cs="Arial" w:eastAsia="Arial" w:hAnsi="Arial"/>
                <w:sz w:val="17"/>
                <w:szCs w:val="17"/>
                <w:b w:val="1"/>
                <w:bCs w:val="1"/>
                <w:color w:val="FFFFFF"/>
              </w:rPr>
              <w:t>Scheduled term endpoint</w:t>
            </w:r>
          </w:p>
        </w:tc>
      </w:tr>
      <w:tr>
        <w:trPr>
          <w:trHeight w:val="253"/>
        </w:trPr>
        <w:tc>
          <w:tcPr>
            <w:tcW w:w="3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5(a)</w:t>
            </w:r>
          </w:p>
        </w:tc>
        <w:tc>
          <w:tcPr>
            <w:tcW w:w="286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Andrew M. Caggia</w:t>
            </w:r>
          </w:p>
        </w:tc>
        <w:tc>
          <w:tcPr>
            <w:tcW w:w="3420" w:type="dxa"/>
            <w:vAlign w:val="bottom"/>
            <w:tcBorders>
              <w:bottom w:val="single" w:sz="8" w:color="E6E6E6"/>
            </w:tcBorders>
            <w:shd w:val="clear" w:color="auto" w:fill="E6E6E6"/>
          </w:tcPr>
          <w:p>
            <w:pPr>
              <w:ind w:left="1360"/>
              <w:spacing w:after="0"/>
              <w:rPr>
                <w:sz w:val="20"/>
                <w:szCs w:val="20"/>
                <w:color w:val="auto"/>
              </w:rPr>
            </w:pPr>
            <w:r>
              <w:rPr>
                <w:rFonts w:ascii="Arial" w:cs="Arial" w:eastAsia="Arial" w:hAnsi="Arial"/>
                <w:sz w:val="17"/>
                <w:szCs w:val="17"/>
                <w:color w:val="auto"/>
              </w:rPr>
              <w:t>June 5, 2024</w:t>
            </w:r>
          </w:p>
        </w:tc>
        <w:tc>
          <w:tcPr>
            <w:tcW w:w="1180" w:type="dxa"/>
            <w:vAlign w:val="bottom"/>
            <w:tcBorders>
              <w:bottom w:val="single" w:sz="8" w:color="E6E6E6"/>
            </w:tcBorders>
            <w:shd w:val="clear" w:color="auto" w:fill="E6E6E6"/>
          </w:tcPr>
          <w:p>
            <w:pPr>
              <w:ind w:left="560"/>
              <w:spacing w:after="0"/>
              <w:rPr>
                <w:sz w:val="20"/>
                <w:szCs w:val="20"/>
                <w:color w:val="auto"/>
              </w:rPr>
            </w:pPr>
            <w:r>
              <w:rPr>
                <w:rFonts w:ascii="Arial" w:cs="Arial" w:eastAsia="Arial" w:hAnsi="Arial"/>
                <w:sz w:val="17"/>
                <w:szCs w:val="17"/>
                <w:color w:val="auto"/>
              </w:rPr>
              <w:t>2</w:t>
            </w:r>
          </w:p>
        </w:tc>
        <w:tc>
          <w:tcPr>
            <w:tcW w:w="340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7"/>
                <w:szCs w:val="17"/>
                <w:color w:val="auto"/>
              </w:rPr>
              <w:t>2027 annual meeting</w:t>
            </w:r>
          </w:p>
        </w:tc>
      </w:tr>
      <w:tr>
        <w:trPr>
          <w:trHeight w:val="251"/>
        </w:trPr>
        <w:tc>
          <w:tcPr>
            <w:tcW w:w="380" w:type="dxa"/>
            <w:vAlign w:val="bottom"/>
          </w:tcPr>
          <w:p>
            <w:pPr>
              <w:ind w:left="40"/>
              <w:spacing w:after="0"/>
              <w:rPr>
                <w:sz w:val="20"/>
                <w:szCs w:val="20"/>
                <w:color w:val="auto"/>
              </w:rPr>
            </w:pPr>
            <w:r>
              <w:rPr>
                <w:rFonts w:ascii="Arial" w:cs="Arial" w:eastAsia="Arial" w:hAnsi="Arial"/>
                <w:sz w:val="17"/>
                <w:szCs w:val="17"/>
                <w:color w:val="auto"/>
              </w:rPr>
              <w:t>5(b)</w:t>
            </w:r>
          </w:p>
        </w:tc>
        <w:tc>
          <w:tcPr>
            <w:tcW w:w="2860" w:type="dxa"/>
            <w:vAlign w:val="bottom"/>
          </w:tcPr>
          <w:p>
            <w:pPr>
              <w:ind w:left="20"/>
              <w:spacing w:after="0"/>
              <w:rPr>
                <w:sz w:val="20"/>
                <w:szCs w:val="20"/>
                <w:color w:val="auto"/>
              </w:rPr>
            </w:pPr>
            <w:r>
              <w:rPr>
                <w:rFonts w:ascii="Arial" w:cs="Arial" w:eastAsia="Arial" w:hAnsi="Arial"/>
                <w:sz w:val="17"/>
                <w:szCs w:val="17"/>
                <w:color w:val="auto"/>
              </w:rPr>
              <w:t>Yon Y. Jorden</w:t>
            </w:r>
          </w:p>
        </w:tc>
        <w:tc>
          <w:tcPr>
            <w:tcW w:w="3420" w:type="dxa"/>
            <w:vAlign w:val="bottom"/>
          </w:tcPr>
          <w:p>
            <w:pPr>
              <w:ind w:left="1360"/>
              <w:spacing w:after="0"/>
              <w:rPr>
                <w:sz w:val="20"/>
                <w:szCs w:val="20"/>
                <w:color w:val="auto"/>
              </w:rPr>
            </w:pPr>
            <w:r>
              <w:rPr>
                <w:rFonts w:ascii="Arial" w:cs="Arial" w:eastAsia="Arial" w:hAnsi="Arial"/>
                <w:sz w:val="17"/>
                <w:szCs w:val="17"/>
                <w:color w:val="auto"/>
              </w:rPr>
              <w:t>June 5, 2024</w:t>
            </w:r>
          </w:p>
        </w:tc>
        <w:tc>
          <w:tcPr>
            <w:tcW w:w="1180" w:type="dxa"/>
            <w:vAlign w:val="bottom"/>
          </w:tcPr>
          <w:p>
            <w:pPr>
              <w:ind w:left="560"/>
              <w:spacing w:after="0"/>
              <w:rPr>
                <w:sz w:val="20"/>
                <w:szCs w:val="20"/>
                <w:color w:val="auto"/>
              </w:rPr>
            </w:pPr>
            <w:r>
              <w:rPr>
                <w:rFonts w:ascii="Arial" w:cs="Arial" w:eastAsia="Arial" w:hAnsi="Arial"/>
                <w:sz w:val="17"/>
                <w:szCs w:val="17"/>
                <w:color w:val="auto"/>
              </w:rPr>
              <w:t>2</w:t>
            </w:r>
          </w:p>
        </w:tc>
        <w:tc>
          <w:tcPr>
            <w:tcW w:w="3400" w:type="dxa"/>
            <w:vAlign w:val="bottom"/>
          </w:tcPr>
          <w:p>
            <w:pPr>
              <w:ind w:left="160"/>
              <w:spacing w:after="0"/>
              <w:rPr>
                <w:sz w:val="20"/>
                <w:szCs w:val="20"/>
                <w:color w:val="auto"/>
              </w:rPr>
            </w:pPr>
            <w:r>
              <w:rPr>
                <w:rFonts w:ascii="Arial" w:cs="Arial" w:eastAsia="Arial" w:hAnsi="Arial"/>
                <w:sz w:val="17"/>
                <w:szCs w:val="17"/>
                <w:color w:val="auto"/>
              </w:rPr>
              <w:t>2027 annual meeting</w:t>
            </w:r>
          </w:p>
        </w:tc>
      </w:tr>
      <w:tr>
        <w:trPr>
          <w:trHeight w:val="22"/>
        </w:trPr>
        <w:tc>
          <w:tcPr>
            <w:tcW w:w="324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53"/>
        </w:trPr>
        <w:tc>
          <w:tcPr>
            <w:tcW w:w="3240" w:type="dxa"/>
            <w:vAlign w:val="bottom"/>
            <w:tcBorders>
              <w:bottom w:val="single" w:sz="8" w:color="E6E6E6"/>
            </w:tcBorders>
            <w:gridSpan w:val="2"/>
            <w:shd w:val="clear" w:color="auto" w:fill="E6E6E6"/>
          </w:tcPr>
          <w:p>
            <w:pPr>
              <w:ind w:left="40"/>
              <w:spacing w:after="0"/>
              <w:rPr>
                <w:sz w:val="20"/>
                <w:szCs w:val="20"/>
                <w:color w:val="auto"/>
              </w:rPr>
            </w:pPr>
            <w:r>
              <w:rPr>
                <w:rFonts w:ascii="Arial" w:cs="Arial" w:eastAsia="Arial" w:hAnsi="Arial"/>
                <w:sz w:val="17"/>
                <w:szCs w:val="17"/>
                <w:color w:val="auto"/>
              </w:rPr>
              <w:t>5(c) Luis A. Müller</w:t>
            </w:r>
          </w:p>
        </w:tc>
        <w:tc>
          <w:tcPr>
            <w:tcW w:w="3420" w:type="dxa"/>
            <w:vAlign w:val="bottom"/>
            <w:tcBorders>
              <w:bottom w:val="single" w:sz="8" w:color="E6E6E6"/>
            </w:tcBorders>
            <w:shd w:val="clear" w:color="auto" w:fill="E6E6E6"/>
          </w:tcPr>
          <w:p>
            <w:pPr>
              <w:ind w:left="1360"/>
              <w:spacing w:after="0"/>
              <w:rPr>
                <w:sz w:val="20"/>
                <w:szCs w:val="20"/>
                <w:color w:val="auto"/>
              </w:rPr>
            </w:pPr>
            <w:r>
              <w:rPr>
                <w:rFonts w:ascii="Arial" w:cs="Arial" w:eastAsia="Arial" w:hAnsi="Arial"/>
                <w:sz w:val="17"/>
                <w:szCs w:val="17"/>
                <w:color w:val="auto"/>
              </w:rPr>
              <w:t>June 5, 2024</w:t>
            </w:r>
          </w:p>
        </w:tc>
        <w:tc>
          <w:tcPr>
            <w:tcW w:w="1180" w:type="dxa"/>
            <w:vAlign w:val="bottom"/>
            <w:tcBorders>
              <w:bottom w:val="single" w:sz="8" w:color="E6E6E6"/>
            </w:tcBorders>
            <w:shd w:val="clear" w:color="auto" w:fill="E6E6E6"/>
          </w:tcPr>
          <w:p>
            <w:pPr>
              <w:ind w:left="560"/>
              <w:spacing w:after="0"/>
              <w:rPr>
                <w:sz w:val="20"/>
                <w:szCs w:val="20"/>
                <w:color w:val="auto"/>
              </w:rPr>
            </w:pPr>
            <w:r>
              <w:rPr>
                <w:rFonts w:ascii="Arial" w:cs="Arial" w:eastAsia="Arial" w:hAnsi="Arial"/>
                <w:sz w:val="17"/>
                <w:szCs w:val="17"/>
                <w:color w:val="auto"/>
              </w:rPr>
              <w:t>2</w:t>
            </w:r>
          </w:p>
        </w:tc>
        <w:tc>
          <w:tcPr>
            <w:tcW w:w="340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7"/>
                <w:szCs w:val="17"/>
                <w:color w:val="auto"/>
              </w:rPr>
              <w:t>2027 annual meeting</w:t>
            </w:r>
          </w:p>
        </w:tc>
      </w:tr>
      <w:tr>
        <w:trPr>
          <w:trHeight w:val="251"/>
        </w:trPr>
        <w:tc>
          <w:tcPr>
            <w:tcW w:w="380" w:type="dxa"/>
            <w:vAlign w:val="bottom"/>
          </w:tcPr>
          <w:p>
            <w:pPr>
              <w:ind w:left="40"/>
              <w:spacing w:after="0"/>
              <w:rPr>
                <w:sz w:val="20"/>
                <w:szCs w:val="20"/>
                <w:color w:val="auto"/>
              </w:rPr>
            </w:pPr>
            <w:r>
              <w:rPr>
                <w:rFonts w:ascii="Arial" w:cs="Arial" w:eastAsia="Arial" w:hAnsi="Arial"/>
                <w:sz w:val="17"/>
                <w:szCs w:val="17"/>
                <w:color w:val="auto"/>
              </w:rPr>
              <w:t>5(d)</w:t>
            </w:r>
          </w:p>
        </w:tc>
        <w:tc>
          <w:tcPr>
            <w:tcW w:w="2860" w:type="dxa"/>
            <w:vAlign w:val="bottom"/>
          </w:tcPr>
          <w:p>
            <w:pPr>
              <w:ind w:left="20"/>
              <w:spacing w:after="0"/>
              <w:rPr>
                <w:sz w:val="20"/>
                <w:szCs w:val="20"/>
                <w:color w:val="auto"/>
              </w:rPr>
            </w:pPr>
            <w:r>
              <w:rPr>
                <w:rFonts w:ascii="Arial" w:cs="Arial" w:eastAsia="Arial" w:hAnsi="Arial"/>
                <w:sz w:val="17"/>
                <w:szCs w:val="17"/>
                <w:color w:val="auto"/>
              </w:rPr>
              <w:t>Steven J. Bilodeau</w:t>
            </w:r>
          </w:p>
        </w:tc>
        <w:tc>
          <w:tcPr>
            <w:tcW w:w="3420" w:type="dxa"/>
            <w:vAlign w:val="bottom"/>
          </w:tcPr>
          <w:p>
            <w:pPr>
              <w:ind w:left="1360"/>
              <w:spacing w:after="0"/>
              <w:rPr>
                <w:sz w:val="20"/>
                <w:szCs w:val="20"/>
                <w:color w:val="auto"/>
              </w:rPr>
            </w:pPr>
            <w:r>
              <w:rPr>
                <w:rFonts w:ascii="Arial" w:cs="Arial" w:eastAsia="Arial" w:hAnsi="Arial"/>
                <w:sz w:val="17"/>
                <w:szCs w:val="17"/>
                <w:color w:val="auto"/>
              </w:rPr>
              <w:t>May 16, 2025</w:t>
            </w:r>
          </w:p>
        </w:tc>
        <w:tc>
          <w:tcPr>
            <w:tcW w:w="1180" w:type="dxa"/>
            <w:vAlign w:val="bottom"/>
          </w:tcPr>
          <w:p>
            <w:pPr>
              <w:ind w:left="560"/>
              <w:spacing w:after="0"/>
              <w:rPr>
                <w:sz w:val="20"/>
                <w:szCs w:val="20"/>
                <w:color w:val="auto"/>
              </w:rPr>
            </w:pPr>
            <w:r>
              <w:rPr>
                <w:rFonts w:ascii="Arial" w:cs="Arial" w:eastAsia="Arial" w:hAnsi="Arial"/>
                <w:sz w:val="17"/>
                <w:szCs w:val="17"/>
                <w:color w:val="auto"/>
              </w:rPr>
              <w:t>3</w:t>
            </w:r>
          </w:p>
        </w:tc>
        <w:tc>
          <w:tcPr>
            <w:tcW w:w="3400" w:type="dxa"/>
            <w:vAlign w:val="bottom"/>
          </w:tcPr>
          <w:p>
            <w:pPr>
              <w:ind w:left="160"/>
              <w:spacing w:after="0"/>
              <w:rPr>
                <w:sz w:val="20"/>
                <w:szCs w:val="20"/>
                <w:color w:val="auto"/>
              </w:rPr>
            </w:pPr>
            <w:r>
              <w:rPr>
                <w:rFonts w:ascii="Arial" w:cs="Arial" w:eastAsia="Arial" w:hAnsi="Arial"/>
                <w:sz w:val="17"/>
                <w:szCs w:val="17"/>
                <w:color w:val="auto"/>
              </w:rPr>
              <w:t>2028 annual meeting</w:t>
            </w:r>
          </w:p>
        </w:tc>
      </w:tr>
      <w:tr>
        <w:trPr>
          <w:trHeight w:val="22"/>
        </w:trPr>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53"/>
        </w:trPr>
        <w:tc>
          <w:tcPr>
            <w:tcW w:w="3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5(e)</w:t>
            </w:r>
          </w:p>
        </w:tc>
        <w:tc>
          <w:tcPr>
            <w:tcW w:w="286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James A. Donahue</w:t>
            </w:r>
          </w:p>
        </w:tc>
        <w:tc>
          <w:tcPr>
            <w:tcW w:w="3420" w:type="dxa"/>
            <w:vAlign w:val="bottom"/>
            <w:tcBorders>
              <w:bottom w:val="single" w:sz="8" w:color="E6E6E6"/>
            </w:tcBorders>
            <w:shd w:val="clear" w:color="auto" w:fill="E6E6E6"/>
          </w:tcPr>
          <w:p>
            <w:pPr>
              <w:ind w:left="1360"/>
              <w:spacing w:after="0"/>
              <w:rPr>
                <w:sz w:val="20"/>
                <w:szCs w:val="20"/>
                <w:color w:val="auto"/>
              </w:rPr>
            </w:pPr>
            <w:r>
              <w:rPr>
                <w:rFonts w:ascii="Arial" w:cs="Arial" w:eastAsia="Arial" w:hAnsi="Arial"/>
                <w:sz w:val="17"/>
                <w:szCs w:val="17"/>
                <w:color w:val="auto"/>
              </w:rPr>
              <w:t>May 16, 2025</w:t>
            </w:r>
          </w:p>
        </w:tc>
        <w:tc>
          <w:tcPr>
            <w:tcW w:w="1180" w:type="dxa"/>
            <w:vAlign w:val="bottom"/>
            <w:tcBorders>
              <w:bottom w:val="single" w:sz="8" w:color="E6E6E6"/>
            </w:tcBorders>
            <w:shd w:val="clear" w:color="auto" w:fill="E6E6E6"/>
          </w:tcPr>
          <w:p>
            <w:pPr>
              <w:ind w:left="560"/>
              <w:spacing w:after="0"/>
              <w:rPr>
                <w:sz w:val="20"/>
                <w:szCs w:val="20"/>
                <w:color w:val="auto"/>
              </w:rPr>
            </w:pPr>
            <w:r>
              <w:rPr>
                <w:rFonts w:ascii="Arial" w:cs="Arial" w:eastAsia="Arial" w:hAnsi="Arial"/>
                <w:sz w:val="17"/>
                <w:szCs w:val="17"/>
                <w:color w:val="auto"/>
              </w:rPr>
              <w:t>3</w:t>
            </w:r>
          </w:p>
        </w:tc>
        <w:tc>
          <w:tcPr>
            <w:tcW w:w="340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7"/>
                <w:szCs w:val="17"/>
                <w:color w:val="auto"/>
              </w:rPr>
              <w:t>2028 annual meeting</w:t>
            </w:r>
          </w:p>
        </w:tc>
      </w:tr>
      <w:tr>
        <w:trPr>
          <w:trHeight w:val="251"/>
        </w:trPr>
        <w:tc>
          <w:tcPr>
            <w:tcW w:w="3240" w:type="dxa"/>
            <w:vAlign w:val="bottom"/>
            <w:gridSpan w:val="2"/>
          </w:tcPr>
          <w:p>
            <w:pPr>
              <w:ind w:left="40"/>
              <w:spacing w:after="0"/>
              <w:rPr>
                <w:sz w:val="20"/>
                <w:szCs w:val="20"/>
                <w:color w:val="auto"/>
              </w:rPr>
            </w:pPr>
            <w:r>
              <w:rPr>
                <w:rFonts w:ascii="Arial" w:cs="Arial" w:eastAsia="Arial" w:hAnsi="Arial"/>
                <w:sz w:val="17"/>
                <w:szCs w:val="17"/>
                <w:color w:val="auto"/>
              </w:rPr>
              <w:t>5(f) Andreas W. Mattes</w:t>
            </w:r>
          </w:p>
        </w:tc>
        <w:tc>
          <w:tcPr>
            <w:tcW w:w="3420" w:type="dxa"/>
            <w:vAlign w:val="bottom"/>
          </w:tcPr>
          <w:p>
            <w:pPr>
              <w:ind w:left="1360"/>
              <w:spacing w:after="0"/>
              <w:rPr>
                <w:sz w:val="20"/>
                <w:szCs w:val="20"/>
                <w:color w:val="auto"/>
              </w:rPr>
            </w:pPr>
            <w:r>
              <w:rPr>
                <w:rFonts w:ascii="Arial" w:cs="Arial" w:eastAsia="Arial" w:hAnsi="Arial"/>
                <w:sz w:val="17"/>
                <w:szCs w:val="17"/>
                <w:color w:val="auto"/>
              </w:rPr>
              <w:t>May 16, 2025</w:t>
            </w:r>
          </w:p>
        </w:tc>
        <w:tc>
          <w:tcPr>
            <w:tcW w:w="1180" w:type="dxa"/>
            <w:vAlign w:val="bottom"/>
          </w:tcPr>
          <w:p>
            <w:pPr>
              <w:ind w:left="560"/>
              <w:spacing w:after="0"/>
              <w:rPr>
                <w:sz w:val="20"/>
                <w:szCs w:val="20"/>
                <w:color w:val="auto"/>
              </w:rPr>
            </w:pPr>
            <w:r>
              <w:rPr>
                <w:rFonts w:ascii="Arial" w:cs="Arial" w:eastAsia="Arial" w:hAnsi="Arial"/>
                <w:sz w:val="17"/>
                <w:szCs w:val="17"/>
                <w:color w:val="auto"/>
              </w:rPr>
              <w:t>3</w:t>
            </w:r>
          </w:p>
        </w:tc>
        <w:tc>
          <w:tcPr>
            <w:tcW w:w="3400" w:type="dxa"/>
            <w:vAlign w:val="bottom"/>
          </w:tcPr>
          <w:p>
            <w:pPr>
              <w:ind w:left="160"/>
              <w:spacing w:after="0"/>
              <w:rPr>
                <w:sz w:val="20"/>
                <w:szCs w:val="20"/>
                <w:color w:val="auto"/>
              </w:rPr>
            </w:pPr>
            <w:r>
              <w:rPr>
                <w:rFonts w:ascii="Arial" w:cs="Arial" w:eastAsia="Arial" w:hAnsi="Arial"/>
                <w:sz w:val="17"/>
                <w:szCs w:val="17"/>
                <w:color w:val="auto"/>
              </w:rPr>
              <w:t>2028 annual meeting</w:t>
            </w:r>
          </w:p>
        </w:tc>
      </w:tr>
      <w:tr>
        <w:trPr>
          <w:trHeight w:val="22"/>
        </w:trPr>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53"/>
        </w:trPr>
        <w:tc>
          <w:tcPr>
            <w:tcW w:w="38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7"/>
                <w:szCs w:val="17"/>
                <w:color w:val="auto"/>
              </w:rPr>
              <w:t>5(g)</w:t>
            </w:r>
          </w:p>
        </w:tc>
        <w:tc>
          <w:tcPr>
            <w:tcW w:w="2860" w:type="dxa"/>
            <w:vAlign w:val="bottom"/>
            <w:tcBorders>
              <w:bottom w:val="single" w:sz="8" w:color="E6E6E6"/>
            </w:tcBorders>
            <w:shd w:val="clear" w:color="auto" w:fill="E6E6E6"/>
          </w:tcPr>
          <w:p>
            <w:pPr>
              <w:ind w:left="20"/>
              <w:spacing w:after="0"/>
              <w:rPr>
                <w:sz w:val="20"/>
                <w:szCs w:val="20"/>
                <w:color w:val="auto"/>
              </w:rPr>
            </w:pPr>
            <w:r>
              <w:rPr>
                <w:rFonts w:ascii="Arial" w:cs="Arial" w:eastAsia="Arial" w:hAnsi="Arial"/>
                <w:sz w:val="17"/>
                <w:szCs w:val="17"/>
                <w:color w:val="auto"/>
              </w:rPr>
              <w:t>William E. Bendush</w:t>
            </w:r>
          </w:p>
        </w:tc>
        <w:tc>
          <w:tcPr>
            <w:tcW w:w="3420" w:type="dxa"/>
            <w:vAlign w:val="bottom"/>
            <w:tcBorders>
              <w:bottom w:val="single" w:sz="8" w:color="E6E6E6"/>
            </w:tcBorders>
            <w:shd w:val="clear" w:color="auto" w:fill="E6E6E6"/>
          </w:tcPr>
          <w:p>
            <w:pPr>
              <w:ind w:left="1360"/>
              <w:spacing w:after="0"/>
              <w:rPr>
                <w:sz w:val="20"/>
                <w:szCs w:val="20"/>
                <w:color w:val="auto"/>
              </w:rPr>
            </w:pPr>
            <w:r>
              <w:rPr>
                <w:rFonts w:ascii="Arial" w:cs="Arial" w:eastAsia="Arial" w:hAnsi="Arial"/>
                <w:sz w:val="17"/>
                <w:szCs w:val="17"/>
                <w:color w:val="auto"/>
              </w:rPr>
              <w:t>May 15, 2026</w:t>
            </w:r>
          </w:p>
        </w:tc>
        <w:tc>
          <w:tcPr>
            <w:tcW w:w="1180" w:type="dxa"/>
            <w:vAlign w:val="bottom"/>
            <w:tcBorders>
              <w:bottom w:val="single" w:sz="8" w:color="E6E6E6"/>
            </w:tcBorders>
            <w:shd w:val="clear" w:color="auto" w:fill="E6E6E6"/>
          </w:tcPr>
          <w:p>
            <w:pPr>
              <w:ind w:left="560"/>
              <w:spacing w:after="0"/>
              <w:rPr>
                <w:sz w:val="20"/>
                <w:szCs w:val="20"/>
                <w:color w:val="auto"/>
              </w:rPr>
            </w:pPr>
            <w:r>
              <w:rPr>
                <w:rFonts w:ascii="Arial" w:cs="Arial" w:eastAsia="Arial" w:hAnsi="Arial"/>
                <w:sz w:val="17"/>
                <w:szCs w:val="17"/>
                <w:color w:val="auto"/>
              </w:rPr>
              <w:t>1</w:t>
            </w:r>
          </w:p>
        </w:tc>
        <w:tc>
          <w:tcPr>
            <w:tcW w:w="340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7"/>
                <w:szCs w:val="17"/>
                <w:color w:val="auto"/>
              </w:rPr>
              <w:t>2029 annual meeting</w:t>
            </w:r>
          </w:p>
        </w:tc>
      </w:tr>
      <w:tr>
        <w:trPr>
          <w:trHeight w:val="251"/>
        </w:trPr>
        <w:tc>
          <w:tcPr>
            <w:tcW w:w="380" w:type="dxa"/>
            <w:vAlign w:val="bottom"/>
          </w:tcPr>
          <w:p>
            <w:pPr>
              <w:ind w:left="40"/>
              <w:spacing w:after="0"/>
              <w:rPr>
                <w:sz w:val="20"/>
                <w:szCs w:val="20"/>
                <w:color w:val="auto"/>
              </w:rPr>
            </w:pPr>
            <w:r>
              <w:rPr>
                <w:rFonts w:ascii="Arial" w:cs="Arial" w:eastAsia="Arial" w:hAnsi="Arial"/>
                <w:sz w:val="17"/>
                <w:szCs w:val="17"/>
                <w:color w:val="auto"/>
              </w:rPr>
              <w:t>5(h)</w:t>
            </w:r>
          </w:p>
        </w:tc>
        <w:tc>
          <w:tcPr>
            <w:tcW w:w="2860" w:type="dxa"/>
            <w:vAlign w:val="bottom"/>
          </w:tcPr>
          <w:p>
            <w:pPr>
              <w:ind w:left="20"/>
              <w:spacing w:after="0"/>
              <w:rPr>
                <w:sz w:val="20"/>
                <w:szCs w:val="20"/>
                <w:color w:val="auto"/>
              </w:rPr>
            </w:pPr>
            <w:r>
              <w:rPr>
                <w:rFonts w:ascii="Arial" w:cs="Arial" w:eastAsia="Arial" w:hAnsi="Arial"/>
                <w:sz w:val="17"/>
                <w:szCs w:val="17"/>
                <w:color w:val="auto"/>
              </w:rPr>
              <w:t>Karen M. Rapp</w:t>
            </w:r>
          </w:p>
        </w:tc>
        <w:tc>
          <w:tcPr>
            <w:tcW w:w="3420" w:type="dxa"/>
            <w:vAlign w:val="bottom"/>
          </w:tcPr>
          <w:p>
            <w:pPr>
              <w:ind w:left="1360"/>
              <w:spacing w:after="0"/>
              <w:rPr>
                <w:sz w:val="20"/>
                <w:szCs w:val="20"/>
                <w:color w:val="auto"/>
              </w:rPr>
            </w:pPr>
            <w:r>
              <w:rPr>
                <w:rFonts w:ascii="Arial" w:cs="Arial" w:eastAsia="Arial" w:hAnsi="Arial"/>
                <w:sz w:val="17"/>
                <w:szCs w:val="17"/>
                <w:color w:val="auto"/>
              </w:rPr>
              <w:t>May 15, 2026</w:t>
            </w:r>
          </w:p>
        </w:tc>
        <w:tc>
          <w:tcPr>
            <w:tcW w:w="1180" w:type="dxa"/>
            <w:vAlign w:val="bottom"/>
          </w:tcPr>
          <w:p>
            <w:pPr>
              <w:ind w:left="560"/>
              <w:spacing w:after="0"/>
              <w:rPr>
                <w:sz w:val="20"/>
                <w:szCs w:val="20"/>
                <w:color w:val="auto"/>
              </w:rPr>
            </w:pPr>
            <w:r>
              <w:rPr>
                <w:rFonts w:ascii="Arial" w:cs="Arial" w:eastAsia="Arial" w:hAnsi="Arial"/>
                <w:sz w:val="17"/>
                <w:szCs w:val="17"/>
                <w:color w:val="auto"/>
              </w:rPr>
              <w:t>1</w:t>
            </w:r>
          </w:p>
        </w:tc>
        <w:tc>
          <w:tcPr>
            <w:tcW w:w="3400" w:type="dxa"/>
            <w:vAlign w:val="bottom"/>
          </w:tcPr>
          <w:p>
            <w:pPr>
              <w:ind w:left="160"/>
              <w:spacing w:after="0"/>
              <w:rPr>
                <w:sz w:val="20"/>
                <w:szCs w:val="20"/>
                <w:color w:val="auto"/>
              </w:rPr>
            </w:pPr>
            <w:r>
              <w:rPr>
                <w:rFonts w:ascii="Arial" w:cs="Arial" w:eastAsia="Arial" w:hAnsi="Arial"/>
                <w:sz w:val="17"/>
                <w:szCs w:val="17"/>
                <w:color w:val="auto"/>
              </w:rPr>
              <w:t>2029 annual meeting</w:t>
            </w:r>
          </w:p>
        </w:tc>
      </w:tr>
      <w:tr>
        <w:trPr>
          <w:trHeight w:val="22"/>
        </w:trPr>
        <w:tc>
          <w:tcPr>
            <w:tcW w:w="324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51"/>
        </w:trPr>
        <w:tc>
          <w:tcPr>
            <w:tcW w:w="3240" w:type="dxa"/>
            <w:vAlign w:val="bottom"/>
            <w:gridSpan w:val="2"/>
            <w:shd w:val="clear" w:color="auto" w:fill="E6E6E6"/>
          </w:tcPr>
          <w:p>
            <w:pPr>
              <w:ind w:left="40"/>
              <w:spacing w:after="0"/>
              <w:rPr>
                <w:sz w:val="20"/>
                <w:szCs w:val="20"/>
                <w:color w:val="auto"/>
              </w:rPr>
            </w:pPr>
            <w:r>
              <w:rPr>
                <w:rFonts w:ascii="Arial" w:cs="Arial" w:eastAsia="Arial" w:hAnsi="Arial"/>
                <w:sz w:val="17"/>
                <w:szCs w:val="17"/>
                <w:color w:val="auto"/>
              </w:rPr>
              <w:t>5(i) Nina L. Richardson</w:t>
            </w:r>
          </w:p>
        </w:tc>
        <w:tc>
          <w:tcPr>
            <w:tcW w:w="3420" w:type="dxa"/>
            <w:vAlign w:val="bottom"/>
            <w:shd w:val="clear" w:color="auto" w:fill="E6E6E6"/>
          </w:tcPr>
          <w:p>
            <w:pPr>
              <w:ind w:left="1360"/>
              <w:spacing w:after="0"/>
              <w:rPr>
                <w:sz w:val="20"/>
                <w:szCs w:val="20"/>
                <w:color w:val="auto"/>
              </w:rPr>
            </w:pPr>
            <w:r>
              <w:rPr>
                <w:rFonts w:ascii="Arial" w:cs="Arial" w:eastAsia="Arial" w:hAnsi="Arial"/>
                <w:sz w:val="17"/>
                <w:szCs w:val="17"/>
                <w:color w:val="auto"/>
              </w:rPr>
              <w:t>May 15, 2026</w:t>
            </w:r>
          </w:p>
        </w:tc>
        <w:tc>
          <w:tcPr>
            <w:tcW w:w="1180" w:type="dxa"/>
            <w:vAlign w:val="bottom"/>
            <w:shd w:val="clear" w:color="auto" w:fill="E6E6E6"/>
          </w:tcPr>
          <w:p>
            <w:pPr>
              <w:ind w:left="560"/>
              <w:spacing w:after="0"/>
              <w:rPr>
                <w:sz w:val="20"/>
                <w:szCs w:val="20"/>
                <w:color w:val="auto"/>
              </w:rPr>
            </w:pPr>
            <w:r>
              <w:rPr>
                <w:rFonts w:ascii="Arial" w:cs="Arial" w:eastAsia="Arial" w:hAnsi="Arial"/>
                <w:sz w:val="17"/>
                <w:szCs w:val="17"/>
                <w:color w:val="auto"/>
              </w:rPr>
              <w:t>1</w:t>
            </w:r>
          </w:p>
        </w:tc>
        <w:tc>
          <w:tcPr>
            <w:tcW w:w="3400" w:type="dxa"/>
            <w:vAlign w:val="bottom"/>
            <w:shd w:val="clear" w:color="auto" w:fill="E6E6E6"/>
          </w:tcPr>
          <w:p>
            <w:pPr>
              <w:ind w:left="160"/>
              <w:spacing w:after="0"/>
              <w:rPr>
                <w:sz w:val="20"/>
                <w:szCs w:val="20"/>
                <w:color w:val="auto"/>
              </w:rPr>
            </w:pPr>
            <w:r>
              <w:rPr>
                <w:rFonts w:ascii="Arial" w:cs="Arial" w:eastAsia="Arial" w:hAnsi="Arial"/>
                <w:sz w:val="17"/>
                <w:szCs w:val="17"/>
                <w:color w:val="auto"/>
              </w:rPr>
              <w:t>2029 annual meeting</w:t>
            </w:r>
          </w:p>
        </w:tc>
      </w:tr>
      <w:tr>
        <w:trPr>
          <w:trHeight w:val="22"/>
        </w:trPr>
        <w:tc>
          <w:tcPr>
            <w:tcW w:w="380" w:type="dxa"/>
            <w:vAlign w:val="bottom"/>
            <w:shd w:val="clear" w:color="auto" w:fill="E6E6E6"/>
          </w:tcPr>
          <w:p>
            <w:pPr>
              <w:spacing w:after="0" w:line="20" w:lineRule="exact"/>
              <w:rPr>
                <w:sz w:val="1"/>
                <w:szCs w:val="1"/>
                <w:color w:val="auto"/>
              </w:rPr>
            </w:pPr>
          </w:p>
        </w:tc>
        <w:tc>
          <w:tcPr>
            <w:tcW w:w="2860" w:type="dxa"/>
            <w:vAlign w:val="bottom"/>
            <w:shd w:val="clear" w:color="auto" w:fill="E6E6E6"/>
          </w:tcPr>
          <w:p>
            <w:pPr>
              <w:spacing w:after="0" w:line="20" w:lineRule="exact"/>
              <w:rPr>
                <w:sz w:val="1"/>
                <w:szCs w:val="1"/>
                <w:color w:val="auto"/>
              </w:rPr>
            </w:pPr>
          </w:p>
        </w:tc>
        <w:tc>
          <w:tcPr>
            <w:tcW w:w="3420" w:type="dxa"/>
            <w:vAlign w:val="bottom"/>
            <w:shd w:val="clear" w:color="auto" w:fill="E6E6E6"/>
          </w:tcPr>
          <w:p>
            <w:pPr>
              <w:spacing w:after="0" w:line="20" w:lineRule="exact"/>
              <w:rPr>
                <w:sz w:val="1"/>
                <w:szCs w:val="1"/>
                <w:color w:val="auto"/>
              </w:rPr>
            </w:pPr>
          </w:p>
        </w:tc>
        <w:tc>
          <w:tcPr>
            <w:tcW w:w="1180" w:type="dxa"/>
            <w:vAlign w:val="bottom"/>
            <w:shd w:val="clear" w:color="auto" w:fill="E6E6E6"/>
          </w:tcPr>
          <w:p>
            <w:pPr>
              <w:spacing w:after="0" w:line="20" w:lineRule="exact"/>
              <w:rPr>
                <w:sz w:val="1"/>
                <w:szCs w:val="1"/>
                <w:color w:val="auto"/>
              </w:rPr>
            </w:pPr>
          </w:p>
        </w:tc>
        <w:tc>
          <w:tcPr>
            <w:tcW w:w="3400" w:type="dxa"/>
            <w:vAlign w:val="bottom"/>
            <w:shd w:val="clear" w:color="auto" w:fill="E6E6E6"/>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-1212215</wp:posOffset>
            </wp:positionV>
            <wp:extent cx="8255" cy="173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-1212215</wp:posOffset>
            </wp:positionV>
            <wp:extent cx="8255" cy="173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-1212215</wp:posOffset>
            </wp:positionV>
            <wp:extent cx="8255" cy="173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-865505</wp:posOffset>
            </wp:positionV>
            <wp:extent cx="8255" cy="173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-865505</wp:posOffset>
            </wp:positionV>
            <wp:extent cx="8255" cy="1733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-865505</wp:posOffset>
            </wp:positionV>
            <wp:extent cx="8255" cy="173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-519430</wp:posOffset>
            </wp:positionV>
            <wp:extent cx="8255" cy="173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-519430</wp:posOffset>
            </wp:positionV>
            <wp:extent cx="8255" cy="1733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-519430</wp:posOffset>
            </wp:positionV>
            <wp:extent cx="8255" cy="173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-172720</wp:posOffset>
            </wp:positionV>
            <wp:extent cx="8255" cy="1733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-172720</wp:posOffset>
            </wp:positionV>
            <wp:extent cx="8255" cy="173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1733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-172720</wp:posOffset>
            </wp:positionV>
            <wp:extent cx="8255" cy="1733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173355"/>
                    </a:xfrm>
                    <a:prstGeom prst="rect">
                      <a:avLst/>
                    </a:prstGeom>
                    <a:noFill/>
                  </pic:spPr>
                </pic:pic>
              </a:graphicData>
            </a:graphic>
          </wp:anchor>
        </w:drawing>
      </w:r>
    </w:p>
    <w:p>
      <w:pPr>
        <w:spacing w:after="0" w:line="158"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The original election dates and reported class terms are reflected in our SEC filings Under our charter, each director also serves until a successor is duly elected and qualified, subject to the applicable earlier resignation, disqualification, death, or removal provisions.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The failures of authorization</w:t>
      </w:r>
    </w:p>
    <w:p>
      <w:pPr>
        <w:spacing w:after="0" w:line="19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For Proposals 5(a) through 5(c), the April 12, 2024 record date preceded the June 5, 2024 meeting by 54 days. For Proposals 5(d) through 5(f), the March 21, 2025 record date preceded the May 16, 2025 meeting by 56 days. For Proposals 5(g) through 5(i), the March 23, 2026 record date preceded the May 15, 2026 meeting by 53 days. Each interval exceeded the applicable 50-day bylaw limit.</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Section 204 expressly includes an election or appointment of directors that is void or voidable because of a failure of authorization within the definition of a defective corporate act. A failure to comply with the bylaws can be a failure of authorization. The Board approved ratification of each identified election to the extent it is void or voidable because of that record-date defect.</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Historical voting results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60" w:type="dxa"/>
            <w:vAlign w:val="bottom"/>
            <w:shd w:val="clear" w:color="auto" w:fill="2D53A6"/>
          </w:tcPr>
          <w:p>
            <w:pPr>
              <w:spacing w:after="0"/>
              <w:rPr>
                <w:sz w:val="20"/>
                <w:szCs w:val="20"/>
                <w:color w:val="auto"/>
              </w:rPr>
            </w:pPr>
            <w:r>
              <w:rPr>
                <w:rFonts w:ascii="Arial" w:cs="Arial" w:eastAsia="Arial" w:hAnsi="Arial"/>
                <w:sz w:val="17"/>
                <w:szCs w:val="17"/>
                <w:b w:val="1"/>
                <w:bCs w:val="1"/>
                <w:color w:val="FFFFFF"/>
              </w:rPr>
              <w:t>Director</w:t>
            </w:r>
          </w:p>
        </w:tc>
        <w:tc>
          <w:tcPr>
            <w:tcW w:w="3200" w:type="dxa"/>
            <w:vAlign w:val="bottom"/>
            <w:shd w:val="clear" w:color="auto" w:fill="2D53A6"/>
          </w:tcPr>
          <w:p>
            <w:pPr>
              <w:jc w:val="right"/>
              <w:ind w:right="793"/>
              <w:spacing w:after="0"/>
              <w:rPr>
                <w:sz w:val="20"/>
                <w:szCs w:val="20"/>
                <w:color w:val="auto"/>
              </w:rPr>
            </w:pPr>
            <w:r>
              <w:rPr>
                <w:rFonts w:ascii="Arial" w:cs="Arial" w:eastAsia="Arial" w:hAnsi="Arial"/>
                <w:sz w:val="17"/>
                <w:szCs w:val="17"/>
                <w:b w:val="1"/>
                <w:bCs w:val="1"/>
                <w:color w:val="FFFFFF"/>
              </w:rPr>
              <w:t>FOR</w:t>
            </w:r>
          </w:p>
        </w:tc>
        <w:tc>
          <w:tcPr>
            <w:tcW w:w="1360" w:type="dxa"/>
            <w:vAlign w:val="bottom"/>
            <w:shd w:val="clear" w:color="auto" w:fill="2D53A6"/>
          </w:tcPr>
          <w:p>
            <w:pPr>
              <w:jc w:val="right"/>
              <w:ind w:right="373"/>
              <w:spacing w:after="0"/>
              <w:rPr>
                <w:sz w:val="20"/>
                <w:szCs w:val="20"/>
                <w:color w:val="auto"/>
              </w:rPr>
            </w:pPr>
            <w:r>
              <w:rPr>
                <w:rFonts w:ascii="Arial" w:cs="Arial" w:eastAsia="Arial" w:hAnsi="Arial"/>
                <w:sz w:val="17"/>
                <w:szCs w:val="17"/>
                <w:b w:val="1"/>
                <w:bCs w:val="1"/>
                <w:color w:val="FFFFFF"/>
              </w:rPr>
              <w:t>AGAINST</w:t>
            </w:r>
          </w:p>
        </w:tc>
        <w:tc>
          <w:tcPr>
            <w:tcW w:w="1340" w:type="dxa"/>
            <w:vAlign w:val="bottom"/>
            <w:shd w:val="clear" w:color="auto" w:fill="2D53A6"/>
          </w:tcPr>
          <w:p>
            <w:pPr>
              <w:jc w:val="right"/>
              <w:ind w:right="373"/>
              <w:spacing w:after="0"/>
              <w:rPr>
                <w:sz w:val="20"/>
                <w:szCs w:val="20"/>
                <w:color w:val="auto"/>
              </w:rPr>
            </w:pPr>
            <w:r>
              <w:rPr>
                <w:rFonts w:ascii="Arial" w:cs="Arial" w:eastAsia="Arial" w:hAnsi="Arial"/>
                <w:sz w:val="17"/>
                <w:szCs w:val="17"/>
                <w:b w:val="1"/>
                <w:bCs w:val="1"/>
                <w:color w:val="FFFFFF"/>
              </w:rPr>
              <w:t>ABSTAIN</w:t>
            </w:r>
          </w:p>
        </w:tc>
        <w:tc>
          <w:tcPr>
            <w:tcW w:w="1880" w:type="dxa"/>
            <w:vAlign w:val="bottom"/>
            <w:shd w:val="clear" w:color="auto" w:fill="2D53A6"/>
          </w:tcPr>
          <w:p>
            <w:pPr>
              <w:jc w:val="right"/>
              <w:ind w:right="253"/>
              <w:spacing w:after="0"/>
              <w:rPr>
                <w:sz w:val="20"/>
                <w:szCs w:val="20"/>
                <w:color w:val="auto"/>
              </w:rPr>
            </w:pPr>
            <w:r>
              <w:rPr>
                <w:rFonts w:ascii="Arial" w:cs="Arial" w:eastAsia="Arial" w:hAnsi="Arial"/>
                <w:sz w:val="17"/>
                <w:szCs w:val="17"/>
                <w:b w:val="1"/>
                <w:bCs w:val="1"/>
                <w:color w:val="FFFFFF"/>
              </w:rPr>
              <w:t>Broker non-votes</w:t>
            </w:r>
          </w:p>
        </w:tc>
      </w:tr>
      <w:tr>
        <w:trPr>
          <w:trHeight w:val="195"/>
        </w:trPr>
        <w:tc>
          <w:tcPr>
            <w:tcW w:w="3460" w:type="dxa"/>
            <w:vAlign w:val="bottom"/>
            <w:shd w:val="clear" w:color="auto" w:fill="E6E6E6"/>
          </w:tcPr>
          <w:p>
            <w:pPr>
              <w:spacing w:after="0"/>
              <w:rPr>
                <w:sz w:val="20"/>
                <w:szCs w:val="20"/>
                <w:color w:val="auto"/>
              </w:rPr>
            </w:pPr>
            <w:r>
              <w:rPr>
                <w:rFonts w:ascii="Arial" w:cs="Arial" w:eastAsia="Arial" w:hAnsi="Arial"/>
                <w:sz w:val="17"/>
                <w:szCs w:val="17"/>
                <w:color w:val="auto"/>
              </w:rPr>
              <w:t>Andrew M. Caggia</w:t>
            </w:r>
          </w:p>
        </w:tc>
        <w:tc>
          <w:tcPr>
            <w:tcW w:w="320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37,225,405</w:t>
            </w:r>
          </w:p>
        </w:tc>
        <w:tc>
          <w:tcPr>
            <w:tcW w:w="13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3,594,374</w:t>
            </w:r>
          </w:p>
        </w:tc>
        <w:tc>
          <w:tcPr>
            <w:tcW w:w="1340" w:type="dxa"/>
            <w:vAlign w:val="bottom"/>
            <w:shd w:val="clear" w:color="auto" w:fill="E6E6E6"/>
          </w:tcPr>
          <w:p>
            <w:pPr>
              <w:jc w:val="right"/>
              <w:ind w:right="13"/>
              <w:spacing w:after="0"/>
              <w:rPr>
                <w:sz w:val="20"/>
                <w:szCs w:val="20"/>
                <w:color w:val="auto"/>
              </w:rPr>
            </w:pPr>
            <w:r>
              <w:rPr>
                <w:rFonts w:ascii="Arial" w:cs="Arial" w:eastAsia="Arial" w:hAnsi="Arial"/>
                <w:sz w:val="17"/>
                <w:szCs w:val="17"/>
                <w:color w:val="auto"/>
              </w:rPr>
              <w:t>38,642</w:t>
            </w:r>
          </w:p>
        </w:tc>
        <w:tc>
          <w:tcPr>
            <w:tcW w:w="1880" w:type="dxa"/>
            <w:vAlign w:val="bottom"/>
            <w:shd w:val="clear" w:color="auto" w:fill="E6E6E6"/>
          </w:tcPr>
          <w:p>
            <w:pPr>
              <w:jc w:val="right"/>
              <w:ind w:right="13"/>
              <w:spacing w:after="0"/>
              <w:rPr>
                <w:sz w:val="20"/>
                <w:szCs w:val="20"/>
                <w:color w:val="auto"/>
              </w:rPr>
            </w:pPr>
            <w:r>
              <w:rPr>
                <w:rFonts w:ascii="Arial" w:cs="Arial" w:eastAsia="Arial" w:hAnsi="Arial"/>
                <w:sz w:val="17"/>
                <w:szCs w:val="17"/>
                <w:color w:val="auto"/>
              </w:rPr>
              <w:t>2,928,823</w:t>
            </w:r>
          </w:p>
        </w:tc>
      </w:tr>
      <w:tr>
        <w:trPr>
          <w:trHeight w:val="195"/>
        </w:trPr>
        <w:tc>
          <w:tcPr>
            <w:tcW w:w="3460" w:type="dxa"/>
            <w:vAlign w:val="bottom"/>
          </w:tcPr>
          <w:p>
            <w:pPr>
              <w:spacing w:after="0"/>
              <w:rPr>
                <w:sz w:val="20"/>
                <w:szCs w:val="20"/>
                <w:color w:val="auto"/>
              </w:rPr>
            </w:pPr>
            <w:r>
              <w:rPr>
                <w:rFonts w:ascii="Arial" w:cs="Arial" w:eastAsia="Arial" w:hAnsi="Arial"/>
                <w:sz w:val="17"/>
                <w:szCs w:val="17"/>
                <w:color w:val="auto"/>
              </w:rPr>
              <w:t>Yon Y. Jorden</w:t>
            </w:r>
          </w:p>
        </w:tc>
        <w:tc>
          <w:tcPr>
            <w:tcW w:w="3200" w:type="dxa"/>
            <w:vAlign w:val="bottom"/>
          </w:tcPr>
          <w:p>
            <w:pPr>
              <w:jc w:val="right"/>
              <w:ind w:right="33"/>
              <w:spacing w:after="0"/>
              <w:rPr>
                <w:sz w:val="20"/>
                <w:szCs w:val="20"/>
                <w:color w:val="auto"/>
              </w:rPr>
            </w:pPr>
            <w:r>
              <w:rPr>
                <w:rFonts w:ascii="Arial" w:cs="Arial" w:eastAsia="Arial" w:hAnsi="Arial"/>
                <w:sz w:val="17"/>
                <w:szCs w:val="17"/>
                <w:color w:val="auto"/>
              </w:rPr>
              <w:t>40,016,127</w:t>
            </w:r>
          </w:p>
        </w:tc>
        <w:tc>
          <w:tcPr>
            <w:tcW w:w="1360" w:type="dxa"/>
            <w:vAlign w:val="bottom"/>
          </w:tcPr>
          <w:p>
            <w:pPr>
              <w:jc w:val="right"/>
              <w:ind w:right="33"/>
              <w:spacing w:after="0"/>
              <w:rPr>
                <w:sz w:val="20"/>
                <w:szCs w:val="20"/>
                <w:color w:val="auto"/>
              </w:rPr>
            </w:pPr>
            <w:r>
              <w:rPr>
                <w:rFonts w:ascii="Arial" w:cs="Arial" w:eastAsia="Arial" w:hAnsi="Arial"/>
                <w:sz w:val="17"/>
                <w:szCs w:val="17"/>
                <w:color w:val="auto"/>
              </w:rPr>
              <w:t>803,882</w:t>
            </w:r>
          </w:p>
        </w:tc>
        <w:tc>
          <w:tcPr>
            <w:tcW w:w="1340" w:type="dxa"/>
            <w:vAlign w:val="bottom"/>
          </w:tcPr>
          <w:p>
            <w:pPr>
              <w:jc w:val="right"/>
              <w:ind w:right="13"/>
              <w:spacing w:after="0"/>
              <w:rPr>
                <w:sz w:val="20"/>
                <w:szCs w:val="20"/>
                <w:color w:val="auto"/>
              </w:rPr>
            </w:pPr>
            <w:r>
              <w:rPr>
                <w:rFonts w:ascii="Arial" w:cs="Arial" w:eastAsia="Arial" w:hAnsi="Arial"/>
                <w:sz w:val="17"/>
                <w:szCs w:val="17"/>
                <w:color w:val="auto"/>
              </w:rPr>
              <w:t>38,412</w:t>
            </w:r>
          </w:p>
        </w:tc>
        <w:tc>
          <w:tcPr>
            <w:tcW w:w="1880" w:type="dxa"/>
            <w:vAlign w:val="bottom"/>
          </w:tcPr>
          <w:p>
            <w:pPr>
              <w:jc w:val="right"/>
              <w:ind w:right="13"/>
              <w:spacing w:after="0"/>
              <w:rPr>
                <w:sz w:val="20"/>
                <w:szCs w:val="20"/>
                <w:color w:val="auto"/>
              </w:rPr>
            </w:pPr>
            <w:r>
              <w:rPr>
                <w:rFonts w:ascii="Arial" w:cs="Arial" w:eastAsia="Arial" w:hAnsi="Arial"/>
                <w:sz w:val="17"/>
                <w:szCs w:val="17"/>
                <w:color w:val="auto"/>
              </w:rPr>
              <w:t>2,928,823</w:t>
            </w:r>
          </w:p>
        </w:tc>
      </w:tr>
      <w:tr>
        <w:trPr>
          <w:trHeight w:val="195"/>
        </w:trPr>
        <w:tc>
          <w:tcPr>
            <w:tcW w:w="3460" w:type="dxa"/>
            <w:vAlign w:val="bottom"/>
            <w:shd w:val="clear" w:color="auto" w:fill="E6E6E6"/>
          </w:tcPr>
          <w:p>
            <w:pPr>
              <w:spacing w:after="0"/>
              <w:rPr>
                <w:sz w:val="20"/>
                <w:szCs w:val="20"/>
                <w:color w:val="auto"/>
              </w:rPr>
            </w:pPr>
            <w:r>
              <w:rPr>
                <w:rFonts w:ascii="Arial" w:cs="Arial" w:eastAsia="Arial" w:hAnsi="Arial"/>
                <w:sz w:val="17"/>
                <w:szCs w:val="17"/>
                <w:color w:val="auto"/>
              </w:rPr>
              <w:t>Luis A. Müller</w:t>
            </w:r>
          </w:p>
        </w:tc>
        <w:tc>
          <w:tcPr>
            <w:tcW w:w="320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40,469,622</w:t>
            </w:r>
          </w:p>
        </w:tc>
        <w:tc>
          <w:tcPr>
            <w:tcW w:w="13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349,433</w:t>
            </w:r>
          </w:p>
        </w:tc>
        <w:tc>
          <w:tcPr>
            <w:tcW w:w="1340" w:type="dxa"/>
            <w:vAlign w:val="bottom"/>
            <w:shd w:val="clear" w:color="auto" w:fill="E6E6E6"/>
          </w:tcPr>
          <w:p>
            <w:pPr>
              <w:jc w:val="right"/>
              <w:ind w:right="13"/>
              <w:spacing w:after="0"/>
              <w:rPr>
                <w:sz w:val="20"/>
                <w:szCs w:val="20"/>
                <w:color w:val="auto"/>
              </w:rPr>
            </w:pPr>
            <w:r>
              <w:rPr>
                <w:rFonts w:ascii="Arial" w:cs="Arial" w:eastAsia="Arial" w:hAnsi="Arial"/>
                <w:sz w:val="17"/>
                <w:szCs w:val="17"/>
                <w:color w:val="auto"/>
              </w:rPr>
              <w:t>39,366</w:t>
            </w:r>
          </w:p>
        </w:tc>
        <w:tc>
          <w:tcPr>
            <w:tcW w:w="1880" w:type="dxa"/>
            <w:vAlign w:val="bottom"/>
            <w:shd w:val="clear" w:color="auto" w:fill="E6E6E6"/>
          </w:tcPr>
          <w:p>
            <w:pPr>
              <w:jc w:val="right"/>
              <w:ind w:right="13"/>
              <w:spacing w:after="0"/>
              <w:rPr>
                <w:sz w:val="20"/>
                <w:szCs w:val="20"/>
                <w:color w:val="auto"/>
              </w:rPr>
            </w:pPr>
            <w:r>
              <w:rPr>
                <w:rFonts w:ascii="Arial" w:cs="Arial" w:eastAsia="Arial" w:hAnsi="Arial"/>
                <w:sz w:val="17"/>
                <w:szCs w:val="17"/>
                <w:color w:val="auto"/>
              </w:rPr>
              <w:t>2,928,823</w:t>
            </w:r>
          </w:p>
        </w:tc>
      </w:tr>
      <w:tr>
        <w:trPr>
          <w:trHeight w:val="195"/>
        </w:trPr>
        <w:tc>
          <w:tcPr>
            <w:tcW w:w="3460" w:type="dxa"/>
            <w:vAlign w:val="bottom"/>
          </w:tcPr>
          <w:p>
            <w:pPr>
              <w:spacing w:after="0"/>
              <w:rPr>
                <w:sz w:val="20"/>
                <w:szCs w:val="20"/>
                <w:color w:val="auto"/>
              </w:rPr>
            </w:pPr>
            <w:r>
              <w:rPr>
                <w:rFonts w:ascii="Arial" w:cs="Arial" w:eastAsia="Arial" w:hAnsi="Arial"/>
                <w:sz w:val="17"/>
                <w:szCs w:val="17"/>
                <w:color w:val="auto"/>
              </w:rPr>
              <w:t>Steven J. Bilodeau</w:t>
            </w:r>
          </w:p>
        </w:tc>
        <w:tc>
          <w:tcPr>
            <w:tcW w:w="3200" w:type="dxa"/>
            <w:vAlign w:val="bottom"/>
          </w:tcPr>
          <w:p>
            <w:pPr>
              <w:jc w:val="right"/>
              <w:ind w:right="33"/>
              <w:spacing w:after="0"/>
              <w:rPr>
                <w:sz w:val="20"/>
                <w:szCs w:val="20"/>
                <w:color w:val="auto"/>
              </w:rPr>
            </w:pPr>
            <w:r>
              <w:rPr>
                <w:rFonts w:ascii="Arial" w:cs="Arial" w:eastAsia="Arial" w:hAnsi="Arial"/>
                <w:sz w:val="17"/>
                <w:szCs w:val="17"/>
                <w:color w:val="auto"/>
              </w:rPr>
              <w:t>38,747,100</w:t>
            </w:r>
          </w:p>
        </w:tc>
        <w:tc>
          <w:tcPr>
            <w:tcW w:w="1360" w:type="dxa"/>
            <w:vAlign w:val="bottom"/>
          </w:tcPr>
          <w:p>
            <w:pPr>
              <w:jc w:val="right"/>
              <w:ind w:right="33"/>
              <w:spacing w:after="0"/>
              <w:rPr>
                <w:sz w:val="20"/>
                <w:szCs w:val="20"/>
                <w:color w:val="auto"/>
              </w:rPr>
            </w:pPr>
            <w:r>
              <w:rPr>
                <w:rFonts w:ascii="Arial" w:cs="Arial" w:eastAsia="Arial" w:hAnsi="Arial"/>
                <w:sz w:val="17"/>
                <w:szCs w:val="17"/>
                <w:color w:val="auto"/>
              </w:rPr>
              <w:t>1,518,537</w:t>
            </w:r>
          </w:p>
        </w:tc>
        <w:tc>
          <w:tcPr>
            <w:tcW w:w="1340" w:type="dxa"/>
            <w:vAlign w:val="bottom"/>
          </w:tcPr>
          <w:p>
            <w:pPr>
              <w:jc w:val="right"/>
              <w:ind w:right="13"/>
              <w:spacing w:after="0"/>
              <w:rPr>
                <w:sz w:val="20"/>
                <w:szCs w:val="20"/>
                <w:color w:val="auto"/>
              </w:rPr>
            </w:pPr>
            <w:r>
              <w:rPr>
                <w:rFonts w:ascii="Arial" w:cs="Arial" w:eastAsia="Arial" w:hAnsi="Arial"/>
                <w:sz w:val="17"/>
                <w:szCs w:val="17"/>
                <w:color w:val="auto"/>
              </w:rPr>
              <w:t>62,165</w:t>
            </w:r>
          </w:p>
        </w:tc>
        <w:tc>
          <w:tcPr>
            <w:tcW w:w="1880" w:type="dxa"/>
            <w:vAlign w:val="bottom"/>
          </w:tcPr>
          <w:p>
            <w:pPr>
              <w:jc w:val="right"/>
              <w:ind w:right="13"/>
              <w:spacing w:after="0"/>
              <w:rPr>
                <w:sz w:val="20"/>
                <w:szCs w:val="20"/>
                <w:color w:val="auto"/>
              </w:rPr>
            </w:pPr>
            <w:r>
              <w:rPr>
                <w:rFonts w:ascii="Arial" w:cs="Arial" w:eastAsia="Arial" w:hAnsi="Arial"/>
                <w:sz w:val="17"/>
                <w:szCs w:val="17"/>
                <w:color w:val="auto"/>
              </w:rPr>
              <w:t>2,965,132</w:t>
            </w:r>
          </w:p>
        </w:tc>
      </w:tr>
      <w:tr>
        <w:trPr>
          <w:trHeight w:val="195"/>
        </w:trPr>
        <w:tc>
          <w:tcPr>
            <w:tcW w:w="3460" w:type="dxa"/>
            <w:vAlign w:val="bottom"/>
            <w:shd w:val="clear" w:color="auto" w:fill="E6E6E6"/>
          </w:tcPr>
          <w:p>
            <w:pPr>
              <w:spacing w:after="0"/>
              <w:rPr>
                <w:sz w:val="20"/>
                <w:szCs w:val="20"/>
                <w:color w:val="auto"/>
              </w:rPr>
            </w:pPr>
            <w:r>
              <w:rPr>
                <w:rFonts w:ascii="Arial" w:cs="Arial" w:eastAsia="Arial" w:hAnsi="Arial"/>
                <w:sz w:val="17"/>
                <w:szCs w:val="17"/>
                <w:color w:val="auto"/>
              </w:rPr>
              <w:t>James A. Donahue</w:t>
            </w:r>
          </w:p>
        </w:tc>
        <w:tc>
          <w:tcPr>
            <w:tcW w:w="320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37,860,160</w:t>
            </w:r>
          </w:p>
        </w:tc>
        <w:tc>
          <w:tcPr>
            <w:tcW w:w="13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2,373,640</w:t>
            </w:r>
          </w:p>
        </w:tc>
        <w:tc>
          <w:tcPr>
            <w:tcW w:w="1340" w:type="dxa"/>
            <w:vAlign w:val="bottom"/>
            <w:shd w:val="clear" w:color="auto" w:fill="E6E6E6"/>
          </w:tcPr>
          <w:p>
            <w:pPr>
              <w:jc w:val="right"/>
              <w:ind w:right="13"/>
              <w:spacing w:after="0"/>
              <w:rPr>
                <w:sz w:val="20"/>
                <w:szCs w:val="20"/>
                <w:color w:val="auto"/>
              </w:rPr>
            </w:pPr>
            <w:r>
              <w:rPr>
                <w:rFonts w:ascii="Arial" w:cs="Arial" w:eastAsia="Arial" w:hAnsi="Arial"/>
                <w:sz w:val="17"/>
                <w:szCs w:val="17"/>
                <w:color w:val="auto"/>
              </w:rPr>
              <w:t>94,002</w:t>
            </w:r>
          </w:p>
        </w:tc>
        <w:tc>
          <w:tcPr>
            <w:tcW w:w="1880" w:type="dxa"/>
            <w:vAlign w:val="bottom"/>
            <w:shd w:val="clear" w:color="auto" w:fill="E6E6E6"/>
          </w:tcPr>
          <w:p>
            <w:pPr>
              <w:jc w:val="right"/>
              <w:ind w:right="13"/>
              <w:spacing w:after="0"/>
              <w:rPr>
                <w:sz w:val="20"/>
                <w:szCs w:val="20"/>
                <w:color w:val="auto"/>
              </w:rPr>
            </w:pPr>
            <w:r>
              <w:rPr>
                <w:rFonts w:ascii="Arial" w:cs="Arial" w:eastAsia="Arial" w:hAnsi="Arial"/>
                <w:sz w:val="17"/>
                <w:szCs w:val="17"/>
                <w:color w:val="auto"/>
              </w:rPr>
              <w:t>2,965,132</w:t>
            </w:r>
          </w:p>
        </w:tc>
      </w:tr>
      <w:tr>
        <w:trPr>
          <w:trHeight w:val="195"/>
        </w:trPr>
        <w:tc>
          <w:tcPr>
            <w:tcW w:w="3460" w:type="dxa"/>
            <w:vAlign w:val="bottom"/>
          </w:tcPr>
          <w:p>
            <w:pPr>
              <w:spacing w:after="0"/>
              <w:rPr>
                <w:sz w:val="20"/>
                <w:szCs w:val="20"/>
                <w:color w:val="auto"/>
              </w:rPr>
            </w:pPr>
            <w:r>
              <w:rPr>
                <w:rFonts w:ascii="Arial" w:cs="Arial" w:eastAsia="Arial" w:hAnsi="Arial"/>
                <w:sz w:val="17"/>
                <w:szCs w:val="17"/>
                <w:color w:val="auto"/>
              </w:rPr>
              <w:t>Andreas W. Mattes</w:t>
            </w:r>
          </w:p>
        </w:tc>
        <w:tc>
          <w:tcPr>
            <w:tcW w:w="3200" w:type="dxa"/>
            <w:vAlign w:val="bottom"/>
          </w:tcPr>
          <w:p>
            <w:pPr>
              <w:jc w:val="right"/>
              <w:ind w:right="33"/>
              <w:spacing w:after="0"/>
              <w:rPr>
                <w:sz w:val="20"/>
                <w:szCs w:val="20"/>
                <w:color w:val="auto"/>
              </w:rPr>
            </w:pPr>
            <w:r>
              <w:rPr>
                <w:rFonts w:ascii="Arial" w:cs="Arial" w:eastAsia="Arial" w:hAnsi="Arial"/>
                <w:sz w:val="17"/>
                <w:szCs w:val="17"/>
                <w:color w:val="auto"/>
              </w:rPr>
              <w:t>39,973,447</w:t>
            </w:r>
          </w:p>
        </w:tc>
        <w:tc>
          <w:tcPr>
            <w:tcW w:w="1360" w:type="dxa"/>
            <w:vAlign w:val="bottom"/>
          </w:tcPr>
          <w:p>
            <w:pPr>
              <w:jc w:val="right"/>
              <w:ind w:right="33"/>
              <w:spacing w:after="0"/>
              <w:rPr>
                <w:sz w:val="20"/>
                <w:szCs w:val="20"/>
                <w:color w:val="auto"/>
              </w:rPr>
            </w:pPr>
            <w:r>
              <w:rPr>
                <w:rFonts w:ascii="Arial" w:cs="Arial" w:eastAsia="Arial" w:hAnsi="Arial"/>
                <w:sz w:val="17"/>
                <w:szCs w:val="17"/>
                <w:color w:val="auto"/>
              </w:rPr>
              <w:t>291,873</w:t>
            </w:r>
          </w:p>
        </w:tc>
        <w:tc>
          <w:tcPr>
            <w:tcW w:w="1340" w:type="dxa"/>
            <w:vAlign w:val="bottom"/>
          </w:tcPr>
          <w:p>
            <w:pPr>
              <w:jc w:val="right"/>
              <w:ind w:right="13"/>
              <w:spacing w:after="0"/>
              <w:rPr>
                <w:sz w:val="20"/>
                <w:szCs w:val="20"/>
                <w:color w:val="auto"/>
              </w:rPr>
            </w:pPr>
            <w:r>
              <w:rPr>
                <w:rFonts w:ascii="Arial" w:cs="Arial" w:eastAsia="Arial" w:hAnsi="Arial"/>
                <w:sz w:val="17"/>
                <w:szCs w:val="17"/>
                <w:color w:val="auto"/>
              </w:rPr>
              <w:t>62,482</w:t>
            </w:r>
          </w:p>
        </w:tc>
        <w:tc>
          <w:tcPr>
            <w:tcW w:w="1880" w:type="dxa"/>
            <w:vAlign w:val="bottom"/>
          </w:tcPr>
          <w:p>
            <w:pPr>
              <w:jc w:val="right"/>
              <w:ind w:right="13"/>
              <w:spacing w:after="0"/>
              <w:rPr>
                <w:sz w:val="20"/>
                <w:szCs w:val="20"/>
                <w:color w:val="auto"/>
              </w:rPr>
            </w:pPr>
            <w:r>
              <w:rPr>
                <w:rFonts w:ascii="Arial" w:cs="Arial" w:eastAsia="Arial" w:hAnsi="Arial"/>
                <w:sz w:val="17"/>
                <w:szCs w:val="17"/>
                <w:color w:val="auto"/>
              </w:rPr>
              <w:t>2,965,132</w:t>
            </w:r>
          </w:p>
        </w:tc>
      </w:tr>
      <w:tr>
        <w:trPr>
          <w:trHeight w:val="195"/>
        </w:trPr>
        <w:tc>
          <w:tcPr>
            <w:tcW w:w="3460" w:type="dxa"/>
            <w:vAlign w:val="bottom"/>
            <w:shd w:val="clear" w:color="auto" w:fill="E6E6E6"/>
          </w:tcPr>
          <w:p>
            <w:pPr>
              <w:spacing w:after="0"/>
              <w:rPr>
                <w:sz w:val="20"/>
                <w:szCs w:val="20"/>
                <w:color w:val="auto"/>
              </w:rPr>
            </w:pPr>
            <w:r>
              <w:rPr>
                <w:rFonts w:ascii="Arial" w:cs="Arial" w:eastAsia="Arial" w:hAnsi="Arial"/>
                <w:sz w:val="17"/>
                <w:szCs w:val="17"/>
                <w:color w:val="auto"/>
              </w:rPr>
              <w:t>William E. Bendush</w:t>
            </w:r>
          </w:p>
        </w:tc>
        <w:tc>
          <w:tcPr>
            <w:tcW w:w="320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36,089,876</w:t>
            </w:r>
          </w:p>
        </w:tc>
        <w:tc>
          <w:tcPr>
            <w:tcW w:w="13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3,605,393</w:t>
            </w:r>
          </w:p>
        </w:tc>
        <w:tc>
          <w:tcPr>
            <w:tcW w:w="1340" w:type="dxa"/>
            <w:vAlign w:val="bottom"/>
            <w:shd w:val="clear" w:color="auto" w:fill="E6E6E6"/>
          </w:tcPr>
          <w:p>
            <w:pPr>
              <w:jc w:val="right"/>
              <w:ind w:right="13"/>
              <w:spacing w:after="0"/>
              <w:rPr>
                <w:sz w:val="20"/>
                <w:szCs w:val="20"/>
                <w:color w:val="auto"/>
              </w:rPr>
            </w:pPr>
            <w:r>
              <w:rPr>
                <w:rFonts w:ascii="Arial" w:cs="Arial" w:eastAsia="Arial" w:hAnsi="Arial"/>
                <w:sz w:val="17"/>
                <w:szCs w:val="17"/>
                <w:color w:val="auto"/>
              </w:rPr>
              <w:t>111,853</w:t>
            </w:r>
          </w:p>
        </w:tc>
        <w:tc>
          <w:tcPr>
            <w:tcW w:w="1880" w:type="dxa"/>
            <w:vAlign w:val="bottom"/>
            <w:shd w:val="clear" w:color="auto" w:fill="E6E6E6"/>
          </w:tcPr>
          <w:p>
            <w:pPr>
              <w:jc w:val="right"/>
              <w:ind w:right="13"/>
              <w:spacing w:after="0"/>
              <w:rPr>
                <w:sz w:val="20"/>
                <w:szCs w:val="20"/>
                <w:color w:val="auto"/>
              </w:rPr>
            </w:pPr>
            <w:r>
              <w:rPr>
                <w:rFonts w:ascii="Arial" w:cs="Arial" w:eastAsia="Arial" w:hAnsi="Arial"/>
                <w:sz w:val="17"/>
                <w:szCs w:val="17"/>
                <w:color w:val="auto"/>
              </w:rPr>
              <w:t>2,683,646</w:t>
            </w:r>
          </w:p>
        </w:tc>
      </w:tr>
      <w:tr>
        <w:trPr>
          <w:trHeight w:val="195"/>
        </w:trPr>
        <w:tc>
          <w:tcPr>
            <w:tcW w:w="3460" w:type="dxa"/>
            <w:vAlign w:val="bottom"/>
          </w:tcPr>
          <w:p>
            <w:pPr>
              <w:spacing w:after="0"/>
              <w:rPr>
                <w:sz w:val="20"/>
                <w:szCs w:val="20"/>
                <w:color w:val="auto"/>
              </w:rPr>
            </w:pPr>
            <w:r>
              <w:rPr>
                <w:rFonts w:ascii="Arial" w:cs="Arial" w:eastAsia="Arial" w:hAnsi="Arial"/>
                <w:sz w:val="17"/>
                <w:szCs w:val="17"/>
                <w:color w:val="auto"/>
              </w:rPr>
              <w:t>Karen M. Rapp</w:t>
            </w:r>
          </w:p>
        </w:tc>
        <w:tc>
          <w:tcPr>
            <w:tcW w:w="3200" w:type="dxa"/>
            <w:vAlign w:val="bottom"/>
          </w:tcPr>
          <w:p>
            <w:pPr>
              <w:jc w:val="right"/>
              <w:ind w:right="33"/>
              <w:spacing w:after="0"/>
              <w:rPr>
                <w:sz w:val="20"/>
                <w:szCs w:val="20"/>
                <w:color w:val="auto"/>
              </w:rPr>
            </w:pPr>
            <w:r>
              <w:rPr>
                <w:rFonts w:ascii="Arial" w:cs="Arial" w:eastAsia="Arial" w:hAnsi="Arial"/>
                <w:sz w:val="17"/>
                <w:szCs w:val="17"/>
                <w:color w:val="auto"/>
              </w:rPr>
              <w:t>38,563,973</w:t>
            </w:r>
          </w:p>
        </w:tc>
        <w:tc>
          <w:tcPr>
            <w:tcW w:w="1360" w:type="dxa"/>
            <w:vAlign w:val="bottom"/>
          </w:tcPr>
          <w:p>
            <w:pPr>
              <w:jc w:val="right"/>
              <w:ind w:right="33"/>
              <w:spacing w:after="0"/>
              <w:rPr>
                <w:sz w:val="20"/>
                <w:szCs w:val="20"/>
                <w:color w:val="auto"/>
              </w:rPr>
            </w:pPr>
            <w:r>
              <w:rPr>
                <w:rFonts w:ascii="Arial" w:cs="Arial" w:eastAsia="Arial" w:hAnsi="Arial"/>
                <w:sz w:val="17"/>
                <w:szCs w:val="17"/>
                <w:color w:val="auto"/>
              </w:rPr>
              <w:t>1,205,359</w:t>
            </w:r>
          </w:p>
        </w:tc>
        <w:tc>
          <w:tcPr>
            <w:tcW w:w="1340" w:type="dxa"/>
            <w:vAlign w:val="bottom"/>
          </w:tcPr>
          <w:p>
            <w:pPr>
              <w:jc w:val="right"/>
              <w:ind w:right="13"/>
              <w:spacing w:after="0"/>
              <w:rPr>
                <w:sz w:val="20"/>
                <w:szCs w:val="20"/>
                <w:color w:val="auto"/>
              </w:rPr>
            </w:pPr>
            <w:r>
              <w:rPr>
                <w:rFonts w:ascii="Arial" w:cs="Arial" w:eastAsia="Arial" w:hAnsi="Arial"/>
                <w:sz w:val="17"/>
                <w:szCs w:val="17"/>
                <w:color w:val="auto"/>
              </w:rPr>
              <w:t>37,790</w:t>
            </w:r>
          </w:p>
        </w:tc>
        <w:tc>
          <w:tcPr>
            <w:tcW w:w="1880" w:type="dxa"/>
            <w:vAlign w:val="bottom"/>
          </w:tcPr>
          <w:p>
            <w:pPr>
              <w:jc w:val="right"/>
              <w:ind w:right="13"/>
              <w:spacing w:after="0"/>
              <w:rPr>
                <w:sz w:val="20"/>
                <w:szCs w:val="20"/>
                <w:color w:val="auto"/>
              </w:rPr>
            </w:pPr>
            <w:r>
              <w:rPr>
                <w:rFonts w:ascii="Arial" w:cs="Arial" w:eastAsia="Arial" w:hAnsi="Arial"/>
                <w:sz w:val="17"/>
                <w:szCs w:val="17"/>
                <w:color w:val="auto"/>
              </w:rPr>
              <w:t>2,683,646</w:t>
            </w:r>
          </w:p>
        </w:tc>
      </w:tr>
      <w:tr>
        <w:trPr>
          <w:trHeight w:val="195"/>
        </w:trPr>
        <w:tc>
          <w:tcPr>
            <w:tcW w:w="3460" w:type="dxa"/>
            <w:vAlign w:val="bottom"/>
            <w:shd w:val="clear" w:color="auto" w:fill="E6E6E6"/>
          </w:tcPr>
          <w:p>
            <w:pPr>
              <w:spacing w:after="0"/>
              <w:rPr>
                <w:sz w:val="20"/>
                <w:szCs w:val="20"/>
                <w:color w:val="auto"/>
              </w:rPr>
            </w:pPr>
            <w:r>
              <w:rPr>
                <w:rFonts w:ascii="Arial" w:cs="Arial" w:eastAsia="Arial" w:hAnsi="Arial"/>
                <w:sz w:val="17"/>
                <w:szCs w:val="17"/>
                <w:color w:val="auto"/>
              </w:rPr>
              <w:t>Nina L. Richardson</w:t>
            </w:r>
          </w:p>
        </w:tc>
        <w:tc>
          <w:tcPr>
            <w:tcW w:w="320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38,383,859</w:t>
            </w:r>
          </w:p>
        </w:tc>
        <w:tc>
          <w:tcPr>
            <w:tcW w:w="1360" w:type="dxa"/>
            <w:vAlign w:val="bottom"/>
            <w:shd w:val="clear" w:color="auto" w:fill="E6E6E6"/>
          </w:tcPr>
          <w:p>
            <w:pPr>
              <w:jc w:val="right"/>
              <w:ind w:right="33"/>
              <w:spacing w:after="0"/>
              <w:rPr>
                <w:sz w:val="20"/>
                <w:szCs w:val="20"/>
                <w:color w:val="auto"/>
              </w:rPr>
            </w:pPr>
            <w:r>
              <w:rPr>
                <w:rFonts w:ascii="Arial" w:cs="Arial" w:eastAsia="Arial" w:hAnsi="Arial"/>
                <w:sz w:val="17"/>
                <w:szCs w:val="17"/>
                <w:color w:val="auto"/>
              </w:rPr>
              <w:t>1,385,514</w:t>
            </w:r>
          </w:p>
        </w:tc>
        <w:tc>
          <w:tcPr>
            <w:tcW w:w="1340" w:type="dxa"/>
            <w:vAlign w:val="bottom"/>
            <w:shd w:val="clear" w:color="auto" w:fill="E6E6E6"/>
          </w:tcPr>
          <w:p>
            <w:pPr>
              <w:jc w:val="right"/>
              <w:ind w:right="13"/>
              <w:spacing w:after="0"/>
              <w:rPr>
                <w:sz w:val="20"/>
                <w:szCs w:val="20"/>
                <w:color w:val="auto"/>
              </w:rPr>
            </w:pPr>
            <w:r>
              <w:rPr>
                <w:rFonts w:ascii="Arial" w:cs="Arial" w:eastAsia="Arial" w:hAnsi="Arial"/>
                <w:sz w:val="17"/>
                <w:szCs w:val="17"/>
                <w:color w:val="auto"/>
              </w:rPr>
              <w:t>37,749</w:t>
            </w:r>
          </w:p>
        </w:tc>
        <w:tc>
          <w:tcPr>
            <w:tcW w:w="1880" w:type="dxa"/>
            <w:vAlign w:val="bottom"/>
            <w:shd w:val="clear" w:color="auto" w:fill="E6E6E6"/>
          </w:tcPr>
          <w:p>
            <w:pPr>
              <w:jc w:val="right"/>
              <w:ind w:right="13"/>
              <w:spacing w:after="0"/>
              <w:rPr>
                <w:sz w:val="20"/>
                <w:szCs w:val="20"/>
                <w:color w:val="auto"/>
              </w:rPr>
            </w:pPr>
            <w:r>
              <w:rPr>
                <w:rFonts w:ascii="Arial" w:cs="Arial" w:eastAsia="Arial" w:hAnsi="Arial"/>
                <w:sz w:val="17"/>
                <w:szCs w:val="17"/>
                <w:color w:val="auto"/>
              </w:rPr>
              <w:t>2,683,646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3352800</wp:posOffset>
            </wp:positionH>
            <wp:positionV relativeFrom="paragraph">
              <wp:posOffset>-1236980</wp:posOffset>
            </wp:positionV>
            <wp:extent cx="8255" cy="2476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247650"/>
                    </a:xfrm>
                    <a:prstGeom prst="rect">
                      <a:avLst/>
                    </a:prstGeom>
                    <a:noFill/>
                  </pic:spPr>
                </pic:pic>
              </a:graphicData>
            </a:graphic>
          </wp:anchor>
        </w:drawing>
        <w:drawing>
          <wp:anchor simplePos="0" relativeHeight="251657728" behindDoc="1" locked="0" layoutInCell="0" allowOverlap="1">
            <wp:simplePos x="0" y="0"/>
            <wp:positionH relativeFrom="column">
              <wp:posOffset>4218940</wp:posOffset>
            </wp:positionH>
            <wp:positionV relativeFrom="paragraph">
              <wp:posOffset>-1236980</wp:posOffset>
            </wp:positionV>
            <wp:extent cx="8255" cy="2476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247650"/>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-1236980</wp:posOffset>
            </wp:positionV>
            <wp:extent cx="8255" cy="2476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247650"/>
                    </a:xfrm>
                    <a:prstGeom prst="rect">
                      <a:avLst/>
                    </a:prstGeom>
                    <a:noFill/>
                  </pic:spPr>
                </pic:pic>
              </a:graphicData>
            </a:graphic>
          </wp:anchor>
        </w:drawing>
        <w:drawing>
          <wp:anchor simplePos="0" relativeHeight="251657728" behindDoc="1" locked="0" layoutInCell="0" allowOverlap="1">
            <wp:simplePos x="0" y="0"/>
            <wp:positionH relativeFrom="column">
              <wp:posOffset>5935345</wp:posOffset>
            </wp:positionH>
            <wp:positionV relativeFrom="paragraph">
              <wp:posOffset>-1236980</wp:posOffset>
            </wp:positionV>
            <wp:extent cx="8255" cy="2476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247650"/>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-865505</wp:posOffset>
            </wp:positionV>
            <wp:extent cx="8255" cy="1238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4218940</wp:posOffset>
            </wp:positionH>
            <wp:positionV relativeFrom="paragraph">
              <wp:posOffset>-865505</wp:posOffset>
            </wp:positionV>
            <wp:extent cx="8255" cy="1238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-865505</wp:posOffset>
            </wp:positionV>
            <wp:extent cx="8255" cy="1238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5935345</wp:posOffset>
            </wp:positionH>
            <wp:positionV relativeFrom="paragraph">
              <wp:posOffset>-865505</wp:posOffset>
            </wp:positionV>
            <wp:extent cx="8255" cy="1238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-618490</wp:posOffset>
            </wp:positionV>
            <wp:extent cx="8255" cy="1238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4218940</wp:posOffset>
            </wp:positionH>
            <wp:positionV relativeFrom="paragraph">
              <wp:posOffset>-618490</wp:posOffset>
            </wp:positionV>
            <wp:extent cx="8255" cy="1238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-618490</wp:posOffset>
            </wp:positionV>
            <wp:extent cx="8255" cy="1238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5935345</wp:posOffset>
            </wp:positionH>
            <wp:positionV relativeFrom="paragraph">
              <wp:posOffset>-618490</wp:posOffset>
            </wp:positionV>
            <wp:extent cx="8255" cy="1238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-370840</wp:posOffset>
            </wp:positionV>
            <wp:extent cx="8255" cy="1238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4218940</wp:posOffset>
            </wp:positionH>
            <wp:positionV relativeFrom="paragraph">
              <wp:posOffset>-370840</wp:posOffset>
            </wp:positionV>
            <wp:extent cx="8255" cy="1238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-370840</wp:posOffset>
            </wp:positionV>
            <wp:extent cx="8255" cy="1238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5935345</wp:posOffset>
            </wp:positionH>
            <wp:positionV relativeFrom="paragraph">
              <wp:posOffset>-370840</wp:posOffset>
            </wp:positionV>
            <wp:extent cx="8255" cy="1238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-123190</wp:posOffset>
            </wp:positionV>
            <wp:extent cx="8255" cy="1238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4218940</wp:posOffset>
            </wp:positionH>
            <wp:positionV relativeFrom="paragraph">
              <wp:posOffset>-123190</wp:posOffset>
            </wp:positionV>
            <wp:extent cx="8255" cy="1238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5085080</wp:posOffset>
            </wp:positionH>
            <wp:positionV relativeFrom="paragraph">
              <wp:posOffset>-123190</wp:posOffset>
            </wp:positionV>
            <wp:extent cx="8255" cy="1238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123825"/>
                    </a:xfrm>
                    <a:prstGeom prst="rect">
                      <a:avLst/>
                    </a:prstGeom>
                    <a:noFill/>
                  </pic:spPr>
                </pic:pic>
              </a:graphicData>
            </a:graphic>
          </wp:anchor>
        </w:drawing>
        <w:drawing>
          <wp:anchor simplePos="0" relativeHeight="251657728" behindDoc="1" locked="0" layoutInCell="0" allowOverlap="1">
            <wp:simplePos x="0" y="0"/>
            <wp:positionH relativeFrom="column">
              <wp:posOffset>5935345</wp:posOffset>
            </wp:positionH>
            <wp:positionV relativeFrom="paragraph">
              <wp:posOffset>-123190</wp:posOffset>
            </wp:positionV>
            <wp:extent cx="8255" cy="1238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123825"/>
                    </a:xfrm>
                    <a:prstGeom prst="rect">
                      <a:avLst/>
                    </a:prstGeom>
                    <a:noFill/>
                  </pic:spPr>
                </pic:pic>
              </a:graphicData>
            </a:graphic>
          </wp:anchor>
        </w:drawing>
      </w:r>
    </w:p>
    <w:p>
      <w:pPr>
        <w:spacing w:after="0" w:line="158"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color w:val="auto"/>
        </w:rPr>
        <w:t>These are the votes reported at the original annual meetings, not votes cast at the Special Meeting. Stockholders entitled to vote at the Special Meeting must make a new voting decision on each proposed ratification.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25" w:name="page26"/>
    <w:bookmarkEnd w:id="25"/>
    <w:p>
      <w:pPr>
        <w:spacing w:after="0"/>
        <w:rPr>
          <w:sz w:val="20"/>
          <w:szCs w:val="20"/>
          <w:color w:val="auto"/>
        </w:rPr>
      </w:pPr>
      <w:r>
        <w:rPr>
          <w:rFonts w:ascii="Arial" w:cs="Arial" w:eastAsia="Arial" w:hAnsi="Arial"/>
          <w:sz w:val="19"/>
          <w:szCs w:val="19"/>
          <w:b w:val="1"/>
          <w:bCs w:val="1"/>
          <w:color w:val="2D53A6"/>
        </w:rPr>
        <w:t>Individual ratifications submitted</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u w:val="single" w:color="auto"/>
          <w:color w:val="auto"/>
        </w:rPr>
        <w:t>Proposal 5(a)</w:t>
      </w:r>
      <w:r>
        <w:rPr>
          <w:rFonts w:ascii="Arial" w:cs="Arial" w:eastAsia="Arial" w:hAnsi="Arial"/>
          <w:sz w:val="17"/>
          <w:szCs w:val="17"/>
          <w:color w:val="auto"/>
        </w:rPr>
        <w:t>: Ratify, under Section 204 of the DGCL, the election of Andrew M. Caggia on June 5, 2024 as a Class 2 director for the original</w:t>
      </w:r>
      <w:r>
        <w:rPr>
          <w:rFonts w:ascii="Arial" w:cs="Arial" w:eastAsia="Arial" w:hAnsi="Arial"/>
          <w:sz w:val="17"/>
          <w:szCs w:val="17"/>
          <w:b w:val="1"/>
          <w:bCs w:val="1"/>
          <w:color w:val="auto"/>
        </w:rPr>
        <w:t xml:space="preserve"> </w:t>
      </w:r>
      <w:r>
        <w:rPr>
          <w:rFonts w:ascii="Arial" w:cs="Arial" w:eastAsia="Arial" w:hAnsi="Arial"/>
          <w:sz w:val="17"/>
          <w:szCs w:val="17"/>
          <w:color w:val="auto"/>
        </w:rPr>
        <w:t>term scheduled to end at the 2027 annual meeting, to the extent that election is void or voidable because of the record-date failure of authorization described above. The original class, scheduled endpoint, and applicable provisions for continued service until a successor is duly elected and qualified, subject to earlier termination, remain unchanged.</w:t>
      </w:r>
    </w:p>
    <w:p>
      <w:pPr>
        <w:spacing w:after="0" w:line="150" w:lineRule="exact"/>
        <w:rPr>
          <w:sz w:val="20"/>
          <w:szCs w:val="20"/>
          <w:color w:val="auto"/>
        </w:rPr>
      </w:pPr>
    </w:p>
    <w:p>
      <w:pPr>
        <w:jc w:val="both"/>
        <w:ind w:right="320"/>
        <w:spacing w:after="0" w:line="253" w:lineRule="auto"/>
        <w:rPr>
          <w:sz w:val="20"/>
          <w:szCs w:val="20"/>
          <w:color w:val="auto"/>
        </w:rPr>
      </w:pPr>
      <w:r>
        <w:rPr>
          <w:rFonts w:ascii="Arial" w:cs="Arial" w:eastAsia="Arial" w:hAnsi="Arial"/>
          <w:sz w:val="17"/>
          <w:szCs w:val="17"/>
          <w:b w:val="1"/>
          <w:bCs w:val="1"/>
          <w:u w:val="single" w:color="auto"/>
          <w:color w:val="auto"/>
        </w:rPr>
        <w:t>Proposal 5(b)</w:t>
      </w:r>
      <w:r>
        <w:rPr>
          <w:rFonts w:ascii="Arial" w:cs="Arial" w:eastAsia="Arial" w:hAnsi="Arial"/>
          <w:sz w:val="17"/>
          <w:szCs w:val="17"/>
          <w:color w:val="auto"/>
        </w:rPr>
        <w:t>: Ratify, under Section 204 of the DGCL, the election of Yon Y. Jorden on June 5, 2024 as a Class 2 director for the original term</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scheduled to end at the 2027 annual meeting, to the extent that election is void or voidable because of the record-date failure of authorization described above. The original class, scheduled endpoint, and applicable provisions for continued service until a successor is duly elected and qualified, subject to earlier termination, remain unchanged.</w:t>
      </w:r>
    </w:p>
    <w:p>
      <w:pPr>
        <w:spacing w:after="0" w:line="150" w:lineRule="exact"/>
        <w:rPr>
          <w:sz w:val="20"/>
          <w:szCs w:val="20"/>
          <w:color w:val="auto"/>
        </w:rPr>
      </w:pPr>
    </w:p>
    <w:p>
      <w:pPr>
        <w:jc w:val="both"/>
        <w:ind w:right="340"/>
        <w:spacing w:after="0" w:line="253" w:lineRule="auto"/>
        <w:rPr>
          <w:sz w:val="20"/>
          <w:szCs w:val="20"/>
          <w:color w:val="auto"/>
        </w:rPr>
      </w:pPr>
      <w:r>
        <w:rPr>
          <w:rFonts w:ascii="Arial" w:cs="Arial" w:eastAsia="Arial" w:hAnsi="Arial"/>
          <w:sz w:val="17"/>
          <w:szCs w:val="17"/>
          <w:b w:val="1"/>
          <w:bCs w:val="1"/>
          <w:u w:val="single" w:color="auto"/>
          <w:color w:val="auto"/>
        </w:rPr>
        <w:t>Proposal 5(c)</w:t>
      </w:r>
      <w:r>
        <w:rPr>
          <w:rFonts w:ascii="Arial" w:cs="Arial" w:eastAsia="Arial" w:hAnsi="Arial"/>
          <w:sz w:val="17"/>
          <w:szCs w:val="17"/>
          <w:color w:val="auto"/>
        </w:rPr>
        <w:t>: Ratify, under Section 204 of the DGCL, the election of Luis A. Müller on June 5, 2024 as a Class 2 director for the original term</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scheduled to end at the 2027 annual meeting, to the extent that election is void or voidable because of the record-date failure of authorization described above. The original class, scheduled endpoint, and applicable provisions for continued service until a successor is duly elected and qualified, subject to earlier termination, remain unchanged.</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u w:val="single" w:color="auto"/>
          <w:color w:val="auto"/>
        </w:rPr>
        <w:t>Proposal 5(d)</w:t>
      </w:r>
      <w:r>
        <w:rPr>
          <w:rFonts w:ascii="Arial" w:cs="Arial" w:eastAsia="Arial" w:hAnsi="Arial"/>
          <w:sz w:val="17"/>
          <w:szCs w:val="17"/>
          <w:color w:val="auto"/>
        </w:rPr>
        <w:t>: Ratify, under Section 204 of the DGCL, the election of Steven J. Bilodeau on May 16, 2025 as a Class 3 director for the original</w:t>
      </w:r>
      <w:r>
        <w:rPr>
          <w:rFonts w:ascii="Arial" w:cs="Arial" w:eastAsia="Arial" w:hAnsi="Arial"/>
          <w:sz w:val="17"/>
          <w:szCs w:val="17"/>
          <w:b w:val="1"/>
          <w:bCs w:val="1"/>
          <w:color w:val="auto"/>
        </w:rPr>
        <w:t xml:space="preserve"> </w:t>
      </w:r>
      <w:r>
        <w:rPr>
          <w:rFonts w:ascii="Arial" w:cs="Arial" w:eastAsia="Arial" w:hAnsi="Arial"/>
          <w:sz w:val="17"/>
          <w:szCs w:val="17"/>
          <w:color w:val="auto"/>
        </w:rPr>
        <w:t>term scheduled to end at the 2028 annual meeting, to the extent that election is void or voidable because of the record-date failure of authorization described above. The original class, scheduled endpoint, and applicable provisions for continued service until a successor is duly elected and qualified, subject to earlier termination, remain unchanged.</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u w:val="single" w:color="auto"/>
          <w:color w:val="auto"/>
        </w:rPr>
        <w:t>Proposal 5(e)</w:t>
      </w:r>
      <w:r>
        <w:rPr>
          <w:rFonts w:ascii="Arial" w:cs="Arial" w:eastAsia="Arial" w:hAnsi="Arial"/>
          <w:sz w:val="17"/>
          <w:szCs w:val="17"/>
          <w:color w:val="auto"/>
        </w:rPr>
        <w:t>: Ratify, under Section 204 of the DGCL, the election of James A. Donahue on May 16, 2025 as a Class 3 director for the original</w:t>
      </w:r>
      <w:r>
        <w:rPr>
          <w:rFonts w:ascii="Arial" w:cs="Arial" w:eastAsia="Arial" w:hAnsi="Arial"/>
          <w:sz w:val="17"/>
          <w:szCs w:val="17"/>
          <w:b w:val="1"/>
          <w:bCs w:val="1"/>
          <w:color w:val="auto"/>
        </w:rPr>
        <w:t xml:space="preserve"> </w:t>
      </w:r>
      <w:r>
        <w:rPr>
          <w:rFonts w:ascii="Arial" w:cs="Arial" w:eastAsia="Arial" w:hAnsi="Arial"/>
          <w:sz w:val="17"/>
          <w:szCs w:val="17"/>
          <w:color w:val="auto"/>
        </w:rPr>
        <w:t>term scheduled to end at the 2028 annual meeting, to the extent that election is void or voidable because of the record-date failure of authorization described above. The original class, scheduled endpoint, and applicable provisions for continued service until a successor is duly elected and qualified, subject to earlier termination, remain unchanged.</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u w:val="single" w:color="auto"/>
          <w:color w:val="auto"/>
        </w:rPr>
        <w:t>Proposal 5(f)</w:t>
      </w:r>
      <w:r>
        <w:rPr>
          <w:rFonts w:ascii="Arial" w:cs="Arial" w:eastAsia="Arial" w:hAnsi="Arial"/>
          <w:sz w:val="17"/>
          <w:szCs w:val="17"/>
          <w:color w:val="auto"/>
        </w:rPr>
        <w:t>: Ratify, under Section 204 of the DGCL, the election of Andreas W. Mattes on May 16, 2025 as a Class 3 director for the original</w:t>
      </w:r>
      <w:r>
        <w:rPr>
          <w:rFonts w:ascii="Arial" w:cs="Arial" w:eastAsia="Arial" w:hAnsi="Arial"/>
          <w:sz w:val="17"/>
          <w:szCs w:val="17"/>
          <w:b w:val="1"/>
          <w:bCs w:val="1"/>
          <w:color w:val="auto"/>
        </w:rPr>
        <w:t xml:space="preserve"> </w:t>
      </w:r>
      <w:r>
        <w:rPr>
          <w:rFonts w:ascii="Arial" w:cs="Arial" w:eastAsia="Arial" w:hAnsi="Arial"/>
          <w:sz w:val="17"/>
          <w:szCs w:val="17"/>
          <w:color w:val="auto"/>
        </w:rPr>
        <w:t>term scheduled to end at the 2028 annual meeting, to the extent that election is void or voidable because of the record-date failure of authorization described above. The original class, scheduled endpoint, and applicable provisions for continued service until a successor is duly elected and qualified, subject to earlier termination, remain unchanged.</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u w:val="single" w:color="auto"/>
          <w:color w:val="auto"/>
        </w:rPr>
        <w:t>Proposal 5(g)</w:t>
      </w:r>
      <w:r>
        <w:rPr>
          <w:rFonts w:ascii="Arial" w:cs="Arial" w:eastAsia="Arial" w:hAnsi="Arial"/>
          <w:sz w:val="17"/>
          <w:szCs w:val="17"/>
          <w:color w:val="auto"/>
        </w:rPr>
        <w:t>: Ratify, under Section 204 of the DGCL, the election of William E. Bendush on May 15, 2026 as a Class 1 director for the original</w:t>
      </w:r>
      <w:r>
        <w:rPr>
          <w:rFonts w:ascii="Arial" w:cs="Arial" w:eastAsia="Arial" w:hAnsi="Arial"/>
          <w:sz w:val="17"/>
          <w:szCs w:val="17"/>
          <w:b w:val="1"/>
          <w:bCs w:val="1"/>
          <w:color w:val="auto"/>
        </w:rPr>
        <w:t xml:space="preserve"> </w:t>
      </w:r>
      <w:r>
        <w:rPr>
          <w:rFonts w:ascii="Arial" w:cs="Arial" w:eastAsia="Arial" w:hAnsi="Arial"/>
          <w:sz w:val="17"/>
          <w:szCs w:val="17"/>
          <w:color w:val="auto"/>
        </w:rPr>
        <w:t>term scheduled to end at the 2029 annual meeting, to the extent that election is void or voidable because of the record-date failure of authorization described above. The original class, scheduled endpoint, and applicable provisions for continued service until a successor is duly elected and qualified, subject to earlier termination, remain unchanged.</w:t>
      </w:r>
    </w:p>
    <w:p>
      <w:pPr>
        <w:spacing w:after="0" w:line="150"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b w:val="1"/>
          <w:bCs w:val="1"/>
          <w:u w:val="single" w:color="auto"/>
          <w:color w:val="auto"/>
        </w:rPr>
        <w:t>Proposal 5(h)</w:t>
      </w:r>
      <w:r>
        <w:rPr>
          <w:rFonts w:ascii="Arial" w:cs="Arial" w:eastAsia="Arial" w:hAnsi="Arial"/>
          <w:sz w:val="17"/>
          <w:szCs w:val="17"/>
          <w:color w:val="auto"/>
        </w:rPr>
        <w:t>: Ratify, under Section 204 of the DGCL, the election of Karen M. Rapp on May 15, 2026 as a Class 1 director for the original term</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scheduled to end at the 2029 annual meeting, to the extent that election is void or voidable because of the record-date failure of authorization described above. The original class, scheduled endpoint, and applicable provisions for continued service until a successor is duly elected and qualified, subject to earlier termination, remain unchanged.</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u w:val="single" w:color="auto"/>
          <w:color w:val="auto"/>
        </w:rPr>
        <w:t>Proposal 5(i)</w:t>
      </w:r>
      <w:r>
        <w:rPr>
          <w:rFonts w:ascii="Arial" w:cs="Arial" w:eastAsia="Arial" w:hAnsi="Arial"/>
          <w:sz w:val="17"/>
          <w:szCs w:val="17"/>
          <w:color w:val="auto"/>
        </w:rPr>
        <w:t>: Ratify, under Section 204 of the DGCL, the election of Nina L. Richardson on May 15, 2026 as a Class 1 director for the original</w:t>
      </w:r>
      <w:r>
        <w:rPr>
          <w:rFonts w:ascii="Arial" w:cs="Arial" w:eastAsia="Arial" w:hAnsi="Arial"/>
          <w:sz w:val="17"/>
          <w:szCs w:val="17"/>
          <w:b w:val="1"/>
          <w:bCs w:val="1"/>
          <w:color w:val="auto"/>
        </w:rPr>
        <w:t xml:space="preserve"> </w:t>
      </w:r>
      <w:r>
        <w:rPr>
          <w:rFonts w:ascii="Arial" w:cs="Arial" w:eastAsia="Arial" w:hAnsi="Arial"/>
          <w:sz w:val="17"/>
          <w:szCs w:val="17"/>
          <w:color w:val="auto"/>
        </w:rPr>
        <w:t>term scheduled to end at the 2029 annual meeting, to the extent that election is void or voidable because of the record-date failure of authorization described above. The original class, scheduled endpoint, and applicable provisions for continued service until a successor is duly elected and qualified, subject to earlier termination, remain unchanged.</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558" w:right="379" w:bottom="1440" w:gutter="0" w:footer="0" w:header="0"/>
        </w:sectPr>
      </w:pPr>
    </w:p>
    <w:bookmarkStart w:id="26" w:name="page27"/>
    <w:bookmarkEnd w:id="26"/>
    <w:p>
      <w:pPr>
        <w:spacing w:after="0"/>
        <w:rPr>
          <w:sz w:val="20"/>
          <w:szCs w:val="20"/>
          <w:color w:val="auto"/>
        </w:rPr>
      </w:pPr>
      <w:r>
        <w:rPr>
          <w:rFonts w:ascii="Arial" w:cs="Arial" w:eastAsia="Arial" w:hAnsi="Arial"/>
          <w:sz w:val="21"/>
          <w:szCs w:val="21"/>
          <w:b w:val="1"/>
          <w:bCs w:val="1"/>
          <w:color w:val="2D53A6"/>
        </w:rPr>
        <w:t>Purpose and effect</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Retirement-policy determinations</w:t>
      </w:r>
    </w:p>
    <w:p>
      <w:pPr>
        <w:spacing w:after="0" w:line="19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Our Corporate Governance Guidelines permit a non-executive director to stand for re-election for a maximum of one term after reaching age 75 if the Nominating and Governance Committee and the Board determine that doing so is in the best interests of the Company and its stockholders. The Committee and the Board made the required determinations for the following original elections, as reported in the applicable annual proxy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95250</wp:posOffset>
            </wp:positionV>
            <wp:extent cx="33655" cy="3308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33083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95250</wp:posOffset>
            </wp:positionV>
            <wp:extent cx="33655" cy="3308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330835"/>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95250</wp:posOffset>
            </wp:positionV>
            <wp:extent cx="33655" cy="3308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33083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60" w:type="dxa"/>
            <w:vAlign w:val="bottom"/>
            <w:shd w:val="clear" w:color="auto" w:fill="2D53A6"/>
          </w:tcPr>
          <w:p>
            <w:pPr>
              <w:ind w:left="40"/>
              <w:spacing w:after="0"/>
              <w:rPr>
                <w:sz w:val="20"/>
                <w:szCs w:val="20"/>
                <w:color w:val="auto"/>
              </w:rPr>
            </w:pPr>
            <w:r>
              <w:rPr>
                <w:rFonts w:ascii="Arial" w:cs="Arial" w:eastAsia="Arial" w:hAnsi="Arial"/>
                <w:sz w:val="17"/>
                <w:szCs w:val="17"/>
                <w:b w:val="1"/>
                <w:bCs w:val="1"/>
                <w:color w:val="FFFFFF"/>
              </w:rPr>
              <w:t>Director</w:t>
            </w:r>
          </w:p>
        </w:tc>
        <w:tc>
          <w:tcPr>
            <w:tcW w:w="3080" w:type="dxa"/>
            <w:vAlign w:val="bottom"/>
            <w:shd w:val="clear" w:color="auto" w:fill="2D53A6"/>
          </w:tcPr>
          <w:p>
            <w:pPr>
              <w:ind w:left="400"/>
              <w:spacing w:after="0"/>
              <w:rPr>
                <w:sz w:val="20"/>
                <w:szCs w:val="20"/>
                <w:color w:val="auto"/>
              </w:rPr>
            </w:pPr>
            <w:r>
              <w:rPr>
                <w:rFonts w:ascii="Arial" w:cs="Arial" w:eastAsia="Arial" w:hAnsi="Arial"/>
                <w:sz w:val="17"/>
                <w:szCs w:val="17"/>
                <w:b w:val="1"/>
                <w:bCs w:val="1"/>
                <w:color w:val="FFFFFF"/>
              </w:rPr>
              <w:t>Election for which the policy</w:t>
            </w:r>
          </w:p>
        </w:tc>
        <w:tc>
          <w:tcPr>
            <w:tcW w:w="2500" w:type="dxa"/>
            <w:vAlign w:val="bottom"/>
            <w:shd w:val="clear" w:color="auto" w:fill="2D53A6"/>
          </w:tcPr>
          <w:p>
            <w:pPr>
              <w:ind w:left="340"/>
              <w:spacing w:after="0"/>
              <w:rPr>
                <w:sz w:val="20"/>
                <w:szCs w:val="20"/>
                <w:color w:val="auto"/>
              </w:rPr>
            </w:pPr>
            <w:r>
              <w:rPr>
                <w:rFonts w:ascii="Arial" w:cs="Arial" w:eastAsia="Arial" w:hAnsi="Arial"/>
                <w:sz w:val="17"/>
                <w:szCs w:val="17"/>
                <w:b w:val="1"/>
                <w:bCs w:val="1"/>
                <w:color w:val="FFFFFF"/>
              </w:rPr>
              <w:t>Previously approved</w:t>
            </w:r>
          </w:p>
        </w:tc>
        <w:tc>
          <w:tcPr>
            <w:tcW w:w="3700" w:type="dxa"/>
            <w:vAlign w:val="bottom"/>
            <w:shd w:val="clear" w:color="auto" w:fill="2D53A6"/>
          </w:tcPr>
          <w:p>
            <w:pPr>
              <w:ind w:left="460"/>
              <w:spacing w:after="0"/>
              <w:rPr>
                <w:sz w:val="20"/>
                <w:szCs w:val="20"/>
                <w:color w:val="auto"/>
              </w:rPr>
            </w:pPr>
            <w:r>
              <w:rPr>
                <w:rFonts w:ascii="Arial" w:cs="Arial" w:eastAsia="Arial" w:hAnsi="Arial"/>
                <w:sz w:val="17"/>
                <w:szCs w:val="17"/>
                <w:b w:val="1"/>
                <w:bCs w:val="1"/>
                <w:color w:val="FFFFFF"/>
              </w:rPr>
              <w:t>Effect of this ratification</w:t>
            </w:r>
          </w:p>
        </w:tc>
      </w:tr>
      <w:tr>
        <w:trPr>
          <w:trHeight w:val="246"/>
        </w:trPr>
        <w:tc>
          <w:tcPr>
            <w:tcW w:w="1960" w:type="dxa"/>
            <w:vAlign w:val="bottom"/>
            <w:tcBorders>
              <w:bottom w:val="single" w:sz="8" w:color="auto"/>
            </w:tcBorders>
            <w:shd w:val="clear" w:color="auto" w:fill="2D53A6"/>
          </w:tcPr>
          <w:p>
            <w:pPr>
              <w:spacing w:after="0"/>
              <w:rPr>
                <w:sz w:val="21"/>
                <w:szCs w:val="21"/>
                <w:color w:val="auto"/>
              </w:rPr>
            </w:pPr>
          </w:p>
        </w:tc>
        <w:tc>
          <w:tcPr>
            <w:tcW w:w="3080" w:type="dxa"/>
            <w:vAlign w:val="bottom"/>
            <w:tcBorders>
              <w:bottom w:val="single" w:sz="8" w:color="auto"/>
            </w:tcBorders>
            <w:shd w:val="clear" w:color="auto" w:fill="2D53A6"/>
          </w:tcPr>
          <w:p>
            <w:pPr>
              <w:ind w:left="400"/>
              <w:spacing w:after="0"/>
              <w:rPr>
                <w:sz w:val="20"/>
                <w:szCs w:val="20"/>
                <w:color w:val="auto"/>
              </w:rPr>
            </w:pPr>
            <w:r>
              <w:rPr>
                <w:rFonts w:ascii="Arial" w:cs="Arial" w:eastAsia="Arial" w:hAnsi="Arial"/>
                <w:sz w:val="17"/>
                <w:szCs w:val="17"/>
                <w:b w:val="1"/>
                <w:bCs w:val="1"/>
                <w:color w:val="FFFFFF"/>
              </w:rPr>
              <w:t>approval was given</w:t>
            </w:r>
          </w:p>
        </w:tc>
        <w:tc>
          <w:tcPr>
            <w:tcW w:w="2500" w:type="dxa"/>
            <w:vAlign w:val="bottom"/>
            <w:tcBorders>
              <w:bottom w:val="single" w:sz="8" w:color="auto"/>
            </w:tcBorders>
            <w:shd w:val="clear" w:color="auto" w:fill="2D53A6"/>
          </w:tcPr>
          <w:p>
            <w:pPr>
              <w:ind w:left="340"/>
              <w:spacing w:after="0"/>
              <w:rPr>
                <w:sz w:val="20"/>
                <w:szCs w:val="20"/>
                <w:color w:val="auto"/>
              </w:rPr>
            </w:pPr>
            <w:r>
              <w:rPr>
                <w:rFonts w:ascii="Arial" w:cs="Arial" w:eastAsia="Arial" w:hAnsi="Arial"/>
                <w:sz w:val="17"/>
                <w:szCs w:val="17"/>
                <w:b w:val="1"/>
                <w:bCs w:val="1"/>
                <w:color w:val="FFFFFF"/>
              </w:rPr>
              <w:t>scheduled endpoint</w:t>
            </w:r>
          </w:p>
        </w:tc>
        <w:tc>
          <w:tcPr>
            <w:tcW w:w="3700" w:type="dxa"/>
            <w:vAlign w:val="bottom"/>
            <w:tcBorders>
              <w:bottom w:val="single" w:sz="8" w:color="auto"/>
            </w:tcBorders>
            <w:shd w:val="clear" w:color="auto" w:fill="2D53A6"/>
          </w:tcPr>
          <w:p>
            <w:pPr>
              <w:spacing w:after="0"/>
              <w:rPr>
                <w:sz w:val="21"/>
                <w:szCs w:val="21"/>
                <w:color w:val="auto"/>
              </w:rPr>
            </w:pPr>
          </w:p>
        </w:tc>
      </w:tr>
      <w:tr>
        <w:trPr>
          <w:trHeight w:val="217"/>
        </w:trPr>
        <w:tc>
          <w:tcPr>
            <w:tcW w:w="1960" w:type="dxa"/>
            <w:vAlign w:val="bottom"/>
            <w:shd w:val="clear" w:color="auto" w:fill="E6E6E6"/>
          </w:tcPr>
          <w:p>
            <w:pPr>
              <w:ind w:left="40"/>
              <w:spacing w:after="0"/>
              <w:rPr>
                <w:sz w:val="20"/>
                <w:szCs w:val="20"/>
                <w:color w:val="auto"/>
              </w:rPr>
            </w:pPr>
            <w:r>
              <w:rPr>
                <w:rFonts w:ascii="Arial" w:cs="Arial" w:eastAsia="Arial" w:hAnsi="Arial"/>
                <w:sz w:val="17"/>
                <w:szCs w:val="17"/>
                <w:color w:val="auto"/>
              </w:rPr>
              <w:t>Andrew M. Caggia</w:t>
            </w:r>
          </w:p>
        </w:tc>
        <w:tc>
          <w:tcPr>
            <w:tcW w:w="3080" w:type="dxa"/>
            <w:vAlign w:val="bottom"/>
            <w:shd w:val="clear" w:color="auto" w:fill="E6E6E6"/>
          </w:tcPr>
          <w:p>
            <w:pPr>
              <w:ind w:left="400"/>
              <w:spacing w:after="0"/>
              <w:rPr>
                <w:sz w:val="20"/>
                <w:szCs w:val="20"/>
                <w:color w:val="auto"/>
              </w:rPr>
            </w:pPr>
            <w:r>
              <w:rPr>
                <w:rFonts w:ascii="Arial" w:cs="Arial" w:eastAsia="Arial" w:hAnsi="Arial"/>
                <w:sz w:val="17"/>
                <w:szCs w:val="17"/>
                <w:color w:val="auto"/>
              </w:rPr>
              <w:t>June 5, 2024</w:t>
            </w:r>
          </w:p>
        </w:tc>
        <w:tc>
          <w:tcPr>
            <w:tcW w:w="2500" w:type="dxa"/>
            <w:vAlign w:val="bottom"/>
            <w:shd w:val="clear" w:color="auto" w:fill="E6E6E6"/>
          </w:tcPr>
          <w:p>
            <w:pPr>
              <w:ind w:left="340"/>
              <w:spacing w:after="0"/>
              <w:rPr>
                <w:sz w:val="20"/>
                <w:szCs w:val="20"/>
                <w:color w:val="auto"/>
              </w:rPr>
            </w:pPr>
            <w:r>
              <w:rPr>
                <w:rFonts w:ascii="Arial" w:cs="Arial" w:eastAsia="Arial" w:hAnsi="Arial"/>
                <w:sz w:val="17"/>
                <w:szCs w:val="17"/>
                <w:color w:val="auto"/>
              </w:rPr>
              <w:t>2027 annual meeting</w:t>
            </w:r>
          </w:p>
        </w:tc>
        <w:tc>
          <w:tcPr>
            <w:tcW w:w="3700" w:type="dxa"/>
            <w:vAlign w:val="bottom"/>
            <w:shd w:val="clear" w:color="auto" w:fill="E6E6E6"/>
          </w:tcPr>
          <w:p>
            <w:pPr>
              <w:ind w:left="460"/>
              <w:spacing w:after="0"/>
              <w:rPr>
                <w:sz w:val="20"/>
                <w:szCs w:val="20"/>
                <w:color w:val="auto"/>
              </w:rPr>
            </w:pPr>
            <w:r>
              <w:rPr>
                <w:rFonts w:ascii="Arial" w:cs="Arial" w:eastAsia="Arial" w:hAnsi="Arial"/>
                <w:sz w:val="17"/>
                <w:szCs w:val="17"/>
                <w:color w:val="auto"/>
              </w:rPr>
              <w:t>Confirms the identified 2024 election for</w:t>
            </w:r>
          </w:p>
        </w:tc>
      </w:tr>
      <w:tr>
        <w:trPr>
          <w:trHeight w:val="231"/>
        </w:trPr>
        <w:tc>
          <w:tcPr>
            <w:tcW w:w="1960" w:type="dxa"/>
            <w:vAlign w:val="bottom"/>
            <w:tcBorders>
              <w:bottom w:val="single" w:sz="8" w:color="E6E6E6"/>
            </w:tcBorders>
            <w:shd w:val="clear" w:color="auto" w:fill="E6E6E6"/>
          </w:tcPr>
          <w:p>
            <w:pPr>
              <w:spacing w:after="0"/>
              <w:rPr>
                <w:sz w:val="20"/>
                <w:szCs w:val="20"/>
                <w:color w:val="auto"/>
              </w:rPr>
            </w:pPr>
          </w:p>
        </w:tc>
        <w:tc>
          <w:tcPr>
            <w:tcW w:w="3080" w:type="dxa"/>
            <w:vAlign w:val="bottom"/>
            <w:tcBorders>
              <w:bottom w:val="single" w:sz="8" w:color="E6E6E6"/>
            </w:tcBorders>
            <w:shd w:val="clear" w:color="auto" w:fill="E6E6E6"/>
          </w:tcPr>
          <w:p>
            <w:pPr>
              <w:spacing w:after="0"/>
              <w:rPr>
                <w:sz w:val="20"/>
                <w:szCs w:val="20"/>
                <w:color w:val="auto"/>
              </w:rPr>
            </w:pPr>
          </w:p>
        </w:tc>
        <w:tc>
          <w:tcPr>
            <w:tcW w:w="2500" w:type="dxa"/>
            <w:vAlign w:val="bottom"/>
            <w:tcBorders>
              <w:bottom w:val="single" w:sz="8" w:color="E6E6E6"/>
            </w:tcBorders>
            <w:shd w:val="clear" w:color="auto" w:fill="E6E6E6"/>
          </w:tcPr>
          <w:p>
            <w:pPr>
              <w:spacing w:after="0"/>
              <w:rPr>
                <w:sz w:val="20"/>
                <w:szCs w:val="20"/>
                <w:color w:val="auto"/>
              </w:rPr>
            </w:pPr>
          </w:p>
        </w:tc>
        <w:tc>
          <w:tcPr>
            <w:tcW w:w="3700" w:type="dxa"/>
            <w:vAlign w:val="bottom"/>
            <w:tcBorders>
              <w:bottom w:val="single" w:sz="8" w:color="E6E6E6"/>
            </w:tcBorders>
            <w:shd w:val="clear" w:color="auto" w:fill="E6E6E6"/>
          </w:tcPr>
          <w:p>
            <w:pPr>
              <w:ind w:left="460"/>
              <w:spacing w:after="0"/>
              <w:rPr>
                <w:sz w:val="20"/>
                <w:szCs w:val="20"/>
                <w:color w:val="auto"/>
              </w:rPr>
            </w:pPr>
            <w:r>
              <w:rPr>
                <w:rFonts w:ascii="Arial" w:cs="Arial" w:eastAsia="Arial" w:hAnsi="Arial"/>
                <w:sz w:val="17"/>
                <w:szCs w:val="17"/>
                <w:color w:val="auto"/>
              </w:rPr>
              <w:t>the same class term.</w:t>
            </w:r>
          </w:p>
        </w:tc>
      </w:tr>
      <w:tr>
        <w:trPr>
          <w:trHeight w:val="217"/>
        </w:trPr>
        <w:tc>
          <w:tcPr>
            <w:tcW w:w="1960" w:type="dxa"/>
            <w:vAlign w:val="bottom"/>
          </w:tcPr>
          <w:p>
            <w:pPr>
              <w:ind w:left="40"/>
              <w:spacing w:after="0"/>
              <w:rPr>
                <w:sz w:val="20"/>
                <w:szCs w:val="20"/>
                <w:color w:val="auto"/>
              </w:rPr>
            </w:pPr>
            <w:r>
              <w:rPr>
                <w:rFonts w:ascii="Arial" w:cs="Arial" w:eastAsia="Arial" w:hAnsi="Arial"/>
                <w:sz w:val="17"/>
                <w:szCs w:val="17"/>
                <w:color w:val="auto"/>
              </w:rPr>
              <w:t>James A. Donahue</w:t>
            </w:r>
          </w:p>
        </w:tc>
        <w:tc>
          <w:tcPr>
            <w:tcW w:w="3080" w:type="dxa"/>
            <w:vAlign w:val="bottom"/>
          </w:tcPr>
          <w:p>
            <w:pPr>
              <w:ind w:left="400"/>
              <w:spacing w:after="0"/>
              <w:rPr>
                <w:sz w:val="20"/>
                <w:szCs w:val="20"/>
                <w:color w:val="auto"/>
              </w:rPr>
            </w:pPr>
            <w:r>
              <w:rPr>
                <w:rFonts w:ascii="Arial" w:cs="Arial" w:eastAsia="Arial" w:hAnsi="Arial"/>
                <w:sz w:val="17"/>
                <w:szCs w:val="17"/>
                <w:color w:val="auto"/>
              </w:rPr>
              <w:t>May 16, 2025</w:t>
            </w:r>
          </w:p>
        </w:tc>
        <w:tc>
          <w:tcPr>
            <w:tcW w:w="2500" w:type="dxa"/>
            <w:vAlign w:val="bottom"/>
          </w:tcPr>
          <w:p>
            <w:pPr>
              <w:ind w:left="340"/>
              <w:spacing w:after="0"/>
              <w:rPr>
                <w:sz w:val="20"/>
                <w:szCs w:val="20"/>
                <w:color w:val="auto"/>
              </w:rPr>
            </w:pPr>
            <w:r>
              <w:rPr>
                <w:rFonts w:ascii="Arial" w:cs="Arial" w:eastAsia="Arial" w:hAnsi="Arial"/>
                <w:sz w:val="17"/>
                <w:szCs w:val="17"/>
                <w:color w:val="auto"/>
              </w:rPr>
              <w:t>2028 annual meeting</w:t>
            </w:r>
          </w:p>
        </w:tc>
        <w:tc>
          <w:tcPr>
            <w:tcW w:w="3700" w:type="dxa"/>
            <w:vAlign w:val="bottom"/>
          </w:tcPr>
          <w:p>
            <w:pPr>
              <w:ind w:left="460"/>
              <w:spacing w:after="0"/>
              <w:rPr>
                <w:sz w:val="20"/>
                <w:szCs w:val="20"/>
                <w:color w:val="auto"/>
              </w:rPr>
            </w:pPr>
            <w:r>
              <w:rPr>
                <w:rFonts w:ascii="Arial" w:cs="Arial" w:eastAsia="Arial" w:hAnsi="Arial"/>
                <w:sz w:val="17"/>
                <w:szCs w:val="17"/>
                <w:color w:val="auto"/>
              </w:rPr>
              <w:t>Confirms the identified 2025 election for</w:t>
            </w:r>
          </w:p>
        </w:tc>
      </w:tr>
      <w:tr>
        <w:trPr>
          <w:trHeight w:val="229"/>
        </w:trPr>
        <w:tc>
          <w:tcPr>
            <w:tcW w:w="19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700" w:type="dxa"/>
            <w:vAlign w:val="bottom"/>
          </w:tcPr>
          <w:p>
            <w:pPr>
              <w:ind w:left="460"/>
              <w:spacing w:after="0"/>
              <w:rPr>
                <w:sz w:val="20"/>
                <w:szCs w:val="20"/>
                <w:color w:val="auto"/>
              </w:rPr>
            </w:pPr>
            <w:r>
              <w:rPr>
                <w:rFonts w:ascii="Arial" w:cs="Arial" w:eastAsia="Arial" w:hAnsi="Arial"/>
                <w:sz w:val="17"/>
                <w:szCs w:val="17"/>
                <w:color w:val="auto"/>
              </w:rPr>
              <w:t>the same class term.</w:t>
            </w:r>
          </w:p>
        </w:tc>
      </w:tr>
      <w:tr>
        <w:trPr>
          <w:trHeight w:val="22"/>
        </w:trPr>
        <w:tc>
          <w:tcPr>
            <w:tcW w:w="19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17"/>
        </w:trPr>
        <w:tc>
          <w:tcPr>
            <w:tcW w:w="1960" w:type="dxa"/>
            <w:vAlign w:val="bottom"/>
            <w:shd w:val="clear" w:color="auto" w:fill="E6E6E6"/>
          </w:tcPr>
          <w:p>
            <w:pPr>
              <w:ind w:left="40"/>
              <w:spacing w:after="0"/>
              <w:rPr>
                <w:sz w:val="20"/>
                <w:szCs w:val="20"/>
                <w:color w:val="auto"/>
              </w:rPr>
            </w:pPr>
            <w:r>
              <w:rPr>
                <w:rFonts w:ascii="Arial" w:cs="Arial" w:eastAsia="Arial" w:hAnsi="Arial"/>
                <w:sz w:val="17"/>
                <w:szCs w:val="17"/>
                <w:color w:val="auto"/>
              </w:rPr>
              <w:t>William E. Bendush</w:t>
            </w:r>
          </w:p>
        </w:tc>
        <w:tc>
          <w:tcPr>
            <w:tcW w:w="3080" w:type="dxa"/>
            <w:vAlign w:val="bottom"/>
            <w:shd w:val="clear" w:color="auto" w:fill="E6E6E6"/>
          </w:tcPr>
          <w:p>
            <w:pPr>
              <w:ind w:left="400"/>
              <w:spacing w:after="0"/>
              <w:rPr>
                <w:sz w:val="20"/>
                <w:szCs w:val="20"/>
                <w:color w:val="auto"/>
              </w:rPr>
            </w:pPr>
            <w:r>
              <w:rPr>
                <w:rFonts w:ascii="Arial" w:cs="Arial" w:eastAsia="Arial" w:hAnsi="Arial"/>
                <w:sz w:val="17"/>
                <w:szCs w:val="17"/>
                <w:color w:val="auto"/>
              </w:rPr>
              <w:t>May 15, 2026</w:t>
            </w:r>
          </w:p>
        </w:tc>
        <w:tc>
          <w:tcPr>
            <w:tcW w:w="2500" w:type="dxa"/>
            <w:vAlign w:val="bottom"/>
            <w:shd w:val="clear" w:color="auto" w:fill="E6E6E6"/>
          </w:tcPr>
          <w:p>
            <w:pPr>
              <w:ind w:left="340"/>
              <w:spacing w:after="0"/>
              <w:rPr>
                <w:sz w:val="20"/>
                <w:szCs w:val="20"/>
                <w:color w:val="auto"/>
              </w:rPr>
            </w:pPr>
            <w:r>
              <w:rPr>
                <w:rFonts w:ascii="Arial" w:cs="Arial" w:eastAsia="Arial" w:hAnsi="Arial"/>
                <w:sz w:val="17"/>
                <w:szCs w:val="17"/>
                <w:color w:val="auto"/>
              </w:rPr>
              <w:t>2029 annual meeting</w:t>
            </w:r>
          </w:p>
        </w:tc>
        <w:tc>
          <w:tcPr>
            <w:tcW w:w="3700" w:type="dxa"/>
            <w:vAlign w:val="bottom"/>
            <w:shd w:val="clear" w:color="auto" w:fill="E6E6E6"/>
          </w:tcPr>
          <w:p>
            <w:pPr>
              <w:ind w:left="460"/>
              <w:spacing w:after="0"/>
              <w:rPr>
                <w:sz w:val="20"/>
                <w:szCs w:val="20"/>
                <w:color w:val="auto"/>
              </w:rPr>
            </w:pPr>
            <w:r>
              <w:rPr>
                <w:rFonts w:ascii="Arial" w:cs="Arial" w:eastAsia="Arial" w:hAnsi="Arial"/>
                <w:sz w:val="17"/>
                <w:szCs w:val="17"/>
                <w:color w:val="auto"/>
              </w:rPr>
              <w:t>Confirms the identified 2026 election for</w:t>
            </w:r>
          </w:p>
        </w:tc>
      </w:tr>
      <w:tr>
        <w:trPr>
          <w:trHeight w:val="229"/>
        </w:trPr>
        <w:tc>
          <w:tcPr>
            <w:tcW w:w="1960" w:type="dxa"/>
            <w:vAlign w:val="bottom"/>
            <w:shd w:val="clear" w:color="auto" w:fill="E6E6E6"/>
          </w:tcPr>
          <w:p>
            <w:pPr>
              <w:spacing w:after="0"/>
              <w:rPr>
                <w:sz w:val="19"/>
                <w:szCs w:val="19"/>
                <w:color w:val="auto"/>
              </w:rPr>
            </w:pPr>
          </w:p>
        </w:tc>
        <w:tc>
          <w:tcPr>
            <w:tcW w:w="3080" w:type="dxa"/>
            <w:vAlign w:val="bottom"/>
            <w:shd w:val="clear" w:color="auto" w:fill="E6E6E6"/>
          </w:tcPr>
          <w:p>
            <w:pPr>
              <w:spacing w:after="0"/>
              <w:rPr>
                <w:sz w:val="19"/>
                <w:szCs w:val="19"/>
                <w:color w:val="auto"/>
              </w:rPr>
            </w:pPr>
          </w:p>
        </w:tc>
        <w:tc>
          <w:tcPr>
            <w:tcW w:w="2500" w:type="dxa"/>
            <w:vAlign w:val="bottom"/>
            <w:shd w:val="clear" w:color="auto" w:fill="E6E6E6"/>
          </w:tcPr>
          <w:p>
            <w:pPr>
              <w:spacing w:after="0"/>
              <w:rPr>
                <w:sz w:val="19"/>
                <w:szCs w:val="19"/>
                <w:color w:val="auto"/>
              </w:rPr>
            </w:pPr>
          </w:p>
        </w:tc>
        <w:tc>
          <w:tcPr>
            <w:tcW w:w="3700" w:type="dxa"/>
            <w:vAlign w:val="bottom"/>
            <w:shd w:val="clear" w:color="auto" w:fill="E6E6E6"/>
          </w:tcPr>
          <w:p>
            <w:pPr>
              <w:ind w:left="460"/>
              <w:spacing w:after="0"/>
              <w:rPr>
                <w:sz w:val="20"/>
                <w:szCs w:val="20"/>
                <w:color w:val="auto"/>
              </w:rPr>
            </w:pPr>
            <w:r>
              <w:rPr>
                <w:rFonts w:ascii="Arial" w:cs="Arial" w:eastAsia="Arial" w:hAnsi="Arial"/>
                <w:sz w:val="17"/>
                <w:szCs w:val="17"/>
                <w:color w:val="auto"/>
              </w:rPr>
              <w:t>the same class term.</w:t>
            </w:r>
          </w:p>
        </w:tc>
      </w:tr>
      <w:tr>
        <w:trPr>
          <w:trHeight w:val="22"/>
        </w:trPr>
        <w:tc>
          <w:tcPr>
            <w:tcW w:w="1960" w:type="dxa"/>
            <w:vAlign w:val="bottom"/>
            <w:shd w:val="clear" w:color="auto" w:fill="E6E6E6"/>
          </w:tcPr>
          <w:p>
            <w:pPr>
              <w:spacing w:after="0" w:line="20" w:lineRule="exact"/>
              <w:rPr>
                <w:sz w:val="1"/>
                <w:szCs w:val="1"/>
                <w:color w:val="auto"/>
              </w:rPr>
            </w:pPr>
          </w:p>
        </w:tc>
        <w:tc>
          <w:tcPr>
            <w:tcW w:w="3080" w:type="dxa"/>
            <w:vAlign w:val="bottom"/>
            <w:shd w:val="clear" w:color="auto" w:fill="E6E6E6"/>
          </w:tcPr>
          <w:p>
            <w:pPr>
              <w:spacing w:after="0" w:line="20" w:lineRule="exact"/>
              <w:rPr>
                <w:sz w:val="1"/>
                <w:szCs w:val="1"/>
                <w:color w:val="auto"/>
              </w:rPr>
            </w:pPr>
          </w:p>
        </w:tc>
        <w:tc>
          <w:tcPr>
            <w:tcW w:w="2500" w:type="dxa"/>
            <w:vAlign w:val="bottom"/>
            <w:shd w:val="clear" w:color="auto" w:fill="E6E6E6"/>
          </w:tcPr>
          <w:p>
            <w:pPr>
              <w:spacing w:after="0" w:line="20" w:lineRule="exact"/>
              <w:rPr>
                <w:sz w:val="1"/>
                <w:szCs w:val="1"/>
                <w:color w:val="auto"/>
              </w:rPr>
            </w:pPr>
          </w:p>
        </w:tc>
        <w:tc>
          <w:tcPr>
            <w:tcW w:w="3700" w:type="dxa"/>
            <w:vAlign w:val="bottom"/>
            <w:shd w:val="clear" w:color="auto" w:fill="E6E6E6"/>
          </w:tcPr>
          <w:p>
            <w:pPr>
              <w:spacing w:after="0" w:line="20" w:lineRule="exact"/>
              <w:rPr>
                <w:sz w:val="1"/>
                <w:szCs w:val="1"/>
                <w:color w:val="auto"/>
              </w:rPr>
            </w:pPr>
          </w:p>
        </w:tc>
      </w:tr>
    </w:tbl>
    <w:p>
      <w:pPr>
        <w:spacing w:after="0" w:line="178"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The Board reviewed those prior elections and retirement-policy determinations and independently concluded that the determinations continue to apply to the same previously approved class terms. On that basis, the Board determined that the proposed ratifications are consistent with the existing retirement policy and do not require a new retirement-policy approval, waiver, exception, or amendment.</w:t>
      </w:r>
    </w:p>
    <w:p>
      <w:pPr>
        <w:spacing w:after="0" w:line="147"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ratifications do not give these directors additional time. They do not begin new three-year terms, extend the scheduled class-term endpoints, restart or renew eligibility under the retirement policy or authorize an additional post-age-75 class term. Each ratification concerns the director’s original election and continued service for the remaining portion of that same class term, subject to the existing successor-qualification and earlier-termination provisions.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Board reasons and director information</w:t>
      </w:r>
    </w:p>
    <w:p>
      <w:pPr>
        <w:spacing w:after="0" w:line="191"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The Board believes that ratifying each identified prior election will remove the uncertainty arising from the record-date issue while preserving the class structure and terms previously presented to stockholders. The Board separately considered each ratification and determined that each is advisable and in the best interests of the Company and its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information summarizes the directors’ experience. Additional governance and compensation information appears in </w:t>
      </w:r>
      <w:r>
        <w:rPr>
          <w:rFonts w:ascii="Arial" w:cs="Arial" w:eastAsia="Arial" w:hAnsi="Arial"/>
          <w:sz w:val="17"/>
          <w:szCs w:val="17"/>
          <w:b w:val="1"/>
          <w:bCs w:val="1"/>
          <w:u w:val="single" w:color="auto"/>
          <w:color w:val="auto"/>
        </w:rPr>
        <w:t>Annex E</w:t>
      </w:r>
      <w:r>
        <w:rPr>
          <w:rFonts w:ascii="Arial" w:cs="Arial" w:eastAsia="Arial" w:hAnsi="Arial"/>
          <w:sz w:val="17"/>
          <w:szCs w:val="17"/>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220" w:type="dxa"/>
            <w:vAlign w:val="bottom"/>
            <w:shd w:val="clear" w:color="auto" w:fill="2D53A6"/>
          </w:tcPr>
          <w:p>
            <w:pPr>
              <w:ind w:left="40"/>
              <w:spacing w:after="0"/>
              <w:rPr>
                <w:sz w:val="20"/>
                <w:szCs w:val="20"/>
                <w:color w:val="auto"/>
              </w:rPr>
            </w:pPr>
            <w:r>
              <w:rPr>
                <w:rFonts w:ascii="Arial" w:cs="Arial" w:eastAsia="Arial" w:hAnsi="Arial"/>
                <w:sz w:val="17"/>
                <w:szCs w:val="17"/>
                <w:b w:val="1"/>
                <w:bCs w:val="1"/>
                <w:color w:val="FFFFFF"/>
              </w:rPr>
              <w:t>Director</w:t>
            </w:r>
          </w:p>
        </w:tc>
        <w:tc>
          <w:tcPr>
            <w:tcW w:w="9020" w:type="dxa"/>
            <w:vAlign w:val="bottom"/>
            <w:shd w:val="clear" w:color="auto" w:fill="2D53A6"/>
          </w:tcPr>
          <w:p>
            <w:pPr>
              <w:ind w:left="680"/>
              <w:spacing w:after="0"/>
              <w:rPr>
                <w:sz w:val="20"/>
                <w:szCs w:val="20"/>
                <w:color w:val="auto"/>
              </w:rPr>
            </w:pPr>
            <w:r>
              <w:rPr>
                <w:rFonts w:ascii="Arial" w:cs="Arial" w:eastAsia="Arial" w:hAnsi="Arial"/>
                <w:sz w:val="17"/>
                <w:szCs w:val="17"/>
                <w:b w:val="1"/>
                <w:bCs w:val="1"/>
                <w:color w:val="FFFFFF"/>
              </w:rPr>
              <w:t>Experience relevant to Board service</w:t>
            </w:r>
          </w:p>
        </w:tc>
      </w:tr>
      <w:tr>
        <w:trPr>
          <w:trHeight w:val="217"/>
        </w:trPr>
        <w:tc>
          <w:tcPr>
            <w:tcW w:w="2220" w:type="dxa"/>
            <w:vAlign w:val="bottom"/>
            <w:shd w:val="clear" w:color="auto" w:fill="E6E6E6"/>
          </w:tcPr>
          <w:p>
            <w:pPr>
              <w:ind w:left="40"/>
              <w:spacing w:after="0"/>
              <w:rPr>
                <w:sz w:val="20"/>
                <w:szCs w:val="20"/>
                <w:color w:val="auto"/>
              </w:rPr>
            </w:pPr>
            <w:r>
              <w:rPr>
                <w:rFonts w:ascii="Arial" w:cs="Arial" w:eastAsia="Arial" w:hAnsi="Arial"/>
                <w:sz w:val="17"/>
                <w:szCs w:val="17"/>
                <w:color w:val="auto"/>
              </w:rPr>
              <w:t>Andrew M. Caggia</w:t>
            </w:r>
          </w:p>
        </w:tc>
        <w:tc>
          <w:tcPr>
            <w:tcW w:w="9020" w:type="dxa"/>
            <w:vAlign w:val="bottom"/>
            <w:shd w:val="clear" w:color="auto" w:fill="E6E6E6"/>
          </w:tcPr>
          <w:p>
            <w:pPr>
              <w:ind w:left="680"/>
              <w:spacing w:after="0"/>
              <w:rPr>
                <w:sz w:val="20"/>
                <w:szCs w:val="20"/>
                <w:color w:val="auto"/>
              </w:rPr>
            </w:pPr>
            <w:r>
              <w:rPr>
                <w:rFonts w:ascii="Arial" w:cs="Arial" w:eastAsia="Arial" w:hAnsi="Arial"/>
                <w:sz w:val="17"/>
                <w:szCs w:val="17"/>
                <w:color w:val="auto"/>
              </w:rPr>
              <w:t>Former Senior Vice President and Chief Financial Officer of SMSC and General Semiconductor; experience</w:t>
            </w:r>
          </w:p>
        </w:tc>
      </w:tr>
      <w:tr>
        <w:trPr>
          <w:trHeight w:val="231"/>
        </w:trPr>
        <w:tc>
          <w:tcPr>
            <w:tcW w:w="2220" w:type="dxa"/>
            <w:vAlign w:val="bottom"/>
            <w:tcBorders>
              <w:bottom w:val="single" w:sz="8" w:color="E6E6E6"/>
            </w:tcBorders>
            <w:shd w:val="clear" w:color="auto" w:fill="E6E6E6"/>
          </w:tcPr>
          <w:p>
            <w:pPr>
              <w:spacing w:after="0"/>
              <w:rPr>
                <w:sz w:val="20"/>
                <w:szCs w:val="20"/>
                <w:color w:val="auto"/>
              </w:rPr>
            </w:pPr>
          </w:p>
        </w:tc>
        <w:tc>
          <w:tcPr>
            <w:tcW w:w="9020" w:type="dxa"/>
            <w:vAlign w:val="bottom"/>
            <w:tcBorders>
              <w:bottom w:val="single" w:sz="8" w:color="E6E6E6"/>
            </w:tcBorders>
            <w:shd w:val="clear" w:color="auto" w:fill="E6E6E6"/>
          </w:tcPr>
          <w:p>
            <w:pPr>
              <w:ind w:left="680"/>
              <w:spacing w:after="0"/>
              <w:rPr>
                <w:sz w:val="20"/>
                <w:szCs w:val="20"/>
                <w:color w:val="auto"/>
              </w:rPr>
            </w:pPr>
            <w:r>
              <w:rPr>
                <w:rFonts w:ascii="Arial" w:cs="Arial" w:eastAsia="Arial" w:hAnsi="Arial"/>
                <w:sz w:val="17"/>
                <w:szCs w:val="17"/>
                <w:color w:val="auto"/>
              </w:rPr>
              <w:t>in the semiconductor industry, financial reporting, and business strategy.</w:t>
            </w:r>
          </w:p>
        </w:tc>
      </w:tr>
      <w:tr>
        <w:trPr>
          <w:trHeight w:val="217"/>
        </w:trPr>
        <w:tc>
          <w:tcPr>
            <w:tcW w:w="2220" w:type="dxa"/>
            <w:vAlign w:val="bottom"/>
          </w:tcPr>
          <w:p>
            <w:pPr>
              <w:ind w:left="40"/>
              <w:spacing w:after="0"/>
              <w:rPr>
                <w:sz w:val="20"/>
                <w:szCs w:val="20"/>
                <w:color w:val="auto"/>
              </w:rPr>
            </w:pPr>
            <w:r>
              <w:rPr>
                <w:rFonts w:ascii="Arial" w:cs="Arial" w:eastAsia="Arial" w:hAnsi="Arial"/>
                <w:sz w:val="17"/>
                <w:szCs w:val="17"/>
                <w:color w:val="auto"/>
              </w:rPr>
              <w:t>Yon Y. Jorden</w:t>
            </w:r>
          </w:p>
        </w:tc>
        <w:tc>
          <w:tcPr>
            <w:tcW w:w="9020" w:type="dxa"/>
            <w:vAlign w:val="bottom"/>
          </w:tcPr>
          <w:p>
            <w:pPr>
              <w:ind w:left="680"/>
              <w:spacing w:after="0"/>
              <w:rPr>
                <w:sz w:val="20"/>
                <w:szCs w:val="20"/>
                <w:color w:val="auto"/>
              </w:rPr>
            </w:pPr>
            <w:r>
              <w:rPr>
                <w:rFonts w:ascii="Arial" w:cs="Arial" w:eastAsia="Arial" w:hAnsi="Arial"/>
                <w:sz w:val="17"/>
                <w:szCs w:val="17"/>
                <w:color w:val="auto"/>
              </w:rPr>
              <w:t>Former Executive Vice President and Chief Financial Officer of AdvancePCS and former CFO of other</w:t>
            </w:r>
          </w:p>
        </w:tc>
      </w:tr>
      <w:tr>
        <w:trPr>
          <w:trHeight w:val="229"/>
        </w:trPr>
        <w:tc>
          <w:tcPr>
            <w:tcW w:w="2220" w:type="dxa"/>
            <w:vAlign w:val="bottom"/>
          </w:tcPr>
          <w:p>
            <w:pPr>
              <w:spacing w:after="0"/>
              <w:rPr>
                <w:sz w:val="19"/>
                <w:szCs w:val="19"/>
                <w:color w:val="auto"/>
              </w:rPr>
            </w:pPr>
          </w:p>
        </w:tc>
        <w:tc>
          <w:tcPr>
            <w:tcW w:w="9020" w:type="dxa"/>
            <w:vAlign w:val="bottom"/>
          </w:tcPr>
          <w:p>
            <w:pPr>
              <w:ind w:left="680"/>
              <w:spacing w:after="0"/>
              <w:rPr>
                <w:sz w:val="20"/>
                <w:szCs w:val="20"/>
                <w:color w:val="auto"/>
              </w:rPr>
            </w:pPr>
            <w:r>
              <w:rPr>
                <w:rFonts w:ascii="Arial" w:cs="Arial" w:eastAsia="Arial" w:hAnsi="Arial"/>
                <w:sz w:val="17"/>
                <w:szCs w:val="17"/>
                <w:color w:val="auto"/>
              </w:rPr>
              <w:t>public companies; public-company board, audit, and financial-reporting experience.</w:t>
            </w:r>
          </w:p>
        </w:tc>
      </w:tr>
      <w:tr>
        <w:trPr>
          <w:trHeight w:val="22"/>
        </w:trPr>
        <w:tc>
          <w:tcPr>
            <w:tcW w:w="2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17"/>
        </w:trPr>
        <w:tc>
          <w:tcPr>
            <w:tcW w:w="2220" w:type="dxa"/>
            <w:vAlign w:val="bottom"/>
            <w:shd w:val="clear" w:color="auto" w:fill="E6E6E6"/>
          </w:tcPr>
          <w:p>
            <w:pPr>
              <w:ind w:left="40"/>
              <w:spacing w:after="0"/>
              <w:rPr>
                <w:sz w:val="20"/>
                <w:szCs w:val="20"/>
                <w:color w:val="auto"/>
              </w:rPr>
            </w:pPr>
            <w:r>
              <w:rPr>
                <w:rFonts w:ascii="Arial" w:cs="Arial" w:eastAsia="Arial" w:hAnsi="Arial"/>
                <w:sz w:val="17"/>
                <w:szCs w:val="17"/>
                <w:color w:val="auto"/>
              </w:rPr>
              <w:t>Luis A. Müller</w:t>
            </w:r>
          </w:p>
        </w:tc>
        <w:tc>
          <w:tcPr>
            <w:tcW w:w="9020" w:type="dxa"/>
            <w:vAlign w:val="bottom"/>
            <w:shd w:val="clear" w:color="auto" w:fill="E6E6E6"/>
          </w:tcPr>
          <w:p>
            <w:pPr>
              <w:ind w:left="680"/>
              <w:spacing w:after="0"/>
              <w:rPr>
                <w:sz w:val="20"/>
                <w:szCs w:val="20"/>
                <w:color w:val="auto"/>
              </w:rPr>
            </w:pPr>
            <w:r>
              <w:rPr>
                <w:rFonts w:ascii="Arial" w:cs="Arial" w:eastAsia="Arial" w:hAnsi="Arial"/>
                <w:sz w:val="17"/>
                <w:szCs w:val="17"/>
                <w:color w:val="auto"/>
              </w:rPr>
              <w:t>Cohu’s President and Chief Executive Officer since 2014; prior leadership roles in Cohu’s semiconductor-</w:t>
            </w:r>
          </w:p>
        </w:tc>
      </w:tr>
      <w:tr>
        <w:trPr>
          <w:trHeight w:val="195"/>
        </w:trPr>
        <w:tc>
          <w:tcPr>
            <w:tcW w:w="2220" w:type="dxa"/>
            <w:vAlign w:val="bottom"/>
            <w:shd w:val="clear" w:color="auto" w:fill="E6E6E6"/>
          </w:tcPr>
          <w:p>
            <w:pPr>
              <w:spacing w:after="0"/>
              <w:rPr>
                <w:sz w:val="16"/>
                <w:szCs w:val="16"/>
                <w:color w:val="auto"/>
              </w:rPr>
            </w:pPr>
          </w:p>
        </w:tc>
        <w:tc>
          <w:tcPr>
            <w:tcW w:w="9020" w:type="dxa"/>
            <w:vAlign w:val="bottom"/>
            <w:shd w:val="clear" w:color="auto" w:fill="E6E6E6"/>
          </w:tcPr>
          <w:p>
            <w:pPr>
              <w:ind w:left="680"/>
              <w:spacing w:after="0"/>
              <w:rPr>
                <w:sz w:val="20"/>
                <w:szCs w:val="20"/>
                <w:color w:val="auto"/>
              </w:rPr>
            </w:pPr>
            <w:r>
              <w:rPr>
                <w:rFonts w:ascii="Arial" w:cs="Arial" w:eastAsia="Arial" w:hAnsi="Arial"/>
                <w:sz w:val="17"/>
                <w:szCs w:val="17"/>
                <w:color w:val="auto"/>
              </w:rPr>
              <w:t>equipment businesses and prior experience at Teradyne; industry, strategy, and international operations</w:t>
            </w:r>
          </w:p>
        </w:tc>
      </w:tr>
      <w:tr>
        <w:trPr>
          <w:trHeight w:val="231"/>
        </w:trPr>
        <w:tc>
          <w:tcPr>
            <w:tcW w:w="2220" w:type="dxa"/>
            <w:vAlign w:val="bottom"/>
            <w:tcBorders>
              <w:bottom w:val="single" w:sz="8" w:color="E6E6E6"/>
            </w:tcBorders>
            <w:shd w:val="clear" w:color="auto" w:fill="E6E6E6"/>
          </w:tcPr>
          <w:p>
            <w:pPr>
              <w:spacing w:after="0"/>
              <w:rPr>
                <w:sz w:val="20"/>
                <w:szCs w:val="20"/>
                <w:color w:val="auto"/>
              </w:rPr>
            </w:pPr>
          </w:p>
        </w:tc>
        <w:tc>
          <w:tcPr>
            <w:tcW w:w="9020" w:type="dxa"/>
            <w:vAlign w:val="bottom"/>
            <w:tcBorders>
              <w:bottom w:val="single" w:sz="8" w:color="E6E6E6"/>
            </w:tcBorders>
            <w:shd w:val="clear" w:color="auto" w:fill="E6E6E6"/>
          </w:tcPr>
          <w:p>
            <w:pPr>
              <w:ind w:left="680"/>
              <w:spacing w:after="0"/>
              <w:rPr>
                <w:sz w:val="20"/>
                <w:szCs w:val="20"/>
                <w:color w:val="auto"/>
              </w:rPr>
            </w:pPr>
            <w:r>
              <w:rPr>
                <w:rFonts w:ascii="Arial" w:cs="Arial" w:eastAsia="Arial" w:hAnsi="Arial"/>
                <w:sz w:val="17"/>
                <w:szCs w:val="17"/>
                <w:color w:val="auto"/>
              </w:rPr>
              <w:t>experience.</w:t>
            </w:r>
          </w:p>
        </w:tc>
      </w:tr>
      <w:tr>
        <w:trPr>
          <w:trHeight w:val="217"/>
        </w:trPr>
        <w:tc>
          <w:tcPr>
            <w:tcW w:w="2220" w:type="dxa"/>
            <w:vAlign w:val="bottom"/>
          </w:tcPr>
          <w:p>
            <w:pPr>
              <w:ind w:left="40"/>
              <w:spacing w:after="0"/>
              <w:rPr>
                <w:sz w:val="20"/>
                <w:szCs w:val="20"/>
                <w:color w:val="auto"/>
              </w:rPr>
            </w:pPr>
            <w:r>
              <w:rPr>
                <w:rFonts w:ascii="Arial" w:cs="Arial" w:eastAsia="Arial" w:hAnsi="Arial"/>
                <w:sz w:val="17"/>
                <w:szCs w:val="17"/>
                <w:color w:val="auto"/>
              </w:rPr>
              <w:t>Steven J. Bilodeau</w:t>
            </w:r>
          </w:p>
        </w:tc>
        <w:tc>
          <w:tcPr>
            <w:tcW w:w="9020" w:type="dxa"/>
            <w:vAlign w:val="bottom"/>
          </w:tcPr>
          <w:p>
            <w:pPr>
              <w:ind w:left="680"/>
              <w:spacing w:after="0"/>
              <w:rPr>
                <w:sz w:val="20"/>
                <w:szCs w:val="20"/>
                <w:color w:val="auto"/>
              </w:rPr>
            </w:pPr>
            <w:r>
              <w:rPr>
                <w:rFonts w:ascii="Arial" w:cs="Arial" w:eastAsia="Arial" w:hAnsi="Arial"/>
                <w:sz w:val="17"/>
                <w:szCs w:val="17"/>
                <w:color w:val="auto"/>
              </w:rPr>
              <w:t>Former President and Chief Executive Officer of SMSC; public-company board and semiconductor-industry</w:t>
            </w:r>
          </w:p>
        </w:tc>
      </w:tr>
      <w:tr>
        <w:trPr>
          <w:trHeight w:val="229"/>
        </w:trPr>
        <w:tc>
          <w:tcPr>
            <w:tcW w:w="2220" w:type="dxa"/>
            <w:vAlign w:val="bottom"/>
          </w:tcPr>
          <w:p>
            <w:pPr>
              <w:spacing w:after="0"/>
              <w:rPr>
                <w:sz w:val="19"/>
                <w:szCs w:val="19"/>
                <w:color w:val="auto"/>
              </w:rPr>
            </w:pPr>
          </w:p>
        </w:tc>
        <w:tc>
          <w:tcPr>
            <w:tcW w:w="9020" w:type="dxa"/>
            <w:vAlign w:val="bottom"/>
          </w:tcPr>
          <w:p>
            <w:pPr>
              <w:ind w:left="680"/>
              <w:spacing w:after="0"/>
              <w:rPr>
                <w:sz w:val="20"/>
                <w:szCs w:val="20"/>
                <w:color w:val="auto"/>
              </w:rPr>
            </w:pPr>
            <w:r>
              <w:rPr>
                <w:rFonts w:ascii="Arial" w:cs="Arial" w:eastAsia="Arial" w:hAnsi="Arial"/>
                <w:sz w:val="17"/>
                <w:szCs w:val="17"/>
                <w:color w:val="auto"/>
              </w:rPr>
              <w:t>experience; Cohu Lead Independent Director.</w:t>
            </w:r>
          </w:p>
        </w:tc>
      </w:tr>
      <w:tr>
        <w:trPr>
          <w:trHeight w:val="22"/>
        </w:trPr>
        <w:tc>
          <w:tcPr>
            <w:tcW w:w="2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17"/>
        </w:trPr>
        <w:tc>
          <w:tcPr>
            <w:tcW w:w="2220" w:type="dxa"/>
            <w:vAlign w:val="bottom"/>
            <w:shd w:val="clear" w:color="auto" w:fill="E6E6E6"/>
          </w:tcPr>
          <w:p>
            <w:pPr>
              <w:ind w:left="40"/>
              <w:spacing w:after="0"/>
              <w:rPr>
                <w:sz w:val="20"/>
                <w:szCs w:val="20"/>
                <w:color w:val="auto"/>
              </w:rPr>
            </w:pPr>
            <w:r>
              <w:rPr>
                <w:rFonts w:ascii="Arial" w:cs="Arial" w:eastAsia="Arial" w:hAnsi="Arial"/>
                <w:sz w:val="17"/>
                <w:szCs w:val="17"/>
                <w:color w:val="auto"/>
              </w:rPr>
              <w:t>James A. Donahue</w:t>
            </w:r>
          </w:p>
        </w:tc>
        <w:tc>
          <w:tcPr>
            <w:tcW w:w="9020" w:type="dxa"/>
            <w:vAlign w:val="bottom"/>
            <w:shd w:val="clear" w:color="auto" w:fill="E6E6E6"/>
          </w:tcPr>
          <w:p>
            <w:pPr>
              <w:ind w:left="680"/>
              <w:spacing w:after="0"/>
              <w:rPr>
                <w:sz w:val="20"/>
                <w:szCs w:val="20"/>
                <w:color w:val="auto"/>
              </w:rPr>
            </w:pPr>
            <w:r>
              <w:rPr>
                <w:rFonts w:ascii="Arial" w:cs="Arial" w:eastAsia="Arial" w:hAnsi="Arial"/>
                <w:sz w:val="17"/>
                <w:szCs w:val="17"/>
                <w:color w:val="auto"/>
              </w:rPr>
              <w:t>Cohu’s non-executive Chairperson and former President and Chief Executive Officer; extensive experience</w:t>
            </w:r>
          </w:p>
        </w:tc>
      </w:tr>
      <w:tr>
        <w:trPr>
          <w:trHeight w:val="231"/>
        </w:trPr>
        <w:tc>
          <w:tcPr>
            <w:tcW w:w="2220" w:type="dxa"/>
            <w:vAlign w:val="bottom"/>
            <w:tcBorders>
              <w:bottom w:val="single" w:sz="8" w:color="E6E6E6"/>
            </w:tcBorders>
            <w:shd w:val="clear" w:color="auto" w:fill="E6E6E6"/>
          </w:tcPr>
          <w:p>
            <w:pPr>
              <w:spacing w:after="0"/>
              <w:rPr>
                <w:sz w:val="20"/>
                <w:szCs w:val="20"/>
                <w:color w:val="auto"/>
              </w:rPr>
            </w:pPr>
          </w:p>
        </w:tc>
        <w:tc>
          <w:tcPr>
            <w:tcW w:w="9020" w:type="dxa"/>
            <w:vAlign w:val="bottom"/>
            <w:tcBorders>
              <w:bottom w:val="single" w:sz="8" w:color="E6E6E6"/>
            </w:tcBorders>
            <w:shd w:val="clear" w:color="auto" w:fill="E6E6E6"/>
          </w:tcPr>
          <w:p>
            <w:pPr>
              <w:ind w:left="680"/>
              <w:spacing w:after="0"/>
              <w:rPr>
                <w:sz w:val="20"/>
                <w:szCs w:val="20"/>
                <w:color w:val="auto"/>
              </w:rPr>
            </w:pPr>
            <w:r>
              <w:rPr>
                <w:rFonts w:ascii="Arial" w:cs="Arial" w:eastAsia="Arial" w:hAnsi="Arial"/>
                <w:sz w:val="17"/>
                <w:szCs w:val="17"/>
                <w:color w:val="auto"/>
              </w:rPr>
              <w:t>in the Company’s business, semiconductor equipment, strategy, and operations.</w:t>
            </w:r>
          </w:p>
        </w:tc>
      </w:tr>
      <w:tr>
        <w:trPr>
          <w:trHeight w:val="217"/>
        </w:trPr>
        <w:tc>
          <w:tcPr>
            <w:tcW w:w="2220" w:type="dxa"/>
            <w:vAlign w:val="bottom"/>
          </w:tcPr>
          <w:p>
            <w:pPr>
              <w:ind w:left="40"/>
              <w:spacing w:after="0"/>
              <w:rPr>
                <w:sz w:val="20"/>
                <w:szCs w:val="20"/>
                <w:color w:val="auto"/>
              </w:rPr>
            </w:pPr>
            <w:r>
              <w:rPr>
                <w:rFonts w:ascii="Arial" w:cs="Arial" w:eastAsia="Arial" w:hAnsi="Arial"/>
                <w:sz w:val="17"/>
                <w:szCs w:val="17"/>
                <w:color w:val="auto"/>
              </w:rPr>
              <w:t>Andreas W. Mattes</w:t>
            </w:r>
          </w:p>
        </w:tc>
        <w:tc>
          <w:tcPr>
            <w:tcW w:w="9020" w:type="dxa"/>
            <w:vAlign w:val="bottom"/>
          </w:tcPr>
          <w:p>
            <w:pPr>
              <w:ind w:left="680"/>
              <w:spacing w:after="0"/>
              <w:rPr>
                <w:sz w:val="20"/>
                <w:szCs w:val="20"/>
                <w:color w:val="auto"/>
              </w:rPr>
            </w:pPr>
            <w:r>
              <w:rPr>
                <w:rFonts w:ascii="Arial" w:cs="Arial" w:eastAsia="Arial" w:hAnsi="Arial"/>
                <w:sz w:val="17"/>
                <w:szCs w:val="17"/>
                <w:color w:val="auto"/>
              </w:rPr>
              <w:t>Former President and Chief Executive Officer of Coherent and former CEO of Diebold Nixdorf; technology,</w:t>
            </w:r>
          </w:p>
        </w:tc>
      </w:tr>
      <w:tr>
        <w:trPr>
          <w:trHeight w:val="229"/>
        </w:trPr>
        <w:tc>
          <w:tcPr>
            <w:tcW w:w="2220" w:type="dxa"/>
            <w:vAlign w:val="bottom"/>
          </w:tcPr>
          <w:p>
            <w:pPr>
              <w:spacing w:after="0"/>
              <w:rPr>
                <w:sz w:val="19"/>
                <w:szCs w:val="19"/>
                <w:color w:val="auto"/>
              </w:rPr>
            </w:pPr>
          </w:p>
        </w:tc>
        <w:tc>
          <w:tcPr>
            <w:tcW w:w="9020" w:type="dxa"/>
            <w:vAlign w:val="bottom"/>
          </w:tcPr>
          <w:p>
            <w:pPr>
              <w:ind w:left="680"/>
              <w:spacing w:after="0"/>
              <w:rPr>
                <w:sz w:val="20"/>
                <w:szCs w:val="20"/>
                <w:color w:val="auto"/>
              </w:rPr>
            </w:pPr>
            <w:r>
              <w:rPr>
                <w:rFonts w:ascii="Arial" w:cs="Arial" w:eastAsia="Arial" w:hAnsi="Arial"/>
                <w:sz w:val="17"/>
                <w:szCs w:val="17"/>
                <w:color w:val="auto"/>
              </w:rPr>
              <w:t>global business, sales, and transaction experience.</w:t>
            </w:r>
          </w:p>
        </w:tc>
      </w:tr>
      <w:tr>
        <w:trPr>
          <w:trHeight w:val="22"/>
        </w:trPr>
        <w:tc>
          <w:tcPr>
            <w:tcW w:w="2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17"/>
        </w:trPr>
        <w:tc>
          <w:tcPr>
            <w:tcW w:w="2220" w:type="dxa"/>
            <w:vAlign w:val="bottom"/>
            <w:shd w:val="clear" w:color="auto" w:fill="E6E6E6"/>
          </w:tcPr>
          <w:p>
            <w:pPr>
              <w:ind w:left="40"/>
              <w:spacing w:after="0"/>
              <w:rPr>
                <w:sz w:val="20"/>
                <w:szCs w:val="20"/>
                <w:color w:val="auto"/>
              </w:rPr>
            </w:pPr>
            <w:r>
              <w:rPr>
                <w:rFonts w:ascii="Arial" w:cs="Arial" w:eastAsia="Arial" w:hAnsi="Arial"/>
                <w:sz w:val="17"/>
                <w:szCs w:val="17"/>
                <w:color w:val="auto"/>
              </w:rPr>
              <w:t>William E. Bendush</w:t>
            </w:r>
          </w:p>
        </w:tc>
        <w:tc>
          <w:tcPr>
            <w:tcW w:w="9020" w:type="dxa"/>
            <w:vAlign w:val="bottom"/>
            <w:shd w:val="clear" w:color="auto" w:fill="E6E6E6"/>
          </w:tcPr>
          <w:p>
            <w:pPr>
              <w:ind w:left="680"/>
              <w:spacing w:after="0"/>
              <w:rPr>
                <w:sz w:val="20"/>
                <w:szCs w:val="20"/>
                <w:color w:val="auto"/>
              </w:rPr>
            </w:pPr>
            <w:r>
              <w:rPr>
                <w:rFonts w:ascii="Arial" w:cs="Arial" w:eastAsia="Arial" w:hAnsi="Arial"/>
                <w:sz w:val="17"/>
                <w:szCs w:val="17"/>
                <w:color w:val="auto"/>
              </w:rPr>
              <w:t>Former Senior Vice President and Chief Financial Officer of Applied Micro Circuits Corporation;</w:t>
            </w:r>
          </w:p>
        </w:tc>
      </w:tr>
      <w:tr>
        <w:trPr>
          <w:trHeight w:val="231"/>
        </w:trPr>
        <w:tc>
          <w:tcPr>
            <w:tcW w:w="2220" w:type="dxa"/>
            <w:vAlign w:val="bottom"/>
            <w:tcBorders>
              <w:bottom w:val="single" w:sz="8" w:color="E6E6E6"/>
            </w:tcBorders>
            <w:shd w:val="clear" w:color="auto" w:fill="E6E6E6"/>
          </w:tcPr>
          <w:p>
            <w:pPr>
              <w:spacing w:after="0"/>
              <w:rPr>
                <w:sz w:val="20"/>
                <w:szCs w:val="20"/>
                <w:color w:val="auto"/>
              </w:rPr>
            </w:pPr>
          </w:p>
        </w:tc>
        <w:tc>
          <w:tcPr>
            <w:tcW w:w="9020" w:type="dxa"/>
            <w:vAlign w:val="bottom"/>
            <w:tcBorders>
              <w:bottom w:val="single" w:sz="8" w:color="E6E6E6"/>
            </w:tcBorders>
            <w:shd w:val="clear" w:color="auto" w:fill="E6E6E6"/>
          </w:tcPr>
          <w:p>
            <w:pPr>
              <w:ind w:left="680"/>
              <w:spacing w:after="0"/>
              <w:rPr>
                <w:sz w:val="20"/>
                <w:szCs w:val="20"/>
                <w:color w:val="auto"/>
              </w:rPr>
            </w:pPr>
            <w:r>
              <w:rPr>
                <w:rFonts w:ascii="Arial" w:cs="Arial" w:eastAsia="Arial" w:hAnsi="Arial"/>
                <w:sz w:val="17"/>
                <w:szCs w:val="17"/>
                <w:color w:val="auto"/>
              </w:rPr>
              <w:t>semiconductor-industry, finance, and audit-committee experience.</w:t>
            </w:r>
          </w:p>
        </w:tc>
      </w:tr>
      <w:tr>
        <w:trPr>
          <w:trHeight w:val="217"/>
        </w:trPr>
        <w:tc>
          <w:tcPr>
            <w:tcW w:w="2220" w:type="dxa"/>
            <w:vAlign w:val="bottom"/>
          </w:tcPr>
          <w:p>
            <w:pPr>
              <w:ind w:left="40"/>
              <w:spacing w:after="0"/>
              <w:rPr>
                <w:sz w:val="20"/>
                <w:szCs w:val="20"/>
                <w:color w:val="auto"/>
              </w:rPr>
            </w:pPr>
            <w:r>
              <w:rPr>
                <w:rFonts w:ascii="Arial" w:cs="Arial" w:eastAsia="Arial" w:hAnsi="Arial"/>
                <w:sz w:val="17"/>
                <w:szCs w:val="17"/>
                <w:color w:val="auto"/>
              </w:rPr>
              <w:t>Karen M. Rapp</w:t>
            </w:r>
          </w:p>
        </w:tc>
        <w:tc>
          <w:tcPr>
            <w:tcW w:w="9020" w:type="dxa"/>
            <w:vAlign w:val="bottom"/>
          </w:tcPr>
          <w:p>
            <w:pPr>
              <w:ind w:left="680"/>
              <w:spacing w:after="0"/>
              <w:rPr>
                <w:sz w:val="20"/>
                <w:szCs w:val="20"/>
                <w:color w:val="auto"/>
              </w:rPr>
            </w:pPr>
            <w:r>
              <w:rPr>
                <w:rFonts w:ascii="Arial" w:cs="Arial" w:eastAsia="Arial" w:hAnsi="Arial"/>
                <w:sz w:val="17"/>
                <w:szCs w:val="17"/>
                <w:color w:val="auto"/>
              </w:rPr>
              <w:t>Former Chief Financial Officer of National Instruments and former Senior Vice President of Corporate</w:t>
            </w:r>
          </w:p>
        </w:tc>
      </w:tr>
      <w:tr>
        <w:trPr>
          <w:trHeight w:val="229"/>
        </w:trPr>
        <w:tc>
          <w:tcPr>
            <w:tcW w:w="2220" w:type="dxa"/>
            <w:vAlign w:val="bottom"/>
          </w:tcPr>
          <w:p>
            <w:pPr>
              <w:spacing w:after="0"/>
              <w:rPr>
                <w:sz w:val="19"/>
                <w:szCs w:val="19"/>
                <w:color w:val="auto"/>
              </w:rPr>
            </w:pPr>
          </w:p>
        </w:tc>
        <w:tc>
          <w:tcPr>
            <w:tcW w:w="9020" w:type="dxa"/>
            <w:vAlign w:val="bottom"/>
          </w:tcPr>
          <w:p>
            <w:pPr>
              <w:ind w:left="680"/>
              <w:spacing w:after="0"/>
              <w:rPr>
                <w:sz w:val="20"/>
                <w:szCs w:val="20"/>
                <w:color w:val="auto"/>
              </w:rPr>
            </w:pPr>
            <w:r>
              <w:rPr>
                <w:rFonts w:ascii="Arial" w:cs="Arial" w:eastAsia="Arial" w:hAnsi="Arial"/>
                <w:sz w:val="17"/>
                <w:szCs w:val="17"/>
                <w:color w:val="auto"/>
              </w:rPr>
              <w:t>Development of NXP Semiconductors; finance, technology, and public-company board experience.</w:t>
            </w:r>
          </w:p>
        </w:tc>
      </w:tr>
      <w:tr>
        <w:trPr>
          <w:trHeight w:val="22"/>
        </w:trPr>
        <w:tc>
          <w:tcPr>
            <w:tcW w:w="2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17"/>
        </w:trPr>
        <w:tc>
          <w:tcPr>
            <w:tcW w:w="2220" w:type="dxa"/>
            <w:vAlign w:val="bottom"/>
            <w:shd w:val="clear" w:color="auto" w:fill="E6E6E6"/>
          </w:tcPr>
          <w:p>
            <w:pPr>
              <w:ind w:left="40"/>
              <w:spacing w:after="0"/>
              <w:rPr>
                <w:sz w:val="20"/>
                <w:szCs w:val="20"/>
                <w:color w:val="auto"/>
              </w:rPr>
            </w:pPr>
            <w:r>
              <w:rPr>
                <w:rFonts w:ascii="Arial" w:cs="Arial" w:eastAsia="Arial" w:hAnsi="Arial"/>
                <w:sz w:val="17"/>
                <w:szCs w:val="17"/>
                <w:color w:val="auto"/>
              </w:rPr>
              <w:t>Nina L. Richardson</w:t>
            </w:r>
          </w:p>
        </w:tc>
        <w:tc>
          <w:tcPr>
            <w:tcW w:w="9020" w:type="dxa"/>
            <w:vAlign w:val="bottom"/>
            <w:shd w:val="clear" w:color="auto" w:fill="E6E6E6"/>
          </w:tcPr>
          <w:p>
            <w:pPr>
              <w:ind w:left="680"/>
              <w:spacing w:after="0"/>
              <w:rPr>
                <w:sz w:val="20"/>
                <w:szCs w:val="20"/>
                <w:color w:val="auto"/>
              </w:rPr>
            </w:pPr>
            <w:r>
              <w:rPr>
                <w:rFonts w:ascii="Arial" w:cs="Arial" w:eastAsia="Arial" w:hAnsi="Arial"/>
                <w:sz w:val="17"/>
                <w:szCs w:val="17"/>
                <w:color w:val="auto"/>
              </w:rPr>
              <w:t>Former Chief Operating Officer of GoPro and former executive at Flex; engineering, manufacturing, supply-</w:t>
            </w:r>
          </w:p>
        </w:tc>
      </w:tr>
      <w:tr>
        <w:trPr>
          <w:trHeight w:val="229"/>
        </w:trPr>
        <w:tc>
          <w:tcPr>
            <w:tcW w:w="2220" w:type="dxa"/>
            <w:vAlign w:val="bottom"/>
            <w:shd w:val="clear" w:color="auto" w:fill="E6E6E6"/>
          </w:tcPr>
          <w:p>
            <w:pPr>
              <w:spacing w:after="0"/>
              <w:rPr>
                <w:sz w:val="19"/>
                <w:szCs w:val="19"/>
                <w:color w:val="auto"/>
              </w:rPr>
            </w:pPr>
          </w:p>
        </w:tc>
        <w:tc>
          <w:tcPr>
            <w:tcW w:w="9020" w:type="dxa"/>
            <w:vAlign w:val="bottom"/>
            <w:shd w:val="clear" w:color="auto" w:fill="E6E6E6"/>
          </w:tcPr>
          <w:p>
            <w:pPr>
              <w:ind w:left="680"/>
              <w:spacing w:after="0"/>
              <w:rPr>
                <w:sz w:val="20"/>
                <w:szCs w:val="20"/>
                <w:color w:val="auto"/>
              </w:rPr>
            </w:pPr>
            <w:r>
              <w:rPr>
                <w:rFonts w:ascii="Arial" w:cs="Arial" w:eastAsia="Arial" w:hAnsi="Arial"/>
                <w:sz w:val="17"/>
                <w:szCs w:val="17"/>
                <w:color w:val="auto"/>
              </w:rPr>
              <w:t>chain, operations, and public-company board experience.</w:t>
            </w:r>
          </w:p>
        </w:tc>
      </w:tr>
      <w:tr>
        <w:trPr>
          <w:trHeight w:val="22"/>
        </w:trPr>
        <w:tc>
          <w:tcPr>
            <w:tcW w:w="2220" w:type="dxa"/>
            <w:vAlign w:val="bottom"/>
            <w:shd w:val="clear" w:color="auto" w:fill="E6E6E6"/>
          </w:tcPr>
          <w:p>
            <w:pPr>
              <w:spacing w:after="0" w:line="20" w:lineRule="exact"/>
              <w:rPr>
                <w:sz w:val="1"/>
                <w:szCs w:val="1"/>
                <w:color w:val="auto"/>
              </w:rPr>
            </w:pPr>
          </w:p>
        </w:tc>
        <w:tc>
          <w:tcPr>
            <w:tcW w:w="9020" w:type="dxa"/>
            <w:vAlign w:val="bottom"/>
            <w:shd w:val="clear" w:color="auto" w:fill="E6E6E6"/>
          </w:tcPr>
          <w:p>
            <w:pPr>
              <w:spacing w:after="0" w:line="20" w:lineRule="exact"/>
              <w:rPr>
                <w:sz w:val="1"/>
                <w:szCs w:val="1"/>
                <w:color w:val="auto"/>
              </w:rPr>
            </w:pPr>
          </w:p>
        </w:tc>
      </w:tr>
    </w:tbl>
    <w:p>
      <w:pPr>
        <w:spacing w:after="0" w:line="178" w:lineRule="exact"/>
        <w:rPr>
          <w:sz w:val="20"/>
          <w:szCs w:val="20"/>
          <w:color w:val="auto"/>
        </w:rPr>
      </w:pPr>
    </w:p>
    <w:p>
      <w:pPr>
        <w:jc w:val="both"/>
        <w:ind w:right="320"/>
        <w:spacing w:after="0" w:line="259" w:lineRule="auto"/>
        <w:rPr>
          <w:sz w:val="20"/>
          <w:szCs w:val="20"/>
          <w:color w:val="auto"/>
        </w:rPr>
      </w:pPr>
      <w:r>
        <w:rPr>
          <w:rFonts w:ascii="Arial" w:cs="Arial" w:eastAsia="Arial" w:hAnsi="Arial"/>
          <w:sz w:val="17"/>
          <w:szCs w:val="17"/>
          <w:color w:val="auto"/>
        </w:rPr>
        <w:t>Each director has an interest in ratification of that director’s own prior election because it addresses uncertainty concerning the authorization of that election and continued service for the original term. The proposals do not separately approve compensation or particular Board decisions taken during that service.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27" w:name="page28"/>
    <w:bookmarkEnd w:id="27"/>
    <w:p>
      <w:pPr>
        <w:spacing w:after="0"/>
        <w:rPr>
          <w:sz w:val="20"/>
          <w:szCs w:val="20"/>
          <w:color w:val="auto"/>
        </w:rPr>
      </w:pPr>
      <w:r>
        <w:rPr>
          <w:rFonts w:ascii="Arial" w:cs="Arial" w:eastAsia="Arial" w:hAnsi="Arial"/>
          <w:sz w:val="21"/>
          <w:szCs w:val="21"/>
          <w:b w:val="1"/>
          <w:bCs w:val="1"/>
          <w:color w:val="2D53A6"/>
        </w:rPr>
        <w:t>Vote and recommendation</w:t>
      </w:r>
    </w:p>
    <w:p>
      <w:pPr>
        <w:spacing w:after="0" w:line="19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Each ratification requires the affirmative vote of a majority of the shares present online or represented by proxy and entitled to vote on that individual ratification. Abstentions have the same effect on approval as votes </w:t>
      </w:r>
      <w:r>
        <w:rPr>
          <w:rFonts w:ascii="Arial" w:cs="Arial" w:eastAsia="Arial" w:hAnsi="Arial"/>
          <w:sz w:val="17"/>
          <w:szCs w:val="17"/>
          <w:b w:val="1"/>
          <w:bCs w:val="1"/>
          <w:color w:val="auto"/>
        </w:rPr>
        <w:t>AGAINST</w:t>
      </w:r>
      <w:r>
        <w:rPr>
          <w:rFonts w:ascii="Arial" w:cs="Arial" w:eastAsia="Arial" w:hAnsi="Arial"/>
          <w:sz w:val="17"/>
          <w:szCs w:val="17"/>
          <w:color w:val="auto"/>
        </w:rPr>
        <w:t>. Broker non-votes are excluded from that item’s voting denominator. Each share has one vote on each separate historical ratification; votes cannot be accumulated or transferred among these proposals. See “Voting Requirements” for the distinction from cumulative voting and the vote standard in an ordinary election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a vote FOR each of Proposals 5(a) through 5(i).</w:t>
      </w:r>
    </w:p>
    <w:p>
      <w:pPr>
        <w:spacing w:after="0" w:line="196"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880"/>
          </w:cols>
          <w:pgMar w:left="320" w:top="555" w:right="699" w:bottom="1440" w:gutter="0" w:footer="0" w:header="0"/>
        </w:sectPr>
      </w:pPr>
    </w:p>
    <w:bookmarkStart w:id="28" w:name="page29"/>
    <w:bookmarkEnd w:id="28"/>
    <w:p>
      <w:pPr>
        <w:spacing w:after="0"/>
        <w:rPr>
          <w:sz w:val="20"/>
          <w:szCs w:val="20"/>
          <w:color w:val="auto"/>
        </w:rPr>
      </w:pPr>
      <w:r>
        <w:rPr>
          <w:rFonts w:ascii="Arial" w:cs="Arial" w:eastAsia="Arial" w:hAnsi="Arial"/>
          <w:sz w:val="24"/>
          <w:szCs w:val="24"/>
          <w:b w:val="1"/>
          <w:bCs w:val="1"/>
          <w:color w:val="auto"/>
        </w:rPr>
        <w:t>Proposal 6: Adjournment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1374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60"/>
          </w:cols>
          <w:pgMar w:left="320" w:top="559" w:right="419" w:bottom="1440" w:gutter="0" w:footer="0" w:header="0"/>
        </w:sectPr>
      </w:pPr>
    </w:p>
    <w:p>
      <w:pPr>
        <w:spacing w:after="0" w:line="32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ask stockholders to approve one or more adjournments of the Special Meeting, if necessary or appropriate, to solicit additional proxies for one or more ratification proposals or to obtain a quorum. This authority would permit additional solicitation before the polls close on the affected proposals. An adjournment may delay a final determination on those proposals.</w:t>
      </w:r>
    </w:p>
    <w:p>
      <w:pPr>
        <w:spacing w:after="0" w:line="14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Approval of this proposal does not approve any ratification or authorize additional substantive business. The Special Meeting’s business is limited to the purposes stated in the notice. Stockholders may vote AGAINST an adjournment even if they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one or more ratifications, or vice versa.</w:t>
      </w:r>
    </w:p>
    <w:p>
      <w:pPr>
        <w:spacing w:after="0" w:line="34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 xml:space="preserve">Approval requires more votes </w:t>
      </w:r>
      <w:r>
        <w:rPr>
          <w:rFonts w:ascii="Arial" w:cs="Arial" w:eastAsia="Arial" w:hAnsi="Arial"/>
          <w:sz w:val="17"/>
          <w:szCs w:val="17"/>
          <w:b w:val="1"/>
          <w:bCs w:val="1"/>
          <w:color w:val="auto"/>
        </w:rPr>
        <w:t>FOR</w:t>
      </w:r>
      <w:r>
        <w:rPr>
          <w:rFonts w:ascii="Arial" w:cs="Arial" w:eastAsia="Arial" w:hAnsi="Arial"/>
          <w:sz w:val="17"/>
          <w:szCs w:val="17"/>
          <w:color w:val="auto"/>
        </w:rPr>
        <w:t xml:space="preserve"> than </w:t>
      </w:r>
      <w:r>
        <w:rPr>
          <w:rFonts w:ascii="Arial" w:cs="Arial" w:eastAsia="Arial" w:hAnsi="Arial"/>
          <w:sz w:val="17"/>
          <w:szCs w:val="17"/>
          <w:b w:val="1"/>
          <w:bCs w:val="1"/>
          <w:color w:val="auto"/>
        </w:rPr>
        <w:t>AGAINST</w:t>
      </w:r>
      <w:r>
        <w:rPr>
          <w:rFonts w:ascii="Arial" w:cs="Arial" w:eastAsia="Arial" w:hAnsi="Arial"/>
          <w:sz w:val="17"/>
          <w:szCs w:val="17"/>
          <w:color w:val="auto"/>
        </w:rPr>
        <w:t>. Abstentions and broker non-votes have no effect on the outcome. Our bylaws separately provide authority to adjourn in the absence of a quorum subject to applicable law. Any adjournment will be subject to the applicable notice and record-date requirements. Proposal 6 is routine. Brokers may vote shares on this proposal without instructions, and we do not expect broker non-votes.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a vote FOR Proposal 6.</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60"/>
          </w:cols>
          <w:pgMar w:left="320" w:top="559" w:right="4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31"/>
          <w:szCs w:val="31"/>
          <w:b w:val="1"/>
          <w:bCs w:val="1"/>
          <w:color w:val="FFFFFF"/>
        </w:rPr>
        <w:t>Security Ownership and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-224155</wp:posOffset>
            </wp:positionV>
            <wp:extent cx="7137400" cy="264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7400" cy="26416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Security ownership</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following table sets forth beneficial ownership of our common stock as of October 23, 2026 by each person known to own more than 5%, each director, each named executive officer and all directors and executive officers as a group. Except as otherwise indicated, the address is c/o Cohu, Inc., 17087 Via Del Campo, San Diego, California 92127-1711.</w:t>
      </w:r>
    </w:p>
    <w:p>
      <w:pPr>
        <w:spacing w:after="0" w:line="14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Beneficial ownership is determined under SEC rules and includes shares over which a person has voting or investment power and shares the person has a right to acquire within 60 days. Shares subject to such acquisition rights are treated as outstanding for computing that person’s percentage, but not another person’s percentage. Percentages otherwise are based on 47,346,050 common shares outstanding as of October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95250</wp:posOffset>
            </wp:positionV>
            <wp:extent cx="33655" cy="4051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0513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95250</wp:posOffset>
            </wp:positionV>
            <wp:extent cx="33655" cy="4051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05130"/>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95250</wp:posOffset>
            </wp:positionV>
            <wp:extent cx="33655" cy="405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0513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95250</wp:posOffset>
            </wp:positionV>
            <wp:extent cx="33655" cy="4051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05130"/>
                    </a:xfrm>
                    <a:prstGeom prst="rect">
                      <a:avLst/>
                    </a:prstGeom>
                    <a:noFill/>
                  </pic:spPr>
                </pic:pic>
              </a:graphicData>
            </a:graphic>
          </wp:anchor>
        </w:drawing>
        <w:drawing>
          <wp:anchor simplePos="0" relativeHeight="251657728" behindDoc="1" locked="0" layoutInCell="0" allowOverlap="1">
            <wp:simplePos x="0" y="0"/>
            <wp:positionH relativeFrom="column">
              <wp:posOffset>6310630</wp:posOffset>
            </wp:positionH>
            <wp:positionV relativeFrom="paragraph">
              <wp:posOffset>95250</wp:posOffset>
            </wp:positionV>
            <wp:extent cx="33655" cy="405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05130"/>
                    </a:xfrm>
                    <a:prstGeom prst="rect">
                      <a:avLst/>
                    </a:prstGeom>
                    <a:noFill/>
                  </pic:spPr>
                </pic:pic>
              </a:graphicData>
            </a:graphic>
          </wp:anchor>
        </w:drawing>
        <w:drawing>
          <wp:anchor simplePos="0" relativeHeight="251657728" behindDoc="1" locked="0" layoutInCell="0" allowOverlap="1">
            <wp:simplePos x="0" y="0"/>
            <wp:positionH relativeFrom="column">
              <wp:posOffset>7118985</wp:posOffset>
            </wp:positionH>
            <wp:positionV relativeFrom="paragraph">
              <wp:posOffset>95250</wp:posOffset>
            </wp:positionV>
            <wp:extent cx="33655" cy="405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05130"/>
                    </a:xfrm>
                    <a:prstGeom prst="rect">
                      <a:avLst/>
                    </a:prstGeom>
                    <a:noFill/>
                  </pic:spPr>
                </pic:pic>
              </a:graphicData>
            </a:graphic>
          </wp:anchor>
        </w:drawing>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180" w:type="dxa"/>
            <w:vAlign w:val="bottom"/>
            <w:tcBorders>
              <w:left w:val="single" w:sz="8" w:color="2D53A6"/>
              <w:right w:val="single" w:sz="8" w:color="2D53A6"/>
            </w:tcBorders>
            <w:shd w:val="clear" w:color="auto" w:fill="2D53A6"/>
          </w:tcPr>
          <w:p>
            <w:pPr>
              <w:spacing w:after="0"/>
              <w:rPr>
                <w:sz w:val="16"/>
                <w:szCs w:val="16"/>
                <w:color w:val="auto"/>
              </w:rPr>
            </w:pPr>
          </w:p>
        </w:tc>
        <w:tc>
          <w:tcPr>
            <w:tcW w:w="180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Beneficially</w:t>
            </w:r>
          </w:p>
        </w:tc>
        <w:tc>
          <w:tcPr>
            <w:tcW w:w="1780" w:type="dxa"/>
            <w:vAlign w:val="bottom"/>
            <w:tcBorders>
              <w:right w:val="single" w:sz="8" w:color="2D53A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Common</w:t>
            </w:r>
          </w:p>
        </w:tc>
        <w:tc>
          <w:tcPr>
            <w:tcW w:w="1220" w:type="dxa"/>
            <w:vAlign w:val="bottom"/>
            <w:tcBorders>
              <w:right w:val="single" w:sz="8" w:color="2D53A6"/>
            </w:tcBorders>
            <w:shd w:val="clear" w:color="auto" w:fill="2D53A6"/>
          </w:tcPr>
          <w:p>
            <w:pPr>
              <w:spacing w:after="0"/>
              <w:rPr>
                <w:sz w:val="16"/>
                <w:szCs w:val="16"/>
                <w:color w:val="auto"/>
              </w:rPr>
            </w:pPr>
          </w:p>
        </w:tc>
        <w:tc>
          <w:tcPr>
            <w:tcW w:w="1280" w:type="dxa"/>
            <w:vAlign w:val="bottom"/>
            <w:tcBorders>
              <w:right w:val="single" w:sz="8" w:color="2D53A6"/>
            </w:tcBorders>
            <w:vMerge w:val="restart"/>
            <w:shd w:val="clear" w:color="auto" w:fill="2D53A6"/>
          </w:tcPr>
          <w:p>
            <w:pPr>
              <w:jc w:val="right"/>
              <w:ind w:right="173"/>
              <w:spacing w:after="0"/>
              <w:rPr>
                <w:sz w:val="20"/>
                <w:szCs w:val="20"/>
                <w:color w:val="auto"/>
              </w:rPr>
            </w:pPr>
            <w:r>
              <w:rPr>
                <w:rFonts w:ascii="Arial" w:cs="Arial" w:eastAsia="Arial" w:hAnsi="Arial"/>
                <w:sz w:val="17"/>
                <w:szCs w:val="17"/>
                <w:b w:val="1"/>
                <w:bCs w:val="1"/>
                <w:color w:val="FFFFFF"/>
              </w:rPr>
              <w:t>Percent of</w:t>
            </w:r>
          </w:p>
        </w:tc>
        <w:tc>
          <w:tcPr>
            <w:tcW w:w="0" w:type="dxa"/>
            <w:vAlign w:val="bottom"/>
          </w:tcPr>
          <w:p>
            <w:pPr>
              <w:spacing w:after="0"/>
              <w:rPr>
                <w:sz w:val="1"/>
                <w:szCs w:val="1"/>
                <w:color w:val="auto"/>
              </w:rPr>
            </w:pPr>
          </w:p>
        </w:tc>
      </w:tr>
      <w:tr>
        <w:trPr>
          <w:trHeight w:val="91"/>
        </w:trPr>
        <w:tc>
          <w:tcPr>
            <w:tcW w:w="5180" w:type="dxa"/>
            <w:vAlign w:val="bottom"/>
            <w:tcBorders>
              <w:left w:val="single" w:sz="8" w:color="2D53A6"/>
              <w:right w:val="single" w:sz="8" w:color="2D53A6"/>
            </w:tcBorders>
            <w:vMerge w:val="restart"/>
            <w:shd w:val="clear" w:color="auto" w:fill="2D53A6"/>
          </w:tcPr>
          <w:p>
            <w:pPr>
              <w:ind w:left="20"/>
              <w:spacing w:after="0"/>
              <w:rPr>
                <w:sz w:val="20"/>
                <w:szCs w:val="20"/>
                <w:color w:val="auto"/>
              </w:rPr>
            </w:pPr>
            <w:r>
              <w:rPr>
                <w:rFonts w:ascii="Arial" w:cs="Arial" w:eastAsia="Arial" w:hAnsi="Arial"/>
                <w:sz w:val="17"/>
                <w:szCs w:val="17"/>
                <w:b w:val="1"/>
                <w:bCs w:val="1"/>
                <w:color w:val="FFFFFF"/>
              </w:rPr>
              <w:t>Name and address of beneficial owner</w:t>
            </w:r>
          </w:p>
        </w:tc>
        <w:tc>
          <w:tcPr>
            <w:tcW w:w="1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owned common</w:t>
            </w:r>
          </w:p>
        </w:tc>
        <w:tc>
          <w:tcPr>
            <w:tcW w:w="1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stock</w:t>
            </w:r>
          </w:p>
        </w:tc>
        <w:tc>
          <w:tcPr>
            <w:tcW w:w="1220" w:type="dxa"/>
            <w:vAlign w:val="bottom"/>
            <w:tcBorders>
              <w:right w:val="single" w:sz="8" w:color="2D53A6"/>
            </w:tcBorders>
            <w:vMerge w:val="restart"/>
            <w:shd w:val="clear" w:color="auto" w:fill="2D53A6"/>
          </w:tcPr>
          <w:p>
            <w:pPr>
              <w:jc w:val="right"/>
              <w:ind w:right="333"/>
              <w:spacing w:after="0"/>
              <w:rPr>
                <w:sz w:val="20"/>
                <w:szCs w:val="20"/>
                <w:color w:val="auto"/>
              </w:rPr>
            </w:pPr>
            <w:r>
              <w:rPr>
                <w:rFonts w:ascii="Arial" w:cs="Arial" w:eastAsia="Arial" w:hAnsi="Arial"/>
                <w:sz w:val="17"/>
                <w:szCs w:val="17"/>
                <w:b w:val="1"/>
                <w:bCs w:val="1"/>
                <w:color w:val="FFFFFF"/>
              </w:rPr>
              <w:t>Total</w:t>
            </w:r>
          </w:p>
        </w:tc>
        <w:tc>
          <w:tcPr>
            <w:tcW w:w="128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5180" w:type="dxa"/>
            <w:vAlign w:val="bottom"/>
            <w:tcBorders>
              <w:left w:val="single" w:sz="8" w:color="2D53A6"/>
              <w:right w:val="single" w:sz="8" w:color="2D53A6"/>
            </w:tcBorders>
            <w:vMerge w:val="continue"/>
            <w:shd w:val="clear" w:color="auto" w:fill="2D53A6"/>
          </w:tcPr>
          <w:p>
            <w:pPr>
              <w:spacing w:after="0"/>
              <w:rPr>
                <w:sz w:val="9"/>
                <w:szCs w:val="9"/>
                <w:color w:val="auto"/>
              </w:rPr>
            </w:pPr>
          </w:p>
        </w:tc>
        <w:tc>
          <w:tcPr>
            <w:tcW w:w="1800" w:type="dxa"/>
            <w:vAlign w:val="bottom"/>
            <w:tcBorders>
              <w:right w:val="single" w:sz="8" w:color="2D53A6"/>
            </w:tcBorders>
            <w:vMerge w:val="continue"/>
            <w:shd w:val="clear" w:color="auto" w:fill="2D53A6"/>
          </w:tcPr>
          <w:p>
            <w:pPr>
              <w:spacing w:after="0"/>
              <w:rPr>
                <w:sz w:val="9"/>
                <w:szCs w:val="9"/>
                <w:color w:val="auto"/>
              </w:rPr>
            </w:pPr>
          </w:p>
        </w:tc>
        <w:tc>
          <w:tcPr>
            <w:tcW w:w="1780" w:type="dxa"/>
            <w:vAlign w:val="bottom"/>
            <w:tcBorders>
              <w:right w:val="single" w:sz="8" w:color="2D53A6"/>
            </w:tcBorders>
            <w:vMerge w:val="continue"/>
            <w:shd w:val="clear" w:color="auto" w:fill="2D53A6"/>
          </w:tcPr>
          <w:p>
            <w:pPr>
              <w:spacing w:after="0"/>
              <w:rPr>
                <w:sz w:val="9"/>
                <w:szCs w:val="9"/>
                <w:color w:val="auto"/>
              </w:rPr>
            </w:pPr>
          </w:p>
        </w:tc>
        <w:tc>
          <w:tcPr>
            <w:tcW w:w="1220" w:type="dxa"/>
            <w:vAlign w:val="bottom"/>
            <w:tcBorders>
              <w:right w:val="single" w:sz="8" w:color="2D53A6"/>
            </w:tcBorders>
            <w:vMerge w:val="continue"/>
            <w:shd w:val="clear" w:color="auto" w:fill="2D53A6"/>
          </w:tcPr>
          <w:p>
            <w:pPr>
              <w:spacing w:after="0"/>
              <w:rPr>
                <w:sz w:val="9"/>
                <w:szCs w:val="9"/>
                <w:color w:val="auto"/>
              </w:rPr>
            </w:pPr>
          </w:p>
        </w:tc>
        <w:tc>
          <w:tcPr>
            <w:tcW w:w="1280" w:type="dxa"/>
            <w:vAlign w:val="bottom"/>
            <w:tcBorders>
              <w:right w:val="single" w:sz="8" w:color="2D53A6"/>
            </w:tcBorders>
            <w:vMerge w:val="restart"/>
            <w:shd w:val="clear" w:color="auto" w:fill="2D53A6"/>
          </w:tcPr>
          <w:p>
            <w:pPr>
              <w:jc w:val="right"/>
              <w:ind w:right="253"/>
              <w:spacing w:after="0"/>
              <w:rPr>
                <w:sz w:val="20"/>
                <w:szCs w:val="20"/>
                <w:color w:val="auto"/>
              </w:rPr>
            </w:pPr>
            <w:r>
              <w:rPr>
                <w:rFonts w:ascii="Arial" w:cs="Arial" w:eastAsia="Arial" w:hAnsi="Arial"/>
                <w:sz w:val="17"/>
                <w:szCs w:val="17"/>
                <w:b w:val="1"/>
                <w:bCs w:val="1"/>
                <w:color w:val="FFFFFF"/>
              </w:rPr>
              <w:t xml:space="preserve">Class </w:t>
            </w:r>
            <w:r>
              <w:rPr>
                <w:rFonts w:ascii="Arial" w:cs="Arial" w:eastAsia="Arial" w:hAnsi="Arial"/>
                <w:sz w:val="14"/>
                <w:szCs w:val="14"/>
                <w:b w:val="1"/>
                <w:bCs w:val="1"/>
                <w:color w:val="FFFFFF"/>
              </w:rPr>
              <w:t>(2)</w:t>
            </w:r>
          </w:p>
        </w:tc>
        <w:tc>
          <w:tcPr>
            <w:tcW w:w="0" w:type="dxa"/>
            <w:vAlign w:val="bottom"/>
          </w:tcPr>
          <w:p>
            <w:pPr>
              <w:spacing w:after="0"/>
              <w:rPr>
                <w:sz w:val="1"/>
                <w:szCs w:val="1"/>
                <w:color w:val="auto"/>
              </w:rPr>
            </w:pPr>
          </w:p>
        </w:tc>
      </w:tr>
      <w:tr>
        <w:trPr>
          <w:trHeight w:val="135"/>
        </w:trPr>
        <w:tc>
          <w:tcPr>
            <w:tcW w:w="5180" w:type="dxa"/>
            <w:vAlign w:val="bottom"/>
            <w:tcBorders>
              <w:left w:val="single" w:sz="8" w:color="2D53A6"/>
              <w:right w:val="single" w:sz="8" w:color="2D53A6"/>
            </w:tcBorders>
            <w:shd w:val="clear" w:color="auto" w:fill="2D53A6"/>
          </w:tcPr>
          <w:p>
            <w:pPr>
              <w:spacing w:after="0"/>
              <w:rPr>
                <w:sz w:val="11"/>
                <w:szCs w:val="11"/>
                <w:color w:val="auto"/>
              </w:rPr>
            </w:pPr>
          </w:p>
        </w:tc>
        <w:tc>
          <w:tcPr>
            <w:tcW w:w="180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stock</w:t>
            </w:r>
          </w:p>
        </w:tc>
        <w:tc>
          <w:tcPr>
            <w:tcW w:w="1780" w:type="dxa"/>
            <w:vAlign w:val="bottom"/>
            <w:tcBorders>
              <w:right w:val="single" w:sz="8" w:color="2D53A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 xml:space="preserve">equivalents </w:t>
            </w:r>
            <w:r>
              <w:rPr>
                <w:rFonts w:ascii="Arial" w:cs="Arial" w:eastAsia="Arial" w:hAnsi="Arial"/>
                <w:sz w:val="14"/>
                <w:szCs w:val="14"/>
                <w:b w:val="1"/>
                <w:bCs w:val="1"/>
                <w:color w:val="FFFFFF"/>
              </w:rPr>
              <w:t>(1)</w:t>
            </w:r>
          </w:p>
        </w:tc>
        <w:tc>
          <w:tcPr>
            <w:tcW w:w="1220" w:type="dxa"/>
            <w:vAlign w:val="bottom"/>
            <w:tcBorders>
              <w:right w:val="single" w:sz="8" w:color="2D53A6"/>
            </w:tcBorders>
            <w:shd w:val="clear" w:color="auto" w:fill="2D53A6"/>
          </w:tcPr>
          <w:p>
            <w:pPr>
              <w:spacing w:after="0"/>
              <w:rPr>
                <w:sz w:val="11"/>
                <w:szCs w:val="11"/>
                <w:color w:val="auto"/>
              </w:rPr>
            </w:pPr>
          </w:p>
        </w:tc>
        <w:tc>
          <w:tcPr>
            <w:tcW w:w="1280" w:type="dxa"/>
            <w:vAlign w:val="bottom"/>
            <w:tcBorders>
              <w:right w:val="single" w:sz="8" w:color="2D53A6"/>
            </w:tcBorders>
            <w:vMerge w:val="continue"/>
            <w:shd w:val="clear" w:color="auto" w:fill="2D53A6"/>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5180" w:type="dxa"/>
            <w:vAlign w:val="bottom"/>
            <w:tcBorders>
              <w:left w:val="single" w:sz="8" w:color="2D53A6"/>
              <w:right w:val="single" w:sz="8" w:color="2D53A6"/>
            </w:tcBorders>
            <w:shd w:val="clear" w:color="auto" w:fill="2D53A6"/>
          </w:tcPr>
          <w:p>
            <w:pPr>
              <w:spacing w:after="0"/>
              <w:rPr>
                <w:sz w:val="7"/>
                <w:szCs w:val="7"/>
                <w:color w:val="auto"/>
              </w:rPr>
            </w:pPr>
          </w:p>
        </w:tc>
        <w:tc>
          <w:tcPr>
            <w:tcW w:w="1800" w:type="dxa"/>
            <w:vAlign w:val="bottom"/>
            <w:tcBorders>
              <w:right w:val="single" w:sz="8" w:color="2D53A6"/>
            </w:tcBorders>
            <w:vMerge w:val="continue"/>
            <w:shd w:val="clear" w:color="auto" w:fill="2D53A6"/>
          </w:tcPr>
          <w:p>
            <w:pPr>
              <w:spacing w:after="0"/>
              <w:rPr>
                <w:sz w:val="7"/>
                <w:szCs w:val="7"/>
                <w:color w:val="auto"/>
              </w:rPr>
            </w:pPr>
          </w:p>
        </w:tc>
        <w:tc>
          <w:tcPr>
            <w:tcW w:w="1780" w:type="dxa"/>
            <w:vAlign w:val="bottom"/>
            <w:tcBorders>
              <w:right w:val="single" w:sz="8" w:color="2D53A6"/>
            </w:tcBorders>
            <w:vMerge w:val="continue"/>
            <w:shd w:val="clear" w:color="auto" w:fill="2D53A6"/>
          </w:tcPr>
          <w:p>
            <w:pPr>
              <w:spacing w:after="0"/>
              <w:rPr>
                <w:sz w:val="7"/>
                <w:szCs w:val="7"/>
                <w:color w:val="auto"/>
              </w:rPr>
            </w:pPr>
          </w:p>
        </w:tc>
        <w:tc>
          <w:tcPr>
            <w:tcW w:w="1220" w:type="dxa"/>
            <w:vAlign w:val="bottom"/>
            <w:tcBorders>
              <w:right w:val="single" w:sz="8" w:color="2D53A6"/>
            </w:tcBorders>
            <w:shd w:val="clear" w:color="auto" w:fill="2D53A6"/>
          </w:tcPr>
          <w:p>
            <w:pPr>
              <w:spacing w:after="0"/>
              <w:rPr>
                <w:sz w:val="7"/>
                <w:szCs w:val="7"/>
                <w:color w:val="auto"/>
              </w:rPr>
            </w:pPr>
          </w:p>
        </w:tc>
        <w:tc>
          <w:tcPr>
            <w:tcW w:w="1280" w:type="dxa"/>
            <w:vAlign w:val="bottom"/>
            <w:tcBorders>
              <w:right w:val="single" w:sz="8" w:color="2D53A6"/>
            </w:tcBorders>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5180" w:type="dxa"/>
            <w:vAlign w:val="bottom"/>
            <w:tcBorders>
              <w:left w:val="single" w:sz="8" w:color="3D85C6"/>
              <w:right w:val="single" w:sz="8" w:color="3D85C6"/>
            </w:tcBorders>
          </w:tcPr>
          <w:p>
            <w:pPr>
              <w:ind w:left="20"/>
              <w:spacing w:after="0" w:line="178" w:lineRule="exact"/>
              <w:rPr>
                <w:sz w:val="20"/>
                <w:szCs w:val="20"/>
                <w:color w:val="auto"/>
              </w:rPr>
            </w:pPr>
            <w:r>
              <w:rPr>
                <w:rFonts w:ascii="Arial" w:cs="Arial" w:eastAsia="Arial" w:hAnsi="Arial"/>
                <w:sz w:val="17"/>
                <w:szCs w:val="17"/>
                <w:color w:val="auto"/>
              </w:rPr>
              <w:t xml:space="preserve">BlackRock, Inc. </w:t>
            </w:r>
            <w:r>
              <w:rPr>
                <w:rFonts w:ascii="Arial" w:cs="Arial" w:eastAsia="Arial" w:hAnsi="Arial"/>
                <w:sz w:val="14"/>
                <w:szCs w:val="14"/>
                <w:color w:val="auto"/>
              </w:rPr>
              <w:t>(3)</w:t>
            </w:r>
          </w:p>
        </w:tc>
        <w:tc>
          <w:tcPr>
            <w:tcW w:w="1800" w:type="dxa"/>
            <w:vAlign w:val="bottom"/>
            <w:tcBorders>
              <w:right w:val="single" w:sz="8" w:color="3D85C6"/>
            </w:tcBorders>
          </w:tcPr>
          <w:p>
            <w:pPr>
              <w:jc w:val="right"/>
              <w:ind w:right="13"/>
              <w:spacing w:after="0" w:line="178" w:lineRule="exact"/>
              <w:rPr>
                <w:sz w:val="20"/>
                <w:szCs w:val="20"/>
                <w:color w:val="auto"/>
              </w:rPr>
            </w:pPr>
            <w:r>
              <w:rPr>
                <w:rFonts w:ascii="Arial" w:cs="Arial" w:eastAsia="Arial" w:hAnsi="Arial"/>
                <w:sz w:val="17"/>
                <w:szCs w:val="17"/>
                <w:color w:val="auto"/>
              </w:rPr>
              <w:t>6,848,670</w:t>
            </w:r>
          </w:p>
        </w:tc>
        <w:tc>
          <w:tcPr>
            <w:tcW w:w="1780" w:type="dxa"/>
            <w:vAlign w:val="bottom"/>
            <w:tcBorders>
              <w:right w:val="single" w:sz="8" w:color="3D85C6"/>
            </w:tcBorders>
          </w:tcPr>
          <w:p>
            <w:pPr>
              <w:jc w:val="right"/>
              <w:ind w:right="13"/>
              <w:spacing w:after="0" w:line="178"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3D85C6"/>
            </w:tcBorders>
          </w:tcPr>
          <w:p>
            <w:pPr>
              <w:jc w:val="right"/>
              <w:ind w:right="33"/>
              <w:spacing w:after="0" w:line="178" w:lineRule="exact"/>
              <w:rPr>
                <w:sz w:val="20"/>
                <w:szCs w:val="20"/>
                <w:color w:val="auto"/>
              </w:rPr>
            </w:pPr>
            <w:r>
              <w:rPr>
                <w:rFonts w:ascii="Arial" w:cs="Arial" w:eastAsia="Arial" w:hAnsi="Arial"/>
                <w:sz w:val="17"/>
                <w:szCs w:val="17"/>
                <w:color w:val="auto"/>
              </w:rPr>
              <w:t>6,848,670</w:t>
            </w:r>
          </w:p>
        </w:tc>
        <w:tc>
          <w:tcPr>
            <w:tcW w:w="1280" w:type="dxa"/>
            <w:vAlign w:val="bottom"/>
            <w:tcBorders>
              <w:right w:val="single" w:sz="8" w:color="3D85C6"/>
            </w:tcBorders>
          </w:tcPr>
          <w:p>
            <w:pPr>
              <w:jc w:val="right"/>
              <w:spacing w:after="0" w:line="178" w:lineRule="exact"/>
              <w:rPr>
                <w:sz w:val="20"/>
                <w:szCs w:val="20"/>
                <w:color w:val="auto"/>
              </w:rPr>
            </w:pPr>
            <w:r>
              <w:rPr>
                <w:rFonts w:ascii="Arial" w:cs="Arial" w:eastAsia="Arial" w:hAnsi="Arial"/>
                <w:sz w:val="17"/>
                <w:szCs w:val="17"/>
                <w:color w:val="auto"/>
              </w:rPr>
              <w:t>14.47%</w:t>
            </w:r>
          </w:p>
        </w:tc>
        <w:tc>
          <w:tcPr>
            <w:tcW w:w="0" w:type="dxa"/>
            <w:vAlign w:val="bottom"/>
          </w:tcPr>
          <w:p>
            <w:pPr>
              <w:spacing w:after="0"/>
              <w:rPr>
                <w:sz w:val="1"/>
                <w:szCs w:val="1"/>
                <w:color w:val="auto"/>
              </w:rPr>
            </w:pPr>
          </w:p>
        </w:tc>
      </w:tr>
      <w:tr>
        <w:trPr>
          <w:trHeight w:val="212"/>
        </w:trPr>
        <w:tc>
          <w:tcPr>
            <w:tcW w:w="5180" w:type="dxa"/>
            <w:vAlign w:val="bottom"/>
            <w:tcBorders>
              <w:left w:val="single" w:sz="8" w:color="3D85C6"/>
              <w:bottom w:val="single" w:sz="8" w:color="3D85C6"/>
              <w:right w:val="single" w:sz="8" w:color="3D85C6"/>
            </w:tcBorders>
          </w:tcPr>
          <w:p>
            <w:pPr>
              <w:ind w:left="20"/>
              <w:spacing w:after="0"/>
              <w:rPr>
                <w:sz w:val="20"/>
                <w:szCs w:val="20"/>
                <w:color w:val="auto"/>
              </w:rPr>
            </w:pPr>
            <w:r>
              <w:rPr>
                <w:rFonts w:ascii="Arial" w:cs="Arial" w:eastAsia="Arial" w:hAnsi="Arial"/>
                <w:sz w:val="17"/>
                <w:szCs w:val="17"/>
                <w:color w:val="auto"/>
              </w:rPr>
              <w:t>55 East 52nd Street, New York, NY 10055</w:t>
            </w:r>
          </w:p>
        </w:tc>
        <w:tc>
          <w:tcPr>
            <w:tcW w:w="1800" w:type="dxa"/>
            <w:vAlign w:val="bottom"/>
            <w:tcBorders>
              <w:bottom w:val="single" w:sz="8" w:color="3D85C6"/>
              <w:right w:val="single" w:sz="8" w:color="3D85C6"/>
            </w:tcBorders>
          </w:tcPr>
          <w:p>
            <w:pPr>
              <w:spacing w:after="0"/>
              <w:rPr>
                <w:sz w:val="18"/>
                <w:szCs w:val="18"/>
                <w:color w:val="auto"/>
              </w:rPr>
            </w:pPr>
          </w:p>
        </w:tc>
        <w:tc>
          <w:tcPr>
            <w:tcW w:w="1780" w:type="dxa"/>
            <w:vAlign w:val="bottom"/>
            <w:tcBorders>
              <w:bottom w:val="single" w:sz="8" w:color="3D85C6"/>
              <w:right w:val="single" w:sz="8" w:color="3D85C6"/>
            </w:tcBorders>
          </w:tcPr>
          <w:p>
            <w:pPr>
              <w:spacing w:after="0"/>
              <w:rPr>
                <w:sz w:val="18"/>
                <w:szCs w:val="18"/>
                <w:color w:val="auto"/>
              </w:rPr>
            </w:pPr>
          </w:p>
        </w:tc>
        <w:tc>
          <w:tcPr>
            <w:tcW w:w="1220" w:type="dxa"/>
            <w:vAlign w:val="bottom"/>
            <w:tcBorders>
              <w:bottom w:val="single" w:sz="8" w:color="3D85C6"/>
              <w:right w:val="single" w:sz="8" w:color="3D85C6"/>
            </w:tcBorders>
          </w:tcPr>
          <w:p>
            <w:pPr>
              <w:spacing w:after="0"/>
              <w:rPr>
                <w:sz w:val="18"/>
                <w:szCs w:val="18"/>
                <w:color w:val="auto"/>
              </w:rPr>
            </w:pPr>
          </w:p>
        </w:tc>
        <w:tc>
          <w:tcPr>
            <w:tcW w:w="1280" w:type="dxa"/>
            <w:vAlign w:val="bottom"/>
            <w:tcBorders>
              <w:bottom w:val="single" w:sz="8" w:color="3D85C6"/>
              <w:right w:val="single" w:sz="8" w:color="3D85C6"/>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180" w:type="dxa"/>
            <w:vAlign w:val="bottom"/>
            <w:tcBorders>
              <w:left w:val="single" w:sz="8" w:color="3D85C6"/>
              <w:right w:val="single" w:sz="8" w:color="3D85C6"/>
            </w:tcBorders>
            <w:shd w:val="clear" w:color="auto" w:fill="E6E6E6"/>
          </w:tcPr>
          <w:p>
            <w:pPr>
              <w:ind w:left="20"/>
              <w:spacing w:after="0" w:line="172" w:lineRule="exact"/>
              <w:rPr>
                <w:sz w:val="20"/>
                <w:szCs w:val="20"/>
                <w:color w:val="auto"/>
              </w:rPr>
            </w:pPr>
            <w:r>
              <w:rPr>
                <w:rFonts w:ascii="Arial" w:cs="Arial" w:eastAsia="Arial" w:hAnsi="Arial"/>
                <w:sz w:val="17"/>
                <w:szCs w:val="17"/>
                <w:color w:val="auto"/>
              </w:rPr>
              <w:t xml:space="preserve">Capital World Investors </w:t>
            </w:r>
            <w:r>
              <w:rPr>
                <w:rFonts w:ascii="Arial" w:cs="Arial" w:eastAsia="Arial" w:hAnsi="Arial"/>
                <w:sz w:val="14"/>
                <w:szCs w:val="14"/>
                <w:color w:val="auto"/>
              </w:rPr>
              <w:t>(4)</w:t>
            </w:r>
          </w:p>
        </w:tc>
        <w:tc>
          <w:tcPr>
            <w:tcW w:w="1800" w:type="dxa"/>
            <w:vAlign w:val="bottom"/>
            <w:tcBorders>
              <w:right w:val="single" w:sz="8" w:color="3D85C6"/>
            </w:tcBorders>
            <w:shd w:val="clear" w:color="auto" w:fill="E6E6E6"/>
          </w:tcPr>
          <w:p>
            <w:pPr>
              <w:jc w:val="right"/>
              <w:ind w:right="13"/>
              <w:spacing w:after="0" w:line="172" w:lineRule="exact"/>
              <w:rPr>
                <w:sz w:val="20"/>
                <w:szCs w:val="20"/>
                <w:color w:val="auto"/>
              </w:rPr>
            </w:pPr>
            <w:r>
              <w:rPr>
                <w:rFonts w:ascii="Arial" w:cs="Arial" w:eastAsia="Arial" w:hAnsi="Arial"/>
                <w:sz w:val="17"/>
                <w:szCs w:val="17"/>
                <w:color w:val="auto"/>
              </w:rPr>
              <w:t>2,757,413</w:t>
            </w:r>
          </w:p>
        </w:tc>
        <w:tc>
          <w:tcPr>
            <w:tcW w:w="1780" w:type="dxa"/>
            <w:vAlign w:val="bottom"/>
            <w:tcBorders>
              <w:right w:val="single" w:sz="8" w:color="3D85C6"/>
            </w:tcBorders>
            <w:shd w:val="clear" w:color="auto" w:fill="E6E6E6"/>
          </w:tcPr>
          <w:p>
            <w:pPr>
              <w:jc w:val="right"/>
              <w:ind w:right="13"/>
              <w:spacing w:after="0" w:line="172"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3D85C6"/>
            </w:tcBorders>
            <w:shd w:val="clear" w:color="auto" w:fill="E6E6E6"/>
          </w:tcPr>
          <w:p>
            <w:pPr>
              <w:jc w:val="right"/>
              <w:ind w:right="33"/>
              <w:spacing w:after="0" w:line="172" w:lineRule="exact"/>
              <w:rPr>
                <w:sz w:val="20"/>
                <w:szCs w:val="20"/>
                <w:color w:val="auto"/>
              </w:rPr>
            </w:pPr>
            <w:r>
              <w:rPr>
                <w:rFonts w:ascii="Arial" w:cs="Arial" w:eastAsia="Arial" w:hAnsi="Arial"/>
                <w:sz w:val="17"/>
                <w:szCs w:val="17"/>
                <w:color w:val="auto"/>
              </w:rPr>
              <w:t>2,757,413</w:t>
            </w:r>
          </w:p>
        </w:tc>
        <w:tc>
          <w:tcPr>
            <w:tcW w:w="1280" w:type="dxa"/>
            <w:vAlign w:val="bottom"/>
            <w:tcBorders>
              <w:right w:val="single" w:sz="8" w:color="3D85C6"/>
            </w:tcBorders>
            <w:shd w:val="clear" w:color="auto" w:fill="E6E6E6"/>
          </w:tcPr>
          <w:p>
            <w:pPr>
              <w:jc w:val="right"/>
              <w:spacing w:after="0" w:line="172" w:lineRule="exact"/>
              <w:rPr>
                <w:sz w:val="20"/>
                <w:szCs w:val="20"/>
                <w:color w:val="auto"/>
              </w:rPr>
            </w:pPr>
            <w:r>
              <w:rPr>
                <w:rFonts w:ascii="Arial" w:cs="Arial" w:eastAsia="Arial" w:hAnsi="Arial"/>
                <w:sz w:val="17"/>
                <w:szCs w:val="17"/>
                <w:color w:val="auto"/>
              </w:rPr>
              <w:t>5.82%</w:t>
            </w:r>
          </w:p>
        </w:tc>
        <w:tc>
          <w:tcPr>
            <w:tcW w:w="0" w:type="dxa"/>
            <w:vAlign w:val="bottom"/>
          </w:tcPr>
          <w:p>
            <w:pPr>
              <w:spacing w:after="0"/>
              <w:rPr>
                <w:sz w:val="1"/>
                <w:szCs w:val="1"/>
                <w:color w:val="auto"/>
              </w:rPr>
            </w:pPr>
          </w:p>
        </w:tc>
      </w:tr>
      <w:tr>
        <w:trPr>
          <w:trHeight w:val="212"/>
        </w:trPr>
        <w:tc>
          <w:tcPr>
            <w:tcW w:w="5180" w:type="dxa"/>
            <w:vAlign w:val="bottom"/>
            <w:tcBorders>
              <w:left w:val="single" w:sz="8" w:color="3D85C6"/>
              <w:bottom w:val="single" w:sz="8" w:color="3D85C6"/>
              <w:right w:val="single" w:sz="8" w:color="3D85C6"/>
            </w:tcBorders>
            <w:shd w:val="clear" w:color="auto" w:fill="E6E6E6"/>
          </w:tcPr>
          <w:p>
            <w:pPr>
              <w:ind w:left="20"/>
              <w:spacing w:after="0"/>
              <w:rPr>
                <w:sz w:val="20"/>
                <w:szCs w:val="20"/>
                <w:color w:val="auto"/>
              </w:rPr>
            </w:pPr>
            <w:r>
              <w:rPr>
                <w:rFonts w:ascii="Arial" w:cs="Arial" w:eastAsia="Arial" w:hAnsi="Arial"/>
                <w:sz w:val="17"/>
                <w:szCs w:val="17"/>
                <w:color w:val="auto"/>
              </w:rPr>
              <w:t>333 South Hope Street, Los Angeles, CA 90071</w:t>
            </w:r>
          </w:p>
        </w:tc>
        <w:tc>
          <w:tcPr>
            <w:tcW w:w="1800" w:type="dxa"/>
            <w:vAlign w:val="bottom"/>
            <w:tcBorders>
              <w:bottom w:val="single" w:sz="8" w:color="3D85C6"/>
              <w:right w:val="single" w:sz="8" w:color="3D85C6"/>
            </w:tcBorders>
            <w:shd w:val="clear" w:color="auto" w:fill="E6E6E6"/>
          </w:tcPr>
          <w:p>
            <w:pPr>
              <w:spacing w:after="0"/>
              <w:rPr>
                <w:sz w:val="18"/>
                <w:szCs w:val="18"/>
                <w:color w:val="auto"/>
              </w:rPr>
            </w:pPr>
          </w:p>
        </w:tc>
        <w:tc>
          <w:tcPr>
            <w:tcW w:w="1780" w:type="dxa"/>
            <w:vAlign w:val="bottom"/>
            <w:tcBorders>
              <w:bottom w:val="single" w:sz="8" w:color="3D85C6"/>
              <w:right w:val="single" w:sz="8" w:color="3D85C6"/>
            </w:tcBorders>
            <w:shd w:val="clear" w:color="auto" w:fill="E6E6E6"/>
          </w:tcPr>
          <w:p>
            <w:pPr>
              <w:spacing w:after="0"/>
              <w:rPr>
                <w:sz w:val="18"/>
                <w:szCs w:val="18"/>
                <w:color w:val="auto"/>
              </w:rPr>
            </w:pPr>
          </w:p>
        </w:tc>
        <w:tc>
          <w:tcPr>
            <w:tcW w:w="1220" w:type="dxa"/>
            <w:vAlign w:val="bottom"/>
            <w:tcBorders>
              <w:bottom w:val="single" w:sz="8" w:color="3D85C6"/>
              <w:right w:val="single" w:sz="8" w:color="3D85C6"/>
            </w:tcBorders>
            <w:shd w:val="clear" w:color="auto" w:fill="E6E6E6"/>
          </w:tcPr>
          <w:p>
            <w:pPr>
              <w:spacing w:after="0"/>
              <w:rPr>
                <w:sz w:val="18"/>
                <w:szCs w:val="18"/>
                <w:color w:val="auto"/>
              </w:rPr>
            </w:pPr>
          </w:p>
        </w:tc>
        <w:tc>
          <w:tcPr>
            <w:tcW w:w="1280" w:type="dxa"/>
            <w:vAlign w:val="bottom"/>
            <w:tcBorders>
              <w:bottom w:val="single" w:sz="8" w:color="3D85C6"/>
              <w:right w:val="single" w:sz="8" w:color="3D85C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180" w:type="dxa"/>
            <w:vAlign w:val="bottom"/>
            <w:tcBorders>
              <w:left w:val="single" w:sz="8" w:color="3D85C6"/>
              <w:right w:val="single" w:sz="8" w:color="3D85C6"/>
            </w:tcBorders>
          </w:tcPr>
          <w:p>
            <w:pPr>
              <w:ind w:left="20"/>
              <w:spacing w:after="0" w:line="172" w:lineRule="exact"/>
              <w:rPr>
                <w:sz w:val="20"/>
                <w:szCs w:val="20"/>
                <w:color w:val="auto"/>
              </w:rPr>
            </w:pPr>
            <w:r>
              <w:rPr>
                <w:rFonts w:ascii="Arial" w:cs="Arial" w:eastAsia="Arial" w:hAnsi="Arial"/>
                <w:sz w:val="17"/>
                <w:szCs w:val="17"/>
                <w:color w:val="auto"/>
              </w:rPr>
              <w:t xml:space="preserve">Thrivent Financial for Lutherans </w:t>
            </w:r>
            <w:r>
              <w:rPr>
                <w:rFonts w:ascii="Arial" w:cs="Arial" w:eastAsia="Arial" w:hAnsi="Arial"/>
                <w:sz w:val="14"/>
                <w:szCs w:val="14"/>
                <w:color w:val="auto"/>
              </w:rPr>
              <w:t>(5)</w:t>
            </w:r>
          </w:p>
        </w:tc>
        <w:tc>
          <w:tcPr>
            <w:tcW w:w="1800" w:type="dxa"/>
            <w:vAlign w:val="bottom"/>
            <w:tcBorders>
              <w:right w:val="single" w:sz="8" w:color="3D85C6"/>
            </w:tcBorders>
          </w:tcPr>
          <w:p>
            <w:pPr>
              <w:jc w:val="right"/>
              <w:ind w:right="13"/>
              <w:spacing w:after="0" w:line="172" w:lineRule="exact"/>
              <w:rPr>
                <w:sz w:val="20"/>
                <w:szCs w:val="20"/>
                <w:color w:val="auto"/>
              </w:rPr>
            </w:pPr>
            <w:r>
              <w:rPr>
                <w:rFonts w:ascii="Arial" w:cs="Arial" w:eastAsia="Arial" w:hAnsi="Arial"/>
                <w:sz w:val="17"/>
                <w:szCs w:val="17"/>
                <w:color w:val="auto"/>
              </w:rPr>
              <w:t>2,615,235</w:t>
            </w:r>
          </w:p>
        </w:tc>
        <w:tc>
          <w:tcPr>
            <w:tcW w:w="1780" w:type="dxa"/>
            <w:vAlign w:val="bottom"/>
            <w:tcBorders>
              <w:right w:val="single" w:sz="8" w:color="3D85C6"/>
            </w:tcBorders>
          </w:tcPr>
          <w:p>
            <w:pPr>
              <w:jc w:val="right"/>
              <w:ind w:right="13"/>
              <w:spacing w:after="0" w:line="172"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3D85C6"/>
            </w:tcBorders>
          </w:tcPr>
          <w:p>
            <w:pPr>
              <w:jc w:val="right"/>
              <w:ind w:right="33"/>
              <w:spacing w:after="0" w:line="172" w:lineRule="exact"/>
              <w:rPr>
                <w:sz w:val="20"/>
                <w:szCs w:val="20"/>
                <w:color w:val="auto"/>
              </w:rPr>
            </w:pPr>
            <w:r>
              <w:rPr>
                <w:rFonts w:ascii="Arial" w:cs="Arial" w:eastAsia="Arial" w:hAnsi="Arial"/>
                <w:sz w:val="17"/>
                <w:szCs w:val="17"/>
                <w:color w:val="auto"/>
              </w:rPr>
              <w:t>2,615,235</w:t>
            </w:r>
          </w:p>
        </w:tc>
        <w:tc>
          <w:tcPr>
            <w:tcW w:w="1280" w:type="dxa"/>
            <w:vAlign w:val="bottom"/>
            <w:tcBorders>
              <w:right w:val="single" w:sz="8" w:color="3D85C6"/>
            </w:tcBorders>
          </w:tcPr>
          <w:p>
            <w:pPr>
              <w:jc w:val="right"/>
              <w:spacing w:after="0" w:line="172" w:lineRule="exact"/>
              <w:rPr>
                <w:sz w:val="20"/>
                <w:szCs w:val="20"/>
                <w:color w:val="auto"/>
              </w:rPr>
            </w:pPr>
            <w:r>
              <w:rPr>
                <w:rFonts w:ascii="Arial" w:cs="Arial" w:eastAsia="Arial" w:hAnsi="Arial"/>
                <w:sz w:val="17"/>
                <w:szCs w:val="17"/>
                <w:color w:val="auto"/>
              </w:rPr>
              <w:t>5.52%</w:t>
            </w:r>
          </w:p>
        </w:tc>
        <w:tc>
          <w:tcPr>
            <w:tcW w:w="0" w:type="dxa"/>
            <w:vAlign w:val="bottom"/>
          </w:tcPr>
          <w:p>
            <w:pPr>
              <w:spacing w:after="0"/>
              <w:rPr>
                <w:sz w:val="1"/>
                <w:szCs w:val="1"/>
                <w:color w:val="auto"/>
              </w:rPr>
            </w:pPr>
          </w:p>
        </w:tc>
      </w:tr>
      <w:tr>
        <w:trPr>
          <w:trHeight w:val="212"/>
        </w:trPr>
        <w:tc>
          <w:tcPr>
            <w:tcW w:w="5180" w:type="dxa"/>
            <w:vAlign w:val="bottom"/>
            <w:tcBorders>
              <w:left w:val="single" w:sz="8" w:color="3D85C6"/>
              <w:bottom w:val="single" w:sz="8" w:color="3D85C6"/>
              <w:right w:val="single" w:sz="8" w:color="3D85C6"/>
            </w:tcBorders>
          </w:tcPr>
          <w:p>
            <w:pPr>
              <w:ind w:left="20"/>
              <w:spacing w:after="0"/>
              <w:rPr>
                <w:sz w:val="20"/>
                <w:szCs w:val="20"/>
                <w:color w:val="auto"/>
              </w:rPr>
            </w:pPr>
            <w:r>
              <w:rPr>
                <w:rFonts w:ascii="Arial" w:cs="Arial" w:eastAsia="Arial" w:hAnsi="Arial"/>
                <w:sz w:val="17"/>
                <w:szCs w:val="17"/>
                <w:color w:val="auto"/>
              </w:rPr>
              <w:t>901 Marquette Avenue, Suite 2500 Minneapolis, MN 55402</w:t>
            </w:r>
          </w:p>
        </w:tc>
        <w:tc>
          <w:tcPr>
            <w:tcW w:w="1800" w:type="dxa"/>
            <w:vAlign w:val="bottom"/>
            <w:tcBorders>
              <w:bottom w:val="single" w:sz="8" w:color="3D85C6"/>
              <w:right w:val="single" w:sz="8" w:color="3D85C6"/>
            </w:tcBorders>
          </w:tcPr>
          <w:p>
            <w:pPr>
              <w:spacing w:after="0"/>
              <w:rPr>
                <w:sz w:val="18"/>
                <w:szCs w:val="18"/>
                <w:color w:val="auto"/>
              </w:rPr>
            </w:pPr>
          </w:p>
        </w:tc>
        <w:tc>
          <w:tcPr>
            <w:tcW w:w="1780" w:type="dxa"/>
            <w:vAlign w:val="bottom"/>
            <w:tcBorders>
              <w:bottom w:val="single" w:sz="8" w:color="3D85C6"/>
              <w:right w:val="single" w:sz="8" w:color="3D85C6"/>
            </w:tcBorders>
          </w:tcPr>
          <w:p>
            <w:pPr>
              <w:spacing w:after="0"/>
              <w:rPr>
                <w:sz w:val="18"/>
                <w:szCs w:val="18"/>
                <w:color w:val="auto"/>
              </w:rPr>
            </w:pPr>
          </w:p>
        </w:tc>
        <w:tc>
          <w:tcPr>
            <w:tcW w:w="1220" w:type="dxa"/>
            <w:vAlign w:val="bottom"/>
            <w:tcBorders>
              <w:bottom w:val="single" w:sz="8" w:color="3D85C6"/>
              <w:right w:val="single" w:sz="8" w:color="3D85C6"/>
            </w:tcBorders>
          </w:tcPr>
          <w:p>
            <w:pPr>
              <w:spacing w:after="0"/>
              <w:rPr>
                <w:sz w:val="18"/>
                <w:szCs w:val="18"/>
                <w:color w:val="auto"/>
              </w:rPr>
            </w:pPr>
          </w:p>
        </w:tc>
        <w:tc>
          <w:tcPr>
            <w:tcW w:w="1280" w:type="dxa"/>
            <w:vAlign w:val="bottom"/>
            <w:tcBorders>
              <w:bottom w:val="single" w:sz="8" w:color="3D85C6"/>
              <w:right w:val="single" w:sz="8" w:color="3D85C6"/>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180" w:type="dxa"/>
            <w:vAlign w:val="bottom"/>
            <w:tcBorders>
              <w:left w:val="single" w:sz="8" w:color="3D85C6"/>
              <w:right w:val="single" w:sz="8" w:color="3D85C6"/>
            </w:tcBorders>
            <w:shd w:val="clear" w:color="auto" w:fill="E6E6E6"/>
          </w:tcPr>
          <w:p>
            <w:pPr>
              <w:ind w:left="20"/>
              <w:spacing w:after="0" w:line="172" w:lineRule="exact"/>
              <w:rPr>
                <w:sz w:val="20"/>
                <w:szCs w:val="20"/>
                <w:color w:val="auto"/>
              </w:rPr>
            </w:pPr>
            <w:r>
              <w:rPr>
                <w:rFonts w:ascii="Arial" w:cs="Arial" w:eastAsia="Arial" w:hAnsi="Arial"/>
                <w:sz w:val="17"/>
                <w:szCs w:val="17"/>
                <w:color w:val="auto"/>
              </w:rPr>
              <w:t xml:space="preserve">Vanguard Capital Management </w:t>
            </w:r>
            <w:r>
              <w:rPr>
                <w:rFonts w:ascii="Arial" w:cs="Arial" w:eastAsia="Arial" w:hAnsi="Arial"/>
                <w:sz w:val="14"/>
                <w:szCs w:val="14"/>
                <w:color w:val="auto"/>
              </w:rPr>
              <w:t>(6)</w:t>
            </w:r>
          </w:p>
        </w:tc>
        <w:tc>
          <w:tcPr>
            <w:tcW w:w="1800" w:type="dxa"/>
            <w:vAlign w:val="bottom"/>
            <w:tcBorders>
              <w:right w:val="single" w:sz="8" w:color="3D85C6"/>
            </w:tcBorders>
            <w:shd w:val="clear" w:color="auto" w:fill="E6E6E6"/>
          </w:tcPr>
          <w:p>
            <w:pPr>
              <w:jc w:val="right"/>
              <w:ind w:right="13"/>
              <w:spacing w:after="0" w:line="172" w:lineRule="exact"/>
              <w:rPr>
                <w:sz w:val="20"/>
                <w:szCs w:val="20"/>
                <w:color w:val="auto"/>
              </w:rPr>
            </w:pPr>
            <w:r>
              <w:rPr>
                <w:rFonts w:ascii="Arial" w:cs="Arial" w:eastAsia="Arial" w:hAnsi="Arial"/>
                <w:sz w:val="17"/>
                <w:szCs w:val="17"/>
                <w:color w:val="auto"/>
              </w:rPr>
              <w:t>2,365,526</w:t>
            </w:r>
          </w:p>
        </w:tc>
        <w:tc>
          <w:tcPr>
            <w:tcW w:w="1780" w:type="dxa"/>
            <w:vAlign w:val="bottom"/>
            <w:tcBorders>
              <w:right w:val="single" w:sz="8" w:color="3D85C6"/>
            </w:tcBorders>
            <w:shd w:val="clear" w:color="auto" w:fill="E6E6E6"/>
          </w:tcPr>
          <w:p>
            <w:pPr>
              <w:jc w:val="right"/>
              <w:ind w:right="13"/>
              <w:spacing w:after="0" w:line="172" w:lineRule="exact"/>
              <w:rPr>
                <w:sz w:val="20"/>
                <w:szCs w:val="20"/>
                <w:color w:val="auto"/>
              </w:rPr>
            </w:pPr>
            <w:r>
              <w:rPr>
                <w:rFonts w:ascii="Arial" w:cs="Arial" w:eastAsia="Arial" w:hAnsi="Arial"/>
                <w:sz w:val="17"/>
                <w:szCs w:val="17"/>
                <w:color w:val="auto"/>
              </w:rPr>
              <w:t>-</w:t>
            </w:r>
          </w:p>
        </w:tc>
        <w:tc>
          <w:tcPr>
            <w:tcW w:w="1220" w:type="dxa"/>
            <w:vAlign w:val="bottom"/>
            <w:tcBorders>
              <w:right w:val="single" w:sz="8" w:color="3D85C6"/>
            </w:tcBorders>
            <w:shd w:val="clear" w:color="auto" w:fill="E6E6E6"/>
          </w:tcPr>
          <w:p>
            <w:pPr>
              <w:jc w:val="right"/>
              <w:ind w:right="33"/>
              <w:spacing w:after="0" w:line="172" w:lineRule="exact"/>
              <w:rPr>
                <w:sz w:val="20"/>
                <w:szCs w:val="20"/>
                <w:color w:val="auto"/>
              </w:rPr>
            </w:pPr>
            <w:r>
              <w:rPr>
                <w:rFonts w:ascii="Arial" w:cs="Arial" w:eastAsia="Arial" w:hAnsi="Arial"/>
                <w:sz w:val="17"/>
                <w:szCs w:val="17"/>
                <w:color w:val="auto"/>
              </w:rPr>
              <w:t>2,365,526</w:t>
            </w:r>
          </w:p>
        </w:tc>
        <w:tc>
          <w:tcPr>
            <w:tcW w:w="1280" w:type="dxa"/>
            <w:vAlign w:val="bottom"/>
            <w:tcBorders>
              <w:right w:val="single" w:sz="8" w:color="3D85C6"/>
            </w:tcBorders>
            <w:shd w:val="clear" w:color="auto" w:fill="E6E6E6"/>
          </w:tcPr>
          <w:p>
            <w:pPr>
              <w:jc w:val="right"/>
              <w:spacing w:after="0" w:line="172" w:lineRule="exact"/>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12"/>
        </w:trPr>
        <w:tc>
          <w:tcPr>
            <w:tcW w:w="5180" w:type="dxa"/>
            <w:vAlign w:val="bottom"/>
            <w:tcBorders>
              <w:left w:val="single" w:sz="8" w:color="3D85C6"/>
              <w:bottom w:val="single" w:sz="8" w:color="3D85C6"/>
              <w:right w:val="single" w:sz="8" w:color="3D85C6"/>
            </w:tcBorders>
            <w:shd w:val="clear" w:color="auto" w:fill="E6E6E6"/>
          </w:tcPr>
          <w:p>
            <w:pPr>
              <w:ind w:left="20"/>
              <w:spacing w:after="0"/>
              <w:rPr>
                <w:sz w:val="20"/>
                <w:szCs w:val="20"/>
                <w:color w:val="auto"/>
              </w:rPr>
            </w:pPr>
            <w:r>
              <w:rPr>
                <w:rFonts w:ascii="Arial" w:cs="Arial" w:eastAsia="Arial" w:hAnsi="Arial"/>
                <w:sz w:val="17"/>
                <w:szCs w:val="17"/>
                <w:color w:val="auto"/>
              </w:rPr>
              <w:t>100 Vanguard Blvd. Malvern, PA 19355</w:t>
            </w:r>
          </w:p>
        </w:tc>
        <w:tc>
          <w:tcPr>
            <w:tcW w:w="1800" w:type="dxa"/>
            <w:vAlign w:val="bottom"/>
            <w:tcBorders>
              <w:bottom w:val="single" w:sz="8" w:color="3D85C6"/>
              <w:right w:val="single" w:sz="8" w:color="3D85C6"/>
            </w:tcBorders>
            <w:shd w:val="clear" w:color="auto" w:fill="E6E6E6"/>
          </w:tcPr>
          <w:p>
            <w:pPr>
              <w:spacing w:after="0"/>
              <w:rPr>
                <w:sz w:val="18"/>
                <w:szCs w:val="18"/>
                <w:color w:val="auto"/>
              </w:rPr>
            </w:pPr>
          </w:p>
        </w:tc>
        <w:tc>
          <w:tcPr>
            <w:tcW w:w="1780" w:type="dxa"/>
            <w:vAlign w:val="bottom"/>
            <w:tcBorders>
              <w:bottom w:val="single" w:sz="8" w:color="3D85C6"/>
              <w:right w:val="single" w:sz="8" w:color="3D85C6"/>
            </w:tcBorders>
            <w:shd w:val="clear" w:color="auto" w:fill="E6E6E6"/>
          </w:tcPr>
          <w:p>
            <w:pPr>
              <w:spacing w:after="0"/>
              <w:rPr>
                <w:sz w:val="18"/>
                <w:szCs w:val="18"/>
                <w:color w:val="auto"/>
              </w:rPr>
            </w:pPr>
          </w:p>
        </w:tc>
        <w:tc>
          <w:tcPr>
            <w:tcW w:w="1220" w:type="dxa"/>
            <w:vAlign w:val="bottom"/>
            <w:tcBorders>
              <w:bottom w:val="single" w:sz="8" w:color="3D85C6"/>
              <w:right w:val="single" w:sz="8" w:color="3D85C6"/>
            </w:tcBorders>
            <w:shd w:val="clear" w:color="auto" w:fill="E6E6E6"/>
          </w:tcPr>
          <w:p>
            <w:pPr>
              <w:spacing w:after="0"/>
              <w:rPr>
                <w:sz w:val="18"/>
                <w:szCs w:val="18"/>
                <w:color w:val="auto"/>
              </w:rPr>
            </w:pPr>
          </w:p>
        </w:tc>
        <w:tc>
          <w:tcPr>
            <w:tcW w:w="1280" w:type="dxa"/>
            <w:vAlign w:val="bottom"/>
            <w:tcBorders>
              <w:bottom w:val="single" w:sz="8" w:color="3D85C6"/>
              <w:right w:val="single" w:sz="8" w:color="3D85C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180" w:type="dxa"/>
            <w:vAlign w:val="bottom"/>
            <w:tcBorders>
              <w:left w:val="single" w:sz="8" w:color="3D85C6"/>
              <w:bottom w:val="single" w:sz="8" w:color="3D85C6"/>
              <w:right w:val="single" w:sz="8" w:color="3D85C6"/>
            </w:tcBorders>
          </w:tcPr>
          <w:p>
            <w:pPr>
              <w:ind w:left="20"/>
              <w:spacing w:after="0" w:line="188" w:lineRule="exact"/>
              <w:rPr>
                <w:sz w:val="20"/>
                <w:szCs w:val="20"/>
                <w:color w:val="auto"/>
              </w:rPr>
            </w:pPr>
            <w:r>
              <w:rPr>
                <w:rFonts w:ascii="Arial" w:cs="Arial" w:eastAsia="Arial" w:hAnsi="Arial"/>
                <w:sz w:val="17"/>
                <w:szCs w:val="17"/>
                <w:color w:val="auto"/>
              </w:rPr>
              <w:t>William E. Bendush</w:t>
            </w:r>
          </w:p>
        </w:tc>
        <w:tc>
          <w:tcPr>
            <w:tcW w:w="180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35,037</w:t>
            </w:r>
          </w:p>
        </w:tc>
        <w:tc>
          <w:tcPr>
            <w:tcW w:w="178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35,037</w:t>
            </w:r>
          </w:p>
        </w:tc>
        <w:tc>
          <w:tcPr>
            <w:tcW w:w="1280" w:type="dxa"/>
            <w:vAlign w:val="bottom"/>
            <w:tcBorders>
              <w:bottom w:val="single" w:sz="8" w:color="3D85C6"/>
              <w:right w:val="single" w:sz="8" w:color="3D85C6"/>
            </w:tcBorders>
          </w:tcPr>
          <w:p>
            <w:pPr>
              <w:jc w:val="right"/>
              <w:ind w:right="93"/>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5180" w:type="dxa"/>
            <w:vAlign w:val="bottom"/>
            <w:tcBorders>
              <w:left w:val="single" w:sz="8" w:color="3D85C6"/>
              <w:bottom w:val="single" w:sz="8" w:color="3D85C6"/>
              <w:right w:val="single" w:sz="8" w:color="3D85C6"/>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 xml:space="preserve">Steven J. Bilodeau </w:t>
            </w:r>
            <w:r>
              <w:rPr>
                <w:rFonts w:ascii="Arial" w:cs="Arial" w:eastAsia="Arial" w:hAnsi="Arial"/>
                <w:sz w:val="14"/>
                <w:szCs w:val="14"/>
                <w:color w:val="auto"/>
              </w:rPr>
              <w:t>(7)</w:t>
            </w:r>
          </w:p>
        </w:tc>
        <w:tc>
          <w:tcPr>
            <w:tcW w:w="1800" w:type="dxa"/>
            <w:vAlign w:val="bottom"/>
            <w:tcBorders>
              <w:bottom w:val="single" w:sz="8" w:color="3D85C6"/>
              <w:right w:val="single" w:sz="8" w:color="3D85C6"/>
            </w:tcBorders>
            <w:shd w:val="clear" w:color="auto" w:fill="E6E6E6"/>
          </w:tcPr>
          <w:p>
            <w:pPr>
              <w:jc w:val="right"/>
              <w:ind w:right="13"/>
              <w:spacing w:after="0" w:line="188" w:lineRule="exact"/>
              <w:rPr>
                <w:sz w:val="20"/>
                <w:szCs w:val="20"/>
                <w:color w:val="auto"/>
              </w:rPr>
            </w:pPr>
            <w:r>
              <w:rPr>
                <w:rFonts w:ascii="Arial" w:cs="Arial" w:eastAsia="Arial" w:hAnsi="Arial"/>
                <w:sz w:val="17"/>
                <w:szCs w:val="17"/>
                <w:color w:val="auto"/>
              </w:rPr>
              <w:t>48.694</w:t>
            </w:r>
          </w:p>
        </w:tc>
        <w:tc>
          <w:tcPr>
            <w:tcW w:w="1780" w:type="dxa"/>
            <w:vAlign w:val="bottom"/>
            <w:tcBorders>
              <w:bottom w:val="single" w:sz="8" w:color="3D85C6"/>
              <w:right w:val="single" w:sz="8" w:color="3D85C6"/>
            </w:tcBorders>
            <w:shd w:val="clear" w:color="auto" w:fill="E6E6E6"/>
          </w:tcPr>
          <w:p>
            <w:pPr>
              <w:jc w:val="right"/>
              <w:ind w:right="13"/>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48.694</w:t>
            </w:r>
          </w:p>
        </w:tc>
        <w:tc>
          <w:tcPr>
            <w:tcW w:w="1280" w:type="dxa"/>
            <w:vAlign w:val="bottom"/>
            <w:tcBorders>
              <w:bottom w:val="single" w:sz="8" w:color="3D85C6"/>
              <w:right w:val="single" w:sz="8" w:color="3D85C6"/>
            </w:tcBorders>
            <w:shd w:val="clear" w:color="auto" w:fill="E6E6E6"/>
          </w:tcPr>
          <w:p>
            <w:pPr>
              <w:jc w:val="right"/>
              <w:ind w:right="93"/>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5180" w:type="dxa"/>
            <w:vAlign w:val="bottom"/>
            <w:tcBorders>
              <w:left w:val="single" w:sz="8" w:color="3D85C6"/>
              <w:bottom w:val="single" w:sz="8" w:color="3D85C6"/>
              <w:right w:val="single" w:sz="8" w:color="3D85C6"/>
            </w:tcBorders>
          </w:tcPr>
          <w:p>
            <w:pPr>
              <w:ind w:left="20"/>
              <w:spacing w:after="0" w:line="188" w:lineRule="exact"/>
              <w:rPr>
                <w:sz w:val="20"/>
                <w:szCs w:val="20"/>
                <w:color w:val="auto"/>
              </w:rPr>
            </w:pPr>
            <w:r>
              <w:rPr>
                <w:rFonts w:ascii="Arial" w:cs="Arial" w:eastAsia="Arial" w:hAnsi="Arial"/>
                <w:sz w:val="17"/>
                <w:szCs w:val="17"/>
                <w:color w:val="auto"/>
              </w:rPr>
              <w:t>Christopher G. Bohrson</w:t>
            </w:r>
          </w:p>
        </w:tc>
        <w:tc>
          <w:tcPr>
            <w:tcW w:w="180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48,137</w:t>
            </w:r>
          </w:p>
        </w:tc>
        <w:tc>
          <w:tcPr>
            <w:tcW w:w="178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48,137</w:t>
            </w:r>
          </w:p>
        </w:tc>
        <w:tc>
          <w:tcPr>
            <w:tcW w:w="1280" w:type="dxa"/>
            <w:vAlign w:val="bottom"/>
            <w:tcBorders>
              <w:bottom w:val="single" w:sz="8" w:color="3D85C6"/>
              <w:right w:val="single" w:sz="8" w:color="3D85C6"/>
            </w:tcBorders>
          </w:tcPr>
          <w:p>
            <w:pPr>
              <w:jc w:val="right"/>
              <w:ind w:right="93"/>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5180" w:type="dxa"/>
            <w:vAlign w:val="bottom"/>
            <w:tcBorders>
              <w:left w:val="single" w:sz="8" w:color="3D85C6"/>
              <w:bottom w:val="single" w:sz="8" w:color="3D85C6"/>
              <w:right w:val="single" w:sz="8" w:color="3D85C6"/>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 xml:space="preserve">Andrew M. Caggia </w:t>
            </w:r>
            <w:r>
              <w:rPr>
                <w:rFonts w:ascii="Arial" w:cs="Arial" w:eastAsia="Arial" w:hAnsi="Arial"/>
                <w:sz w:val="14"/>
                <w:szCs w:val="14"/>
                <w:color w:val="auto"/>
              </w:rPr>
              <w:t>(8)</w:t>
            </w:r>
          </w:p>
        </w:tc>
        <w:tc>
          <w:tcPr>
            <w:tcW w:w="1800" w:type="dxa"/>
            <w:vAlign w:val="bottom"/>
            <w:tcBorders>
              <w:bottom w:val="single" w:sz="8" w:color="3D85C6"/>
              <w:right w:val="single" w:sz="8" w:color="3D85C6"/>
            </w:tcBorders>
            <w:shd w:val="clear" w:color="auto" w:fill="E6E6E6"/>
          </w:tcPr>
          <w:p>
            <w:pPr>
              <w:jc w:val="right"/>
              <w:ind w:right="13"/>
              <w:spacing w:after="0" w:line="188" w:lineRule="exact"/>
              <w:rPr>
                <w:sz w:val="20"/>
                <w:szCs w:val="20"/>
                <w:color w:val="auto"/>
              </w:rPr>
            </w:pPr>
            <w:r>
              <w:rPr>
                <w:rFonts w:ascii="Arial" w:cs="Arial" w:eastAsia="Arial" w:hAnsi="Arial"/>
                <w:sz w:val="17"/>
                <w:szCs w:val="17"/>
                <w:color w:val="auto"/>
              </w:rPr>
              <w:t>61,526</w:t>
            </w:r>
          </w:p>
        </w:tc>
        <w:tc>
          <w:tcPr>
            <w:tcW w:w="1780" w:type="dxa"/>
            <w:vAlign w:val="bottom"/>
            <w:tcBorders>
              <w:bottom w:val="single" w:sz="8" w:color="3D85C6"/>
              <w:right w:val="single" w:sz="8" w:color="3D85C6"/>
            </w:tcBorders>
            <w:shd w:val="clear" w:color="auto" w:fill="E6E6E6"/>
          </w:tcPr>
          <w:p>
            <w:pPr>
              <w:jc w:val="right"/>
              <w:ind w:right="13"/>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61,526</w:t>
            </w:r>
          </w:p>
        </w:tc>
        <w:tc>
          <w:tcPr>
            <w:tcW w:w="1280" w:type="dxa"/>
            <w:vAlign w:val="bottom"/>
            <w:tcBorders>
              <w:bottom w:val="single" w:sz="8" w:color="3D85C6"/>
              <w:right w:val="single" w:sz="8" w:color="3D85C6"/>
            </w:tcBorders>
            <w:shd w:val="clear" w:color="auto" w:fill="E6E6E6"/>
          </w:tcPr>
          <w:p>
            <w:pPr>
              <w:jc w:val="right"/>
              <w:ind w:right="93"/>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5180" w:type="dxa"/>
            <w:vAlign w:val="bottom"/>
            <w:tcBorders>
              <w:left w:val="single" w:sz="8" w:color="3D85C6"/>
              <w:bottom w:val="single" w:sz="8" w:color="3D85C6"/>
              <w:right w:val="single" w:sz="8" w:color="3D85C6"/>
            </w:tcBorders>
          </w:tcPr>
          <w:p>
            <w:pPr>
              <w:ind w:left="20"/>
              <w:spacing w:after="0" w:line="188" w:lineRule="exact"/>
              <w:rPr>
                <w:sz w:val="20"/>
                <w:szCs w:val="20"/>
                <w:color w:val="auto"/>
              </w:rPr>
            </w:pPr>
            <w:r>
              <w:rPr>
                <w:rFonts w:ascii="Arial" w:cs="Arial" w:eastAsia="Arial" w:hAnsi="Arial"/>
                <w:sz w:val="17"/>
                <w:szCs w:val="17"/>
                <w:color w:val="auto"/>
              </w:rPr>
              <w:t>James A. Donahue</w:t>
            </w:r>
          </w:p>
        </w:tc>
        <w:tc>
          <w:tcPr>
            <w:tcW w:w="180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385,413</w:t>
            </w:r>
          </w:p>
        </w:tc>
        <w:tc>
          <w:tcPr>
            <w:tcW w:w="178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385,413</w:t>
            </w:r>
          </w:p>
        </w:tc>
        <w:tc>
          <w:tcPr>
            <w:tcW w:w="1280" w:type="dxa"/>
            <w:vAlign w:val="bottom"/>
            <w:tcBorders>
              <w:bottom w:val="single" w:sz="8" w:color="3D85C6"/>
              <w:right w:val="single" w:sz="8" w:color="3D85C6"/>
            </w:tcBorders>
          </w:tcPr>
          <w:p>
            <w:pPr>
              <w:jc w:val="right"/>
              <w:ind w:right="93"/>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5180" w:type="dxa"/>
            <w:vAlign w:val="bottom"/>
            <w:tcBorders>
              <w:left w:val="single" w:sz="8" w:color="3D85C6"/>
              <w:bottom w:val="single" w:sz="8" w:color="3D85C6"/>
              <w:right w:val="single" w:sz="8" w:color="3D85C6"/>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Klaus Ilgenfritz</w:t>
            </w:r>
          </w:p>
        </w:tc>
        <w:tc>
          <w:tcPr>
            <w:tcW w:w="1800" w:type="dxa"/>
            <w:vAlign w:val="bottom"/>
            <w:tcBorders>
              <w:bottom w:val="single" w:sz="8" w:color="3D85C6"/>
              <w:right w:val="single" w:sz="8" w:color="3D85C6"/>
            </w:tcBorders>
            <w:shd w:val="clear" w:color="auto" w:fill="E6E6E6"/>
          </w:tcPr>
          <w:p>
            <w:pPr>
              <w:jc w:val="right"/>
              <w:ind w:right="13"/>
              <w:spacing w:after="0" w:line="188" w:lineRule="exact"/>
              <w:rPr>
                <w:sz w:val="20"/>
                <w:szCs w:val="20"/>
                <w:color w:val="auto"/>
              </w:rPr>
            </w:pPr>
            <w:r>
              <w:rPr>
                <w:rFonts w:ascii="Arial" w:cs="Arial" w:eastAsia="Arial" w:hAnsi="Arial"/>
                <w:sz w:val="17"/>
                <w:szCs w:val="17"/>
                <w:color w:val="auto"/>
              </w:rPr>
              <w:t>19,079</w:t>
            </w:r>
          </w:p>
        </w:tc>
        <w:tc>
          <w:tcPr>
            <w:tcW w:w="1780" w:type="dxa"/>
            <w:vAlign w:val="bottom"/>
            <w:tcBorders>
              <w:bottom w:val="single" w:sz="8" w:color="3D85C6"/>
              <w:right w:val="single" w:sz="8" w:color="3D85C6"/>
            </w:tcBorders>
            <w:shd w:val="clear" w:color="auto" w:fill="E6E6E6"/>
          </w:tcPr>
          <w:p>
            <w:pPr>
              <w:jc w:val="right"/>
              <w:ind w:right="13"/>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19,079</w:t>
            </w:r>
          </w:p>
        </w:tc>
        <w:tc>
          <w:tcPr>
            <w:tcW w:w="1280" w:type="dxa"/>
            <w:vAlign w:val="bottom"/>
            <w:tcBorders>
              <w:bottom w:val="single" w:sz="8" w:color="3D85C6"/>
              <w:right w:val="single" w:sz="8" w:color="3D85C6"/>
            </w:tcBorders>
            <w:shd w:val="clear" w:color="auto" w:fill="E6E6E6"/>
          </w:tcPr>
          <w:p>
            <w:pPr>
              <w:jc w:val="right"/>
              <w:ind w:right="93"/>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5180" w:type="dxa"/>
            <w:vAlign w:val="bottom"/>
            <w:tcBorders>
              <w:left w:val="single" w:sz="8" w:color="3D85C6"/>
              <w:bottom w:val="single" w:sz="8" w:color="3D85C6"/>
              <w:right w:val="single" w:sz="8" w:color="3D85C6"/>
            </w:tcBorders>
          </w:tcPr>
          <w:p>
            <w:pPr>
              <w:ind w:left="20"/>
              <w:spacing w:after="0" w:line="188" w:lineRule="exact"/>
              <w:rPr>
                <w:sz w:val="20"/>
                <w:szCs w:val="20"/>
                <w:color w:val="auto"/>
              </w:rPr>
            </w:pPr>
            <w:r>
              <w:rPr>
                <w:rFonts w:ascii="Arial" w:cs="Arial" w:eastAsia="Arial" w:hAnsi="Arial"/>
                <w:sz w:val="17"/>
                <w:szCs w:val="17"/>
                <w:color w:val="auto"/>
              </w:rPr>
              <w:t>Yon Y. Jorden</w:t>
            </w:r>
          </w:p>
        </w:tc>
        <w:tc>
          <w:tcPr>
            <w:tcW w:w="180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31,648</w:t>
            </w:r>
          </w:p>
        </w:tc>
        <w:tc>
          <w:tcPr>
            <w:tcW w:w="178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31,648</w:t>
            </w:r>
          </w:p>
        </w:tc>
        <w:tc>
          <w:tcPr>
            <w:tcW w:w="1280" w:type="dxa"/>
            <w:vAlign w:val="bottom"/>
            <w:tcBorders>
              <w:bottom w:val="single" w:sz="8" w:color="3D85C6"/>
              <w:right w:val="single" w:sz="8" w:color="3D85C6"/>
            </w:tcBorders>
          </w:tcPr>
          <w:p>
            <w:pPr>
              <w:jc w:val="right"/>
              <w:ind w:right="93"/>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5180" w:type="dxa"/>
            <w:vAlign w:val="bottom"/>
            <w:tcBorders>
              <w:left w:val="single" w:sz="8" w:color="3D85C6"/>
              <w:bottom w:val="single" w:sz="8" w:color="3D85C6"/>
              <w:right w:val="single" w:sz="8" w:color="3D85C6"/>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Jeffrey D. Jones</w:t>
            </w:r>
          </w:p>
        </w:tc>
        <w:tc>
          <w:tcPr>
            <w:tcW w:w="1800" w:type="dxa"/>
            <w:vAlign w:val="bottom"/>
            <w:tcBorders>
              <w:bottom w:val="single" w:sz="8" w:color="3D85C6"/>
              <w:right w:val="single" w:sz="8" w:color="3D85C6"/>
            </w:tcBorders>
            <w:shd w:val="clear" w:color="auto" w:fill="E6E6E6"/>
          </w:tcPr>
          <w:p>
            <w:pPr>
              <w:jc w:val="right"/>
              <w:ind w:right="13"/>
              <w:spacing w:after="0" w:line="188" w:lineRule="exact"/>
              <w:rPr>
                <w:sz w:val="20"/>
                <w:szCs w:val="20"/>
                <w:color w:val="auto"/>
              </w:rPr>
            </w:pPr>
            <w:r>
              <w:rPr>
                <w:rFonts w:ascii="Arial" w:cs="Arial" w:eastAsia="Arial" w:hAnsi="Arial"/>
                <w:sz w:val="17"/>
                <w:szCs w:val="17"/>
                <w:color w:val="auto"/>
              </w:rPr>
              <w:t>190,590</w:t>
            </w:r>
          </w:p>
        </w:tc>
        <w:tc>
          <w:tcPr>
            <w:tcW w:w="1780" w:type="dxa"/>
            <w:vAlign w:val="bottom"/>
            <w:tcBorders>
              <w:bottom w:val="single" w:sz="8" w:color="3D85C6"/>
              <w:right w:val="single" w:sz="8" w:color="3D85C6"/>
            </w:tcBorders>
            <w:shd w:val="clear" w:color="auto" w:fill="E6E6E6"/>
          </w:tcPr>
          <w:p>
            <w:pPr>
              <w:jc w:val="right"/>
              <w:ind w:right="13"/>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190,590</w:t>
            </w:r>
          </w:p>
        </w:tc>
        <w:tc>
          <w:tcPr>
            <w:tcW w:w="1280" w:type="dxa"/>
            <w:vAlign w:val="bottom"/>
            <w:tcBorders>
              <w:bottom w:val="single" w:sz="8" w:color="3D85C6"/>
              <w:right w:val="single" w:sz="8" w:color="3D85C6"/>
            </w:tcBorders>
            <w:shd w:val="clear" w:color="auto" w:fill="E6E6E6"/>
          </w:tcPr>
          <w:p>
            <w:pPr>
              <w:jc w:val="right"/>
              <w:ind w:right="93"/>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5180" w:type="dxa"/>
            <w:vAlign w:val="bottom"/>
            <w:tcBorders>
              <w:left w:val="single" w:sz="8" w:color="3D85C6"/>
              <w:bottom w:val="single" w:sz="8" w:color="3D85C6"/>
              <w:right w:val="single" w:sz="8" w:color="3D85C6"/>
            </w:tcBorders>
          </w:tcPr>
          <w:p>
            <w:pPr>
              <w:ind w:left="20"/>
              <w:spacing w:after="0" w:line="188" w:lineRule="exact"/>
              <w:rPr>
                <w:sz w:val="20"/>
                <w:szCs w:val="20"/>
                <w:color w:val="auto"/>
              </w:rPr>
            </w:pPr>
            <w:r>
              <w:rPr>
                <w:rFonts w:ascii="Arial" w:cs="Arial" w:eastAsia="Arial" w:hAnsi="Arial"/>
                <w:sz w:val="17"/>
                <w:szCs w:val="17"/>
                <w:color w:val="auto"/>
              </w:rPr>
              <w:t>Andreas W. Mattes</w:t>
            </w:r>
          </w:p>
        </w:tc>
        <w:tc>
          <w:tcPr>
            <w:tcW w:w="180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22,236</w:t>
            </w:r>
          </w:p>
        </w:tc>
        <w:tc>
          <w:tcPr>
            <w:tcW w:w="178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22,236</w:t>
            </w:r>
          </w:p>
        </w:tc>
        <w:tc>
          <w:tcPr>
            <w:tcW w:w="1280" w:type="dxa"/>
            <w:vAlign w:val="bottom"/>
            <w:tcBorders>
              <w:bottom w:val="single" w:sz="8" w:color="3D85C6"/>
              <w:right w:val="single" w:sz="8" w:color="3D85C6"/>
            </w:tcBorders>
          </w:tcPr>
          <w:p>
            <w:pPr>
              <w:jc w:val="right"/>
              <w:ind w:right="93"/>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5180" w:type="dxa"/>
            <w:vAlign w:val="bottom"/>
            <w:tcBorders>
              <w:left w:val="single" w:sz="8" w:color="3D85C6"/>
              <w:bottom w:val="single" w:sz="8" w:color="3D85C6"/>
              <w:right w:val="single" w:sz="8" w:color="3D85C6"/>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Luis A. Müller</w:t>
            </w:r>
          </w:p>
        </w:tc>
        <w:tc>
          <w:tcPr>
            <w:tcW w:w="1800" w:type="dxa"/>
            <w:vAlign w:val="bottom"/>
            <w:tcBorders>
              <w:bottom w:val="single" w:sz="8" w:color="3D85C6"/>
              <w:right w:val="single" w:sz="8" w:color="3D85C6"/>
            </w:tcBorders>
            <w:shd w:val="clear" w:color="auto" w:fill="E6E6E6"/>
          </w:tcPr>
          <w:p>
            <w:pPr>
              <w:jc w:val="right"/>
              <w:ind w:right="13"/>
              <w:spacing w:after="0" w:line="188" w:lineRule="exact"/>
              <w:rPr>
                <w:sz w:val="20"/>
                <w:szCs w:val="20"/>
                <w:color w:val="auto"/>
              </w:rPr>
            </w:pPr>
            <w:r>
              <w:rPr>
                <w:rFonts w:ascii="Arial" w:cs="Arial" w:eastAsia="Arial" w:hAnsi="Arial"/>
                <w:sz w:val="17"/>
                <w:szCs w:val="17"/>
                <w:color w:val="auto"/>
              </w:rPr>
              <w:t>314,826</w:t>
            </w:r>
          </w:p>
        </w:tc>
        <w:tc>
          <w:tcPr>
            <w:tcW w:w="1780" w:type="dxa"/>
            <w:vAlign w:val="bottom"/>
            <w:tcBorders>
              <w:bottom w:val="single" w:sz="8" w:color="3D85C6"/>
              <w:right w:val="single" w:sz="8" w:color="3D85C6"/>
            </w:tcBorders>
            <w:shd w:val="clear" w:color="auto" w:fill="E6E6E6"/>
          </w:tcPr>
          <w:p>
            <w:pPr>
              <w:jc w:val="right"/>
              <w:ind w:right="13"/>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314,826</w:t>
            </w:r>
          </w:p>
        </w:tc>
        <w:tc>
          <w:tcPr>
            <w:tcW w:w="1280" w:type="dxa"/>
            <w:vAlign w:val="bottom"/>
            <w:tcBorders>
              <w:bottom w:val="single" w:sz="8" w:color="3D85C6"/>
              <w:right w:val="single" w:sz="8" w:color="3D85C6"/>
            </w:tcBorders>
            <w:shd w:val="clear" w:color="auto" w:fill="E6E6E6"/>
          </w:tcPr>
          <w:p>
            <w:pPr>
              <w:jc w:val="right"/>
              <w:ind w:right="93"/>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5180" w:type="dxa"/>
            <w:vAlign w:val="bottom"/>
            <w:tcBorders>
              <w:left w:val="single" w:sz="8" w:color="3D85C6"/>
              <w:bottom w:val="single" w:sz="8" w:color="3D85C6"/>
              <w:right w:val="single" w:sz="8" w:color="3D85C6"/>
            </w:tcBorders>
          </w:tcPr>
          <w:p>
            <w:pPr>
              <w:ind w:left="20"/>
              <w:spacing w:after="0" w:line="188" w:lineRule="exact"/>
              <w:rPr>
                <w:sz w:val="20"/>
                <w:szCs w:val="20"/>
                <w:color w:val="auto"/>
              </w:rPr>
            </w:pPr>
            <w:r>
              <w:rPr>
                <w:rFonts w:ascii="Arial" w:cs="Arial" w:eastAsia="Arial" w:hAnsi="Arial"/>
                <w:sz w:val="17"/>
                <w:szCs w:val="17"/>
                <w:color w:val="auto"/>
              </w:rPr>
              <w:t>Karen M. Rapp</w:t>
            </w:r>
          </w:p>
        </w:tc>
        <w:tc>
          <w:tcPr>
            <w:tcW w:w="180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15,444</w:t>
            </w:r>
          </w:p>
        </w:tc>
        <w:tc>
          <w:tcPr>
            <w:tcW w:w="178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15,444</w:t>
            </w:r>
          </w:p>
        </w:tc>
        <w:tc>
          <w:tcPr>
            <w:tcW w:w="1280" w:type="dxa"/>
            <w:vAlign w:val="bottom"/>
            <w:tcBorders>
              <w:bottom w:val="single" w:sz="8" w:color="3D85C6"/>
              <w:right w:val="single" w:sz="8" w:color="3D85C6"/>
            </w:tcBorders>
          </w:tcPr>
          <w:p>
            <w:pPr>
              <w:jc w:val="right"/>
              <w:ind w:right="93"/>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5180" w:type="dxa"/>
            <w:vAlign w:val="bottom"/>
            <w:tcBorders>
              <w:left w:val="single" w:sz="8" w:color="3D85C6"/>
              <w:bottom w:val="single" w:sz="8" w:color="3D85C6"/>
              <w:right w:val="single" w:sz="8" w:color="3D85C6"/>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 xml:space="preserve">Nina L. Richardson </w:t>
            </w:r>
            <w:r>
              <w:rPr>
                <w:rFonts w:ascii="Arial" w:cs="Arial" w:eastAsia="Arial" w:hAnsi="Arial"/>
                <w:sz w:val="14"/>
                <w:szCs w:val="14"/>
                <w:color w:val="auto"/>
              </w:rPr>
              <w:t>(9)</w:t>
            </w:r>
          </w:p>
        </w:tc>
        <w:tc>
          <w:tcPr>
            <w:tcW w:w="1800" w:type="dxa"/>
            <w:vAlign w:val="bottom"/>
            <w:tcBorders>
              <w:bottom w:val="single" w:sz="8" w:color="3D85C6"/>
              <w:right w:val="single" w:sz="8" w:color="3D85C6"/>
            </w:tcBorders>
            <w:shd w:val="clear" w:color="auto" w:fill="E6E6E6"/>
          </w:tcPr>
          <w:p>
            <w:pPr>
              <w:jc w:val="right"/>
              <w:ind w:right="13"/>
              <w:spacing w:after="0" w:line="188" w:lineRule="exact"/>
              <w:rPr>
                <w:sz w:val="20"/>
                <w:szCs w:val="20"/>
                <w:color w:val="auto"/>
              </w:rPr>
            </w:pPr>
            <w:r>
              <w:rPr>
                <w:rFonts w:ascii="Arial" w:cs="Arial" w:eastAsia="Arial" w:hAnsi="Arial"/>
                <w:sz w:val="17"/>
                <w:szCs w:val="17"/>
                <w:color w:val="auto"/>
              </w:rPr>
              <w:t>35,515</w:t>
            </w:r>
          </w:p>
        </w:tc>
        <w:tc>
          <w:tcPr>
            <w:tcW w:w="1780" w:type="dxa"/>
            <w:vAlign w:val="bottom"/>
            <w:tcBorders>
              <w:bottom w:val="single" w:sz="8" w:color="3D85C6"/>
              <w:right w:val="single" w:sz="8" w:color="3D85C6"/>
            </w:tcBorders>
            <w:shd w:val="clear" w:color="auto" w:fill="E6E6E6"/>
          </w:tcPr>
          <w:p>
            <w:pPr>
              <w:jc w:val="right"/>
              <w:ind w:right="13"/>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35,515</w:t>
            </w:r>
          </w:p>
        </w:tc>
        <w:tc>
          <w:tcPr>
            <w:tcW w:w="1280" w:type="dxa"/>
            <w:vAlign w:val="bottom"/>
            <w:tcBorders>
              <w:bottom w:val="single" w:sz="8" w:color="3D85C6"/>
              <w:right w:val="single" w:sz="8" w:color="3D85C6"/>
            </w:tcBorders>
            <w:shd w:val="clear" w:color="auto" w:fill="E6E6E6"/>
          </w:tcPr>
          <w:p>
            <w:pPr>
              <w:jc w:val="right"/>
              <w:ind w:right="93"/>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5180" w:type="dxa"/>
            <w:vAlign w:val="bottom"/>
            <w:tcBorders>
              <w:left w:val="single" w:sz="8" w:color="3D85C6"/>
              <w:bottom w:val="single" w:sz="8" w:color="3D85C6"/>
              <w:right w:val="single" w:sz="8" w:color="3D85C6"/>
            </w:tcBorders>
          </w:tcPr>
          <w:p>
            <w:pPr>
              <w:ind w:left="20"/>
              <w:spacing w:after="0" w:line="188" w:lineRule="exact"/>
              <w:rPr>
                <w:sz w:val="20"/>
                <w:szCs w:val="20"/>
                <w:color w:val="auto"/>
              </w:rPr>
            </w:pPr>
            <w:r>
              <w:rPr>
                <w:rFonts w:ascii="Arial" w:cs="Arial" w:eastAsia="Arial" w:hAnsi="Arial"/>
                <w:sz w:val="17"/>
                <w:szCs w:val="17"/>
                <w:color w:val="auto"/>
              </w:rPr>
              <w:t>All directors and executive officersas a group (12 persons)</w:t>
            </w:r>
          </w:p>
        </w:tc>
        <w:tc>
          <w:tcPr>
            <w:tcW w:w="180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1,208,145</w:t>
            </w:r>
          </w:p>
        </w:tc>
        <w:tc>
          <w:tcPr>
            <w:tcW w:w="178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1,208,145</w:t>
            </w:r>
          </w:p>
        </w:tc>
        <w:tc>
          <w:tcPr>
            <w:tcW w:w="1280" w:type="dxa"/>
            <w:vAlign w:val="bottom"/>
            <w:tcBorders>
              <w:bottom w:val="single" w:sz="8" w:color="3D85C6"/>
              <w:right w:val="single" w:sz="8" w:color="3D85C6"/>
            </w:tcBorders>
          </w:tcPr>
          <w:p>
            <w:pPr>
              <w:jc w:val="right"/>
              <w:spacing w:after="0" w:line="188" w:lineRule="exact"/>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7"/>
                <w:szCs w:val="17"/>
                <w:color w:val="auto"/>
              </w:rPr>
              <w:t>* Less than 1%</w:t>
            </w:r>
          </w:p>
        </w:tc>
        <w:tc>
          <w:tcPr>
            <w:tcW w:w="18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20" w:right="160" w:hanging="316"/>
        <w:spacing w:after="0" w:line="241"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Shares issuable upon exercise of stock options and restricted stock units and performance stock units held by directors and executive officers that were exercisable or will otherwise vest on or within 60 days of October 23, 2026. For employees, restricted stock units and performance stock units issue for a net number of shares to satisfy payment of the statutory tax withholding requirements to be paid by us on behalf of such employees and, as a result, the actual number of shares received after taxes will be fewer.</w:t>
      </w:r>
    </w:p>
    <w:p>
      <w:pPr>
        <w:spacing w:after="0" w:line="2" w:lineRule="exact"/>
        <w:rPr>
          <w:rFonts w:ascii="Arial" w:cs="Arial" w:eastAsia="Arial" w:hAnsi="Arial"/>
          <w:sz w:val="16"/>
          <w:szCs w:val="16"/>
          <w:color w:val="auto"/>
        </w:rPr>
      </w:pPr>
    </w:p>
    <w:p>
      <w:pPr>
        <w:ind w:left="320" w:right="240" w:hanging="316"/>
        <w:spacing w:after="0" w:line="237"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Computed on the basis of 47,346,050 shares of Cohu common stock outstanding as of October 23, 2026, plus, with respect to each person holding options and restricted stock units and performance stock units that were exercisable or will otherwise vest on or within 60 days of October 23, 2026, the number of shares of Cohu common stock issuable upon exercise or vesting thereof.</w:t>
      </w:r>
    </w:p>
    <w:p>
      <w:pPr>
        <w:jc w:val="both"/>
        <w:ind w:left="320" w:right="100" w:hanging="316"/>
        <w:spacing w:after="0" w:line="237"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According to the Schedule 13G/A filed with the SEC on July 17, 2025, BlackRock, Inc. reported that its affiliated companies collectively had sole voting power with respect to 6,736,457 shares and sole dispositive power with respect to 6,848,670 shares, and no shared voting or shared dispositive power with respect to these shares.</w:t>
      </w:r>
    </w:p>
    <w:p>
      <w:pPr>
        <w:ind w:left="320" w:right="380" w:hanging="316"/>
        <w:spacing w:after="0" w:line="237"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According to the Schedule 13G filed with the SEC on August 12, 2026, Capital World Investors reported that it had sole voting power and sole dispositive power with respect to 2,757,413 shares, and no shared voting or shared dispositive power with respect to these shares.</w:t>
      </w:r>
    </w:p>
    <w:p>
      <w:pPr>
        <w:ind w:left="320" w:right="260" w:hanging="316"/>
        <w:spacing w:after="0" w:line="237"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According to Schedule 13G filed with the SEC on February 10, 2025, Thrivent Financial for Lutherans reported that it had sole dispositive and voting power with respect to 12,654 shares, and shared voting and dispositive power with respect to 2,602,581 shares.</w:t>
      </w:r>
    </w:p>
    <w:p>
      <w:pPr>
        <w:ind w:left="320" w:right="240" w:hanging="316"/>
        <w:spacing w:after="0" w:line="237"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According to a Schedule 13G filed with the SEC on July 31, 2026, Vanguard Capital Management reported that it had sole dispositive power with respect to 2,365,526 shares, sole voting power with respect to 358,189 shares, and no shared voting or dispositive power.</w:t>
      </w:r>
    </w:p>
    <w:p>
      <w:pPr>
        <w:ind w:left="320" w:hanging="316"/>
        <w:spacing w:after="0" w:line="237"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Beneficially owned common stock includes 27,403 deferred stock unit awards.</w:t>
      </w:r>
    </w:p>
    <w:p>
      <w:pPr>
        <w:ind w:left="320" w:hanging="316"/>
        <w:spacing w:after="0" w:line="237"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Beneficially owned common stock includes 61,382 deferred stock unit awards.</w:t>
      </w:r>
    </w:p>
    <w:p>
      <w:pPr>
        <w:ind w:left="320" w:hanging="316"/>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Beneficially owned common stock includes 11,992 deferred stock unit awards.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30" w:name="page31"/>
    <w:bookmarkEnd w:id="30"/>
    <w:p>
      <w:pPr>
        <w:spacing w:after="0"/>
        <w:rPr>
          <w:sz w:val="20"/>
          <w:szCs w:val="20"/>
          <w:color w:val="auto"/>
        </w:rPr>
      </w:pPr>
      <w:r>
        <w:rPr>
          <w:rFonts w:ascii="Arial" w:cs="Arial" w:eastAsia="Arial" w:hAnsi="Arial"/>
          <w:sz w:val="21"/>
          <w:szCs w:val="21"/>
          <w:b w:val="1"/>
          <w:bCs w:val="1"/>
          <w:color w:val="2D53A6"/>
        </w:rPr>
        <w:t>Solicitation and expenses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will bear the costs of preparing, printing, filing, and distributing these materials and soliciting proxies. Our directors, officers and employees may solicit proxies by mail, telephone, email, or other lawful means without additional compensation. We will reimburse brokers, banks, and other nominees for reasonable expenses of forwarding the materials.</w:t>
      </w:r>
    </w:p>
    <w:p>
      <w:pPr>
        <w:spacing w:after="0" w:line="147" w:lineRule="exact"/>
        <w:rPr>
          <w:sz w:val="20"/>
          <w:szCs w:val="20"/>
          <w:color w:val="auto"/>
        </w:rPr>
      </w:pPr>
    </w:p>
    <w:p>
      <w:pPr>
        <w:ind w:right="620"/>
        <w:spacing w:after="0" w:line="280" w:lineRule="auto"/>
        <w:rPr>
          <w:sz w:val="20"/>
          <w:szCs w:val="20"/>
          <w:color w:val="auto"/>
        </w:rPr>
      </w:pPr>
      <w:r>
        <w:rPr>
          <w:rFonts w:ascii="Arial" w:cs="Arial" w:eastAsia="Arial" w:hAnsi="Arial"/>
          <w:sz w:val="17"/>
          <w:szCs w:val="17"/>
          <w:color w:val="auto"/>
        </w:rPr>
        <w:t>We have retained Okapi Partners, LLC to assist with the solicitation of proxies and Broadridge to assist with proxy distribution and meeting services. We will pay Okapi a fee of $13,000 plus out-of-pocket expenses.</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Voting results</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An independent inspector of election will tabulate votes and report the results. We expect to report the voting results in a Current Report on Form 8-K within four business days after the meeting. If final results are not available in time, we will report preliminary results and file the required amendment after final results become available.</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Delivery to households</w:t>
      </w:r>
    </w:p>
    <w:p>
      <w:pPr>
        <w:spacing w:after="0" w:line="19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Stockholders sharing an address may receive one copy of these proxy materials if applicable delivery requirements are satisfied. Each stockholder will receive a separate proxy card or voting instruction form. We will promptly provide a separate copy of these materials to a stockholder who requests one from the Corporate Secretary at 17087 Via Del Campo, San Diego, California 92127-1711, or by contacting the Company’s Investor Relations at (858) 848-8106. Beneficial owners should contact their intermediary regarding household delivery preferences.</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Additional information and future meetings</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Our SEC reports and proxy statements are available through the SEC’s website. References in this proxy statement to earlier filings identify historical disclosures; they do not incorporate an entire earlier proxy statement into this document. Information required for this Special Meeting is set out here and in its annexes.</w:t>
      </w:r>
    </w:p>
    <w:p>
      <w:pPr>
        <w:spacing w:after="0" w:line="14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Special Meeting does not replace the Company’s 2027 annual meeting. Assuming that meeting is held within the applicable anniversary periods, stockholder proposals for inclusion in the 2027 annual-meeting proxy under Rule 14a-8 must be received at our principal executive offices by December 3, 2026. Under our bylaws, notice of other business or director nominations for that annual meeting must be received no earlier than the close of business on November 3, 2026, and no later than the close of business on December 3, 2026. Such submissions must satisfy the applicable content and procedural requirements.</w:t>
      </w:r>
    </w:p>
    <w:p>
      <w:pPr>
        <w:spacing w:after="0" w:line="15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addition to complying with the earlier bylaw notice requirements, a stockholder intending to solicit proxies for directors other than the Company’s nominees must provide the notice required by Rule 14a-19 no later than March 16, 2027, assuming the meeting date does not change by more than 30 days from the anniversary of the prior annual meeting. Different deadlines apply under the rules and bylaws if the meeting date falls outside the applicable periods. Submissions should be addressed to the Corporate Secretary at our principal executive offices.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Board knows of no substantive business to be presented at the Special Meeting other than the matters described in this notice and proxy statement. Any procedural matter properly arising in connection with the noticed business will be handled within the authority granted by the proxy and applicable law.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55" w:right="359" w:bottom="1440" w:gutter="0" w:footer="0" w:header="0"/>
        </w:sectPr>
      </w:pPr>
    </w:p>
    <w:bookmarkStart w:id="31" w:name="page32"/>
    <w:bookmarkEnd w:id="31"/>
    <w:p>
      <w:pPr>
        <w:spacing w:after="0"/>
        <w:rPr>
          <w:sz w:val="20"/>
          <w:szCs w:val="20"/>
          <w:color w:val="auto"/>
        </w:rPr>
      </w:pPr>
      <w:r>
        <w:rPr>
          <w:rFonts w:ascii="Arial" w:cs="Arial" w:eastAsia="Arial" w:hAnsi="Arial"/>
          <w:sz w:val="31"/>
          <w:szCs w:val="31"/>
          <w:b w:val="1"/>
          <w:bCs w:val="1"/>
          <w:color w:val="FFFFFF"/>
        </w:rPr>
        <w:drawing>
          <wp:anchor simplePos="0" relativeHeight="251657728" behindDoc="1" locked="0" layoutInCell="0" allowOverlap="1">
            <wp:simplePos x="0" y="0"/>
            <wp:positionH relativeFrom="page">
              <wp:posOffset>205740</wp:posOffset>
            </wp:positionH>
            <wp:positionV relativeFrom="page">
              <wp:posOffset>369570</wp:posOffset>
            </wp:positionV>
            <wp:extent cx="7137400" cy="2806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7400" cy="280670"/>
                    </a:xfrm>
                    <a:prstGeom prst="rect">
                      <a:avLst/>
                    </a:prstGeom>
                    <a:noFill/>
                  </pic:spPr>
                </pic:pic>
              </a:graphicData>
            </a:graphic>
          </wp:anchor>
        </w:drawing>
        <w:t>Form of Proxy</w:t>
      </w:r>
    </w:p>
    <w:p>
      <w:pPr>
        <w:sectPr>
          <w:pgSz w:w="11900" w:h="16838" w:orient="portrait"/>
          <w:cols w:equalWidth="0" w:num="1">
            <w:col w:w="10139"/>
          </w:cols>
          <w:pgMar w:left="320" w:top="592"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COHU, INC.</w:t>
      </w:r>
    </w:p>
    <w:p>
      <w:pPr>
        <w:spacing w:after="0" w:line="17"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SPECIAL MEETING OF STOCKHOLDERS</w:t>
      </w:r>
    </w:p>
    <w:p>
      <w:pPr>
        <w:jc w:val="center"/>
        <w:ind w:right="-1120"/>
        <w:spacing w:after="0"/>
        <w:rPr>
          <w:sz w:val="20"/>
          <w:szCs w:val="20"/>
          <w:color w:val="auto"/>
        </w:rPr>
      </w:pPr>
      <w:r>
        <w:rPr>
          <w:rFonts w:ascii="Arial" w:cs="Arial" w:eastAsia="Arial" w:hAnsi="Arial"/>
          <w:sz w:val="17"/>
          <w:szCs w:val="17"/>
          <w:b w:val="1"/>
          <w:bCs w:val="1"/>
          <w:color w:val="auto"/>
        </w:rPr>
        <w:t>December 15, 2026</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Circulated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349885</wp:posOffset>
            </wp:positionV>
            <wp:extent cx="713740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139"/>
          </w:cols>
          <w:pgMar w:left="320" w:top="592" w:right="1440"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31"/>
          <w:szCs w:val="31"/>
          <w:color w:val="FFFFFF"/>
        </w:rPr>
        <w:drawing>
          <wp:anchor simplePos="0" relativeHeight="251657728" behindDoc="1" locked="0" layoutInCell="0" allowOverlap="1">
            <wp:simplePos x="0" y="0"/>
            <wp:positionH relativeFrom="page">
              <wp:posOffset>205740</wp:posOffset>
            </wp:positionH>
            <wp:positionV relativeFrom="page">
              <wp:posOffset>361315</wp:posOffset>
            </wp:positionV>
            <wp:extent cx="7137400" cy="2806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7400" cy="280670"/>
                    </a:xfrm>
                    <a:prstGeom prst="rect">
                      <a:avLst/>
                    </a:prstGeom>
                    <a:noFill/>
                  </pic:spPr>
                </pic:pic>
              </a:graphicData>
            </a:graphic>
          </wp:anchor>
        </w:drawing>
        <w:t>Annex A: Article Nineteenth</w:t>
      </w:r>
    </w:p>
    <w:p>
      <w:pPr>
        <w:sectPr>
          <w:pgSz w:w="11900" w:h="16838" w:orient="portrait"/>
          <w:cols w:equalWidth="0" w:num="1">
            <w:col w:w="11100"/>
          </w:cols>
          <w:pgMar w:left="320" w:top="581" w:right="47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Text reflected in the June 5, 2024, historical officer-liability amendment and the Company’s current certificate of incorporation.</w:t>
      </w:r>
    </w:p>
    <w:p>
      <w:pPr>
        <w:spacing w:after="0" w:line="194" w:lineRule="exact"/>
        <w:rPr>
          <w:sz w:val="20"/>
          <w:szCs w:val="20"/>
          <w:color w:val="auto"/>
        </w:rPr>
      </w:pPr>
    </w:p>
    <w:p>
      <w:pPr>
        <w:jc w:val="both"/>
        <w:ind w:left="620"/>
        <w:spacing w:after="0" w:line="259" w:lineRule="auto"/>
        <w:rPr>
          <w:sz w:val="20"/>
          <w:szCs w:val="20"/>
          <w:color w:val="auto"/>
        </w:rPr>
      </w:pPr>
      <w:r>
        <w:rPr>
          <w:rFonts w:ascii="Arial" w:cs="Arial" w:eastAsia="Arial" w:hAnsi="Arial"/>
          <w:sz w:val="17"/>
          <w:szCs w:val="17"/>
          <w:color w:val="auto"/>
        </w:rPr>
        <w:t>No director or officer of the Corporation shall be liable to the Corporation or its stockholders for monetary damages for breach of fiduciary duty as a director or officer, as applicable, except to the extent such an exemption from liability or limitation thereof is not permitted under the Delaware General Corporation Law (the “DGCL”) as presently in effect or as the same may hereafter be amended.</w:t>
      </w:r>
    </w:p>
    <w:p>
      <w:pPr>
        <w:spacing w:after="0" w:line="147" w:lineRule="exact"/>
        <w:rPr>
          <w:sz w:val="20"/>
          <w:szCs w:val="20"/>
          <w:color w:val="auto"/>
        </w:rPr>
      </w:pPr>
    </w:p>
    <w:p>
      <w:pPr>
        <w:ind w:left="620" w:right="100"/>
        <w:spacing w:after="0" w:line="280" w:lineRule="auto"/>
        <w:rPr>
          <w:sz w:val="20"/>
          <w:szCs w:val="20"/>
          <w:color w:val="auto"/>
        </w:rPr>
      </w:pPr>
      <w:r>
        <w:rPr>
          <w:rFonts w:ascii="Arial" w:cs="Arial" w:eastAsia="Arial" w:hAnsi="Arial"/>
          <w:sz w:val="17"/>
          <w:szCs w:val="17"/>
          <w:color w:val="auto"/>
        </w:rPr>
        <w:t>No amendment to or repeal of this provision shall apply to or have any effect on the liability or alleged liability of any director or officer of the Corporation for or with respect to any acts or omissions of such director or officer occurring prior to such amendment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306705</wp:posOffset>
            </wp:positionV>
            <wp:extent cx="713740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00"/>
          </w:cols>
          <w:pgMar w:left="320" w:top="581" w:right="4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31"/>
          <w:szCs w:val="31"/>
          <w:color w:val="FFFFFF"/>
        </w:rPr>
        <w:drawing>
          <wp:anchor simplePos="0" relativeHeight="251657728" behindDoc="1" locked="0" layoutInCell="0" allowOverlap="1">
            <wp:simplePos x="0" y="0"/>
            <wp:positionH relativeFrom="page">
              <wp:posOffset>205740</wp:posOffset>
            </wp:positionH>
            <wp:positionV relativeFrom="page">
              <wp:posOffset>361315</wp:posOffset>
            </wp:positionV>
            <wp:extent cx="7137400" cy="2806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7400" cy="280670"/>
                    </a:xfrm>
                    <a:prstGeom prst="rect">
                      <a:avLst/>
                    </a:prstGeom>
                    <a:noFill/>
                  </pic:spPr>
                </pic:pic>
              </a:graphicData>
            </a:graphic>
          </wp:anchor>
        </w:drawing>
        <w:t>Annex B: Amended First Paragraph of Article Fourth</w:t>
      </w:r>
    </w:p>
    <w:p>
      <w:pPr>
        <w:sectPr>
          <w:pgSz w:w="11900" w:h="16838" w:orient="portrait"/>
          <w:cols w:equalWidth="0" w:num="1">
            <w:col w:w="11180"/>
          </w:cols>
          <w:pgMar w:left="320" w:top="581" w:right="39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Text of the authorized-share provision reflected in the May 15, 2026, historical amendment.</w:t>
      </w:r>
    </w:p>
    <w:p>
      <w:pPr>
        <w:spacing w:after="0" w:line="194" w:lineRule="exact"/>
        <w:rPr>
          <w:sz w:val="20"/>
          <w:szCs w:val="20"/>
          <w:color w:val="auto"/>
        </w:rPr>
      </w:pPr>
    </w:p>
    <w:p>
      <w:pPr>
        <w:ind w:left="620"/>
        <w:spacing w:after="0" w:line="259" w:lineRule="auto"/>
        <w:rPr>
          <w:sz w:val="20"/>
          <w:szCs w:val="20"/>
          <w:color w:val="auto"/>
        </w:rPr>
      </w:pPr>
      <w:r>
        <w:rPr>
          <w:rFonts w:ascii="Arial" w:cs="Arial" w:eastAsia="Arial" w:hAnsi="Arial"/>
          <w:sz w:val="17"/>
          <w:szCs w:val="17"/>
          <w:color w:val="auto"/>
        </w:rPr>
        <w:t>The total number of shares of all classes of stock which the Corporation shall have authority to issue is 151,000,000 shares, of which 1,000,000 shares shall constitute Preferred Stock having a par value of $1.00 per share and 150,000,000 shares shall constitute Common Stock having a par value of $1.00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318135</wp:posOffset>
            </wp:positionV>
            <wp:extent cx="713740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80"/>
          </w:cols>
          <w:pgMar w:left="320" w:top="581" w:right="3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31"/>
          <w:szCs w:val="31"/>
          <w:color w:val="FFFFFF"/>
        </w:rPr>
        <w:drawing>
          <wp:anchor simplePos="0" relativeHeight="251657728" behindDoc="1" locked="0" layoutInCell="0" allowOverlap="1">
            <wp:simplePos x="0" y="0"/>
            <wp:positionH relativeFrom="page">
              <wp:posOffset>205740</wp:posOffset>
            </wp:positionH>
            <wp:positionV relativeFrom="page">
              <wp:posOffset>509905</wp:posOffset>
            </wp:positionV>
            <wp:extent cx="7137400" cy="2806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7400" cy="280670"/>
                    </a:xfrm>
                    <a:prstGeom prst="rect">
                      <a:avLst/>
                    </a:prstGeom>
                    <a:noFill/>
                  </pic:spPr>
                </pic:pic>
              </a:graphicData>
            </a:graphic>
          </wp:anchor>
        </w:drawing>
        <w:t>Annex C: Cohu, Inc. 2026 Equity Incentive Plan</w:t>
      </w:r>
    </w:p>
    <w:p>
      <w:pPr>
        <w:sectPr>
          <w:pgSz w:w="11900" w:h="16838" w:orient="portrait"/>
          <w:cols w:equalWidth="0" w:num="1">
            <w:col w:w="11240"/>
          </w:cols>
          <w:pgMar w:left="320" w:top="815" w:right="3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2D53A6"/>
        </w:rPr>
        <w:t>Cohu, Inc. 2026 Equity Incentive Plan</w:t>
      </w:r>
    </w:p>
    <w:p>
      <w:pPr>
        <w:spacing w:after="0" w:line="195" w:lineRule="exact"/>
        <w:rPr>
          <w:sz w:val="20"/>
          <w:szCs w:val="20"/>
          <w:color w:val="auto"/>
        </w:rPr>
      </w:pPr>
    </w:p>
    <w:p>
      <w:pPr>
        <w:ind w:left="1260" w:hanging="632"/>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b w:val="1"/>
          <w:bCs w:val="1"/>
          <w:u w:val="single" w:color="auto"/>
          <w:color w:val="auto"/>
        </w:rPr>
        <w:t>E</w:t>
      </w:r>
      <w:r>
        <w:rPr>
          <w:rFonts w:ascii="Arial" w:cs="Arial" w:eastAsia="Arial" w:hAnsi="Arial"/>
          <w:sz w:val="11"/>
          <w:szCs w:val="11"/>
          <w:b w:val="1"/>
          <w:bCs w:val="1"/>
          <w:u w:val="single" w:color="auto"/>
          <w:color w:val="auto"/>
        </w:rPr>
        <w:t>stablishment</w:t>
      </w:r>
      <w:r>
        <w:rPr>
          <w:rFonts w:ascii="Arial" w:cs="Arial" w:eastAsia="Arial" w:hAnsi="Arial"/>
          <w:sz w:val="17"/>
          <w:szCs w:val="17"/>
          <w:b w:val="1"/>
          <w:bCs w:val="1"/>
          <w:u w:val="single" w:color="auto"/>
          <w:color w:val="auto"/>
        </w:rPr>
        <w:t>, P</w:t>
      </w:r>
      <w:r>
        <w:rPr>
          <w:rFonts w:ascii="Arial" w:cs="Arial" w:eastAsia="Arial" w:hAnsi="Arial"/>
          <w:sz w:val="11"/>
          <w:szCs w:val="11"/>
          <w:b w:val="1"/>
          <w:bCs w:val="1"/>
          <w:u w:val="single" w:color="auto"/>
          <w:color w:val="auto"/>
        </w:rPr>
        <w:t>urpose 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w:t>
      </w:r>
      <w:r>
        <w:rPr>
          <w:rFonts w:ascii="Arial" w:cs="Arial" w:eastAsia="Arial" w:hAnsi="Arial"/>
          <w:sz w:val="11"/>
          <w:szCs w:val="11"/>
          <w:b w:val="1"/>
          <w:bCs w:val="1"/>
          <w:u w:val="single" w:color="auto"/>
          <w:color w:val="auto"/>
        </w:rPr>
        <w:t>erm of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w:t>
      </w:r>
      <w:r>
        <w:rPr>
          <w:rFonts w:ascii="Arial" w:cs="Arial" w:eastAsia="Arial" w:hAnsi="Arial"/>
          <w:sz w:val="11"/>
          <w:szCs w:val="11"/>
          <w:b w:val="1"/>
          <w:bCs w:val="1"/>
          <w:u w:val="single" w:color="auto"/>
          <w:color w:val="auto"/>
        </w:rPr>
        <w:t>lan</w:t>
      </w:r>
      <w:r>
        <w:rPr>
          <w:rFonts w:ascii="Arial" w:cs="Arial" w:eastAsia="Arial" w:hAnsi="Arial"/>
          <w:sz w:val="17"/>
          <w:szCs w:val="17"/>
          <w:color w:val="auto"/>
        </w:rPr>
        <w:t>.</w:t>
      </w:r>
    </w:p>
    <w:p>
      <w:pPr>
        <w:spacing w:after="0" w:line="233"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b w:val="1"/>
          <w:bCs w:val="1"/>
          <w:color w:val="auto"/>
        </w:rPr>
        <w:t>Establishment</w:t>
      </w:r>
      <w:r>
        <w:rPr>
          <w:rFonts w:ascii="Arial" w:cs="Arial" w:eastAsia="Arial" w:hAnsi="Arial"/>
          <w:sz w:val="17"/>
          <w:szCs w:val="17"/>
          <w:color w:val="auto"/>
        </w:rPr>
        <w:t>.</w:t>
      </w:r>
    </w:p>
    <w:p>
      <w:pPr>
        <w:spacing w:after="0" w:line="235" w:lineRule="exact"/>
        <w:rPr>
          <w:sz w:val="20"/>
          <w:szCs w:val="20"/>
          <w:color w:val="auto"/>
        </w:rPr>
      </w:pPr>
    </w:p>
    <w:p>
      <w:pPr>
        <w:ind w:right="540" w:firstLine="1875"/>
        <w:spacing w:after="0" w:line="280" w:lineRule="auto"/>
        <w:tabs>
          <w:tab w:leader="none" w:pos="227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Cohu, Inc. 2026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is hereby established effective as of the Effective Date. Certain capitalized terms used herein have the meanings set forth in Section 2 of the Plan.</w:t>
      </w:r>
    </w:p>
    <w:p>
      <w:pPr>
        <w:spacing w:after="0" w:line="128" w:lineRule="exact"/>
        <w:rPr>
          <w:rFonts w:ascii="Arial" w:cs="Arial" w:eastAsia="Arial" w:hAnsi="Arial"/>
          <w:sz w:val="17"/>
          <w:szCs w:val="17"/>
          <w:color w:val="auto"/>
        </w:rPr>
      </w:pPr>
    </w:p>
    <w:p>
      <w:pPr>
        <w:ind w:firstLine="1875"/>
        <w:spacing w:after="0" w:line="249" w:lineRule="auto"/>
        <w:tabs>
          <w:tab w:leader="none" w:pos="227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Plan is the successor to the Prior Plan. As of the Effective Date: (i) no additional awards may be granted under the Prior Plan; (ii) any Returning Shares will become available for issuance pursuant to Awards granted under this Plan; and (iii) all awards granted under the Prior Plan that are outstanding on the Effective Date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53" w:lineRule="exact"/>
        <w:rPr>
          <w:sz w:val="20"/>
          <w:szCs w:val="20"/>
          <w:color w:val="auto"/>
        </w:rPr>
      </w:pPr>
    </w:p>
    <w:p>
      <w:pPr>
        <w:ind w:right="60" w:firstLine="1247"/>
        <w:spacing w:after="0" w:line="250"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Purpose</w:t>
      </w:r>
      <w:r>
        <w:rPr>
          <w:rFonts w:ascii="Arial" w:cs="Arial" w:eastAsia="Arial" w:hAnsi="Arial"/>
          <w:sz w:val="17"/>
          <w:szCs w:val="17"/>
          <w:color w:val="auto"/>
        </w:rPr>
        <w:t>.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151" w:lineRule="exact"/>
        <w:rPr>
          <w:sz w:val="20"/>
          <w:szCs w:val="20"/>
          <w:color w:val="auto"/>
        </w:rPr>
      </w:pPr>
    </w:p>
    <w:p>
      <w:pPr>
        <w:ind w:right="240" w:firstLine="1247"/>
        <w:spacing w:after="0" w:line="250"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color w:val="auto"/>
        </w:rPr>
        <w:t>Term of Plan</w:t>
      </w:r>
      <w:r>
        <w:rPr>
          <w:rFonts w:ascii="Arial" w:cs="Arial" w:eastAsia="Arial" w:hAnsi="Arial"/>
          <w:sz w:val="17"/>
          <w:szCs w:val="17"/>
          <w:color w:val="auto"/>
        </w:rPr>
        <w:t>. The Plan shall continue in effect until its termination by the Committee; provided, however, that any Incentive Stock Option shall be granted, if at all, within ten (10) years from the earlier of: (i) the date the Board or the Committee most recently approved the applicable number of shares issuable under the Plan pursuant to the exercise of Incentive Stock Options, or (ii) the date the Company’s stockholders most recently approved the maximum applicable number of shares issuable under the Plan pursuant to the exercise of Incentive Stock Options.</w:t>
      </w:r>
    </w:p>
    <w:p>
      <w:pPr>
        <w:spacing w:after="0" w:line="151" w:lineRule="exact"/>
        <w:rPr>
          <w:sz w:val="20"/>
          <w:szCs w:val="20"/>
          <w:color w:val="auto"/>
        </w:rPr>
      </w:pPr>
    </w:p>
    <w:p>
      <w:pPr>
        <w:ind w:left="1260" w:hanging="632"/>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D</w:t>
      </w:r>
      <w:r>
        <w:rPr>
          <w:rFonts w:ascii="Arial" w:cs="Arial" w:eastAsia="Arial" w:hAnsi="Arial"/>
          <w:sz w:val="11"/>
          <w:szCs w:val="11"/>
          <w:b w:val="1"/>
          <w:bCs w:val="1"/>
          <w:u w:val="single" w:color="auto"/>
          <w:color w:val="auto"/>
        </w:rPr>
        <w:t>efinitions 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w:t>
      </w:r>
      <w:r>
        <w:rPr>
          <w:rFonts w:ascii="Arial" w:cs="Arial" w:eastAsia="Arial" w:hAnsi="Arial"/>
          <w:sz w:val="11"/>
          <w:szCs w:val="11"/>
          <w:b w:val="1"/>
          <w:bCs w:val="1"/>
          <w:u w:val="single" w:color="auto"/>
          <w:color w:val="auto"/>
        </w:rPr>
        <w:t>onstruction</w:t>
      </w:r>
      <w:r>
        <w:rPr>
          <w:rFonts w:ascii="Arial" w:cs="Arial" w:eastAsia="Arial" w:hAnsi="Arial"/>
          <w:sz w:val="17"/>
          <w:szCs w:val="17"/>
          <w:color w:val="auto"/>
        </w:rPr>
        <w:t>.</w:t>
      </w:r>
    </w:p>
    <w:p>
      <w:pPr>
        <w:spacing w:after="0" w:line="233"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b w:val="1"/>
          <w:bCs w:val="1"/>
          <w:color w:val="auto"/>
        </w:rPr>
        <w:t>Definitions</w:t>
      </w:r>
      <w:r>
        <w:rPr>
          <w:rFonts w:ascii="Arial" w:cs="Arial" w:eastAsia="Arial" w:hAnsi="Arial"/>
          <w:sz w:val="17"/>
          <w:szCs w:val="17"/>
          <w:color w:val="auto"/>
        </w:rPr>
        <w:t>. Whenever used herein, the following terms shall have their respective meanings set forth below:</w:t>
      </w:r>
    </w:p>
    <w:p>
      <w:pPr>
        <w:spacing w:after="0" w:line="196" w:lineRule="exact"/>
        <w:rPr>
          <w:sz w:val="20"/>
          <w:szCs w:val="20"/>
          <w:color w:val="auto"/>
        </w:rPr>
      </w:pPr>
    </w:p>
    <w:p>
      <w:pPr>
        <w:ind w:right="20" w:firstLine="1875"/>
        <w:spacing w:after="0" w:line="252" w:lineRule="auto"/>
        <w:tabs>
          <w:tab w:leader="none" w:pos="2468"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p>
    <w:p>
      <w:pPr>
        <w:spacing w:after="0" w:line="192" w:lineRule="exact"/>
        <w:rPr>
          <w:rFonts w:ascii="Arial" w:cs="Arial" w:eastAsia="Arial" w:hAnsi="Arial"/>
          <w:sz w:val="17"/>
          <w:szCs w:val="17"/>
          <w:color w:val="auto"/>
        </w:rPr>
      </w:pPr>
    </w:p>
    <w:p>
      <w:pPr>
        <w:ind w:right="140" w:firstLine="1875"/>
        <w:spacing w:after="0" w:line="280" w:lineRule="auto"/>
        <w:tabs>
          <w:tab w:leader="none" w:pos="2468" w:val="left"/>
        </w:tabs>
        <w:numPr>
          <w:ilvl w:val="0"/>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any Option, Stock Appreciation Right, Restricted Stock Purchase Right, Restricted Stock Bonus, Restricted Stock Unit, Performance Share, Performance Unit, Cash-Based Award or Other Stock-Based Award granted under the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type w:val="continuous"/>
        </w:sectPr>
      </w:pPr>
    </w:p>
    <w:bookmarkStart w:id="35" w:name="page36"/>
    <w:bookmarkEnd w:id="35"/>
    <w:p>
      <w:pPr>
        <w:ind w:left="-20" w:right="340" w:firstLine="1875"/>
        <w:spacing w:after="0" w:line="280" w:lineRule="auto"/>
        <w:tabs>
          <w:tab w:leader="none" w:pos="2438"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a written or electronic agreement between the Company and a Participant setting forth the terms, conditions and restrictions applicable to an Award.</w:t>
      </w:r>
    </w:p>
    <w:p>
      <w:pPr>
        <w:spacing w:after="0" w:line="128" w:lineRule="exact"/>
        <w:rPr>
          <w:rFonts w:ascii="Arial" w:cs="Arial" w:eastAsia="Arial" w:hAnsi="Arial"/>
          <w:sz w:val="17"/>
          <w:szCs w:val="17"/>
          <w:color w:val="auto"/>
        </w:rPr>
      </w:pPr>
    </w:p>
    <w:p>
      <w:pPr>
        <w:ind w:left="2460" w:hanging="605"/>
        <w:spacing w:after="0"/>
        <w:tabs>
          <w:tab w:leader="none" w:pos="2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194" w:lineRule="exact"/>
        <w:rPr>
          <w:rFonts w:ascii="Arial" w:cs="Arial" w:eastAsia="Arial" w:hAnsi="Arial"/>
          <w:sz w:val="17"/>
          <w:szCs w:val="17"/>
          <w:color w:val="auto"/>
        </w:rPr>
      </w:pPr>
    </w:p>
    <w:p>
      <w:pPr>
        <w:ind w:left="2460" w:hanging="605"/>
        <w:spacing w:after="0"/>
        <w:tabs>
          <w:tab w:leader="none" w:pos="2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Cash-Based Award</w:t>
      </w:r>
      <w:r>
        <w:rPr>
          <w:rFonts w:ascii="Arial" w:cs="Arial" w:eastAsia="Arial" w:hAnsi="Arial"/>
          <w:sz w:val="17"/>
          <w:szCs w:val="17"/>
          <w:color w:val="auto"/>
        </w:rPr>
        <w:t>” means an Award denominated in cash and granted pursuant to Section 11.</w:t>
      </w:r>
    </w:p>
    <w:p>
      <w:pPr>
        <w:spacing w:after="0" w:line="194" w:lineRule="exact"/>
        <w:rPr>
          <w:rFonts w:ascii="Arial" w:cs="Arial" w:eastAsia="Arial" w:hAnsi="Arial"/>
          <w:sz w:val="17"/>
          <w:szCs w:val="17"/>
          <w:color w:val="auto"/>
        </w:rPr>
      </w:pPr>
    </w:p>
    <w:p>
      <w:pPr>
        <w:ind w:left="2460" w:hanging="605"/>
        <w:spacing w:after="0"/>
        <w:tabs>
          <w:tab w:leader="none" w:pos="2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Cashless Exercise</w:t>
      </w:r>
      <w:r>
        <w:rPr>
          <w:rFonts w:ascii="Arial" w:cs="Arial" w:eastAsia="Arial" w:hAnsi="Arial"/>
          <w:sz w:val="17"/>
          <w:szCs w:val="17"/>
          <w:color w:val="auto"/>
        </w:rPr>
        <w:t>” means a Cashless Exercise as defined in Section 6.3(b)(i).</w:t>
      </w:r>
    </w:p>
    <w:p>
      <w:pPr>
        <w:spacing w:after="0" w:line="194" w:lineRule="exact"/>
        <w:rPr>
          <w:rFonts w:ascii="Arial" w:cs="Arial" w:eastAsia="Arial" w:hAnsi="Arial"/>
          <w:sz w:val="17"/>
          <w:szCs w:val="17"/>
          <w:color w:val="auto"/>
        </w:rPr>
      </w:pPr>
    </w:p>
    <w:p>
      <w:pPr>
        <w:ind w:left="-20" w:firstLine="1875"/>
        <w:spacing w:after="0" w:line="242" w:lineRule="auto"/>
        <w:tabs>
          <w:tab w:leader="none" w:pos="24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xml:space="preserve">” has the meaning ascribed to such term in any written agreement between the Participant and the applicable Participating Company that employs or engages Participant defining such term and, in the absence of such an agreement that contains such term, ”Cause” means, with respect to a Participant, the occurrence of any of the following events: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of any criminal act involving fraud, dishonesty, misappropriation or moral turpitude, or which impairs the Participant’s ability to perform his or her duties with a Participating Company.</w:t>
      </w:r>
    </w:p>
    <w:p>
      <w:pPr>
        <w:spacing w:after="0" w:line="359" w:lineRule="exact"/>
        <w:rPr>
          <w:rFonts w:ascii="Arial" w:cs="Arial" w:eastAsia="Arial" w:hAnsi="Arial"/>
          <w:sz w:val="17"/>
          <w:szCs w:val="17"/>
          <w:color w:val="auto"/>
        </w:rPr>
      </w:pPr>
    </w:p>
    <w:p>
      <w:pPr>
        <w:ind w:left="-20" w:right="60" w:firstLine="1875"/>
        <w:spacing w:after="0" w:line="280" w:lineRule="auto"/>
        <w:tabs>
          <w:tab w:leader="none" w:pos="24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means, unless otherwise defined in the applicable Award Agreement, the occurrence of any one or a combination of the following events in each case which is actually consummated:</w:t>
      </w:r>
    </w:p>
    <w:p>
      <w:pPr>
        <w:spacing w:after="0" w:line="128" w:lineRule="exact"/>
        <w:rPr>
          <w:rFonts w:ascii="Arial" w:cs="Arial" w:eastAsia="Arial" w:hAnsi="Arial"/>
          <w:sz w:val="17"/>
          <w:szCs w:val="17"/>
          <w:color w:val="auto"/>
        </w:rPr>
      </w:pPr>
    </w:p>
    <w:p>
      <w:pPr>
        <w:ind w:left="-20" w:firstLine="2499"/>
        <w:spacing w:after="0" w:line="244" w:lineRule="auto"/>
        <w:tabs>
          <w:tab w:leader="none" w:pos="3062"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160" w:lineRule="exact"/>
        <w:rPr>
          <w:rFonts w:ascii="Arial" w:cs="Arial" w:eastAsia="Arial" w:hAnsi="Arial"/>
          <w:sz w:val="17"/>
          <w:szCs w:val="17"/>
          <w:color w:val="auto"/>
        </w:rPr>
      </w:pPr>
    </w:p>
    <w:p>
      <w:pPr>
        <w:ind w:left="-20" w:right="20" w:firstLine="2499"/>
        <w:spacing w:after="0" w:line="251" w:lineRule="auto"/>
        <w:tabs>
          <w:tab w:leader="none" w:pos="3052"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 Ownership Change Event or series of related Ownership Change Events (collectively, a “</w:t>
      </w:r>
      <w:r>
        <w:rPr>
          <w:rFonts w:ascii="Arial" w:cs="Arial" w:eastAsia="Arial" w:hAnsi="Arial"/>
          <w:sz w:val="17"/>
          <w:szCs w:val="17"/>
          <w:b w:val="1"/>
          <w:bCs w:val="1"/>
          <w:i w:val="1"/>
          <w:iCs w:val="1"/>
          <w:color w:val="auto"/>
        </w:rPr>
        <w:t>Transaction</w:t>
      </w:r>
      <w:r>
        <w:rPr>
          <w:rFonts w:ascii="Arial" w:cs="Arial" w:eastAsia="Arial" w:hAnsi="Arial"/>
          <w:sz w:val="17"/>
          <w:szCs w:val="17"/>
          <w:color w:val="auto"/>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2.1(ff)(iii), the entity to which the assets of the Company were transferred (the “</w:t>
      </w:r>
      <w:r>
        <w:rPr>
          <w:rFonts w:ascii="Arial" w:cs="Arial" w:eastAsia="Arial" w:hAnsi="Arial"/>
          <w:sz w:val="17"/>
          <w:szCs w:val="17"/>
          <w:b w:val="1"/>
          <w:bCs w:val="1"/>
          <w:i w:val="1"/>
          <w:iCs w:val="1"/>
          <w:color w:val="auto"/>
        </w:rPr>
        <w:t>Transferee</w:t>
      </w:r>
      <w:r>
        <w:rPr>
          <w:rFonts w:ascii="Arial" w:cs="Arial" w:eastAsia="Arial" w:hAnsi="Arial"/>
          <w:sz w:val="17"/>
          <w:szCs w:val="17"/>
          <w:color w:val="auto"/>
        </w:rPr>
        <w:t>”), as the case may be; 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76200</wp:posOffset>
            </wp:positionV>
            <wp:extent cx="713740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40" w:top="564" w:right="359" w:bottom="1440" w:gutter="0" w:footer="0" w:header="0"/>
        </w:sectPr>
      </w:pPr>
    </w:p>
    <w:bookmarkStart w:id="36" w:name="page37"/>
    <w:bookmarkEnd w:id="36"/>
    <w:p>
      <w:pPr>
        <w:ind w:left="3060" w:hanging="561"/>
        <w:spacing w:after="0"/>
        <w:tabs>
          <w:tab w:leader="none" w:pos="3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date specified by the Committee following approval by the stockholders of a plan of complete liquidation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or dissolution of the Company;</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spacing w:after="0" w:line="147"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be treated in the aggregate as a single Change in Control, and its determination shall be final, binding and conclusive.</w:t>
      </w:r>
    </w:p>
    <w:p>
      <w:pPr>
        <w:spacing w:after="0" w:line="155"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subsections (i), (ii) and (iii)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55"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Committee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54" w:lineRule="exact"/>
        <w:rPr>
          <w:sz w:val="20"/>
          <w:szCs w:val="20"/>
          <w:color w:val="auto"/>
        </w:rPr>
      </w:pPr>
    </w:p>
    <w:p>
      <w:pPr>
        <w:ind w:right="1100" w:firstLine="1875"/>
        <w:spacing w:after="0" w:line="280" w:lineRule="auto"/>
        <w:tabs>
          <w:tab w:leader="none" w:pos="2458"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and any applicable regulations and administrative guidelines promulgated thereunder.</w:t>
      </w:r>
    </w:p>
    <w:p>
      <w:pPr>
        <w:spacing w:after="0" w:line="128" w:lineRule="exact"/>
        <w:rPr>
          <w:rFonts w:ascii="Arial" w:cs="Arial" w:eastAsia="Arial" w:hAnsi="Arial"/>
          <w:sz w:val="17"/>
          <w:szCs w:val="17"/>
          <w:color w:val="auto"/>
        </w:rPr>
      </w:pPr>
    </w:p>
    <w:p>
      <w:pPr>
        <w:ind w:right="100" w:firstLine="1875"/>
        <w:spacing w:after="0" w:line="244" w:lineRule="auto"/>
        <w:tabs>
          <w:tab w:leader="none" w:pos="2458"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p>
    <w:p>
      <w:pPr>
        <w:spacing w:after="0" w:line="160" w:lineRule="exact"/>
        <w:rPr>
          <w:rFonts w:ascii="Arial" w:cs="Arial" w:eastAsia="Arial" w:hAnsi="Arial"/>
          <w:sz w:val="17"/>
          <w:szCs w:val="17"/>
          <w:color w:val="auto"/>
        </w:rPr>
      </w:pPr>
    </w:p>
    <w:p>
      <w:pPr>
        <w:ind w:left="2460" w:hanging="585"/>
        <w:spacing w:after="0"/>
        <w:tabs>
          <w:tab w:leader="none" w:pos="2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Cohu, Inc., a Delaware corporation, and any successor corporation thereto.</w:t>
      </w:r>
    </w:p>
    <w:p>
      <w:pPr>
        <w:spacing w:after="0" w:line="194" w:lineRule="exact"/>
        <w:rPr>
          <w:rFonts w:ascii="Arial" w:cs="Arial" w:eastAsia="Arial" w:hAnsi="Arial"/>
          <w:sz w:val="17"/>
          <w:szCs w:val="17"/>
          <w:color w:val="auto"/>
        </w:rPr>
      </w:pPr>
    </w:p>
    <w:p>
      <w:pPr>
        <w:ind w:firstLine="1875"/>
        <w:spacing w:after="0" w:line="252" w:lineRule="auto"/>
        <w:tabs>
          <w:tab w:leader="none" w:pos="2458"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7" w:name="page38"/>
    <w:bookmarkEnd w:id="37"/>
    <w:p>
      <w:pPr>
        <w:ind w:left="2480" w:hanging="605"/>
        <w:spacing w:after="0"/>
        <w:tabs>
          <w:tab w:leader="none" w:pos="2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Director</w:t>
      </w:r>
      <w:r>
        <w:rPr>
          <w:rFonts w:ascii="Arial" w:cs="Arial" w:eastAsia="Arial" w:hAnsi="Arial"/>
          <w:sz w:val="17"/>
          <w:szCs w:val="17"/>
          <w:color w:val="auto"/>
        </w:rPr>
        <w:t>” means a member of the Board.</w:t>
      </w:r>
    </w:p>
    <w:p>
      <w:pPr>
        <w:spacing w:after="0" w:line="194" w:lineRule="exact"/>
        <w:rPr>
          <w:rFonts w:ascii="Arial" w:cs="Arial" w:eastAsia="Arial" w:hAnsi="Arial"/>
          <w:sz w:val="17"/>
          <w:szCs w:val="17"/>
          <w:color w:val="auto"/>
        </w:rPr>
      </w:pPr>
    </w:p>
    <w:p>
      <w:pPr>
        <w:ind w:left="2480" w:hanging="605"/>
        <w:spacing w:after="0"/>
        <w:tabs>
          <w:tab w:leader="none" w:pos="2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the permanent and total disability of the Participant, within the meaning of Section 22(e)(3) of</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the Code.</w:t>
      </w:r>
    </w:p>
    <w:p>
      <w:pPr>
        <w:spacing w:after="0" w:line="178" w:lineRule="exact"/>
        <w:rPr>
          <w:sz w:val="20"/>
          <w:szCs w:val="20"/>
          <w:color w:val="auto"/>
        </w:rPr>
      </w:pPr>
    </w:p>
    <w:p>
      <w:pPr>
        <w:ind w:right="60" w:firstLine="1875"/>
        <w:spacing w:after="0" w:line="252" w:lineRule="auto"/>
        <w:tabs>
          <w:tab w:leader="none" w:pos="2468"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Dividend Equivalent Right</w:t>
      </w:r>
      <w:r>
        <w:rPr>
          <w:rFonts w:ascii="Arial" w:cs="Arial" w:eastAsia="Arial" w:hAnsi="Arial"/>
          <w:sz w:val="17"/>
          <w:szCs w:val="17"/>
          <w:color w:val="auto"/>
        </w:rPr>
        <w:t>”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 No Dividend Equivalent Right shall be credited or paid with respect to any Option or SAR.</w:t>
      </w:r>
    </w:p>
    <w:p>
      <w:pPr>
        <w:spacing w:after="0" w:line="153" w:lineRule="exact"/>
        <w:rPr>
          <w:rFonts w:ascii="Arial" w:cs="Arial" w:eastAsia="Arial" w:hAnsi="Arial"/>
          <w:sz w:val="17"/>
          <w:szCs w:val="17"/>
          <w:color w:val="auto"/>
        </w:rPr>
      </w:pPr>
    </w:p>
    <w:p>
      <w:pPr>
        <w:ind w:right="200" w:firstLine="1875"/>
        <w:spacing w:after="0" w:line="280" w:lineRule="auto"/>
        <w:tabs>
          <w:tab w:leader="none" w:pos="2468"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means the date of the annual meeting of shareholders of the Company held in 2026; provided, that this Plan is approved by the Company’s stockholders at such meeting.</w:t>
      </w:r>
    </w:p>
    <w:p>
      <w:pPr>
        <w:spacing w:after="0" w:line="128" w:lineRule="exact"/>
        <w:rPr>
          <w:rFonts w:ascii="Arial" w:cs="Arial" w:eastAsia="Arial" w:hAnsi="Arial"/>
          <w:sz w:val="17"/>
          <w:szCs w:val="17"/>
          <w:color w:val="auto"/>
        </w:rPr>
      </w:pPr>
    </w:p>
    <w:p>
      <w:pPr>
        <w:ind w:firstLine="1875"/>
        <w:spacing w:after="0" w:line="244" w:lineRule="auto"/>
        <w:tabs>
          <w:tab w:leader="none" w:pos="2468"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160" w:lineRule="exact"/>
        <w:rPr>
          <w:rFonts w:ascii="Arial" w:cs="Arial" w:eastAsia="Arial" w:hAnsi="Arial"/>
          <w:sz w:val="17"/>
          <w:szCs w:val="17"/>
          <w:color w:val="auto"/>
        </w:rPr>
      </w:pPr>
    </w:p>
    <w:p>
      <w:pPr>
        <w:ind w:left="2480" w:hanging="605"/>
        <w:spacing w:after="0"/>
        <w:tabs>
          <w:tab w:leader="none" w:pos="2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w:t>
      </w:r>
    </w:p>
    <w:p>
      <w:pPr>
        <w:spacing w:after="0" w:line="194" w:lineRule="exact"/>
        <w:rPr>
          <w:rFonts w:ascii="Arial" w:cs="Arial" w:eastAsia="Arial" w:hAnsi="Arial"/>
          <w:sz w:val="17"/>
          <w:szCs w:val="17"/>
          <w:color w:val="auto"/>
        </w:rPr>
      </w:pPr>
    </w:p>
    <w:p>
      <w:pPr>
        <w:ind w:right="20" w:firstLine="1875"/>
        <w:spacing w:after="0" w:line="259" w:lineRule="auto"/>
        <w:tabs>
          <w:tab w:leader="none" w:pos="24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a share of Stock or other property as determined by the Committee, in its discretion, or by the Company, in its discretion, if such determination is expressly allocated to the Company herein, subject to the following:</w:t>
      </w:r>
    </w:p>
    <w:p>
      <w:pPr>
        <w:spacing w:after="0" w:line="146" w:lineRule="exact"/>
        <w:rPr>
          <w:rFonts w:ascii="Arial" w:cs="Arial" w:eastAsia="Arial" w:hAnsi="Arial"/>
          <w:sz w:val="17"/>
          <w:szCs w:val="17"/>
          <w:color w:val="auto"/>
        </w:rPr>
      </w:pPr>
    </w:p>
    <w:p>
      <w:pPr>
        <w:ind w:right="140" w:firstLine="2499"/>
        <w:spacing w:after="0" w:line="246" w:lineRule="auto"/>
        <w:tabs>
          <w:tab w:leader="none" w:pos="3034"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Arial" w:cs="Arial" w:eastAsia="Arial" w:hAnsi="Arial"/>
          <w:sz w:val="17"/>
          <w:szCs w:val="17"/>
          <w:i w:val="1"/>
          <w:iCs w:val="1"/>
          <w:color w:val="auto"/>
        </w:rPr>
        <w:t xml:space="preserve">The Wall Street Journal </w:t>
      </w:r>
      <w:r>
        <w:rPr>
          <w:rFonts w:ascii="Arial" w:cs="Arial" w:eastAsia="Arial" w:hAnsi="Arial"/>
          <w:sz w:val="17"/>
          <w:szCs w:val="17"/>
          <w:color w:val="auto"/>
        </w:rPr>
        <w:t>or such other source as the Company deems reliable. If the relevant date does not fall on a day on which the Stock has</w:t>
      </w:r>
      <w:r>
        <w:rPr>
          <w:rFonts w:ascii="Arial" w:cs="Arial" w:eastAsia="Arial" w:hAnsi="Arial"/>
          <w:sz w:val="17"/>
          <w:szCs w:val="17"/>
          <w:i w:val="1"/>
          <w:iCs w:val="1"/>
          <w:color w:val="auto"/>
        </w:rPr>
        <w:t xml:space="preserve"> </w:t>
      </w:r>
      <w:r>
        <w:rPr>
          <w:rFonts w:ascii="Arial" w:cs="Arial" w:eastAsia="Arial" w:hAnsi="Arial"/>
          <w:sz w:val="17"/>
          <w:szCs w:val="17"/>
          <w:color w:val="auto"/>
        </w:rPr>
        <w:t>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156" w:lineRule="exact"/>
        <w:rPr>
          <w:rFonts w:ascii="Arial" w:cs="Arial" w:eastAsia="Arial" w:hAnsi="Arial"/>
          <w:sz w:val="17"/>
          <w:szCs w:val="17"/>
          <w:color w:val="auto"/>
        </w:rPr>
      </w:pPr>
    </w:p>
    <w:p>
      <w:pPr>
        <w:ind w:firstLine="2499"/>
        <w:spacing w:after="0" w:line="244" w:lineRule="auto"/>
        <w:tabs>
          <w:tab w:leader="none" w:pos="3072"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Committee may, in its discretion, determine the Fair Market Value of a share of Stock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quotation system,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and in a manner that is consistent with the requirements of Section 409A. The Committee may vary its method of determination of the Fair Market Value as provided in this Section for different purposes under the Plan to the extent consistent with the requirements of Section 409A.</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564" w:right="379" w:bottom="1440" w:gutter="0" w:footer="0" w:header="0"/>
        </w:sectPr>
      </w:pPr>
    </w:p>
    <w:bookmarkStart w:id="38" w:name="page39"/>
    <w:bookmarkEnd w:id="38"/>
    <w:p>
      <w:pPr>
        <w:ind w:firstLine="2499"/>
        <w:spacing w:after="0" w:line="252" w:lineRule="auto"/>
        <w:tabs>
          <w:tab w:leader="none" w:pos="3062" w:val="left"/>
        </w:tabs>
        <w:numPr>
          <w:ilvl w:val="2"/>
          <w:numId w:val="29"/>
        </w:numPr>
        <w:rPr>
          <w:rFonts w:ascii="Arial" w:cs="Arial" w:eastAsia="Arial" w:hAnsi="Arial"/>
          <w:sz w:val="17"/>
          <w:szCs w:val="17"/>
          <w:color w:val="auto"/>
        </w:rPr>
      </w:pPr>
      <w:r>
        <w:rPr>
          <w:rFonts w:ascii="Arial" w:cs="Arial" w:eastAsia="Arial" w:hAnsi="Arial"/>
          <w:sz w:val="17"/>
          <w:szCs w:val="17"/>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and/or Section 422 of the Code to the extent applicable.</w:t>
      </w:r>
    </w:p>
    <w:p>
      <w:pPr>
        <w:spacing w:after="0" w:line="153" w:lineRule="exact"/>
        <w:rPr>
          <w:rFonts w:ascii="Arial" w:cs="Arial" w:eastAsia="Arial" w:hAnsi="Arial"/>
          <w:sz w:val="17"/>
          <w:szCs w:val="17"/>
          <w:color w:val="auto"/>
        </w:rPr>
      </w:pPr>
    </w:p>
    <w:p>
      <w:pPr>
        <w:ind w:left="2480" w:hanging="605"/>
        <w:spacing w:after="0"/>
        <w:tabs>
          <w:tab w:leader="none" w:pos="24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Full Value Award</w:t>
      </w:r>
      <w:r>
        <w:rPr>
          <w:rFonts w:ascii="Arial" w:cs="Arial" w:eastAsia="Arial" w:hAnsi="Arial"/>
          <w:sz w:val="17"/>
          <w:szCs w:val="17"/>
          <w:color w:val="auto"/>
        </w:rPr>
        <w:t>” means any Award settled in Stock, other than (i) an Option, (ii) a Stock Appreciation Right, or</w:t>
      </w:r>
    </w:p>
    <w:p>
      <w:pPr>
        <w:spacing w:after="0" w:line="15" w:lineRule="exact"/>
        <w:rPr>
          <w:rFonts w:ascii="Arial" w:cs="Arial" w:eastAsia="Arial" w:hAnsi="Arial"/>
          <w:sz w:val="17"/>
          <w:szCs w:val="17"/>
          <w:color w:val="auto"/>
        </w:rPr>
      </w:pPr>
    </w:p>
    <w:p>
      <w:pPr>
        <w:ind w:right="60" w:firstLine="4"/>
        <w:spacing w:after="0" w:line="260" w:lineRule="auto"/>
        <w:tabs>
          <w:tab w:leader="none" w:pos="279"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Restricted Stock Purchase Right or an Other Stock-Based Award under which the Company will receive monetary consideration equal to the Fair Market Value (determined on the effective date of grant) of the shares subject to such Award.</w:t>
      </w:r>
    </w:p>
    <w:p>
      <w:pPr>
        <w:spacing w:after="0" w:line="145" w:lineRule="exact"/>
        <w:rPr>
          <w:rFonts w:ascii="Arial" w:cs="Arial" w:eastAsia="Arial" w:hAnsi="Arial"/>
          <w:sz w:val="17"/>
          <w:szCs w:val="17"/>
          <w:color w:val="auto"/>
        </w:rPr>
      </w:pPr>
    </w:p>
    <w:p>
      <w:pPr>
        <w:ind w:right="500" w:firstLine="1875"/>
        <w:spacing w:after="0" w:line="280" w:lineRule="auto"/>
        <w:tabs>
          <w:tab w:leader="none" w:pos="2468" w:val="left"/>
        </w:tabs>
        <w:numPr>
          <w:ilvl w:val="1"/>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Incentive Stock Option</w:t>
      </w:r>
      <w:r>
        <w:rPr>
          <w:rFonts w:ascii="Arial" w:cs="Arial" w:eastAsia="Arial" w:hAnsi="Arial"/>
          <w:sz w:val="17"/>
          <w:szCs w:val="17"/>
          <w:color w:val="auto"/>
        </w:rPr>
        <w:t>” means an Option intended to be (as set forth in the Award Agreement) and which qualifies as an incentive stock option within the meaning of Section 422(b) of the Code.</w:t>
      </w:r>
    </w:p>
    <w:p>
      <w:pPr>
        <w:spacing w:after="0" w:line="128" w:lineRule="exact"/>
        <w:rPr>
          <w:rFonts w:ascii="Arial" w:cs="Arial" w:eastAsia="Arial" w:hAnsi="Arial"/>
          <w:sz w:val="17"/>
          <w:szCs w:val="17"/>
          <w:color w:val="auto"/>
        </w:rPr>
      </w:pPr>
    </w:p>
    <w:p>
      <w:pPr>
        <w:ind w:right="100" w:firstLine="1875"/>
        <w:spacing w:after="0" w:line="252" w:lineRule="auto"/>
        <w:tabs>
          <w:tab w:leader="none" w:pos="2458" w:val="left"/>
        </w:tabs>
        <w:numPr>
          <w:ilvl w:val="1"/>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Incumbent Director</w:t>
      </w:r>
      <w:r>
        <w:rPr>
          <w:rFonts w:ascii="Arial" w:cs="Arial" w:eastAsia="Arial" w:hAnsi="Arial"/>
          <w:sz w:val="17"/>
          <w:szCs w:val="17"/>
          <w:color w:val="auto"/>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153" w:lineRule="exact"/>
        <w:rPr>
          <w:rFonts w:ascii="Arial" w:cs="Arial" w:eastAsia="Arial" w:hAnsi="Arial"/>
          <w:sz w:val="17"/>
          <w:szCs w:val="17"/>
          <w:color w:val="auto"/>
        </w:rPr>
      </w:pPr>
    </w:p>
    <w:p>
      <w:pPr>
        <w:ind w:left="2460" w:hanging="585"/>
        <w:spacing w:after="0"/>
        <w:tabs>
          <w:tab w:leader="none" w:pos="24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Insider</w:t>
      </w:r>
      <w:r>
        <w:rPr>
          <w:rFonts w:ascii="Arial" w:cs="Arial" w:eastAsia="Arial" w:hAnsi="Arial"/>
          <w:sz w:val="17"/>
          <w:szCs w:val="17"/>
          <w:color w:val="auto"/>
        </w:rPr>
        <w:t>” means an Officer, a Director or other person whose transactions in Stock are subject to Section 16 of the</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Exchange Act.</w:t>
      </w:r>
    </w:p>
    <w:p>
      <w:pPr>
        <w:spacing w:after="0" w:line="178" w:lineRule="exact"/>
        <w:rPr>
          <w:rFonts w:ascii="Arial" w:cs="Arial" w:eastAsia="Arial" w:hAnsi="Arial"/>
          <w:sz w:val="17"/>
          <w:szCs w:val="17"/>
          <w:color w:val="auto"/>
        </w:rPr>
      </w:pPr>
    </w:p>
    <w:p>
      <w:pPr>
        <w:ind w:right="80" w:firstLine="1875"/>
        <w:spacing w:after="0" w:line="244" w:lineRule="auto"/>
        <w:tabs>
          <w:tab w:leader="none" w:pos="2458" w:val="left"/>
        </w:tabs>
        <w:numPr>
          <w:ilvl w:val="1"/>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Materially Impair</w:t>
      </w:r>
      <w:r>
        <w:rPr>
          <w:rFonts w:ascii="Arial" w:cs="Arial" w:eastAsia="Arial" w:hAnsi="Arial"/>
          <w:sz w:val="17"/>
          <w:szCs w:val="17"/>
          <w:color w:val="auto"/>
        </w:rPr>
        <w:t>” means any amendment to the terms of the Award that materially adversely affects the Participant’s rights under the Award. A Participant's rights under an Award will not be deemed to have been Materially Impaired by any such amendment if the Committee, in its sole discretion, determines that the amendment, taken as a whole, does not materially impair the Participant's rights. For example, the following types of amendments to the terms of an Award do not Materially Impair the Participant’s rights under the Award:</w:t>
      </w:r>
    </w:p>
    <w:p>
      <w:pPr>
        <w:ind w:firstLine="4"/>
        <w:spacing w:after="0" w:line="244" w:lineRule="auto"/>
        <w:tabs>
          <w:tab w:leader="none" w:pos="202"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59" w:lineRule="exact"/>
        <w:rPr>
          <w:rFonts w:ascii="Arial" w:cs="Arial" w:eastAsia="Arial" w:hAnsi="Arial"/>
          <w:sz w:val="17"/>
          <w:szCs w:val="17"/>
          <w:color w:val="auto"/>
        </w:rPr>
      </w:pPr>
    </w:p>
    <w:p>
      <w:pPr>
        <w:ind w:left="2460" w:hanging="585"/>
        <w:spacing w:after="0"/>
        <w:tabs>
          <w:tab w:leader="none" w:pos="24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Net Exercise</w:t>
      </w:r>
      <w:r>
        <w:rPr>
          <w:rFonts w:ascii="Arial" w:cs="Arial" w:eastAsia="Arial" w:hAnsi="Arial"/>
          <w:sz w:val="17"/>
          <w:szCs w:val="17"/>
          <w:color w:val="auto"/>
        </w:rPr>
        <w:t>” means a Net Exercise as defined in Section 6.3(b)(iii).</w:t>
      </w:r>
    </w:p>
    <w:p>
      <w:pPr>
        <w:spacing w:after="0" w:line="194" w:lineRule="exact"/>
        <w:rPr>
          <w:rFonts w:ascii="Arial" w:cs="Arial" w:eastAsia="Arial" w:hAnsi="Arial"/>
          <w:sz w:val="17"/>
          <w:szCs w:val="17"/>
          <w:color w:val="auto"/>
        </w:rPr>
      </w:pPr>
    </w:p>
    <w:p>
      <w:pPr>
        <w:ind w:left="2460" w:hanging="585"/>
        <w:spacing w:after="0"/>
        <w:tabs>
          <w:tab w:leader="none" w:pos="24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Nonemployee Director</w:t>
      </w:r>
      <w:r>
        <w:rPr>
          <w:rFonts w:ascii="Arial" w:cs="Arial" w:eastAsia="Arial" w:hAnsi="Arial"/>
          <w:sz w:val="17"/>
          <w:szCs w:val="17"/>
          <w:color w:val="auto"/>
        </w:rPr>
        <w:t>” means a Director who is not an Employee.</w:t>
      </w:r>
    </w:p>
    <w:p>
      <w:pPr>
        <w:spacing w:after="0" w:line="194" w:lineRule="exact"/>
        <w:rPr>
          <w:sz w:val="20"/>
          <w:szCs w:val="20"/>
          <w:color w:val="auto"/>
        </w:rPr>
      </w:pPr>
    </w:p>
    <w:p>
      <w:pPr>
        <w:ind w:left="2480" w:hanging="605"/>
        <w:spacing w:after="0"/>
        <w:tabs>
          <w:tab w:leader="none" w:pos="2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Nonemployee Director Award</w:t>
      </w:r>
      <w:r>
        <w:rPr>
          <w:rFonts w:ascii="Arial" w:cs="Arial" w:eastAsia="Arial" w:hAnsi="Arial"/>
          <w:sz w:val="17"/>
          <w:szCs w:val="17"/>
          <w:color w:val="auto"/>
        </w:rPr>
        <w:t>” means any Award granted to a Nonemployee Director.</w:t>
      </w:r>
    </w:p>
    <w:p>
      <w:pPr>
        <w:spacing w:after="0" w:line="194" w:lineRule="exact"/>
        <w:rPr>
          <w:rFonts w:ascii="Arial" w:cs="Arial" w:eastAsia="Arial" w:hAnsi="Arial"/>
          <w:sz w:val="17"/>
          <w:szCs w:val="17"/>
          <w:color w:val="auto"/>
        </w:rPr>
      </w:pPr>
    </w:p>
    <w:p>
      <w:pPr>
        <w:ind w:right="20" w:firstLine="1875"/>
        <w:spacing w:after="0" w:line="280" w:lineRule="auto"/>
        <w:tabs>
          <w:tab w:leader="none" w:pos="2468" w:val="left"/>
        </w:tabs>
        <w:numPr>
          <w:ilvl w:val="0"/>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Nonstatutory Stock Option</w:t>
      </w:r>
      <w:r>
        <w:rPr>
          <w:rFonts w:ascii="Arial" w:cs="Arial" w:eastAsia="Arial" w:hAnsi="Arial"/>
          <w:sz w:val="17"/>
          <w:szCs w:val="17"/>
          <w:color w:val="auto"/>
        </w:rPr>
        <w:t>” means an Option not intended to be (as set forth in the Award Agreement) or which does not qualify as an incentive stock option within the meaning of Section 422(b) of the Code.</w:t>
      </w:r>
    </w:p>
    <w:p>
      <w:pPr>
        <w:spacing w:after="0" w:line="128" w:lineRule="exact"/>
        <w:rPr>
          <w:rFonts w:ascii="Arial" w:cs="Arial" w:eastAsia="Arial" w:hAnsi="Arial"/>
          <w:sz w:val="17"/>
          <w:szCs w:val="17"/>
          <w:color w:val="auto"/>
        </w:rPr>
      </w:pPr>
    </w:p>
    <w:p>
      <w:pPr>
        <w:ind w:left="2460" w:hanging="585"/>
        <w:spacing w:after="0"/>
        <w:tabs>
          <w:tab w:leader="none" w:pos="2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means any person designated by the Board as an officer of the Company.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39" w:name="page40"/>
    <w:bookmarkEnd w:id="39"/>
    <w:p>
      <w:pPr>
        <w:ind w:left="2480" w:hanging="605"/>
        <w:spacing w:after="0"/>
        <w:tabs>
          <w:tab w:leader="none" w:pos="2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means an Incentive Stock Option or a Nonstatutory Stock Option granted pursuant to the Plan.</w:t>
      </w:r>
    </w:p>
    <w:p>
      <w:pPr>
        <w:spacing w:after="0" w:line="194" w:lineRule="exact"/>
        <w:rPr>
          <w:rFonts w:ascii="Arial" w:cs="Arial" w:eastAsia="Arial" w:hAnsi="Arial"/>
          <w:sz w:val="17"/>
          <w:szCs w:val="17"/>
          <w:color w:val="auto"/>
        </w:rPr>
      </w:pPr>
    </w:p>
    <w:p>
      <w:pPr>
        <w:ind w:left="2480" w:hanging="605"/>
        <w:spacing w:after="0"/>
        <w:tabs>
          <w:tab w:leader="none" w:pos="2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Stock-Based Award</w:t>
      </w:r>
      <w:r>
        <w:rPr>
          <w:rFonts w:ascii="Arial" w:cs="Arial" w:eastAsia="Arial" w:hAnsi="Arial"/>
          <w:sz w:val="17"/>
          <w:szCs w:val="17"/>
          <w:color w:val="auto"/>
        </w:rPr>
        <w:t>” means an Award denominated in shares of Stock and granted pursuant to Section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11.</w:t>
      </w:r>
    </w:p>
    <w:p>
      <w:pPr>
        <w:spacing w:after="0" w:line="178" w:lineRule="exact"/>
        <w:rPr>
          <w:sz w:val="20"/>
          <w:szCs w:val="20"/>
          <w:color w:val="auto"/>
        </w:rPr>
      </w:pPr>
    </w:p>
    <w:p>
      <w:pPr>
        <w:ind w:right="20" w:firstLine="1875"/>
        <w:spacing w:after="0" w:line="247" w:lineRule="auto"/>
        <w:tabs>
          <w:tab w:leader="none" w:pos="2465"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Ownership Change Event</w:t>
      </w:r>
      <w:r>
        <w:rPr>
          <w:rFonts w:ascii="Arial" w:cs="Arial" w:eastAsia="Arial" w:hAnsi="Arial"/>
          <w:sz w:val="17"/>
          <w:szCs w:val="17"/>
          <w:color w:val="auto"/>
        </w:rPr>
        <w:t>” means the occurrence of any of the following transactions with respect to the Company which is actually consummated: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57" w:lineRule="exact"/>
        <w:rPr>
          <w:rFonts w:ascii="Arial" w:cs="Arial" w:eastAsia="Arial" w:hAnsi="Arial"/>
          <w:sz w:val="17"/>
          <w:szCs w:val="17"/>
          <w:color w:val="auto"/>
        </w:rPr>
      </w:pPr>
    </w:p>
    <w:p>
      <w:pPr>
        <w:ind w:left="2480" w:hanging="605"/>
        <w:spacing w:after="0"/>
        <w:tabs>
          <w:tab w:leader="none" w:pos="2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 Corporation</w:t>
      </w:r>
      <w:r>
        <w:rPr>
          <w:rFonts w:ascii="Arial" w:cs="Arial" w:eastAsia="Arial" w:hAnsi="Arial"/>
          <w:sz w:val="17"/>
          <w:szCs w:val="17"/>
          <w:color w:val="auto"/>
        </w:rPr>
        <w:t>” means any present or future “parent corporation” of the Company, as defined in Section</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424(e) of the Code.</w:t>
      </w:r>
    </w:p>
    <w:p>
      <w:pPr>
        <w:spacing w:after="0" w:line="178" w:lineRule="exact"/>
        <w:rPr>
          <w:rFonts w:ascii="Arial" w:cs="Arial" w:eastAsia="Arial" w:hAnsi="Arial"/>
          <w:sz w:val="17"/>
          <w:szCs w:val="17"/>
          <w:color w:val="auto"/>
        </w:rPr>
      </w:pPr>
    </w:p>
    <w:p>
      <w:pPr>
        <w:ind w:left="2480" w:hanging="605"/>
        <w:spacing w:after="0"/>
        <w:tabs>
          <w:tab w:leader="none" w:pos="2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any eligible person who has been granted one or more Awards.</w:t>
      </w:r>
    </w:p>
    <w:p>
      <w:pPr>
        <w:spacing w:after="0" w:line="194" w:lineRule="exact"/>
        <w:rPr>
          <w:rFonts w:ascii="Arial" w:cs="Arial" w:eastAsia="Arial" w:hAnsi="Arial"/>
          <w:sz w:val="17"/>
          <w:szCs w:val="17"/>
          <w:color w:val="auto"/>
        </w:rPr>
      </w:pPr>
    </w:p>
    <w:p>
      <w:pPr>
        <w:ind w:left="2460" w:hanging="585"/>
        <w:spacing w:after="0"/>
        <w:tabs>
          <w:tab w:leader="none" w:pos="2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Participating Company</w:t>
      </w:r>
      <w:r>
        <w:rPr>
          <w:rFonts w:ascii="Arial" w:cs="Arial" w:eastAsia="Arial" w:hAnsi="Arial"/>
          <w:sz w:val="17"/>
          <w:szCs w:val="17"/>
          <w:color w:val="auto"/>
        </w:rPr>
        <w:t>” means the Company or any Parent Corporation, Subsidiary Corporation or Affiliate.</w:t>
      </w:r>
    </w:p>
    <w:p>
      <w:pPr>
        <w:spacing w:after="0" w:line="194" w:lineRule="exact"/>
        <w:rPr>
          <w:rFonts w:ascii="Arial" w:cs="Arial" w:eastAsia="Arial" w:hAnsi="Arial"/>
          <w:sz w:val="17"/>
          <w:szCs w:val="17"/>
          <w:color w:val="auto"/>
        </w:rPr>
      </w:pPr>
    </w:p>
    <w:p>
      <w:pPr>
        <w:ind w:firstLine="1875"/>
        <w:spacing w:after="0" w:line="280" w:lineRule="auto"/>
        <w:tabs>
          <w:tab w:leader="none" w:pos="2448"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Participating Company Group</w:t>
      </w:r>
      <w:r>
        <w:rPr>
          <w:rFonts w:ascii="Arial" w:cs="Arial" w:eastAsia="Arial" w:hAnsi="Arial"/>
          <w:sz w:val="17"/>
          <w:szCs w:val="17"/>
          <w:color w:val="auto"/>
        </w:rPr>
        <w:t>” means, at any point in time, the Company and all other entities collectively which are then Participating Companies.</w:t>
      </w:r>
    </w:p>
    <w:p>
      <w:pPr>
        <w:spacing w:after="0" w:line="128" w:lineRule="exact"/>
        <w:rPr>
          <w:rFonts w:ascii="Arial" w:cs="Arial" w:eastAsia="Arial" w:hAnsi="Arial"/>
          <w:sz w:val="17"/>
          <w:szCs w:val="17"/>
          <w:color w:val="auto"/>
        </w:rPr>
      </w:pPr>
    </w:p>
    <w:p>
      <w:pPr>
        <w:ind w:left="2460" w:hanging="585"/>
        <w:spacing w:after="0"/>
        <w:tabs>
          <w:tab w:leader="none" w:pos="2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Award</w:t>
      </w:r>
      <w:r>
        <w:rPr>
          <w:rFonts w:ascii="Arial" w:cs="Arial" w:eastAsia="Arial" w:hAnsi="Arial"/>
          <w:sz w:val="17"/>
          <w:szCs w:val="17"/>
          <w:color w:val="auto"/>
        </w:rPr>
        <w:t>” means an Award of Performance Shares or Performance Units.</w:t>
      </w:r>
    </w:p>
    <w:p>
      <w:pPr>
        <w:spacing w:after="0" w:line="194" w:lineRule="exact"/>
        <w:rPr>
          <w:rFonts w:ascii="Arial" w:cs="Arial" w:eastAsia="Arial" w:hAnsi="Arial"/>
          <w:sz w:val="17"/>
          <w:szCs w:val="17"/>
          <w:color w:val="auto"/>
        </w:rPr>
      </w:pPr>
    </w:p>
    <w:p>
      <w:pPr>
        <w:ind w:right="60" w:firstLine="1875"/>
        <w:spacing w:after="0" w:line="259" w:lineRule="auto"/>
        <w:tabs>
          <w:tab w:leader="none" w:pos="2448"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Award Formula</w:t>
      </w:r>
      <w:r>
        <w:rPr>
          <w:rFonts w:ascii="Arial" w:cs="Arial" w:eastAsia="Arial" w:hAnsi="Arial"/>
          <w:sz w:val="17"/>
          <w:szCs w:val="17"/>
          <w:color w:val="auto"/>
        </w:rPr>
        <w:t>” 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p>
    <w:p>
      <w:pPr>
        <w:spacing w:after="0" w:line="146" w:lineRule="exact"/>
        <w:rPr>
          <w:rFonts w:ascii="Arial" w:cs="Arial" w:eastAsia="Arial" w:hAnsi="Arial"/>
          <w:sz w:val="17"/>
          <w:szCs w:val="17"/>
          <w:color w:val="auto"/>
        </w:rPr>
      </w:pPr>
    </w:p>
    <w:p>
      <w:pPr>
        <w:ind w:left="2480" w:hanging="605"/>
        <w:spacing w:after="0"/>
        <w:tabs>
          <w:tab w:leader="none" w:pos="2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Goal</w:t>
      </w:r>
      <w:r>
        <w:rPr>
          <w:rFonts w:ascii="Arial" w:cs="Arial" w:eastAsia="Arial" w:hAnsi="Arial"/>
          <w:sz w:val="17"/>
          <w:szCs w:val="17"/>
          <w:color w:val="auto"/>
        </w:rPr>
        <w:t>” means a performance goal established by the Committee pursuant to Section 10.3.</w:t>
      </w:r>
    </w:p>
    <w:p>
      <w:pPr>
        <w:spacing w:after="0" w:line="194" w:lineRule="exact"/>
        <w:rPr>
          <w:rFonts w:ascii="Arial" w:cs="Arial" w:eastAsia="Arial" w:hAnsi="Arial"/>
          <w:sz w:val="17"/>
          <w:szCs w:val="17"/>
          <w:color w:val="auto"/>
        </w:rPr>
      </w:pPr>
    </w:p>
    <w:p>
      <w:pPr>
        <w:ind w:firstLine="1875"/>
        <w:spacing w:after="0" w:line="280" w:lineRule="auto"/>
        <w:tabs>
          <w:tab w:leader="none" w:pos="2468"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a period established by the Committee pursuant to Section 10.3 at the end of which one or more Performance Goals are to be measured.</w:t>
      </w:r>
    </w:p>
    <w:p>
      <w:pPr>
        <w:spacing w:after="0" w:line="128" w:lineRule="exact"/>
        <w:rPr>
          <w:rFonts w:ascii="Arial" w:cs="Arial" w:eastAsia="Arial" w:hAnsi="Arial"/>
          <w:sz w:val="17"/>
          <w:szCs w:val="17"/>
          <w:color w:val="auto"/>
        </w:rPr>
      </w:pPr>
    </w:p>
    <w:p>
      <w:pPr>
        <w:ind w:right="20" w:firstLine="1875"/>
        <w:spacing w:after="0" w:line="280" w:lineRule="auto"/>
        <w:tabs>
          <w:tab w:leader="none" w:pos="2468"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Share</w:t>
      </w:r>
      <w:r>
        <w:rPr>
          <w:rFonts w:ascii="Arial" w:cs="Arial" w:eastAsia="Arial" w:hAnsi="Arial"/>
          <w:sz w:val="17"/>
          <w:szCs w:val="17"/>
          <w:color w:val="auto"/>
        </w:rPr>
        <w:t>” means a right granted to a Participant pursuant to Section 10 to receive a payment equal to the value of a Performance Share, as determined by the Committee, based upon attainment of applicable Performance Goal(s).</w:t>
      </w:r>
    </w:p>
    <w:p>
      <w:pPr>
        <w:spacing w:after="0" w:line="128" w:lineRule="exact"/>
        <w:rPr>
          <w:rFonts w:ascii="Arial" w:cs="Arial" w:eastAsia="Arial" w:hAnsi="Arial"/>
          <w:sz w:val="17"/>
          <w:szCs w:val="17"/>
          <w:color w:val="auto"/>
        </w:rPr>
      </w:pPr>
    </w:p>
    <w:p>
      <w:pPr>
        <w:ind w:right="220" w:firstLine="1875"/>
        <w:spacing w:after="0" w:line="280" w:lineRule="auto"/>
        <w:tabs>
          <w:tab w:leader="none" w:pos="2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Unit</w:t>
      </w:r>
      <w:r>
        <w:rPr>
          <w:rFonts w:ascii="Arial" w:cs="Arial" w:eastAsia="Arial" w:hAnsi="Arial"/>
          <w:sz w:val="17"/>
          <w:szCs w:val="17"/>
          <w:color w:val="auto"/>
        </w:rPr>
        <w:t>” means a right granted to a Participant pursuant to Section 10 to receive a payment equal to the value of a Performance Unit, as determined by the Committee, based upon attainment of applicable Performance Goal(s).</w:t>
      </w:r>
    </w:p>
    <w:p>
      <w:pPr>
        <w:spacing w:after="0" w:line="128" w:lineRule="exact"/>
        <w:rPr>
          <w:rFonts w:ascii="Arial" w:cs="Arial" w:eastAsia="Arial" w:hAnsi="Arial"/>
          <w:sz w:val="17"/>
          <w:szCs w:val="17"/>
          <w:color w:val="auto"/>
        </w:rPr>
      </w:pPr>
    </w:p>
    <w:p>
      <w:pPr>
        <w:ind w:right="100" w:firstLine="1875"/>
        <w:spacing w:after="0" w:line="280" w:lineRule="auto"/>
        <w:tabs>
          <w:tab w:leader="none" w:pos="2468"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 Administrator</w:t>
      </w:r>
      <w:r>
        <w:rPr>
          <w:rFonts w:ascii="Arial" w:cs="Arial" w:eastAsia="Arial" w:hAnsi="Arial"/>
          <w:sz w:val="17"/>
          <w:szCs w:val="17"/>
          <w:color w:val="auto"/>
        </w:rPr>
        <w:t>” means the person, persons, and/or third-party administrator designated by the Company to administer the day to day operations of the Plan and the Company’s other equity incentive programs.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40" w:name="page41"/>
    <w:bookmarkEnd w:id="40"/>
    <w:p>
      <w:pPr>
        <w:ind w:firstLine="1875"/>
        <w:spacing w:after="0" w:line="280" w:lineRule="auto"/>
        <w:tabs>
          <w:tab w:leader="none" w:pos="2439"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Post-Termination Exercise Period</w:t>
      </w:r>
      <w:r>
        <w:rPr>
          <w:rFonts w:ascii="Arial" w:cs="Arial" w:eastAsia="Arial" w:hAnsi="Arial"/>
          <w:sz w:val="17"/>
          <w:szCs w:val="17"/>
          <w:color w:val="auto"/>
        </w:rPr>
        <w:t>” means the period following termination of a Participant’s Continuous Service within which an Option or SAR is exercisable, as specified in Section 6.4(a).</w:t>
      </w:r>
    </w:p>
    <w:p>
      <w:pPr>
        <w:spacing w:after="0" w:line="128" w:lineRule="exact"/>
        <w:rPr>
          <w:rFonts w:ascii="Arial" w:cs="Arial" w:eastAsia="Arial" w:hAnsi="Arial"/>
          <w:sz w:val="17"/>
          <w:szCs w:val="17"/>
          <w:color w:val="auto"/>
        </w:rPr>
      </w:pPr>
    </w:p>
    <w:p>
      <w:pPr>
        <w:ind w:left="2460" w:hanging="585"/>
        <w:spacing w:after="0"/>
        <w:tabs>
          <w:tab w:leader="none" w:pos="2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Prior Plan</w:t>
      </w:r>
      <w:r>
        <w:rPr>
          <w:rFonts w:ascii="Arial" w:cs="Arial" w:eastAsia="Arial" w:hAnsi="Arial"/>
          <w:sz w:val="17"/>
          <w:szCs w:val="17"/>
          <w:color w:val="auto"/>
        </w:rPr>
        <w:t>” means the Cohu, Inc. 2005 Equity Incentive Plan.</w:t>
      </w:r>
    </w:p>
    <w:p>
      <w:pPr>
        <w:spacing w:after="0" w:line="194" w:lineRule="exact"/>
        <w:rPr>
          <w:rFonts w:ascii="Arial" w:cs="Arial" w:eastAsia="Arial" w:hAnsi="Arial"/>
          <w:sz w:val="17"/>
          <w:szCs w:val="17"/>
          <w:color w:val="auto"/>
        </w:rPr>
      </w:pPr>
    </w:p>
    <w:p>
      <w:pPr>
        <w:ind w:left="2480" w:hanging="605"/>
        <w:spacing w:after="0"/>
        <w:tabs>
          <w:tab w:leader="none" w:pos="2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a Restricted Stock Bonus or a Restricted Stock Purchase Right.</w:t>
      </w:r>
    </w:p>
    <w:p>
      <w:pPr>
        <w:spacing w:after="0" w:line="194" w:lineRule="exact"/>
        <w:rPr>
          <w:rFonts w:ascii="Arial" w:cs="Arial" w:eastAsia="Arial" w:hAnsi="Arial"/>
          <w:sz w:val="17"/>
          <w:szCs w:val="17"/>
          <w:color w:val="auto"/>
        </w:rPr>
      </w:pPr>
    </w:p>
    <w:p>
      <w:pPr>
        <w:ind w:left="2420" w:hanging="545"/>
        <w:spacing w:after="0"/>
        <w:tabs>
          <w:tab w:leader="none" w:pos="24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Bonus</w:t>
      </w:r>
      <w:r>
        <w:rPr>
          <w:rFonts w:ascii="Arial" w:cs="Arial" w:eastAsia="Arial" w:hAnsi="Arial"/>
          <w:sz w:val="17"/>
          <w:szCs w:val="17"/>
          <w:color w:val="auto"/>
        </w:rPr>
        <w:t>” means Stock granted to a Participant pursuant to Section 8.</w:t>
      </w:r>
    </w:p>
    <w:p>
      <w:pPr>
        <w:spacing w:after="0" w:line="194" w:lineRule="exact"/>
        <w:rPr>
          <w:rFonts w:ascii="Arial" w:cs="Arial" w:eastAsia="Arial" w:hAnsi="Arial"/>
          <w:sz w:val="17"/>
          <w:szCs w:val="17"/>
          <w:color w:val="auto"/>
        </w:rPr>
      </w:pPr>
    </w:p>
    <w:p>
      <w:pPr>
        <w:ind w:left="2400" w:hanging="525"/>
        <w:spacing w:after="0"/>
        <w:tabs>
          <w:tab w:leader="none" w:pos="2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Purchase Right</w:t>
      </w:r>
      <w:r>
        <w:rPr>
          <w:rFonts w:ascii="Arial" w:cs="Arial" w:eastAsia="Arial" w:hAnsi="Arial"/>
          <w:sz w:val="17"/>
          <w:szCs w:val="17"/>
          <w:color w:val="auto"/>
        </w:rPr>
        <w:t>” means a right to purchase Stock granted to a Participant pursuant to Section</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8.</w:t>
      </w:r>
    </w:p>
    <w:p>
      <w:pPr>
        <w:spacing w:after="0" w:line="178" w:lineRule="exact"/>
        <w:rPr>
          <w:rFonts w:ascii="Arial" w:cs="Arial" w:eastAsia="Arial" w:hAnsi="Arial"/>
          <w:sz w:val="17"/>
          <w:szCs w:val="17"/>
          <w:color w:val="auto"/>
        </w:rPr>
      </w:pPr>
    </w:p>
    <w:p>
      <w:pPr>
        <w:ind w:right="40" w:firstLine="1875"/>
        <w:spacing w:after="0" w:line="280" w:lineRule="auto"/>
        <w:tabs>
          <w:tab w:leader="none" w:pos="2429"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Unit</w:t>
      </w:r>
      <w:r>
        <w:rPr>
          <w:rFonts w:ascii="Arial" w:cs="Arial" w:eastAsia="Arial" w:hAnsi="Arial"/>
          <w:sz w:val="17"/>
          <w:szCs w:val="17"/>
          <w:color w:val="auto"/>
        </w:rPr>
        <w:t>” means a right granted to a Participant pursuant to Section 9 to receive on a future date or occurrence of a future event a share of Stock or cash in lieu thereof, as determined by the Committee.</w:t>
      </w:r>
    </w:p>
    <w:p>
      <w:pPr>
        <w:spacing w:after="0" w:line="128" w:lineRule="exact"/>
        <w:rPr>
          <w:rFonts w:ascii="Arial" w:cs="Arial" w:eastAsia="Arial" w:hAnsi="Arial"/>
          <w:sz w:val="17"/>
          <w:szCs w:val="17"/>
          <w:color w:val="auto"/>
        </w:rPr>
      </w:pPr>
    </w:p>
    <w:p>
      <w:pPr>
        <w:ind w:right="20" w:firstLine="1875"/>
        <w:spacing w:after="0" w:line="244" w:lineRule="auto"/>
        <w:tabs>
          <w:tab w:leader="none" w:pos="2448"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"Returning Shares" </w:t>
      </w:r>
      <w:r>
        <w:rPr>
          <w:rFonts w:ascii="Arial" w:cs="Arial" w:eastAsia="Arial" w:hAnsi="Arial"/>
          <w:sz w:val="17"/>
          <w:szCs w:val="17"/>
          <w:color w:val="auto"/>
        </w:rPr>
        <w:t>means shares subject to share awards granted under the Prior Plan that are outstanding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16, 2026 or which are granted and outstanding after March 16, 2026 and prior to the Effective Date, and that: (A) are subject to stock options and stock appreciation rights which expire, or for any reason are forfeited, cancelled, or terminated without being exercised,; (B) are not issued because such share award or any portion thereof expires or otherwise terminates without all of the shares covered by such award having been issued; (C) are not issued because such award or any portion thereof is settled in cash; or (D) are forfeited back to or repurchased by the Company for an amount not greater than the Participant’s purchase price because of the failure to meet a contingency or condition required for the vesting of such shares. The following shares subject to outstanding share awards granted under the Prior Plan are not Returning Shares: (A) any shares withheld by the Company in satisfaction of the payment of the purchase or exercise price of an option or stock appreciation right, and (B) any shares withheld by the Company in satisfaction of the payment of withholding taxes.</w:t>
      </w:r>
    </w:p>
    <w:p>
      <w:pPr>
        <w:spacing w:after="0" w:line="158" w:lineRule="exact"/>
        <w:rPr>
          <w:rFonts w:ascii="Arial" w:cs="Arial" w:eastAsia="Arial" w:hAnsi="Arial"/>
          <w:sz w:val="17"/>
          <w:szCs w:val="17"/>
          <w:color w:val="auto"/>
        </w:rPr>
      </w:pPr>
    </w:p>
    <w:p>
      <w:pPr>
        <w:ind w:left="2460" w:hanging="585"/>
        <w:spacing w:after="0"/>
        <w:tabs>
          <w:tab w:leader="none" w:pos="2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16b-3</w:t>
      </w:r>
      <w:r>
        <w:rPr>
          <w:rFonts w:ascii="Arial" w:cs="Arial" w:eastAsia="Arial" w:hAnsi="Arial"/>
          <w:sz w:val="17"/>
          <w:szCs w:val="17"/>
          <w:color w:val="auto"/>
        </w:rPr>
        <w:t>” means Rule 16b-3 under the Exchange Act, as amended from time to time, or any successor rule or</w:t>
      </w:r>
    </w:p>
    <w:p>
      <w:pPr>
        <w:spacing w:after="0" w:line="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regulation.</w:t>
      </w:r>
    </w:p>
    <w:p>
      <w:pPr>
        <w:spacing w:after="0" w:line="178" w:lineRule="exact"/>
        <w:rPr>
          <w:rFonts w:ascii="Arial" w:cs="Arial" w:eastAsia="Arial" w:hAnsi="Arial"/>
          <w:sz w:val="17"/>
          <w:szCs w:val="17"/>
          <w:color w:val="auto"/>
        </w:rPr>
      </w:pPr>
    </w:p>
    <w:p>
      <w:pPr>
        <w:ind w:right="120" w:firstLine="1875"/>
        <w:spacing w:after="0" w:line="259" w:lineRule="auto"/>
        <w:tabs>
          <w:tab w:leader="none" w:pos="2448" w:val="left"/>
        </w:tabs>
        <w:numPr>
          <w:ilvl w:val="0"/>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SAR</w:t>
      </w:r>
      <w:r>
        <w:rPr>
          <w:rFonts w:ascii="Arial" w:cs="Arial" w:eastAsia="Arial" w:hAnsi="Arial"/>
          <w:sz w:val="17"/>
          <w:szCs w:val="17"/>
          <w:color w:val="auto"/>
        </w:rPr>
        <w:t>” or “</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p>
    <w:p>
      <w:pPr>
        <w:spacing w:after="0" w:line="147" w:lineRule="exact"/>
        <w:rPr>
          <w:sz w:val="20"/>
          <w:szCs w:val="20"/>
          <w:color w:val="auto"/>
        </w:rPr>
      </w:pPr>
    </w:p>
    <w:p>
      <w:pPr>
        <w:ind w:left="2480" w:hanging="605"/>
        <w:spacing w:after="0"/>
        <w:tabs>
          <w:tab w:leader="none" w:pos="2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Code.</w:t>
      </w:r>
    </w:p>
    <w:p>
      <w:pPr>
        <w:spacing w:after="0" w:line="194" w:lineRule="exact"/>
        <w:rPr>
          <w:rFonts w:ascii="Arial" w:cs="Arial" w:eastAsia="Arial" w:hAnsi="Arial"/>
          <w:sz w:val="17"/>
          <w:szCs w:val="17"/>
          <w:color w:val="auto"/>
        </w:rPr>
      </w:pPr>
    </w:p>
    <w:p>
      <w:pPr>
        <w:ind w:right="220" w:firstLine="1875"/>
        <w:spacing w:after="0" w:line="280" w:lineRule="auto"/>
        <w:tabs>
          <w:tab w:leader="none" w:pos="2468" w:val="left"/>
        </w:tabs>
        <w:numPr>
          <w:ilvl w:val="0"/>
          <w:numId w:val="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Section 409A Deferred Compensation</w:t>
      </w:r>
      <w:r>
        <w:rPr>
          <w:rFonts w:ascii="Arial" w:cs="Arial" w:eastAsia="Arial" w:hAnsi="Arial"/>
          <w:sz w:val="17"/>
          <w:szCs w:val="17"/>
          <w:color w:val="auto"/>
        </w:rPr>
        <w:t>” means compensation provided pursuant to an Award that constitutes nonqualified deferred compensation within the meaning of Section 409A.</w:t>
      </w:r>
    </w:p>
    <w:p>
      <w:pPr>
        <w:spacing w:after="0" w:line="128" w:lineRule="exact"/>
        <w:rPr>
          <w:rFonts w:ascii="Arial" w:cs="Arial" w:eastAsia="Arial" w:hAnsi="Arial"/>
          <w:sz w:val="17"/>
          <w:szCs w:val="17"/>
          <w:color w:val="auto"/>
        </w:rPr>
      </w:pPr>
    </w:p>
    <w:p>
      <w:pPr>
        <w:ind w:left="2440" w:hanging="565"/>
        <w:spacing w:after="0"/>
        <w:tabs>
          <w:tab w:leader="none" w:pos="2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41" w:name="page42"/>
    <w:bookmarkEnd w:id="41"/>
    <w:p>
      <w:pPr>
        <w:ind w:firstLine="1875"/>
        <w:spacing w:after="0" w:line="242" w:lineRule="auto"/>
        <w:tabs>
          <w:tab w:leader="none" w:pos="2468"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Service</w:t>
      </w:r>
      <w:r>
        <w:rPr>
          <w:rFonts w:ascii="Arial" w:cs="Arial" w:eastAsia="Arial" w:hAnsi="Arial"/>
          <w:sz w:val="17"/>
          <w:szCs w:val="17"/>
          <w:color w:val="auto"/>
        </w:rPr>
        <w:t>”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Subject to the terms of the Company’s leave of absence policy and/or the written terms of any leave of absence agreement or policy applicable to the Participant, to the extent permitted by law, the Committee or its designee, in that party’s sole discretion, may determine whether Service will be considered interrupted in the case of (i) any Company approved leave of absence, including sick leave, military leave or any other personal leave, or (ii) transfers between the Company, an Affiliate, or their successors. Additionally, a leave of absence will be treated as continued Service for purposes of vesting in an Award only to such extent as may be provided in the Company’s leave of absence policy, in the written terms of any leave of absence agreement or policy applicable to the Participant, or as otherwise required by law.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spacing w:after="0" w:line="166" w:lineRule="exact"/>
        <w:rPr>
          <w:rFonts w:ascii="Arial" w:cs="Arial" w:eastAsia="Arial" w:hAnsi="Arial"/>
          <w:sz w:val="17"/>
          <w:szCs w:val="17"/>
          <w:color w:val="auto"/>
        </w:rPr>
      </w:pPr>
    </w:p>
    <w:p>
      <w:pPr>
        <w:ind w:left="2480" w:hanging="605"/>
        <w:spacing w:after="0"/>
        <w:tabs>
          <w:tab w:leader="none" w:pos="2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means the common stock of the Company, as adjusted from time to time in accordance with Section 4.</w:t>
      </w:r>
    </w:p>
    <w:p>
      <w:pPr>
        <w:spacing w:after="0" w:line="194" w:lineRule="exact"/>
        <w:rPr>
          <w:rFonts w:ascii="Arial" w:cs="Arial" w:eastAsia="Arial" w:hAnsi="Arial"/>
          <w:sz w:val="17"/>
          <w:szCs w:val="17"/>
          <w:color w:val="auto"/>
        </w:rPr>
      </w:pPr>
    </w:p>
    <w:p>
      <w:pPr>
        <w:ind w:left="2460" w:hanging="585"/>
        <w:spacing w:after="0"/>
        <w:tabs>
          <w:tab w:leader="none" w:pos="2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Tender Exercise</w:t>
      </w:r>
      <w:r>
        <w:rPr>
          <w:rFonts w:ascii="Arial" w:cs="Arial" w:eastAsia="Arial" w:hAnsi="Arial"/>
          <w:sz w:val="17"/>
          <w:szCs w:val="17"/>
          <w:color w:val="auto"/>
        </w:rPr>
        <w:t>” means a Stock Tender Exercise as defined in Section 6.3(b)(ii).</w:t>
      </w:r>
    </w:p>
    <w:p>
      <w:pPr>
        <w:spacing w:after="0" w:line="194" w:lineRule="exact"/>
        <w:rPr>
          <w:rFonts w:ascii="Arial" w:cs="Arial" w:eastAsia="Arial" w:hAnsi="Arial"/>
          <w:sz w:val="17"/>
          <w:szCs w:val="17"/>
          <w:color w:val="auto"/>
        </w:rPr>
      </w:pPr>
    </w:p>
    <w:p>
      <w:pPr>
        <w:ind w:left="2480" w:hanging="605"/>
        <w:spacing w:after="0"/>
        <w:tabs>
          <w:tab w:leader="none" w:pos="24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 Corporation</w:t>
      </w:r>
      <w:r>
        <w:rPr>
          <w:rFonts w:ascii="Arial" w:cs="Arial" w:eastAsia="Arial" w:hAnsi="Arial"/>
          <w:sz w:val="17"/>
          <w:szCs w:val="17"/>
          <w:color w:val="auto"/>
        </w:rPr>
        <w:t>” means any present or future “subsidiary corporation” of the Company, as defined in</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Section 424(f) of the Code.</w:t>
      </w:r>
    </w:p>
    <w:p>
      <w:pPr>
        <w:spacing w:after="0" w:line="178" w:lineRule="exact"/>
        <w:rPr>
          <w:rFonts w:ascii="Arial" w:cs="Arial" w:eastAsia="Arial" w:hAnsi="Arial"/>
          <w:sz w:val="17"/>
          <w:szCs w:val="17"/>
          <w:color w:val="auto"/>
        </w:rPr>
      </w:pPr>
    </w:p>
    <w:p>
      <w:pPr>
        <w:ind w:right="280" w:firstLine="1875"/>
        <w:spacing w:after="0" w:line="259" w:lineRule="auto"/>
        <w:tabs>
          <w:tab w:leader="none" w:pos="2468"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Ten Percent Owner</w:t>
      </w:r>
      <w:r>
        <w:rPr>
          <w:rFonts w:ascii="Arial" w:cs="Arial" w:eastAsia="Arial" w:hAnsi="Arial"/>
          <w:sz w:val="17"/>
          <w:szCs w:val="17"/>
          <w:color w:val="auto"/>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spacing w:after="0" w:line="146" w:lineRule="exact"/>
        <w:rPr>
          <w:rFonts w:ascii="Arial" w:cs="Arial" w:eastAsia="Arial" w:hAnsi="Arial"/>
          <w:sz w:val="17"/>
          <w:szCs w:val="17"/>
          <w:color w:val="auto"/>
        </w:rPr>
      </w:pPr>
    </w:p>
    <w:p>
      <w:pPr>
        <w:ind w:right="100" w:firstLine="1875"/>
        <w:spacing w:after="0" w:line="259" w:lineRule="auto"/>
        <w:tabs>
          <w:tab w:leader="none" w:pos="2439"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Compliance Policy</w:t>
      </w:r>
      <w:r>
        <w:rPr>
          <w:rFonts w:ascii="Arial" w:cs="Arial" w:eastAsia="Arial" w:hAnsi="Arial"/>
          <w:sz w:val="17"/>
          <w:szCs w:val="17"/>
          <w:color w:val="auto"/>
        </w:rPr>
        <w:t>”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spacing w:after="0" w:line="146" w:lineRule="exact"/>
        <w:rPr>
          <w:rFonts w:ascii="Arial" w:cs="Arial" w:eastAsia="Arial" w:hAnsi="Arial"/>
          <w:sz w:val="17"/>
          <w:szCs w:val="17"/>
          <w:color w:val="auto"/>
        </w:rPr>
      </w:pPr>
    </w:p>
    <w:p>
      <w:pPr>
        <w:ind w:right="80" w:firstLine="1875"/>
        <w:spacing w:after="0" w:line="252" w:lineRule="auto"/>
        <w:tabs>
          <w:tab w:leader="none" w:pos="2439"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Vesting Conditions</w:t>
      </w:r>
      <w:r>
        <w:rPr>
          <w:rFonts w:ascii="Arial" w:cs="Arial" w:eastAsia="Arial" w:hAnsi="Arial"/>
          <w:sz w:val="17"/>
          <w:szCs w:val="17"/>
          <w:color w:val="auto"/>
        </w:rPr>
        <w:t>” 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spacing w:after="0" w:line="152" w:lineRule="exact"/>
        <w:rPr>
          <w:sz w:val="20"/>
          <w:szCs w:val="20"/>
          <w:color w:val="auto"/>
        </w:rPr>
      </w:pPr>
    </w:p>
    <w:p>
      <w:pPr>
        <w:ind w:right="40" w:firstLine="1247"/>
        <w:spacing w:after="0" w:line="26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Construction</w:t>
      </w:r>
      <w:r>
        <w:rPr>
          <w:rFonts w:ascii="Arial" w:cs="Arial" w:eastAsia="Arial" w:hAnsi="Arial"/>
          <w:sz w:val="17"/>
          <w:szCs w:val="17"/>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44" w:lineRule="exact"/>
        <w:rPr>
          <w:sz w:val="20"/>
          <w:szCs w:val="20"/>
          <w:color w:val="auto"/>
        </w:rPr>
      </w:pPr>
    </w:p>
    <w:p>
      <w:pPr>
        <w:ind w:left="1260" w:hanging="632"/>
        <w:spacing w:after="0"/>
        <w:tabs>
          <w:tab w:leader="none" w:pos="1260" w:val="left"/>
        </w:tabs>
        <w:numPr>
          <w:ilvl w:val="0"/>
          <w:numId w:val="39"/>
        </w:numPr>
        <w:rPr>
          <w:rFonts w:ascii="Arial" w:cs="Arial" w:eastAsia="Arial" w:hAnsi="Arial"/>
          <w:sz w:val="17"/>
          <w:szCs w:val="17"/>
          <w:color w:val="auto"/>
        </w:rPr>
      </w:pP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dministration</w:t>
      </w:r>
      <w:r>
        <w:rPr>
          <w:rFonts w:ascii="Arial" w:cs="Arial" w:eastAsia="Arial" w:hAnsi="Arial"/>
          <w:sz w:val="17"/>
          <w:szCs w:val="17"/>
          <w:color w:val="auto"/>
        </w:rPr>
        <w:t>.</w:t>
      </w:r>
    </w:p>
    <w:p>
      <w:pPr>
        <w:spacing w:after="0" w:line="233" w:lineRule="exact"/>
        <w:rPr>
          <w:sz w:val="20"/>
          <w:szCs w:val="20"/>
          <w:color w:val="auto"/>
        </w:rPr>
      </w:pPr>
    </w:p>
    <w:p>
      <w:pPr>
        <w:ind w:right="200" w:firstLine="1247"/>
        <w:spacing w:after="0" w:line="24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Administration by the Committee</w:t>
      </w:r>
      <w:r>
        <w:rPr>
          <w:rFonts w:ascii="Arial" w:cs="Arial" w:eastAsia="Arial" w:hAnsi="Arial"/>
          <w:sz w:val="17"/>
          <w:szCs w:val="17"/>
          <w:color w:val="auto"/>
        </w:rPr>
        <w:t>.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565" w:right="379" w:bottom="1440" w:gutter="0" w:footer="0" w:header="0"/>
        </w:sectPr>
      </w:pPr>
    </w:p>
    <w:bookmarkStart w:id="42" w:name="page43"/>
    <w:bookmarkEnd w:id="42"/>
    <w:p>
      <w:pPr>
        <w:ind w:right="40" w:firstLine="1247"/>
        <w:spacing w:after="0" w:line="245"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Authority of Officers</w:t>
      </w:r>
      <w:r>
        <w:rPr>
          <w:rFonts w:ascii="Arial" w:cs="Arial" w:eastAsia="Arial" w:hAnsi="Arial"/>
          <w:sz w:val="17"/>
          <w:szCs w:val="17"/>
          <w:color w:val="auto"/>
        </w:rPr>
        <w:t>.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the Committee shall fix the maximum number of shares subject to Awards that may be granted by such Officers and each such Award shall conform to such other limits and guidelines as may be established from time to time by the Committee and as may be required by applicable law.</w:t>
      </w:r>
    </w:p>
    <w:p>
      <w:pPr>
        <w:spacing w:after="0" w:line="158" w:lineRule="exact"/>
        <w:rPr>
          <w:sz w:val="20"/>
          <w:szCs w:val="20"/>
          <w:color w:val="auto"/>
        </w:rPr>
      </w:pPr>
    </w:p>
    <w:p>
      <w:pPr>
        <w:jc w:val="both"/>
        <w:ind w:right="60" w:firstLine="1247"/>
        <w:spacing w:after="0" w:line="260"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auto"/>
        </w:rPr>
        <w:t>Administration with Respect to Insiders</w:t>
      </w:r>
      <w:r>
        <w:rPr>
          <w:rFonts w:ascii="Arial" w:cs="Arial" w:eastAsia="Arial" w:hAnsi="Arial"/>
          <w:sz w:val="17"/>
          <w:szCs w:val="17"/>
          <w:color w:val="auto"/>
        </w:rPr>
        <w:t>.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144" w:lineRule="exact"/>
        <w:rPr>
          <w:sz w:val="20"/>
          <w:szCs w:val="20"/>
          <w:color w:val="auto"/>
        </w:rPr>
      </w:pPr>
    </w:p>
    <w:p>
      <w:pPr>
        <w:ind w:right="120" w:firstLine="1247"/>
        <w:spacing w:after="0" w:line="28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auto"/>
        </w:rPr>
        <w:t>Powers of the Committee</w:t>
      </w:r>
      <w:r>
        <w:rPr>
          <w:rFonts w:ascii="Arial" w:cs="Arial" w:eastAsia="Arial" w:hAnsi="Arial"/>
          <w:sz w:val="17"/>
          <w:szCs w:val="17"/>
          <w:color w:val="auto"/>
        </w:rPr>
        <w:t>. In addition to any other powers set forth in the Plan and subject to the provisions of the Plan, the Committee shall have the full and final power and authority, in its discretion:</w:t>
      </w:r>
    </w:p>
    <w:p>
      <w:pPr>
        <w:spacing w:after="0" w:line="127" w:lineRule="exact"/>
        <w:rPr>
          <w:sz w:val="20"/>
          <w:szCs w:val="20"/>
          <w:color w:val="auto"/>
        </w:rPr>
      </w:pPr>
    </w:p>
    <w:p>
      <w:pPr>
        <w:ind w:right="400" w:firstLine="1875"/>
        <w:spacing w:after="0" w:line="280" w:lineRule="auto"/>
        <w:tabs>
          <w:tab w:leader="none" w:pos="2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determine the persons to whom, and the time or times at which, Awards shall be granted and the number of shares of Stock, units or monetary value to be subject to each Award;</w:t>
      </w:r>
    </w:p>
    <w:p>
      <w:pPr>
        <w:spacing w:after="0" w:line="128" w:lineRule="exact"/>
        <w:rPr>
          <w:rFonts w:ascii="Arial" w:cs="Arial" w:eastAsia="Arial" w:hAnsi="Arial"/>
          <w:sz w:val="17"/>
          <w:szCs w:val="17"/>
          <w:color w:val="auto"/>
        </w:rPr>
      </w:pPr>
    </w:p>
    <w:p>
      <w:pPr>
        <w:ind w:left="2420" w:hanging="545"/>
        <w:spacing w:after="0"/>
        <w:tabs>
          <w:tab w:leader="none" w:pos="2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designate Options as Incentive Stock Options or Nonstatutory Stock Options;</w:t>
      </w:r>
    </w:p>
    <w:p>
      <w:pPr>
        <w:spacing w:after="0" w:line="194" w:lineRule="exact"/>
        <w:rPr>
          <w:rFonts w:ascii="Arial" w:cs="Arial" w:eastAsia="Arial" w:hAnsi="Arial"/>
          <w:sz w:val="17"/>
          <w:szCs w:val="17"/>
          <w:color w:val="auto"/>
        </w:rPr>
      </w:pPr>
    </w:p>
    <w:p>
      <w:pPr>
        <w:ind w:left="2420" w:hanging="545"/>
        <w:spacing w:after="0"/>
        <w:tabs>
          <w:tab w:leader="none" w:pos="2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determine the type(s) of Other Stock-Based Awards, and their terms and conditions that may be granted under</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the Plan;</w:t>
      </w:r>
    </w:p>
    <w:p>
      <w:pPr>
        <w:spacing w:after="0" w:line="178" w:lineRule="exact"/>
        <w:rPr>
          <w:rFonts w:ascii="Arial" w:cs="Arial" w:eastAsia="Arial" w:hAnsi="Arial"/>
          <w:sz w:val="17"/>
          <w:szCs w:val="17"/>
          <w:color w:val="auto"/>
        </w:rPr>
      </w:pPr>
    </w:p>
    <w:p>
      <w:pPr>
        <w:ind w:left="2420" w:hanging="545"/>
        <w:spacing w:after="0"/>
        <w:tabs>
          <w:tab w:leader="none" w:pos="2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determine the Fair Market Value of shares of Stock or other property;</w:t>
      </w:r>
    </w:p>
    <w:p>
      <w:pPr>
        <w:spacing w:after="0" w:line="194" w:lineRule="exact"/>
        <w:rPr>
          <w:rFonts w:ascii="Arial" w:cs="Arial" w:eastAsia="Arial" w:hAnsi="Arial"/>
          <w:sz w:val="17"/>
          <w:szCs w:val="17"/>
          <w:color w:val="auto"/>
        </w:rPr>
      </w:pPr>
    </w:p>
    <w:p>
      <w:pPr>
        <w:ind w:right="40" w:firstLine="1875"/>
        <w:spacing w:after="0" w:line="245" w:lineRule="auto"/>
        <w:tabs>
          <w:tab w:leader="none" w:pos="2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Targets,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spacing w:after="0" w:line="157" w:lineRule="exact"/>
        <w:rPr>
          <w:rFonts w:ascii="Arial" w:cs="Arial" w:eastAsia="Arial" w:hAnsi="Arial"/>
          <w:sz w:val="17"/>
          <w:szCs w:val="17"/>
          <w:color w:val="auto"/>
        </w:rPr>
      </w:pPr>
    </w:p>
    <w:p>
      <w:pPr>
        <w:ind w:left="2420" w:hanging="545"/>
        <w:spacing w:after="0"/>
        <w:tabs>
          <w:tab w:leader="none" w:pos="2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determine whether an Award will be settled in shares of Stock, cash, other property or in any combination</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thereof;</w:t>
      </w:r>
    </w:p>
    <w:p>
      <w:pPr>
        <w:spacing w:after="0" w:line="178" w:lineRule="exact"/>
        <w:rPr>
          <w:rFonts w:ascii="Arial" w:cs="Arial" w:eastAsia="Arial" w:hAnsi="Arial"/>
          <w:sz w:val="17"/>
          <w:szCs w:val="17"/>
          <w:color w:val="auto"/>
        </w:rPr>
      </w:pPr>
    </w:p>
    <w:p>
      <w:pPr>
        <w:ind w:left="2420" w:hanging="545"/>
        <w:spacing w:after="0"/>
        <w:tabs>
          <w:tab w:leader="none" w:pos="2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approve one or more forms of Award Agreement;</w:t>
      </w:r>
    </w:p>
    <w:p>
      <w:pPr>
        <w:spacing w:after="0" w:line="194" w:lineRule="exact"/>
        <w:rPr>
          <w:rFonts w:ascii="Arial" w:cs="Arial" w:eastAsia="Arial" w:hAnsi="Arial"/>
          <w:sz w:val="17"/>
          <w:szCs w:val="17"/>
          <w:color w:val="auto"/>
        </w:rPr>
      </w:pPr>
    </w:p>
    <w:p>
      <w:pPr>
        <w:jc w:val="both"/>
        <w:ind w:firstLine="1875"/>
        <w:spacing w:after="0" w:line="252" w:lineRule="auto"/>
        <w:tabs>
          <w:tab w:leader="none" w:pos="2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to amend, modify, extend, cancel or renew any Award or to waive any restrictions or conditions applicable to any Award or any shares acquired pursuant thereto except as provided in Section 3.5 (Repricing and Reload Options Prohibited) </w:t>
      </w:r>
      <w:r>
        <w:rPr>
          <w:rFonts w:ascii="Arial" w:cs="Arial" w:eastAsia="Arial" w:hAnsi="Arial"/>
          <w:sz w:val="17"/>
          <w:szCs w:val="17"/>
          <w:i w:val="1"/>
          <w:iCs w:val="1"/>
          <w:color w:val="auto"/>
        </w:rPr>
        <w:t>provided however</w:t>
      </w:r>
      <w:r>
        <w:rPr>
          <w:rFonts w:ascii="Arial" w:cs="Arial" w:eastAsia="Arial" w:hAnsi="Arial"/>
          <w:sz w:val="17"/>
          <w:szCs w:val="17"/>
          <w:color w:val="auto"/>
        </w:rPr>
        <w:t>, that, a Participant’s rights under any Award will not be Materially Impaired by any such amendment unless (i) the Company requests the consent of the affected Participant, and (ii) such Participant consents in writing;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3" w:name="page44"/>
    <w:bookmarkEnd w:id="43"/>
    <w:p>
      <w:pPr>
        <w:ind w:right="20" w:firstLine="1875"/>
        <w:spacing w:after="0" w:line="252" w:lineRule="auto"/>
        <w:tabs>
          <w:tab w:leader="none" w:pos="241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to accelerate, continue, extend or defer the exercisability or vesting of any Award or any shares acquired pursuant thereto, including with respect to the period following a Participant’s termination of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Participant’s rights under any Award will not be Materially Impaired by any such amendment unless (i) the Company requests the consent of the affected Participant, and (ii) such Participant consents in writing;</w:t>
      </w:r>
    </w:p>
    <w:p>
      <w:pPr>
        <w:spacing w:after="0" w:line="153" w:lineRule="exact"/>
        <w:rPr>
          <w:rFonts w:ascii="Arial" w:cs="Arial" w:eastAsia="Arial" w:hAnsi="Arial"/>
          <w:sz w:val="17"/>
          <w:szCs w:val="17"/>
          <w:color w:val="auto"/>
        </w:rPr>
      </w:pPr>
    </w:p>
    <w:p>
      <w:pPr>
        <w:ind w:right="220" w:firstLine="1875"/>
        <w:spacing w:after="0" w:line="259" w:lineRule="auto"/>
        <w:tabs>
          <w:tab w:leader="none" w:pos="241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w:t>
      </w:r>
    </w:p>
    <w:p>
      <w:pPr>
        <w:spacing w:after="0" w:line="146" w:lineRule="exact"/>
        <w:rPr>
          <w:rFonts w:ascii="Arial" w:cs="Arial" w:eastAsia="Arial" w:hAnsi="Arial"/>
          <w:sz w:val="17"/>
          <w:szCs w:val="17"/>
          <w:color w:val="auto"/>
        </w:rPr>
      </w:pPr>
    </w:p>
    <w:p>
      <w:pPr>
        <w:ind w:right="40" w:firstLine="1875"/>
        <w:spacing w:after="0" w:line="252" w:lineRule="auto"/>
        <w:tabs>
          <w:tab w:leader="none" w:pos="2407"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Stock or the share price of the Stock including any Change in Control, for reasons of administrative convenience;</w:t>
      </w:r>
    </w:p>
    <w:p>
      <w:pPr>
        <w:spacing w:after="0" w:line="153" w:lineRule="exact"/>
        <w:rPr>
          <w:rFonts w:ascii="Arial" w:cs="Arial" w:eastAsia="Arial" w:hAnsi="Arial"/>
          <w:sz w:val="17"/>
          <w:szCs w:val="17"/>
          <w:color w:val="auto"/>
        </w:rPr>
      </w:pPr>
    </w:p>
    <w:p>
      <w:pPr>
        <w:jc w:val="both"/>
        <w:ind w:right="160" w:firstLine="1875"/>
        <w:spacing w:after="0" w:line="280" w:lineRule="auto"/>
        <w:tabs>
          <w:tab w:leader="none" w:pos="241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authorize, in conjunction with any applicable Company deferred compensation plan, that the receipt of cash or Stock subject to any Award under this Plan, may be deferred under the terms and conditions of such Company deferred compensation plan; and</w:t>
      </w:r>
    </w:p>
    <w:p>
      <w:pPr>
        <w:spacing w:after="0" w:line="128" w:lineRule="exact"/>
        <w:rPr>
          <w:rFonts w:ascii="Arial" w:cs="Arial" w:eastAsia="Arial" w:hAnsi="Arial"/>
          <w:sz w:val="17"/>
          <w:szCs w:val="17"/>
          <w:color w:val="auto"/>
        </w:rPr>
      </w:pPr>
    </w:p>
    <w:p>
      <w:pPr>
        <w:ind w:right="40" w:firstLine="1875"/>
        <w:spacing w:after="0" w:line="259" w:lineRule="auto"/>
        <w:tabs>
          <w:tab w:leader="none" w:pos="241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145" w:lineRule="exact"/>
        <w:rPr>
          <w:sz w:val="20"/>
          <w:szCs w:val="20"/>
          <w:color w:val="auto"/>
        </w:rPr>
      </w:pPr>
    </w:p>
    <w:p>
      <w:pPr>
        <w:ind w:right="40" w:firstLine="1247"/>
        <w:spacing w:after="0" w:line="247"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color w:val="auto"/>
        </w:rPr>
        <w:t>Option or SAR Repricing and Reload Options Prohibited</w:t>
      </w:r>
      <w:r>
        <w:rPr>
          <w:rFonts w:ascii="Arial" w:cs="Arial" w:eastAsia="Arial" w:hAnsi="Arial"/>
          <w:sz w:val="17"/>
          <w:szCs w:val="17"/>
          <w:color w:val="auto"/>
        </w:rPr>
        <w:t>. Except as provided in Section 4.2 (Adjustments for Changes in Capital Structure) or in connection with a Change in Control, neither the Company, Board nor any Committee shall have the authority to (i) reduce the exercise price or strike price of any outstanding Options or SARs under the Plan, or (ii) cancel any Options or SARs that have an exercise price of strike price greater than the current Fair Market Value in exchange for cash or other Awards under the Plan, unless the stockholders of the Company have approved such an action within twelve months prior to such an event. No Option may be granted to any Participant on account of the use of Stock by the Participant to exercise a prior Option.</w:t>
      </w:r>
    </w:p>
    <w:p>
      <w:pPr>
        <w:spacing w:after="0" w:line="157" w:lineRule="exact"/>
        <w:rPr>
          <w:sz w:val="20"/>
          <w:szCs w:val="20"/>
          <w:color w:val="auto"/>
        </w:rPr>
      </w:pPr>
    </w:p>
    <w:p>
      <w:pPr>
        <w:ind w:right="80" w:firstLine="1247"/>
        <w:spacing w:after="0" w:line="244"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b w:val="1"/>
          <w:bCs w:val="1"/>
          <w:color w:val="auto"/>
        </w:rPr>
        <w:t>Minimum Vesting</w:t>
      </w:r>
      <w:r>
        <w:rPr>
          <w:rFonts w:ascii="Arial" w:cs="Arial" w:eastAsia="Arial" w:hAnsi="Arial"/>
          <w:sz w:val="17"/>
          <w:szCs w:val="17"/>
          <w:color w:val="auto"/>
        </w:rPr>
        <w:t xml:space="preserve">. Notwithstanding any other provision of the Plan to the contrary, Awards granted under the Plan (other than cash-based awards) shall vest no earlier than the first anniversary of the date on which the Award is granted;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following Awards shall not be subject to the foregoing minimum vesting requirement: any (i) substitute Awards granted in connection with awards that are assumed, converted or substituted pursuant to a merger, acquisition or similar transaction entered into by the Company or any of its Subsidiaries,</w:t>
      </w:r>
    </w:p>
    <w:p>
      <w:pPr>
        <w:spacing w:after="0" w:line="3" w:lineRule="exact"/>
        <w:rPr>
          <w:sz w:val="20"/>
          <w:szCs w:val="20"/>
          <w:color w:val="auto"/>
        </w:rPr>
      </w:pPr>
    </w:p>
    <w:p>
      <w:pPr>
        <w:ind w:firstLine="4"/>
        <w:spacing w:after="0" w:line="243" w:lineRule="auto"/>
        <w:tabs>
          <w:tab w:leader="none" w:pos="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Shares delivered in lieu of fully vested cash obligations, (iii) Awards to Nonemployee Directors that vest on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Plan pursuant to Section 4.1 (subject to adjustment under Section 4.3);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foregoing restriction does not apply to the Committee’s discretion to provide for accelerated exercisability or vesting of any Award, including in cases of retirement, death, Disability or a Change in Control, in the terms of the Award Agreement or otherwise.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44" w:name="page45"/>
    <w:bookmarkEnd w:id="44"/>
    <w:p>
      <w:pPr>
        <w:ind w:right="20" w:firstLine="1247"/>
        <w:spacing w:after="0" w:line="243"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Indemnification</w:t>
      </w:r>
      <w:r>
        <w:rPr>
          <w:rFonts w:ascii="Arial" w:cs="Arial" w:eastAsia="Arial" w:hAnsi="Arial"/>
          <w:sz w:val="17"/>
          <w:szCs w:val="17"/>
          <w:color w:val="auto"/>
        </w:rPr>
        <w:t>.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or with respect to which the recoupment provisions of Section 18.2 of the Plan are applicable; provided, however, that within sixty (60) days after the institution of such action, suit or proceeding, such person shall offer to the Company, in writing, the opportunity at its own expense to handle and defend the same.</w:t>
      </w:r>
    </w:p>
    <w:p>
      <w:pPr>
        <w:spacing w:after="0" w:line="162" w:lineRule="exact"/>
        <w:rPr>
          <w:sz w:val="20"/>
          <w:szCs w:val="20"/>
          <w:color w:val="auto"/>
        </w:rPr>
      </w:pPr>
    </w:p>
    <w:p>
      <w:pPr>
        <w:ind w:left="1260" w:hanging="632"/>
        <w:spacing w:after="0"/>
        <w:tabs>
          <w:tab w:leader="none" w:pos="1260" w:val="left"/>
        </w:tabs>
        <w:numPr>
          <w:ilvl w:val="0"/>
          <w:numId w:val="43"/>
        </w:numPr>
        <w:rPr>
          <w:rFonts w:ascii="Arial" w:cs="Arial" w:eastAsia="Arial" w:hAnsi="Arial"/>
          <w:sz w:val="17"/>
          <w:szCs w:val="17"/>
          <w:color w:val="auto"/>
        </w:rPr>
      </w:pPr>
      <w:r>
        <w:rPr>
          <w:rFonts w:ascii="Arial" w:cs="Arial" w:eastAsia="Arial" w:hAnsi="Arial"/>
          <w:sz w:val="17"/>
          <w:szCs w:val="17"/>
          <w:b w:val="1"/>
          <w:bCs w:val="1"/>
          <w:u w:val="single" w:color="auto"/>
          <w:color w:val="auto"/>
        </w:rPr>
        <w:t>S</w:t>
      </w:r>
      <w:r>
        <w:rPr>
          <w:rFonts w:ascii="Arial" w:cs="Arial" w:eastAsia="Arial" w:hAnsi="Arial"/>
          <w:sz w:val="11"/>
          <w:szCs w:val="11"/>
          <w:b w:val="1"/>
          <w:bCs w:val="1"/>
          <w:u w:val="single" w:color="auto"/>
          <w:color w:val="auto"/>
        </w:rPr>
        <w:t>hares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w:t>
      </w:r>
      <w:r>
        <w:rPr>
          <w:rFonts w:ascii="Arial" w:cs="Arial" w:eastAsia="Arial" w:hAnsi="Arial"/>
          <w:sz w:val="11"/>
          <w:szCs w:val="11"/>
          <w:b w:val="1"/>
          <w:bCs w:val="1"/>
          <w:u w:val="single" w:color="auto"/>
          <w:color w:val="auto"/>
        </w:rPr>
        <w:t>ubject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w:t>
      </w:r>
      <w:r>
        <w:rPr>
          <w:rFonts w:ascii="Arial" w:cs="Arial" w:eastAsia="Arial" w:hAnsi="Arial"/>
          <w:sz w:val="11"/>
          <w:szCs w:val="11"/>
          <w:b w:val="1"/>
          <w:bCs w:val="1"/>
          <w:u w:val="single" w:color="auto"/>
          <w:color w:val="auto"/>
        </w:rPr>
        <w:t>lan</w:t>
      </w:r>
      <w:r>
        <w:rPr>
          <w:rFonts w:ascii="Arial" w:cs="Arial" w:eastAsia="Arial" w:hAnsi="Arial"/>
          <w:sz w:val="17"/>
          <w:szCs w:val="17"/>
          <w:color w:val="auto"/>
        </w:rPr>
        <w:t>.</w:t>
      </w:r>
    </w:p>
    <w:p>
      <w:pPr>
        <w:spacing w:after="0" w:line="233" w:lineRule="exact"/>
        <w:rPr>
          <w:sz w:val="20"/>
          <w:szCs w:val="20"/>
          <w:color w:val="auto"/>
        </w:rPr>
      </w:pPr>
    </w:p>
    <w:p>
      <w:pPr>
        <w:ind w:right="280" w:firstLine="1247"/>
        <w:spacing w:after="0" w:line="24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Maximum Number of Shares Issuable</w:t>
      </w:r>
      <w:r>
        <w:rPr>
          <w:rFonts w:ascii="Arial" w:cs="Arial" w:eastAsia="Arial" w:hAnsi="Arial"/>
          <w:sz w:val="17"/>
          <w:szCs w:val="17"/>
          <w:color w:val="auto"/>
        </w:rPr>
        <w:t>. Subject to adjustment as provided in Sections 4.2 and 4.3, the maximum aggregate number of shares of Stock that may be issued under the Plan will not exceed: (i) 3,400,000 shares, less (ii) one share for each share subject to any equity award granted under the Prior Plan after March 20, 2026 and prior to the Effective Date; plus (iii) the number of Returning Shares, if any, as such shares become available from time to time. The shares of Stock that may be issued under the Plan may consist of authorized but reissued or reacquired shares of Stock or any combination thereof. In no event shall the number of shares subject to any equity award granted under the Prior Plan after March 20, 2026 and prior to the Effective Date exceed 10,000 shares.</w:t>
      </w:r>
    </w:p>
    <w:p>
      <w:pPr>
        <w:spacing w:after="0" w:line="157" w:lineRule="exact"/>
        <w:rPr>
          <w:sz w:val="20"/>
          <w:szCs w:val="20"/>
          <w:color w:val="auto"/>
        </w:rPr>
      </w:pPr>
    </w:p>
    <w:p>
      <w:pPr>
        <w:ind w:right="20" w:firstLine="1247"/>
        <w:spacing w:after="0" w:line="244"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Share Counting</w:t>
      </w:r>
      <w:r>
        <w:rPr>
          <w:rFonts w:ascii="Arial" w:cs="Arial" w:eastAsia="Arial" w:hAnsi="Arial"/>
          <w:sz w:val="17"/>
          <w:szCs w:val="17"/>
          <w:color w:val="auto"/>
        </w:rPr>
        <w:t>.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Any shares of Stock that are exchanged or sold by a Participant or withheld by the Company as full or partial payment of the exercise price of any Option or SAR, and any shares of Stock that are exchanged, sold or withheld by the Company or any member of the Participating Company Group to satisfy any tax withholding or payment obligations related to any Award, shall not be available for subsequent Awards under the Plan. Shares purchased in the open market with proceeds from the exercise of Options or SARs shall not be added to the limit set forth in Section 4.1.</w:t>
      </w:r>
    </w:p>
    <w:p>
      <w:pPr>
        <w:spacing w:after="0" w:line="161" w:lineRule="exact"/>
        <w:rPr>
          <w:sz w:val="20"/>
          <w:szCs w:val="20"/>
          <w:color w:val="auto"/>
        </w:rPr>
      </w:pPr>
    </w:p>
    <w:p>
      <w:pPr>
        <w:ind w:firstLine="1247"/>
        <w:spacing w:after="0" w:line="241"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Adjustments for Changes in Capital Structure</w:t>
      </w:r>
      <w:r>
        <w:rPr>
          <w:rFonts w:ascii="Arial" w:cs="Arial" w:eastAsia="Arial" w:hAnsi="Arial"/>
          <w:sz w:val="17"/>
          <w:szCs w:val="17"/>
          <w:color w:val="auto"/>
        </w:rPr>
        <w:t>.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Incentive Stock Option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Arial" w:cs="Arial" w:eastAsia="Arial" w:hAnsi="Arial"/>
          <w:sz w:val="17"/>
          <w:szCs w:val="17"/>
          <w:b w:val="1"/>
          <w:bCs w:val="1"/>
          <w:i w:val="1"/>
          <w:iCs w:val="1"/>
          <w:color w:val="auto"/>
        </w:rPr>
        <w:t>New Shares</w:t>
      </w:r>
      <w:r>
        <w:rPr>
          <w:rFonts w:ascii="Arial" w:cs="Arial" w:eastAsia="Arial" w:hAnsi="Arial"/>
          <w:sz w:val="17"/>
          <w:szCs w:val="17"/>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5" w:name="page46"/>
    <w:bookmarkEnd w:id="45"/>
    <w:p>
      <w:pPr>
        <w:ind w:right="40" w:firstLine="1247"/>
        <w:spacing w:after="0" w:line="245"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color w:val="auto"/>
        </w:rPr>
        <w:t>Assumption or Substitution of Awards</w:t>
      </w:r>
      <w:r>
        <w:rPr>
          <w:rFonts w:ascii="Arial" w:cs="Arial" w:eastAsia="Arial" w:hAnsi="Arial"/>
          <w:sz w:val="17"/>
          <w:szCs w:val="17"/>
          <w:color w:val="auto"/>
        </w:rPr>
        <w:t>. The Committee may, without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without reducing the number of shares otherwise available for issuance under the Plan.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w:t>
      </w:r>
    </w:p>
    <w:p>
      <w:pPr>
        <w:spacing w:after="0" w:line="357" w:lineRule="exact"/>
        <w:rPr>
          <w:sz w:val="20"/>
          <w:szCs w:val="20"/>
          <w:color w:val="auto"/>
        </w:rPr>
      </w:pPr>
    </w:p>
    <w:p>
      <w:pPr>
        <w:ind w:left="1260" w:hanging="632"/>
        <w:spacing w:after="0"/>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b w:val="1"/>
          <w:bCs w:val="1"/>
          <w:u w:val="single" w:color="auto"/>
          <w:color w:val="auto"/>
        </w:rPr>
        <w:t>E</w:t>
      </w:r>
      <w:r>
        <w:rPr>
          <w:rFonts w:ascii="Arial" w:cs="Arial" w:eastAsia="Arial" w:hAnsi="Arial"/>
          <w:sz w:val="11"/>
          <w:szCs w:val="11"/>
          <w:b w:val="1"/>
          <w:bCs w:val="1"/>
          <w:u w:val="single" w:color="auto"/>
          <w:color w:val="auto"/>
        </w:rPr>
        <w:t>ligibility</w:t>
      </w:r>
      <w:r>
        <w:rPr>
          <w:rFonts w:ascii="Arial" w:cs="Arial" w:eastAsia="Arial" w:hAnsi="Arial"/>
          <w:sz w:val="17"/>
          <w:szCs w:val="17"/>
          <w:b w:val="1"/>
          <w:bCs w:val="1"/>
          <w:u w:val="single" w:color="auto"/>
          <w:color w:val="auto"/>
        </w:rPr>
        <w:t>, P</w:t>
      </w:r>
      <w:r>
        <w:rPr>
          <w:rFonts w:ascii="Arial" w:cs="Arial" w:eastAsia="Arial" w:hAnsi="Arial"/>
          <w:sz w:val="11"/>
          <w:szCs w:val="11"/>
          <w:b w:val="1"/>
          <w:bCs w:val="1"/>
          <w:u w:val="single" w:color="auto"/>
          <w:color w:val="auto"/>
        </w:rPr>
        <w:t>articipation 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ward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L</w:t>
      </w:r>
      <w:r>
        <w:rPr>
          <w:rFonts w:ascii="Arial" w:cs="Arial" w:eastAsia="Arial" w:hAnsi="Arial"/>
          <w:sz w:val="11"/>
          <w:szCs w:val="11"/>
          <w:b w:val="1"/>
          <w:bCs w:val="1"/>
          <w:u w:val="single" w:color="auto"/>
          <w:color w:val="auto"/>
        </w:rPr>
        <w:t>imitations</w:t>
      </w:r>
      <w:r>
        <w:rPr>
          <w:rFonts w:ascii="Arial" w:cs="Arial" w:eastAsia="Arial" w:hAnsi="Arial"/>
          <w:sz w:val="17"/>
          <w:szCs w:val="17"/>
          <w:color w:val="auto"/>
        </w:rPr>
        <w:t>.</w:t>
      </w:r>
    </w:p>
    <w:p>
      <w:pPr>
        <w:spacing w:after="0" w:line="233"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b w:val="1"/>
          <w:bCs w:val="1"/>
          <w:color w:val="auto"/>
        </w:rPr>
        <w:t>Persons Eligible for Awards</w:t>
      </w:r>
      <w:r>
        <w:rPr>
          <w:rFonts w:ascii="Arial" w:cs="Arial" w:eastAsia="Arial" w:hAnsi="Arial"/>
          <w:sz w:val="17"/>
          <w:szCs w:val="17"/>
          <w:color w:val="auto"/>
        </w:rPr>
        <w:t>. Awards may be granted only to Employees, Consultants and Directors.</w:t>
      </w:r>
    </w:p>
    <w:p>
      <w:pPr>
        <w:spacing w:after="0" w:line="194" w:lineRule="exact"/>
        <w:rPr>
          <w:sz w:val="20"/>
          <w:szCs w:val="20"/>
          <w:color w:val="auto"/>
        </w:rPr>
      </w:pPr>
    </w:p>
    <w:p>
      <w:pPr>
        <w:ind w:right="80" w:firstLine="1247"/>
        <w:spacing w:after="0" w:line="26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color w:val="auto"/>
        </w:rPr>
        <w:t>Participation in the Plan</w:t>
      </w:r>
      <w:r>
        <w:rPr>
          <w:rFonts w:ascii="Arial" w:cs="Arial" w:eastAsia="Arial" w:hAnsi="Arial"/>
          <w:sz w:val="17"/>
          <w:szCs w:val="17"/>
          <w:color w:val="auto"/>
        </w:rPr>
        <w:t>.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144"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b w:val="1"/>
          <w:bCs w:val="1"/>
          <w:color w:val="auto"/>
        </w:rPr>
        <w:t>Incentive Stock Option Limitations</w:t>
      </w:r>
      <w:r>
        <w:rPr>
          <w:rFonts w:ascii="Arial" w:cs="Arial" w:eastAsia="Arial" w:hAnsi="Arial"/>
          <w:sz w:val="17"/>
          <w:szCs w:val="17"/>
          <w:color w:val="auto"/>
        </w:rPr>
        <w:t>.</w:t>
      </w:r>
    </w:p>
    <w:p>
      <w:pPr>
        <w:spacing w:after="0" w:line="196" w:lineRule="exact"/>
        <w:rPr>
          <w:sz w:val="20"/>
          <w:szCs w:val="20"/>
          <w:color w:val="auto"/>
        </w:rPr>
      </w:pPr>
    </w:p>
    <w:p>
      <w:pPr>
        <w:ind w:firstLine="1875"/>
        <w:spacing w:after="0" w:line="249" w:lineRule="auto"/>
        <w:tabs>
          <w:tab w:leader="none" w:pos="242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Maximum Number of Shares Issuable Pursuant to Incentive Stock Options</w:t>
      </w:r>
      <w:r>
        <w:rPr>
          <w:rFonts w:ascii="Arial" w:cs="Arial" w:eastAsia="Arial" w:hAnsi="Arial"/>
          <w:sz w:val="17"/>
          <w:szCs w:val="17"/>
          <w:color w:val="auto"/>
        </w:rPr>
        <w:t>. Subject to adjustment as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Section 4.3, the maximum aggregate number of shares of Stock that may be issued under the Plan pursuant to the exercise of Incentive Stock Options shall not exceed 3,400,000 shares. The maximum aggregate number of shares of Stock that may be issued under the Plan pursuant to all Awards other than Incentive Stock Options shall be the number of shares determined in accordance with Section 4.1, subject to adjustment as provided in Sections 4.2 and 4.3.</w:t>
      </w:r>
    </w:p>
    <w:p>
      <w:pPr>
        <w:spacing w:after="0" w:line="155" w:lineRule="exact"/>
        <w:rPr>
          <w:rFonts w:ascii="Arial" w:cs="Arial" w:eastAsia="Arial" w:hAnsi="Arial"/>
          <w:sz w:val="17"/>
          <w:szCs w:val="17"/>
          <w:color w:val="auto"/>
        </w:rPr>
      </w:pPr>
    </w:p>
    <w:p>
      <w:pPr>
        <w:ind w:right="140" w:firstLine="1875"/>
        <w:spacing w:after="0" w:line="252" w:lineRule="auto"/>
        <w:tabs>
          <w:tab w:leader="none" w:pos="242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Persons Eligible</w:t>
      </w:r>
      <w:r>
        <w:rPr>
          <w:rFonts w:ascii="Arial" w:cs="Arial" w:eastAsia="Arial" w:hAnsi="Arial"/>
          <w:sz w:val="17"/>
          <w:szCs w:val="17"/>
          <w:color w:val="auto"/>
        </w:rPr>
        <w:t>. An Incentive Stock Option may be granted only to a person who, on the effective date of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an Employee of the Company, a Parent Corporation or a Subsidiary Corporation (each being an “</w:t>
      </w:r>
      <w:r>
        <w:rPr>
          <w:rFonts w:ascii="Arial" w:cs="Arial" w:eastAsia="Arial" w:hAnsi="Arial"/>
          <w:sz w:val="17"/>
          <w:szCs w:val="17"/>
          <w:b w:val="1"/>
          <w:bCs w:val="1"/>
          <w:i w:val="1"/>
          <w:iCs w:val="1"/>
          <w:color w:val="auto"/>
        </w:rPr>
        <w:t>ISO-Qualifying Corporation</w:t>
      </w:r>
      <w:r>
        <w:rPr>
          <w:rFonts w:ascii="Arial" w:cs="Arial" w:eastAsia="Arial" w:hAnsi="Arial"/>
          <w:sz w:val="17"/>
          <w:szCs w:val="17"/>
          <w:color w:val="auto"/>
        </w:rPr>
        <w:t>”). Any person who is not an Employee of an ISO-Qualifying Corporation on the effective date of the grant of an Option to such person may be granted only a Nonstatutory Stock Option.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6" w:name="page47"/>
    <w:bookmarkEnd w:id="46"/>
    <w:p>
      <w:pPr>
        <w:ind w:firstLine="1875"/>
        <w:spacing w:after="0" w:line="243" w:lineRule="auto"/>
        <w:tabs>
          <w:tab w:leader="none" w:pos="241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Fair Market Value Limitation</w:t>
      </w:r>
      <w:r>
        <w:rPr>
          <w:rFonts w:ascii="Arial" w:cs="Arial" w:eastAsia="Arial" w:hAnsi="Arial"/>
          <w:sz w:val="17"/>
          <w:szCs w:val="17"/>
          <w:color w:val="auto"/>
        </w:rPr>
        <w:t>. To the extent that options designated as Incentive Stock Options (granted under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plans of the Participating Company Group, including the Plan) become exercisable by a Participant for the first time during any calendar year for stock having a Fair Market Value greater than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160" w:lineRule="exact"/>
        <w:rPr>
          <w:sz w:val="20"/>
          <w:szCs w:val="20"/>
          <w:color w:val="auto"/>
        </w:rPr>
      </w:pPr>
    </w:p>
    <w:p>
      <w:pPr>
        <w:ind w:right="20" w:firstLine="1247"/>
        <w:spacing w:after="0" w:line="25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b w:val="1"/>
          <w:bCs w:val="1"/>
          <w:color w:val="auto"/>
        </w:rPr>
        <w:t>Nonemployee Director Award Limit</w:t>
      </w:r>
      <w:r>
        <w:rPr>
          <w:rFonts w:ascii="Arial" w:cs="Arial" w:eastAsia="Arial" w:hAnsi="Arial"/>
          <w:sz w:val="17"/>
          <w:szCs w:val="17"/>
          <w:color w:val="auto"/>
        </w:rPr>
        <w:t>. Annual compensation awarded to any Nonemployee Director during each calendar year in respect of the Nonemployee Director’s service as a member of the Board during such year, including both shares of Stock subject to Awards and any cash fees paid to such Nonemployee Director (but excluding any expense reimbursements or distributions from any deferred compensation program applicable to the Nonemployee Director), may not exceed $750,000 in total value (calculating the value of any such Awards based on the grant date fair value of such Awards for financial reporting purposes).</w:t>
      </w:r>
    </w:p>
    <w:p>
      <w:pPr>
        <w:spacing w:after="0" w:line="151" w:lineRule="exact"/>
        <w:rPr>
          <w:sz w:val="20"/>
          <w:szCs w:val="20"/>
          <w:color w:val="auto"/>
        </w:rPr>
      </w:pPr>
    </w:p>
    <w:p>
      <w:pPr>
        <w:ind w:left="1260" w:hanging="632"/>
        <w:spacing w:after="0"/>
        <w:tabs>
          <w:tab w:leader="none" w:pos="1260" w:val="left"/>
        </w:tabs>
        <w:numPr>
          <w:ilvl w:val="0"/>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S</w:t>
      </w:r>
      <w:r>
        <w:rPr>
          <w:rFonts w:ascii="Arial" w:cs="Arial" w:eastAsia="Arial" w:hAnsi="Arial"/>
          <w:sz w:val="11"/>
          <w:szCs w:val="11"/>
          <w:b w:val="1"/>
          <w:bCs w:val="1"/>
          <w:u w:val="single" w:color="auto"/>
          <w:color w:val="auto"/>
        </w:rPr>
        <w:t>tock</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w:t>
      </w:r>
      <w:r>
        <w:rPr>
          <w:rFonts w:ascii="Arial" w:cs="Arial" w:eastAsia="Arial" w:hAnsi="Arial"/>
          <w:sz w:val="11"/>
          <w:szCs w:val="11"/>
          <w:b w:val="1"/>
          <w:bCs w:val="1"/>
          <w:u w:val="single" w:color="auto"/>
          <w:color w:val="auto"/>
        </w:rPr>
        <w:t>ptions</w:t>
      </w:r>
      <w:r>
        <w:rPr>
          <w:rFonts w:ascii="Arial" w:cs="Arial" w:eastAsia="Arial" w:hAnsi="Arial"/>
          <w:sz w:val="17"/>
          <w:szCs w:val="17"/>
          <w:color w:val="auto"/>
        </w:rPr>
        <w:t>.</w:t>
      </w:r>
    </w:p>
    <w:p>
      <w:pPr>
        <w:spacing w:after="0" w:line="23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spacing w:after="0" w:line="145" w:lineRule="exact"/>
        <w:rPr>
          <w:sz w:val="20"/>
          <w:szCs w:val="20"/>
          <w:color w:val="auto"/>
        </w:rPr>
      </w:pPr>
    </w:p>
    <w:p>
      <w:pPr>
        <w:ind w:right="160" w:firstLine="1247"/>
        <w:spacing w:after="0" w:line="24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Exercise Price</w:t>
      </w:r>
      <w:r>
        <w:rPr>
          <w:rFonts w:ascii="Arial" w:cs="Arial" w:eastAsia="Arial" w:hAnsi="Arial"/>
          <w:sz w:val="17"/>
          <w:szCs w:val="17"/>
          <w:color w:val="auto"/>
        </w:rPr>
        <w:t>.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spacing w:after="0" w:line="157" w:lineRule="exact"/>
        <w:rPr>
          <w:sz w:val="20"/>
          <w:szCs w:val="20"/>
          <w:color w:val="auto"/>
        </w:rPr>
      </w:pPr>
    </w:p>
    <w:p>
      <w:pPr>
        <w:ind w:firstLine="1247"/>
        <w:spacing w:after="0" w:line="244"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Exercisability and Term of Options</w:t>
      </w:r>
      <w:r>
        <w:rPr>
          <w:rFonts w:ascii="Arial" w:cs="Arial" w:eastAsia="Arial" w:hAnsi="Arial"/>
          <w:sz w:val="17"/>
          <w:szCs w:val="17"/>
          <w:color w:val="auto"/>
        </w:rPr>
        <w:t>. Subject to Section 3.6,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355"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7"/>
          <w:szCs w:val="17"/>
          <w:b w:val="1"/>
          <w:bCs w:val="1"/>
          <w:color w:val="auto"/>
        </w:rPr>
        <w:t>Payment of Exercise Price</w:t>
      </w:r>
      <w:r>
        <w:rPr>
          <w:rFonts w:ascii="Arial" w:cs="Arial" w:eastAsia="Arial" w:hAnsi="Arial"/>
          <w:sz w:val="17"/>
          <w:szCs w:val="17"/>
          <w:color w:val="auto"/>
        </w:rPr>
        <w:t>.</w:t>
      </w:r>
    </w:p>
    <w:p>
      <w:pPr>
        <w:spacing w:after="0" w:line="196" w:lineRule="exact"/>
        <w:rPr>
          <w:sz w:val="20"/>
          <w:szCs w:val="20"/>
          <w:color w:val="auto"/>
        </w:rPr>
      </w:pPr>
    </w:p>
    <w:p>
      <w:pPr>
        <w:ind w:firstLine="1875"/>
        <w:spacing w:after="0" w:line="246" w:lineRule="auto"/>
        <w:tabs>
          <w:tab w:leader="none" w:pos="242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Forms of Consideration Authorized</w:t>
      </w:r>
      <w:r>
        <w:rPr>
          <w:rFonts w:ascii="Arial" w:cs="Arial" w:eastAsia="Arial" w:hAnsi="Arial"/>
          <w:sz w:val="17"/>
          <w:szCs w:val="17"/>
          <w:color w:val="auto"/>
        </w:rPr>
        <w:t>. Except as otherwise provided below, payment of the exercise price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shares of Stock being purchased pursuant to any Option shall be made (i) in cash, by check or in cash equivalent; (ii) if permitted by the Committee and subject to the limitations contained in Section 6.3(b), by means of (1) a Cashless Exercise, (2) a Stock Tender Exercise or (3) a Net Exercise (for Nonstatutory Stock Options);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47" w:name="page48"/>
    <w:bookmarkEnd w:id="47"/>
    <w:p>
      <w:pPr>
        <w:ind w:left="2380" w:hanging="545"/>
        <w:spacing w:after="0"/>
        <w:tabs>
          <w:tab w:leader="none" w:pos="238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Limitations on Forms of Consideration</w:t>
      </w:r>
      <w:r>
        <w:rPr>
          <w:rFonts w:ascii="Arial" w:cs="Arial" w:eastAsia="Arial" w:hAnsi="Arial"/>
          <w:sz w:val="17"/>
          <w:szCs w:val="17"/>
          <w:i w:val="1"/>
          <w:iCs w:val="1"/>
          <w:color w:val="auto"/>
        </w:rPr>
        <w:t>.</w:t>
      </w:r>
    </w:p>
    <w:p>
      <w:pPr>
        <w:spacing w:after="0" w:line="192" w:lineRule="exact"/>
        <w:rPr>
          <w:rFonts w:ascii="Arial" w:cs="Arial" w:eastAsia="Arial" w:hAnsi="Arial"/>
          <w:sz w:val="17"/>
          <w:szCs w:val="17"/>
          <w:color w:val="auto"/>
        </w:rPr>
      </w:pPr>
    </w:p>
    <w:p>
      <w:pPr>
        <w:ind w:left="-40" w:right="100" w:firstLine="2499"/>
        <w:spacing w:after="0" w:line="246" w:lineRule="auto"/>
        <w:tabs>
          <w:tab w:leader="none" w:pos="2994" w:val="left"/>
        </w:tabs>
        <w:numPr>
          <w:ilvl w:val="1"/>
          <w:numId w:val="49"/>
        </w:numPr>
        <w:rPr>
          <w:rFonts w:ascii="Arial" w:cs="Arial" w:eastAsia="Arial" w:hAnsi="Arial"/>
          <w:sz w:val="17"/>
          <w:szCs w:val="17"/>
          <w:color w:val="auto"/>
        </w:rPr>
      </w:pPr>
      <w:r>
        <w:rPr>
          <w:rFonts w:ascii="Arial" w:cs="Arial" w:eastAsia="Arial" w:hAnsi="Arial"/>
          <w:sz w:val="17"/>
          <w:szCs w:val="17"/>
          <w:b w:val="1"/>
          <w:bCs w:val="1"/>
          <w:color w:val="auto"/>
        </w:rPr>
        <w:t>Cashless Exercise</w:t>
      </w:r>
      <w:r>
        <w:rPr>
          <w:rFonts w:ascii="Arial" w:cs="Arial" w:eastAsia="Arial" w:hAnsi="Arial"/>
          <w:sz w:val="17"/>
          <w:szCs w:val="17"/>
          <w:color w:val="auto"/>
        </w:rPr>
        <w:t>. A “</w:t>
      </w:r>
      <w:r>
        <w:rPr>
          <w:rFonts w:ascii="Arial" w:cs="Arial" w:eastAsia="Arial" w:hAnsi="Arial"/>
          <w:sz w:val="17"/>
          <w:szCs w:val="17"/>
          <w:b w:val="1"/>
          <w:bCs w:val="1"/>
          <w:i w:val="1"/>
          <w:iCs w:val="1"/>
          <w:color w:val="auto"/>
        </w:rPr>
        <w:t>Cashless Exercise</w:t>
      </w:r>
      <w:r>
        <w:rPr>
          <w:rFonts w:ascii="Arial" w:cs="Arial" w:eastAsia="Arial" w:hAnsi="Arial"/>
          <w:sz w:val="17"/>
          <w:szCs w:val="17"/>
          <w:color w:val="auto"/>
        </w:rPr>
        <w:t>” means the delivery of a properly executed notice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56" w:lineRule="exact"/>
        <w:rPr>
          <w:rFonts w:ascii="Arial" w:cs="Arial" w:eastAsia="Arial" w:hAnsi="Arial"/>
          <w:sz w:val="17"/>
          <w:szCs w:val="17"/>
          <w:color w:val="auto"/>
        </w:rPr>
      </w:pPr>
    </w:p>
    <w:p>
      <w:pPr>
        <w:ind w:left="-40" w:firstLine="2499"/>
        <w:spacing w:after="0" w:line="245" w:lineRule="auto"/>
        <w:tabs>
          <w:tab w:leader="none" w:pos="2984" w:val="left"/>
        </w:tabs>
        <w:numPr>
          <w:ilvl w:val="1"/>
          <w:numId w:val="49"/>
        </w:numPr>
        <w:rPr>
          <w:rFonts w:ascii="Arial" w:cs="Arial" w:eastAsia="Arial" w:hAnsi="Arial"/>
          <w:sz w:val="17"/>
          <w:szCs w:val="17"/>
          <w:color w:val="auto"/>
        </w:rPr>
      </w:pPr>
      <w:r>
        <w:rPr>
          <w:rFonts w:ascii="Arial" w:cs="Arial" w:eastAsia="Arial" w:hAnsi="Arial"/>
          <w:sz w:val="17"/>
          <w:szCs w:val="17"/>
          <w:b w:val="1"/>
          <w:bCs w:val="1"/>
          <w:color w:val="auto"/>
        </w:rPr>
        <w:t>Stock Tender Exercise</w:t>
      </w:r>
      <w:r>
        <w:rPr>
          <w:rFonts w:ascii="Arial" w:cs="Arial" w:eastAsia="Arial" w:hAnsi="Arial"/>
          <w:sz w:val="17"/>
          <w:szCs w:val="17"/>
          <w:color w:val="auto"/>
        </w:rPr>
        <w:t>. A “</w:t>
      </w:r>
      <w:r>
        <w:rPr>
          <w:rFonts w:ascii="Arial" w:cs="Arial" w:eastAsia="Arial" w:hAnsi="Arial"/>
          <w:sz w:val="17"/>
          <w:szCs w:val="17"/>
          <w:b w:val="1"/>
          <w:bCs w:val="1"/>
          <w:i w:val="1"/>
          <w:iCs w:val="1"/>
          <w:color w:val="auto"/>
        </w:rPr>
        <w:t>Stock Tender Exercise</w:t>
      </w:r>
      <w:r>
        <w:rPr>
          <w:rFonts w:ascii="Arial" w:cs="Arial" w:eastAsia="Arial" w:hAnsi="Arial"/>
          <w:sz w:val="17"/>
          <w:szCs w:val="17"/>
          <w:color w:val="auto"/>
        </w:rPr>
        <w:t>” means the delivery of a properly executed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57" w:lineRule="exact"/>
        <w:rPr>
          <w:rFonts w:ascii="Arial" w:cs="Arial" w:eastAsia="Arial" w:hAnsi="Arial"/>
          <w:sz w:val="17"/>
          <w:szCs w:val="17"/>
          <w:color w:val="auto"/>
        </w:rPr>
      </w:pPr>
    </w:p>
    <w:p>
      <w:pPr>
        <w:ind w:left="-40" w:right="20" w:firstLine="2499"/>
        <w:spacing w:after="0" w:line="250" w:lineRule="auto"/>
        <w:tabs>
          <w:tab w:leader="none" w:pos="3022" w:val="left"/>
        </w:tabs>
        <w:numPr>
          <w:ilvl w:val="1"/>
          <w:numId w:val="49"/>
        </w:numPr>
        <w:rPr>
          <w:rFonts w:ascii="Arial" w:cs="Arial" w:eastAsia="Arial" w:hAnsi="Arial"/>
          <w:sz w:val="17"/>
          <w:szCs w:val="17"/>
          <w:color w:val="auto"/>
        </w:rPr>
      </w:pPr>
      <w:r>
        <w:rPr>
          <w:rFonts w:ascii="Arial" w:cs="Arial" w:eastAsia="Arial" w:hAnsi="Arial"/>
          <w:sz w:val="17"/>
          <w:szCs w:val="17"/>
          <w:b w:val="1"/>
          <w:bCs w:val="1"/>
          <w:color w:val="auto"/>
        </w:rPr>
        <w:t>Net Exercise</w:t>
      </w:r>
      <w:r>
        <w:rPr>
          <w:rFonts w:ascii="Arial" w:cs="Arial" w:eastAsia="Arial" w:hAnsi="Arial"/>
          <w:sz w:val="17"/>
          <w:szCs w:val="17"/>
          <w:color w:val="auto"/>
        </w:rPr>
        <w:t>. A “</w:t>
      </w:r>
      <w:r>
        <w:rPr>
          <w:rFonts w:ascii="Arial" w:cs="Arial" w:eastAsia="Arial" w:hAnsi="Arial"/>
          <w:sz w:val="17"/>
          <w:szCs w:val="17"/>
          <w:b w:val="1"/>
          <w:bCs w:val="1"/>
          <w:i w:val="1"/>
          <w:iCs w:val="1"/>
          <w:color w:val="auto"/>
        </w:rPr>
        <w:t>Net Exercise</w:t>
      </w:r>
      <w:r>
        <w:rPr>
          <w:rFonts w:ascii="Arial" w:cs="Arial" w:eastAsia="Arial" w:hAnsi="Arial"/>
          <w:sz w:val="17"/>
          <w:szCs w:val="17"/>
          <w:color w:val="auto"/>
        </w:rPr>
        <w:t>” means the delivery of a properly executed exercise notice followed by a</w:t>
      </w:r>
      <w:r>
        <w:rPr>
          <w:rFonts w:ascii="Arial" w:cs="Arial" w:eastAsia="Arial" w:hAnsi="Arial"/>
          <w:sz w:val="17"/>
          <w:szCs w:val="17"/>
          <w:b w:val="1"/>
          <w:bCs w:val="1"/>
          <w:color w:val="auto"/>
        </w:rPr>
        <w:t xml:space="preserve"> </w:t>
      </w:r>
      <w:r>
        <w:rPr>
          <w:rFonts w:ascii="Arial" w:cs="Arial" w:eastAsia="Arial" w:hAnsi="Arial"/>
          <w:sz w:val="17"/>
          <w:szCs w:val="17"/>
          <w:color w:val="auto"/>
        </w:rPr>
        <w:t>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151" w:lineRule="exact"/>
        <w:rPr>
          <w:sz w:val="20"/>
          <w:szCs w:val="20"/>
          <w:color w:val="auto"/>
        </w:rPr>
      </w:pPr>
    </w:p>
    <w:p>
      <w:pPr>
        <w:ind w:left="1220"/>
        <w:spacing w:after="0"/>
        <w:tabs>
          <w:tab w:leader="none" w:pos="182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w:t>
      </w:r>
    </w:p>
    <w:p>
      <w:pPr>
        <w:spacing w:after="0" w:line="196" w:lineRule="exact"/>
        <w:rPr>
          <w:sz w:val="20"/>
          <w:szCs w:val="20"/>
          <w:color w:val="auto"/>
        </w:rPr>
      </w:pPr>
    </w:p>
    <w:p>
      <w:pPr>
        <w:ind w:left="-40" w:firstLine="1875"/>
        <w:spacing w:after="0" w:line="246" w:lineRule="auto"/>
        <w:tabs>
          <w:tab w:leader="none" w:pos="238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Option Exercisability</w:t>
      </w:r>
      <w:r>
        <w:rPr>
          <w:rFonts w:ascii="Arial" w:cs="Arial" w:eastAsia="Arial" w:hAnsi="Arial"/>
          <w:sz w:val="17"/>
          <w:szCs w:val="17"/>
          <w:color w:val="auto"/>
        </w:rPr>
        <w:t>. Subject to earlier termination of the Option as otherwise provided by this Plan and unless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otherwise provided by the Committee or in an Award Agreement, an Option shall be exercisable after the Participant’s termination of Service to the extent it is then vested only during the applicable time period specified below, or if applicable, such other period provided in the applicable Award Agreement or other written agreement between the Participant and the Company; provided however, in no event may such Option be exercised after expiration of its maximum permitted term as set forth in the Award Agreement evidencing such Option or any earlier date the Option is terminated in connection with a Change in Control (the “</w:t>
      </w:r>
      <w:r>
        <w:rPr>
          <w:rFonts w:ascii="Arial" w:cs="Arial" w:eastAsia="Arial" w:hAnsi="Arial"/>
          <w:sz w:val="17"/>
          <w:szCs w:val="17"/>
          <w:b w:val="1"/>
          <w:bCs w:val="1"/>
          <w:i w:val="1"/>
          <w:iCs w:val="1"/>
          <w:color w:val="auto"/>
        </w:rPr>
        <w:t>Option Expiration Date</w:t>
      </w:r>
      <w:r>
        <w:rPr>
          <w:rFonts w:ascii="Arial" w:cs="Arial" w:eastAsia="Arial" w:hAnsi="Arial"/>
          <w:sz w:val="17"/>
          <w:szCs w:val="17"/>
          <w:color w:val="auto"/>
        </w:rPr>
        <w:t>”), and thereafter shall terminate if not exercised during such period.</w:t>
      </w:r>
    </w:p>
    <w:p>
      <w:pPr>
        <w:spacing w:after="0" w:line="355" w:lineRule="exact"/>
        <w:rPr>
          <w:rFonts w:ascii="Arial" w:cs="Arial" w:eastAsia="Arial" w:hAnsi="Arial"/>
          <w:sz w:val="17"/>
          <w:szCs w:val="17"/>
          <w:color w:val="auto"/>
        </w:rPr>
      </w:pPr>
    </w:p>
    <w:p>
      <w:pPr>
        <w:ind w:left="-40" w:right="60" w:firstLine="2499"/>
        <w:spacing w:after="0" w:line="253" w:lineRule="auto"/>
        <w:tabs>
          <w:tab w:leader="none" w:pos="2994" w:val="left"/>
        </w:tabs>
        <w:numPr>
          <w:ilvl w:val="1"/>
          <w:numId w:val="50"/>
        </w:numPr>
        <w:rPr>
          <w:rFonts w:ascii="Arial" w:cs="Arial" w:eastAsia="Arial" w:hAnsi="Arial"/>
          <w:sz w:val="17"/>
          <w:szCs w:val="17"/>
          <w:color w:val="auto"/>
        </w:rPr>
      </w:pPr>
      <w:r>
        <w:rPr>
          <w:rFonts w:ascii="Arial" w:cs="Arial" w:eastAsia="Arial" w:hAnsi="Arial"/>
          <w:sz w:val="17"/>
          <w:szCs w:val="17"/>
          <w:b w:val="1"/>
          <w:bCs w:val="1"/>
          <w:color w:val="auto"/>
        </w:rPr>
        <w:t>Disability</w:t>
      </w:r>
      <w:r>
        <w:rPr>
          <w:rFonts w:ascii="Arial" w:cs="Arial" w:eastAsia="Arial" w:hAnsi="Arial"/>
          <w:sz w:val="17"/>
          <w:szCs w:val="17"/>
          <w:color w:val="auto"/>
        </w:rPr>
        <w:t>. If the Participant’s Service terminates because of the Disability of the Participant, the Option,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76200</wp:posOffset>
            </wp:positionV>
            <wp:extent cx="713740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80"/>
          </w:cols>
          <w:pgMar w:left="360" w:top="565" w:right="359" w:bottom="1440" w:gutter="0" w:footer="0" w:header="0"/>
        </w:sectPr>
      </w:pPr>
    </w:p>
    <w:bookmarkStart w:id="48" w:name="page49"/>
    <w:bookmarkEnd w:id="48"/>
    <w:p>
      <w:pPr>
        <w:ind w:firstLine="2499"/>
        <w:spacing w:after="0" w:line="247" w:lineRule="auto"/>
        <w:tabs>
          <w:tab w:leader="none" w:pos="3024" w:val="left"/>
        </w:tabs>
        <w:numPr>
          <w:ilvl w:val="1"/>
          <w:numId w:val="51"/>
        </w:numPr>
        <w:rPr>
          <w:rFonts w:ascii="Arial" w:cs="Arial" w:eastAsia="Arial" w:hAnsi="Arial"/>
          <w:sz w:val="17"/>
          <w:szCs w:val="17"/>
          <w:color w:val="auto"/>
        </w:rPr>
      </w:pPr>
      <w:r>
        <w:rPr>
          <w:rFonts w:ascii="Arial" w:cs="Arial" w:eastAsia="Arial" w:hAnsi="Arial"/>
          <w:sz w:val="17"/>
          <w:szCs w:val="17"/>
          <w:b w:val="1"/>
          <w:bCs w:val="1"/>
          <w:color w:val="auto"/>
        </w:rPr>
        <w:t>Death</w:t>
      </w:r>
      <w:r>
        <w:rPr>
          <w:rFonts w:ascii="Arial" w:cs="Arial" w:eastAsia="Arial" w:hAnsi="Arial"/>
          <w:sz w:val="17"/>
          <w:szCs w:val="17"/>
          <w:color w:val="auto"/>
        </w:rPr>
        <w:t>. If the Participant’s Service terminates because of the death of the Participant, the Option,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The Participant’s Service shall be deemed to have terminated on account of death if the Participant dies within three (3) months after the Participant’s termination of Service for any reason other than Cause.</w:t>
      </w:r>
    </w:p>
    <w:p>
      <w:pPr>
        <w:spacing w:after="0" w:line="157" w:lineRule="exact"/>
        <w:rPr>
          <w:rFonts w:ascii="Arial" w:cs="Arial" w:eastAsia="Arial" w:hAnsi="Arial"/>
          <w:sz w:val="17"/>
          <w:szCs w:val="17"/>
          <w:color w:val="auto"/>
        </w:rPr>
      </w:pPr>
    </w:p>
    <w:p>
      <w:pPr>
        <w:ind w:right="20" w:firstLine="2499"/>
        <w:spacing w:after="0" w:line="253" w:lineRule="auto"/>
        <w:tabs>
          <w:tab w:leader="none" w:pos="3062" w:val="left"/>
        </w:tabs>
        <w:numPr>
          <w:ilvl w:val="1"/>
          <w:numId w:val="51"/>
        </w:numPr>
        <w:rPr>
          <w:rFonts w:ascii="Arial" w:cs="Arial" w:eastAsia="Arial" w:hAnsi="Arial"/>
          <w:sz w:val="17"/>
          <w:szCs w:val="17"/>
          <w:color w:val="auto"/>
        </w:rPr>
      </w:pPr>
      <w:r>
        <w:rPr>
          <w:rFonts w:ascii="Arial" w:cs="Arial" w:eastAsia="Arial" w:hAnsi="Arial"/>
          <w:sz w:val="17"/>
          <w:szCs w:val="17"/>
          <w:b w:val="1"/>
          <w:bCs w:val="1"/>
          <w:color w:val="auto"/>
        </w:rPr>
        <w:t>Termination for Cause</w:t>
      </w:r>
      <w:r>
        <w:rPr>
          <w:rFonts w:ascii="Arial" w:cs="Arial" w:eastAsia="Arial" w:hAnsi="Arial"/>
          <w:sz w:val="17"/>
          <w:szCs w:val="17"/>
          <w:color w:val="auto"/>
        </w:rPr>
        <w:t>. Notwithstanding any other provision of the Plan to the contrary, if the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50" w:lineRule="exact"/>
        <w:rPr>
          <w:rFonts w:ascii="Arial" w:cs="Arial" w:eastAsia="Arial" w:hAnsi="Arial"/>
          <w:sz w:val="17"/>
          <w:szCs w:val="17"/>
          <w:color w:val="auto"/>
        </w:rPr>
      </w:pPr>
    </w:p>
    <w:p>
      <w:pPr>
        <w:ind w:right="20" w:firstLine="2499"/>
        <w:spacing w:after="0" w:line="255" w:lineRule="auto"/>
        <w:tabs>
          <w:tab w:leader="none" w:pos="3072" w:val="left"/>
        </w:tabs>
        <w:numPr>
          <w:ilvl w:val="1"/>
          <w:numId w:val="51"/>
        </w:numPr>
        <w:rPr>
          <w:rFonts w:ascii="Arial" w:cs="Arial" w:eastAsia="Arial" w:hAnsi="Arial"/>
          <w:sz w:val="17"/>
          <w:szCs w:val="17"/>
          <w:color w:val="auto"/>
        </w:rPr>
      </w:pPr>
      <w:r>
        <w:rPr>
          <w:rFonts w:ascii="Arial" w:cs="Arial" w:eastAsia="Arial" w:hAnsi="Arial"/>
          <w:sz w:val="17"/>
          <w:szCs w:val="17"/>
          <w:b w:val="1"/>
          <w:bCs w:val="1"/>
          <w:color w:val="auto"/>
        </w:rPr>
        <w:t>Other Termination of Service</w:t>
      </w:r>
      <w:r>
        <w:rPr>
          <w:rFonts w:ascii="Arial" w:cs="Arial" w:eastAsia="Arial" w:hAnsi="Arial"/>
          <w:sz w:val="17"/>
          <w:szCs w:val="17"/>
          <w:color w:val="auto"/>
        </w:rPr>
        <w:t>. If the Participant’s Service terminates for any reason, except 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death or Cause, the Option, to the extent unexercised and exercisable for vested shares on the date on which the Participant’s Service terminated, may be exercised by the Participant at any time prior to the expiration of four (4) months after the date on which the Participant’s Service terminated.</w:t>
      </w:r>
    </w:p>
    <w:p>
      <w:pPr>
        <w:spacing w:after="0" w:line="353" w:lineRule="exact"/>
        <w:rPr>
          <w:rFonts w:ascii="Arial" w:cs="Arial" w:eastAsia="Arial" w:hAnsi="Arial"/>
          <w:sz w:val="17"/>
          <w:szCs w:val="17"/>
          <w:color w:val="auto"/>
        </w:rPr>
      </w:pPr>
    </w:p>
    <w:p>
      <w:pPr>
        <w:ind w:right="140" w:firstLine="1875"/>
        <w:spacing w:after="0" w:line="249" w:lineRule="auto"/>
        <w:tabs>
          <w:tab w:leader="none" w:pos="242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Extension if Exercise Prevented by Law</w:t>
      </w:r>
      <w:r>
        <w:rPr>
          <w:rFonts w:ascii="Arial" w:cs="Arial" w:eastAsia="Arial" w:hAnsi="Arial"/>
          <w:sz w:val="17"/>
          <w:szCs w:val="17"/>
          <w:color w:val="auto"/>
        </w:rPr>
        <w:t>. Notwithstanding the foregoing, other than termination of Service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Cause, if the exercise of an Option within the Post-Termination Exercise Period is prevented by the provisions of Section 14 below or other applicable law on any date during such Post-Termination Exercise Period and on which the per share exercise price of the Option is less than the Fair Market Value, such Option shall remain exercisable until thirty (30) days after the date such exercise first would no longer be prevented by such provisions but in any event no later than the Option Expiration Date.</w:t>
      </w:r>
    </w:p>
    <w:p>
      <w:pPr>
        <w:spacing w:after="0" w:line="153" w:lineRule="exact"/>
        <w:rPr>
          <w:sz w:val="20"/>
          <w:szCs w:val="20"/>
          <w:color w:val="auto"/>
        </w:rPr>
      </w:pPr>
    </w:p>
    <w:p>
      <w:pPr>
        <w:ind w:right="40" w:firstLine="1247"/>
        <w:spacing w:after="0" w:line="245"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b w:val="1"/>
          <w:bCs w:val="1"/>
          <w:color w:val="auto"/>
        </w:rPr>
        <w:t>Transferability of Options</w:t>
      </w:r>
      <w:r>
        <w:rPr>
          <w:rFonts w:ascii="Arial" w:cs="Arial" w:eastAsia="Arial" w:hAnsi="Arial"/>
          <w:sz w:val="17"/>
          <w:szCs w:val="17"/>
          <w:color w:val="auto"/>
        </w:rPr>
        <w:t>.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 Notwithstanding the foregoing, Options may not be transferred to any third party for value.</w:t>
      </w:r>
    </w:p>
    <w:p>
      <w:pPr>
        <w:spacing w:after="0" w:line="158" w:lineRule="exact"/>
        <w:rPr>
          <w:sz w:val="20"/>
          <w:szCs w:val="20"/>
          <w:color w:val="auto"/>
        </w:rPr>
      </w:pPr>
    </w:p>
    <w:p>
      <w:pPr>
        <w:ind w:left="1260" w:hanging="632"/>
        <w:spacing w:after="0"/>
        <w:tabs>
          <w:tab w:leader="none" w:pos="1260"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S</w:t>
      </w:r>
      <w:r>
        <w:rPr>
          <w:rFonts w:ascii="Arial" w:cs="Arial" w:eastAsia="Arial" w:hAnsi="Arial"/>
          <w:sz w:val="11"/>
          <w:szCs w:val="11"/>
          <w:b w:val="1"/>
          <w:bCs w:val="1"/>
          <w:u w:val="single" w:color="auto"/>
          <w:color w:val="auto"/>
        </w:rPr>
        <w:t>tock</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ppreciation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w:t>
      </w:r>
      <w:r>
        <w:rPr>
          <w:rFonts w:ascii="Arial" w:cs="Arial" w:eastAsia="Arial" w:hAnsi="Arial"/>
          <w:sz w:val="11"/>
          <w:szCs w:val="11"/>
          <w:b w:val="1"/>
          <w:bCs w:val="1"/>
          <w:u w:val="single" w:color="auto"/>
          <w:color w:val="auto"/>
        </w:rPr>
        <w:t>ights</w:t>
      </w:r>
      <w:r>
        <w:rPr>
          <w:rFonts w:ascii="Arial" w:cs="Arial" w:eastAsia="Arial" w:hAnsi="Arial"/>
          <w:sz w:val="17"/>
          <w:szCs w:val="17"/>
          <w:color w:val="auto"/>
        </w:rPr>
        <w:t>.</w:t>
      </w:r>
    </w:p>
    <w:p>
      <w:pPr>
        <w:spacing w:after="0" w:line="235" w:lineRule="exact"/>
        <w:rPr>
          <w:sz w:val="20"/>
          <w:szCs w:val="20"/>
          <w:color w:val="auto"/>
        </w:rPr>
      </w:pPr>
    </w:p>
    <w:p>
      <w:pPr>
        <w:jc w:val="both"/>
        <w:ind w:right="140"/>
        <w:spacing w:after="0" w:line="259" w:lineRule="auto"/>
        <w:rPr>
          <w:sz w:val="20"/>
          <w:szCs w:val="20"/>
          <w:color w:val="auto"/>
        </w:rPr>
      </w:pPr>
      <w:r>
        <w:rPr>
          <w:rFonts w:ascii="Arial" w:cs="Arial" w:eastAsia="Arial" w:hAnsi="Arial"/>
          <w:sz w:val="17"/>
          <w:szCs w:val="17"/>
          <w:color w:val="auto"/>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45" w:lineRule="exact"/>
        <w:rPr>
          <w:sz w:val="20"/>
          <w:szCs w:val="20"/>
          <w:color w:val="auto"/>
        </w:rPr>
      </w:pPr>
    </w:p>
    <w:p>
      <w:pPr>
        <w:ind w:right="80" w:firstLine="1247"/>
        <w:spacing w:after="0" w:line="260"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color w:val="auto"/>
        </w:rPr>
        <w:t>Types of SARs Authorized</w:t>
      </w:r>
      <w:r>
        <w:rPr>
          <w:rFonts w:ascii="Arial" w:cs="Arial" w:eastAsia="Arial" w:hAnsi="Arial"/>
          <w:sz w:val="17"/>
          <w:szCs w:val="17"/>
          <w:color w:val="auto"/>
        </w:rPr>
        <w:t>. SARs may be granted in tandem with all or any portion of a related Option (a “</w:t>
      </w:r>
      <w:r>
        <w:rPr>
          <w:rFonts w:ascii="Arial" w:cs="Arial" w:eastAsia="Arial" w:hAnsi="Arial"/>
          <w:sz w:val="17"/>
          <w:szCs w:val="17"/>
          <w:b w:val="1"/>
          <w:bCs w:val="1"/>
          <w:i w:val="1"/>
          <w:iCs w:val="1"/>
          <w:color w:val="auto"/>
        </w:rPr>
        <w:t>Tandem</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SAR</w:t>
      </w:r>
      <w:r>
        <w:rPr>
          <w:rFonts w:ascii="Arial" w:cs="Arial" w:eastAsia="Arial" w:hAnsi="Arial"/>
          <w:sz w:val="17"/>
          <w:szCs w:val="17"/>
          <w:color w:val="auto"/>
        </w:rPr>
        <w:t>”) or may be granted independently of any Option (a “</w:t>
      </w:r>
      <w:r>
        <w:rPr>
          <w:rFonts w:ascii="Arial" w:cs="Arial" w:eastAsia="Arial" w:hAnsi="Arial"/>
          <w:sz w:val="17"/>
          <w:szCs w:val="17"/>
          <w:b w:val="1"/>
          <w:bCs w:val="1"/>
          <w:i w:val="1"/>
          <w:iCs w:val="1"/>
          <w:color w:val="auto"/>
        </w:rPr>
        <w:t>Freestanding SAR</w:t>
      </w:r>
      <w:r>
        <w:rPr>
          <w:rFonts w:ascii="Arial" w:cs="Arial" w:eastAsia="Arial" w:hAnsi="Arial"/>
          <w:sz w:val="17"/>
          <w:szCs w:val="17"/>
          <w:color w:val="auto"/>
        </w:rPr>
        <w:t>”). A Tandem SAR may be granted either concurrently with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related Option or at any time thereafter prior to the complete exercise, termination, expiration or cancellation of such related Option.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9" w:name="page50"/>
    <w:bookmarkEnd w:id="49"/>
    <w:p>
      <w:pPr>
        <w:ind w:right="100" w:firstLine="1247"/>
        <w:spacing w:after="0" w:line="24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Exercise Price</w:t>
      </w:r>
      <w:r>
        <w:rPr>
          <w:rFonts w:ascii="Arial" w:cs="Arial" w:eastAsia="Arial" w:hAnsi="Arial"/>
          <w:sz w:val="17"/>
          <w:szCs w:val="17"/>
          <w:color w:val="auto"/>
        </w:rPr>
        <w:t>.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p>
    <w:p>
      <w:pPr>
        <w:spacing w:after="0" w:line="157"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7.3</w:t>
      </w:r>
      <w:r>
        <w:rPr>
          <w:sz w:val="20"/>
          <w:szCs w:val="20"/>
          <w:color w:val="auto"/>
        </w:rPr>
        <w:tab/>
      </w:r>
      <w:r>
        <w:rPr>
          <w:rFonts w:ascii="Arial" w:cs="Arial" w:eastAsia="Arial" w:hAnsi="Arial"/>
          <w:sz w:val="17"/>
          <w:szCs w:val="17"/>
          <w:b w:val="1"/>
          <w:bCs w:val="1"/>
          <w:color w:val="auto"/>
        </w:rPr>
        <w:t>Exercisability and Term of SARs</w:t>
      </w:r>
      <w:r>
        <w:rPr>
          <w:rFonts w:ascii="Arial" w:cs="Arial" w:eastAsia="Arial" w:hAnsi="Arial"/>
          <w:sz w:val="17"/>
          <w:szCs w:val="17"/>
          <w:color w:val="auto"/>
        </w:rPr>
        <w:t>.</w:t>
      </w:r>
    </w:p>
    <w:p>
      <w:pPr>
        <w:spacing w:after="0" w:line="196" w:lineRule="exact"/>
        <w:rPr>
          <w:sz w:val="20"/>
          <w:szCs w:val="20"/>
          <w:color w:val="auto"/>
        </w:rPr>
      </w:pPr>
    </w:p>
    <w:p>
      <w:pPr>
        <w:ind w:right="20" w:firstLine="1875"/>
        <w:spacing w:after="0" w:line="244" w:lineRule="auto"/>
        <w:tabs>
          <w:tab w:leader="none" w:pos="242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Tandem SARs</w:t>
      </w:r>
      <w:r>
        <w:rPr>
          <w:rFonts w:ascii="Arial" w:cs="Arial" w:eastAsia="Arial" w:hAnsi="Arial"/>
          <w:sz w:val="17"/>
          <w:szCs w:val="17"/>
          <w:color w:val="auto"/>
        </w:rPr>
        <w:t>. Tandem SARs shall be exercisable only at the time and to the extent, and only to the extent,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160" w:lineRule="exact"/>
        <w:rPr>
          <w:rFonts w:ascii="Arial" w:cs="Arial" w:eastAsia="Arial" w:hAnsi="Arial"/>
          <w:sz w:val="17"/>
          <w:szCs w:val="17"/>
          <w:color w:val="auto"/>
        </w:rPr>
      </w:pPr>
    </w:p>
    <w:p>
      <w:pPr>
        <w:ind w:firstLine="1875"/>
        <w:spacing w:after="0" w:line="244" w:lineRule="auto"/>
        <w:tabs>
          <w:tab w:leader="none" w:pos="242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Freestanding SARs</w:t>
      </w:r>
      <w:r>
        <w:rPr>
          <w:rFonts w:ascii="Arial" w:cs="Arial" w:eastAsia="Arial" w:hAnsi="Arial"/>
          <w:sz w:val="17"/>
          <w:szCs w:val="17"/>
          <w:color w:val="auto"/>
        </w:rPr>
        <w:t>. Freestanding SARs shall be exercisable at such time or times, or upon such event or events,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subject to 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357" w:lineRule="exact"/>
        <w:rPr>
          <w:sz w:val="20"/>
          <w:szCs w:val="20"/>
          <w:color w:val="auto"/>
        </w:rPr>
      </w:pPr>
    </w:p>
    <w:p>
      <w:pPr>
        <w:ind w:firstLine="1247"/>
        <w:spacing w:after="0" w:line="244"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color w:val="auto"/>
        </w:rPr>
        <w:t>Exercise of SARs</w:t>
      </w:r>
      <w:r>
        <w:rPr>
          <w:rFonts w:ascii="Arial" w:cs="Arial" w:eastAsia="Arial" w:hAnsi="Arial"/>
          <w:sz w:val="17"/>
          <w:szCs w:val="17"/>
          <w:color w:val="auto"/>
        </w:rPr>
        <w:t>.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161" w:lineRule="exact"/>
        <w:rPr>
          <w:sz w:val="20"/>
          <w:szCs w:val="20"/>
          <w:color w:val="auto"/>
        </w:rPr>
      </w:pPr>
    </w:p>
    <w:p>
      <w:pPr>
        <w:ind w:firstLine="1247"/>
        <w:spacing w:after="0" w:line="247"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color w:val="auto"/>
        </w:rPr>
        <w:t>Deemed Exercise of SARs</w:t>
      </w:r>
      <w:r>
        <w:rPr>
          <w:rFonts w:ascii="Arial" w:cs="Arial" w:eastAsia="Arial" w:hAnsi="Arial"/>
          <w:sz w:val="17"/>
          <w:szCs w:val="17"/>
          <w:color w:val="auto"/>
        </w:rPr>
        <w:t>.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 time upon notice to a Participant or to apply the deemed exercise feature only to certain groups of Participants. The deemed exercise of a SAR pursuant to this Section 7.5 shall apply only to a SAR that has been timely accepted by a Participant under procedures specified by the Company from time to time.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50" w:name="page51"/>
    <w:bookmarkEnd w:id="50"/>
    <w:p>
      <w:pPr>
        <w:ind w:right="240" w:firstLine="1247"/>
        <w:spacing w:after="0" w:line="253"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150" w:lineRule="exact"/>
        <w:rPr>
          <w:sz w:val="20"/>
          <w:szCs w:val="20"/>
          <w:color w:val="auto"/>
        </w:rPr>
      </w:pPr>
    </w:p>
    <w:p>
      <w:pPr>
        <w:ind w:firstLine="1247"/>
        <w:spacing w:after="0" w:line="24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b w:val="1"/>
          <w:bCs w:val="1"/>
          <w:color w:val="auto"/>
        </w:rPr>
        <w:t>Transferability of SARs</w:t>
      </w:r>
      <w:r>
        <w:rPr>
          <w:rFonts w:ascii="Arial" w:cs="Arial" w:eastAsia="Arial" w:hAnsi="Arial"/>
          <w:sz w:val="17"/>
          <w:szCs w:val="17"/>
          <w:color w:val="auto"/>
        </w:rPr>
        <w:t>.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 Notwithstanding the foregoing, SARs may not be transferred to any third party for value.</w:t>
      </w:r>
    </w:p>
    <w:p>
      <w:pPr>
        <w:spacing w:after="0" w:line="157" w:lineRule="exact"/>
        <w:rPr>
          <w:sz w:val="20"/>
          <w:szCs w:val="20"/>
          <w:color w:val="auto"/>
        </w:rPr>
      </w:pPr>
    </w:p>
    <w:p>
      <w:pPr>
        <w:ind w:left="1260" w:hanging="632"/>
        <w:spacing w:after="0"/>
        <w:tabs>
          <w:tab w:leader="none" w:pos="1260" w:val="left"/>
        </w:tabs>
        <w:numPr>
          <w:ilvl w:val="0"/>
          <w:numId w:val="55"/>
        </w:numPr>
        <w:rPr>
          <w:rFonts w:ascii="Arial" w:cs="Arial" w:eastAsia="Arial" w:hAnsi="Arial"/>
          <w:sz w:val="17"/>
          <w:szCs w:val="17"/>
          <w:color w:val="auto"/>
        </w:rPr>
      </w:pPr>
      <w:r>
        <w:rPr>
          <w:rFonts w:ascii="Arial" w:cs="Arial" w:eastAsia="Arial" w:hAnsi="Arial"/>
          <w:sz w:val="17"/>
          <w:szCs w:val="17"/>
          <w:b w:val="1"/>
          <w:bCs w:val="1"/>
          <w:u w:val="single" w:color="auto"/>
          <w:color w:val="auto"/>
        </w:rPr>
        <w:t>R</w:t>
      </w:r>
      <w:r>
        <w:rPr>
          <w:rFonts w:ascii="Arial" w:cs="Arial" w:eastAsia="Arial" w:hAnsi="Arial"/>
          <w:sz w:val="11"/>
          <w:szCs w:val="11"/>
          <w:b w:val="1"/>
          <w:bCs w:val="1"/>
          <w:u w:val="single" w:color="auto"/>
          <w:color w:val="auto"/>
        </w:rPr>
        <w:t>estricted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w:t>
      </w:r>
      <w:r>
        <w:rPr>
          <w:rFonts w:ascii="Arial" w:cs="Arial" w:eastAsia="Arial" w:hAnsi="Arial"/>
          <w:sz w:val="11"/>
          <w:szCs w:val="11"/>
          <w:b w:val="1"/>
          <w:bCs w:val="1"/>
          <w:u w:val="single" w:color="auto"/>
          <w:color w:val="auto"/>
        </w:rPr>
        <w:t>tock</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wards</w:t>
      </w:r>
      <w:r>
        <w:rPr>
          <w:rFonts w:ascii="Arial" w:cs="Arial" w:eastAsia="Arial" w:hAnsi="Arial"/>
          <w:sz w:val="17"/>
          <w:szCs w:val="17"/>
          <w:color w:val="auto"/>
        </w:rPr>
        <w:t>.</w:t>
      </w:r>
    </w:p>
    <w:p>
      <w:pPr>
        <w:spacing w:after="0" w:line="235" w:lineRule="exact"/>
        <w:rPr>
          <w:sz w:val="20"/>
          <w:szCs w:val="20"/>
          <w:color w:val="auto"/>
        </w:rPr>
      </w:pPr>
    </w:p>
    <w:p>
      <w:pPr>
        <w:ind w:right="480"/>
        <w:spacing w:after="0" w:line="252" w:lineRule="auto"/>
        <w:rPr>
          <w:sz w:val="20"/>
          <w:szCs w:val="20"/>
          <w:color w:val="auto"/>
        </w:rPr>
      </w:pPr>
      <w:r>
        <w:rPr>
          <w:rFonts w:ascii="Arial" w:cs="Arial" w:eastAsia="Arial" w:hAnsi="Arial"/>
          <w:sz w:val="17"/>
          <w:szCs w:val="17"/>
          <w:color w:val="auto"/>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152" w:lineRule="exact"/>
        <w:rPr>
          <w:sz w:val="20"/>
          <w:szCs w:val="20"/>
          <w:color w:val="auto"/>
        </w:rPr>
      </w:pPr>
    </w:p>
    <w:p>
      <w:pPr>
        <w:ind w:right="40" w:firstLine="1247"/>
        <w:spacing w:after="0" w:line="250"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color w:val="auto"/>
        </w:rPr>
        <w:t>Types of Restricted Stock Awards Authorized</w:t>
      </w:r>
      <w:r>
        <w:rPr>
          <w:rFonts w:ascii="Arial" w:cs="Arial" w:eastAsia="Arial" w:hAnsi="Arial"/>
          <w:sz w:val="17"/>
          <w:szCs w:val="17"/>
          <w:color w:val="auto"/>
        </w:rPr>
        <w:t>.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151" w:lineRule="exact"/>
        <w:rPr>
          <w:sz w:val="20"/>
          <w:szCs w:val="20"/>
          <w:color w:val="auto"/>
        </w:rPr>
      </w:pPr>
    </w:p>
    <w:p>
      <w:pPr>
        <w:ind w:firstLine="1247"/>
        <w:spacing w:after="0" w:line="247"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color w:val="auto"/>
        </w:rPr>
        <w:t>Purchase Price</w:t>
      </w:r>
      <w:r>
        <w:rPr>
          <w:rFonts w:ascii="Arial" w:cs="Arial" w:eastAsia="Arial" w:hAnsi="Arial"/>
          <w:sz w:val="17"/>
          <w:szCs w:val="17"/>
          <w:color w:val="auto"/>
        </w:rPr>
        <w:t>.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157" w:lineRule="exact"/>
        <w:rPr>
          <w:sz w:val="20"/>
          <w:szCs w:val="20"/>
          <w:color w:val="auto"/>
        </w:rPr>
      </w:pPr>
    </w:p>
    <w:p>
      <w:pPr>
        <w:ind w:right="140" w:firstLine="1247"/>
        <w:spacing w:after="0" w:line="282"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color w:val="auto"/>
        </w:rPr>
        <w:t>Purchase Period</w:t>
      </w:r>
      <w:r>
        <w:rPr>
          <w:rFonts w:ascii="Arial" w:cs="Arial" w:eastAsia="Arial" w:hAnsi="Arial"/>
          <w:sz w:val="17"/>
          <w:szCs w:val="17"/>
          <w:color w:val="auto"/>
        </w:rPr>
        <w:t>. A Restricted Stock Purchase Right shall be exercisable within a period established by the Committee, which shall in no event exceed thirty (30) days from the effective date of the grant of the Restricted Stock Purchase Right.</w:t>
      </w:r>
    </w:p>
    <w:p>
      <w:pPr>
        <w:spacing w:after="0" w:line="125" w:lineRule="exact"/>
        <w:rPr>
          <w:sz w:val="20"/>
          <w:szCs w:val="20"/>
          <w:color w:val="auto"/>
        </w:rPr>
      </w:pPr>
    </w:p>
    <w:p>
      <w:pPr>
        <w:ind w:right="220" w:firstLine="1247"/>
        <w:spacing w:after="0" w:line="253"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color w:val="auto"/>
        </w:rPr>
        <w:t>Payment of Purchase Price</w:t>
      </w:r>
      <w:r>
        <w:rPr>
          <w:rFonts w:ascii="Arial" w:cs="Arial" w:eastAsia="Arial" w:hAnsi="Arial"/>
          <w:sz w:val="17"/>
          <w:szCs w:val="17"/>
          <w:color w:val="auto"/>
        </w:rPr>
        <w:t>.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1" w:name="page52"/>
    <w:bookmarkEnd w:id="51"/>
    <w:p>
      <w:pPr>
        <w:ind w:right="100" w:firstLine="1247"/>
        <w:spacing w:after="0" w:line="24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color w:val="auto"/>
        </w:rPr>
        <w:t>Vesting and Restrictions on Transfer</w:t>
      </w:r>
      <w:r>
        <w:rPr>
          <w:rFonts w:ascii="Arial" w:cs="Arial" w:eastAsia="Arial" w:hAnsi="Arial"/>
          <w:sz w:val="17"/>
          <w:szCs w:val="17"/>
          <w:color w:val="auto"/>
        </w:rPr>
        <w:t>.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59" w:lineRule="exact"/>
        <w:rPr>
          <w:sz w:val="20"/>
          <w:szCs w:val="20"/>
          <w:color w:val="auto"/>
        </w:rPr>
      </w:pPr>
    </w:p>
    <w:p>
      <w:pPr>
        <w:ind w:right="40" w:firstLine="1247"/>
        <w:spacing w:after="0" w:line="244"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color w:val="auto"/>
        </w:rPr>
        <w:t>Voting Rights; Dividends and Distributions</w:t>
      </w:r>
      <w:r>
        <w:rPr>
          <w:rFonts w:ascii="Arial" w:cs="Arial" w:eastAsia="Arial" w:hAnsi="Arial"/>
          <w:sz w:val="17"/>
          <w:szCs w:val="17"/>
          <w:color w:val="auto"/>
        </w:rPr>
        <w:t>.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any such dividends and distributions shall be subject to the same Vesting Conditions as the shares subject to the Restricted Stock Award with respect to which such dividends or distributions were paid. In the event of a dividend or distribution paid in shares of Stock or other property or any other adjustment made upon a change in the capital structure of the Company as described in Section 4.3, any and all new, substituted or additional securities or other property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61" w:lineRule="exact"/>
        <w:rPr>
          <w:sz w:val="20"/>
          <w:szCs w:val="20"/>
          <w:color w:val="auto"/>
        </w:rPr>
      </w:pPr>
    </w:p>
    <w:p>
      <w:pPr>
        <w:ind w:firstLine="1247"/>
        <w:spacing w:after="0" w:line="246"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57" w:lineRule="exact"/>
        <w:rPr>
          <w:sz w:val="20"/>
          <w:szCs w:val="20"/>
          <w:color w:val="auto"/>
        </w:rPr>
      </w:pPr>
    </w:p>
    <w:p>
      <w:pPr>
        <w:ind w:firstLine="1247"/>
        <w:spacing w:after="0" w:line="250"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b w:val="1"/>
          <w:bCs w:val="1"/>
          <w:color w:val="auto"/>
        </w:rPr>
        <w:t>Nontransferability of Restricted Stock Award Rights</w:t>
      </w:r>
      <w:r>
        <w:rPr>
          <w:rFonts w:ascii="Arial" w:cs="Arial" w:eastAsia="Arial" w:hAnsi="Arial"/>
          <w:sz w:val="17"/>
          <w:szCs w:val="17"/>
          <w:color w:val="auto"/>
        </w:rPr>
        <w:t>.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2" w:name="page53"/>
    <w:bookmarkEnd w:id="52"/>
    <w:p>
      <w:pPr>
        <w:ind w:left="1260" w:hanging="632"/>
        <w:spacing w:after="0"/>
        <w:tabs>
          <w:tab w:leader="none" w:pos="1260" w:val="left"/>
        </w:tabs>
        <w:numPr>
          <w:ilvl w:val="0"/>
          <w:numId w:val="56"/>
        </w:numPr>
        <w:rPr>
          <w:rFonts w:ascii="Arial" w:cs="Arial" w:eastAsia="Arial" w:hAnsi="Arial"/>
          <w:sz w:val="17"/>
          <w:szCs w:val="17"/>
          <w:color w:val="auto"/>
        </w:rPr>
      </w:pPr>
      <w:r>
        <w:rPr>
          <w:rFonts w:ascii="Arial" w:cs="Arial" w:eastAsia="Arial" w:hAnsi="Arial"/>
          <w:sz w:val="17"/>
          <w:szCs w:val="17"/>
          <w:b w:val="1"/>
          <w:bCs w:val="1"/>
          <w:u w:val="single" w:color="auto"/>
          <w:color w:val="auto"/>
        </w:rPr>
        <w:t>R</w:t>
      </w:r>
      <w:r>
        <w:rPr>
          <w:rFonts w:ascii="Arial" w:cs="Arial" w:eastAsia="Arial" w:hAnsi="Arial"/>
          <w:sz w:val="11"/>
          <w:szCs w:val="11"/>
          <w:b w:val="1"/>
          <w:bCs w:val="1"/>
          <w:u w:val="single" w:color="auto"/>
          <w:color w:val="auto"/>
        </w:rPr>
        <w:t>estricted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w:t>
      </w:r>
      <w:r>
        <w:rPr>
          <w:rFonts w:ascii="Arial" w:cs="Arial" w:eastAsia="Arial" w:hAnsi="Arial"/>
          <w:sz w:val="11"/>
          <w:szCs w:val="11"/>
          <w:b w:val="1"/>
          <w:bCs w:val="1"/>
          <w:u w:val="single" w:color="auto"/>
          <w:color w:val="auto"/>
        </w:rPr>
        <w:t>tock</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U</w:t>
      </w:r>
      <w:r>
        <w:rPr>
          <w:rFonts w:ascii="Arial" w:cs="Arial" w:eastAsia="Arial" w:hAnsi="Arial"/>
          <w:sz w:val="11"/>
          <w:szCs w:val="11"/>
          <w:b w:val="1"/>
          <w:bCs w:val="1"/>
          <w:u w:val="single" w:color="auto"/>
          <w:color w:val="auto"/>
        </w:rPr>
        <w:t>nits</w:t>
      </w:r>
      <w:r>
        <w:rPr>
          <w:rFonts w:ascii="Arial" w:cs="Arial" w:eastAsia="Arial" w:hAnsi="Arial"/>
          <w:sz w:val="17"/>
          <w:szCs w:val="17"/>
          <w:color w:val="auto"/>
        </w:rPr>
        <w:t>.</w:t>
      </w:r>
    </w:p>
    <w:p>
      <w:pPr>
        <w:spacing w:after="0" w:line="235" w:lineRule="exact"/>
        <w:rPr>
          <w:sz w:val="20"/>
          <w:szCs w:val="20"/>
          <w:color w:val="auto"/>
        </w:rPr>
      </w:pPr>
    </w:p>
    <w:p>
      <w:pPr>
        <w:jc w:val="both"/>
        <w:ind w:right="220"/>
        <w:spacing w:after="0" w:line="259" w:lineRule="auto"/>
        <w:rPr>
          <w:sz w:val="20"/>
          <w:szCs w:val="20"/>
          <w:color w:val="auto"/>
        </w:rPr>
      </w:pPr>
      <w:r>
        <w:rPr>
          <w:rFonts w:ascii="Arial" w:cs="Arial" w:eastAsia="Arial" w:hAnsi="Arial"/>
          <w:sz w:val="17"/>
          <w:szCs w:val="17"/>
          <w:color w:val="auto"/>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spacing w:after="0" w:line="145" w:lineRule="exact"/>
        <w:rPr>
          <w:sz w:val="20"/>
          <w:szCs w:val="20"/>
          <w:color w:val="auto"/>
        </w:rPr>
      </w:pPr>
    </w:p>
    <w:p>
      <w:pPr>
        <w:ind w:firstLine="1247"/>
        <w:spacing w:after="0" w:line="25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color w:val="auto"/>
        </w:rPr>
        <w:t>Grant of Restricted Stock Unit Awards</w:t>
      </w:r>
      <w:r>
        <w:rPr>
          <w:rFonts w:ascii="Arial" w:cs="Arial" w:eastAsia="Arial" w:hAnsi="Arial"/>
          <w:sz w:val="17"/>
          <w:szCs w:val="17"/>
          <w:color w:val="auto"/>
        </w:rPr>
        <w:t>.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150" w:lineRule="exact"/>
        <w:rPr>
          <w:sz w:val="20"/>
          <w:szCs w:val="20"/>
          <w:color w:val="auto"/>
        </w:rPr>
      </w:pPr>
    </w:p>
    <w:p>
      <w:pPr>
        <w:ind w:right="160" w:firstLine="1247"/>
        <w:spacing w:after="0" w:line="250"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color w:val="auto"/>
        </w:rPr>
        <w:t>Purchase Price</w:t>
      </w:r>
      <w:r>
        <w:rPr>
          <w:rFonts w:ascii="Arial" w:cs="Arial" w:eastAsia="Arial" w:hAnsi="Arial"/>
          <w:sz w:val="17"/>
          <w:szCs w:val="17"/>
          <w:color w:val="auto"/>
        </w:rPr>
        <w:t>.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151" w:lineRule="exact"/>
        <w:rPr>
          <w:sz w:val="20"/>
          <w:szCs w:val="20"/>
          <w:color w:val="auto"/>
        </w:rPr>
      </w:pPr>
    </w:p>
    <w:p>
      <w:pPr>
        <w:ind w:right="480" w:firstLine="1247"/>
        <w:spacing w:after="0" w:line="260"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color w:val="auto"/>
        </w:rPr>
        <w:t>Vesting</w:t>
      </w:r>
      <w:r>
        <w:rPr>
          <w:rFonts w:ascii="Arial" w:cs="Arial" w:eastAsia="Arial" w:hAnsi="Arial"/>
          <w:sz w:val="17"/>
          <w:szCs w:val="17"/>
          <w:color w:val="auto"/>
        </w:rPr>
        <w:t>.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144" w:lineRule="exact"/>
        <w:rPr>
          <w:sz w:val="20"/>
          <w:szCs w:val="20"/>
          <w:color w:val="auto"/>
        </w:rPr>
      </w:pPr>
    </w:p>
    <w:p>
      <w:pPr>
        <w:ind w:firstLine="1247"/>
        <w:spacing w:after="0" w:line="242"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b w:val="1"/>
          <w:bCs w:val="1"/>
          <w:color w:val="auto"/>
        </w:rPr>
        <w:t>Voting Rights, Dividend Equivalent Rights and Distributions</w:t>
      </w:r>
      <w:r>
        <w:rPr>
          <w:rFonts w:ascii="Arial" w:cs="Arial" w:eastAsia="Arial" w:hAnsi="Arial"/>
          <w:sz w:val="17"/>
          <w:szCs w:val="17"/>
          <w:color w:val="auto"/>
        </w:rPr>
        <w:t>.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 settlement any and all new, substituted or additional securities or other property to which the Participant would be entitled by reason of the shares of Stock issuable upon settlement of the Award, and all such new, substituted or additional securities or other property shall be immediately subject to the same Vesting Conditions as are applicable to the Award. No dividends or distributions shall be paid on shares of Stock subject to any Restricted Stock Unit Award which is subject to Vesting Conditions except to the extent that such Vesting Conditions are satisfied.</w:t>
      </w:r>
    </w:p>
    <w:p>
      <w:pPr>
        <w:spacing w:after="0" w:line="158" w:lineRule="exact"/>
        <w:rPr>
          <w:sz w:val="20"/>
          <w:szCs w:val="20"/>
          <w:color w:val="auto"/>
        </w:rPr>
      </w:pPr>
    </w:p>
    <w:p>
      <w:pPr>
        <w:ind w:right="200" w:firstLine="1247"/>
        <w:spacing w:after="0" w:line="253"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53" w:name="page54"/>
    <w:bookmarkEnd w:id="53"/>
    <w:p>
      <w:pPr>
        <w:ind w:firstLine="1247"/>
        <w:spacing w:after="0" w:line="242"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b w:val="1"/>
          <w:bCs w:val="1"/>
          <w:color w:val="auto"/>
        </w:rPr>
        <w:t>Settlement of Restricted Stock Unit Awards</w:t>
      </w:r>
      <w:r>
        <w:rPr>
          <w:rFonts w:ascii="Arial" w:cs="Arial" w:eastAsia="Arial" w:hAnsi="Arial"/>
          <w:sz w:val="17"/>
          <w:szCs w:val="17"/>
          <w:color w:val="auto"/>
        </w:rPr>
        <w:t>. The Company shall issue to a Participant on the date on which Restricted Stock Units subject to the Participant’s Restricted Stock Unit Award vest or on such other date determined by the Committee as meeting the requirements for an exemption from, or alternatively in compliance with the requirements of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such latest permitted date as necessary to avoid adverse tax consequences under Section 409A.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162" w:lineRule="exact"/>
        <w:rPr>
          <w:sz w:val="20"/>
          <w:szCs w:val="20"/>
          <w:color w:val="auto"/>
        </w:rPr>
      </w:pPr>
    </w:p>
    <w:p>
      <w:pPr>
        <w:ind w:right="100" w:firstLine="1247"/>
        <w:spacing w:after="0" w:line="250"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b w:val="1"/>
          <w:bCs w:val="1"/>
          <w:color w:val="auto"/>
        </w:rPr>
        <w:t>Nontransferability of Restricted Stock Unit Awards</w:t>
      </w:r>
      <w:r>
        <w:rPr>
          <w:rFonts w:ascii="Arial" w:cs="Arial" w:eastAsia="Arial" w:hAnsi="Arial"/>
          <w:sz w:val="17"/>
          <w:szCs w:val="17"/>
          <w:color w:val="auto"/>
        </w:rPr>
        <w:t>.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151" w:lineRule="exact"/>
        <w:rPr>
          <w:sz w:val="20"/>
          <w:szCs w:val="20"/>
          <w:color w:val="auto"/>
        </w:rPr>
      </w:pPr>
    </w:p>
    <w:p>
      <w:pPr>
        <w:ind w:left="1260" w:hanging="632"/>
        <w:spacing w:after="0"/>
        <w:tabs>
          <w:tab w:leader="none" w:pos="1260" w:val="left"/>
        </w:tabs>
        <w:numPr>
          <w:ilvl w:val="0"/>
          <w:numId w:val="57"/>
        </w:numPr>
        <w:rPr>
          <w:rFonts w:ascii="Arial" w:cs="Arial" w:eastAsia="Arial" w:hAnsi="Arial"/>
          <w:sz w:val="17"/>
          <w:szCs w:val="17"/>
          <w:color w:val="auto"/>
        </w:rPr>
      </w:pPr>
      <w:r>
        <w:rPr>
          <w:rFonts w:ascii="Arial" w:cs="Arial" w:eastAsia="Arial" w:hAnsi="Arial"/>
          <w:sz w:val="17"/>
          <w:szCs w:val="17"/>
          <w:b w:val="1"/>
          <w:bCs w:val="1"/>
          <w:u w:val="single" w:color="auto"/>
          <w:color w:val="auto"/>
        </w:rPr>
        <w:t>P</w:t>
      </w:r>
      <w:r>
        <w:rPr>
          <w:rFonts w:ascii="Arial" w:cs="Arial" w:eastAsia="Arial" w:hAnsi="Arial"/>
          <w:sz w:val="11"/>
          <w:szCs w:val="11"/>
          <w:b w:val="1"/>
          <w:bCs w:val="1"/>
          <w:u w:val="single" w:color="auto"/>
          <w:color w:val="auto"/>
        </w:rPr>
        <w:t>erformance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wards</w:t>
      </w:r>
      <w:r>
        <w:rPr>
          <w:rFonts w:ascii="Arial" w:cs="Arial" w:eastAsia="Arial" w:hAnsi="Arial"/>
          <w:sz w:val="17"/>
          <w:szCs w:val="17"/>
          <w:color w:val="auto"/>
        </w:rPr>
        <w:t>.</w:t>
      </w:r>
    </w:p>
    <w:p>
      <w:pPr>
        <w:spacing w:after="0" w:line="235" w:lineRule="exact"/>
        <w:rPr>
          <w:sz w:val="20"/>
          <w:szCs w:val="20"/>
          <w:color w:val="auto"/>
        </w:rPr>
      </w:pPr>
    </w:p>
    <w:p>
      <w:pPr>
        <w:ind w:right="460"/>
        <w:spacing w:after="0" w:line="280" w:lineRule="auto"/>
        <w:rPr>
          <w:sz w:val="20"/>
          <w:szCs w:val="20"/>
          <w:color w:val="auto"/>
        </w:rPr>
      </w:pPr>
      <w:r>
        <w:rPr>
          <w:rFonts w:ascii="Arial" w:cs="Arial" w:eastAsia="Arial" w:hAnsi="Arial"/>
          <w:sz w:val="17"/>
          <w:szCs w:val="17"/>
          <w:color w:val="auto"/>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27" w:lineRule="exact"/>
        <w:rPr>
          <w:sz w:val="20"/>
          <w:szCs w:val="20"/>
          <w:color w:val="auto"/>
        </w:rPr>
      </w:pPr>
    </w:p>
    <w:p>
      <w:pPr>
        <w:ind w:right="200" w:firstLine="1247"/>
        <w:spacing w:after="0" w:line="253"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Types of Performance Awards Authorized</w:t>
      </w:r>
      <w:r>
        <w:rPr>
          <w:rFonts w:ascii="Arial" w:cs="Arial" w:eastAsia="Arial" w:hAnsi="Arial"/>
          <w:sz w:val="17"/>
          <w:szCs w:val="17"/>
          <w:color w:val="auto"/>
        </w:rPr>
        <w:t>.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150" w:lineRule="exact"/>
        <w:rPr>
          <w:sz w:val="20"/>
          <w:szCs w:val="20"/>
          <w:color w:val="auto"/>
        </w:rPr>
      </w:pPr>
    </w:p>
    <w:p>
      <w:pPr>
        <w:ind w:right="40" w:firstLine="1247"/>
        <w:spacing w:after="0" w:line="247"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Initial Value of Performance Shares and Performance Units</w:t>
      </w:r>
      <w:r>
        <w:rPr>
          <w:rFonts w:ascii="Arial" w:cs="Arial" w:eastAsia="Arial" w:hAnsi="Arial"/>
          <w:sz w:val="17"/>
          <w:szCs w:val="17"/>
          <w:color w:val="auto"/>
        </w:rPr>
        <w:t>. Unless otherwise provided by the Committee in granting a Performance Award, each Performance Share shall have an initial monetary value equal to the 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157" w:lineRule="exact"/>
        <w:rPr>
          <w:sz w:val="20"/>
          <w:szCs w:val="20"/>
          <w:color w:val="auto"/>
        </w:rPr>
      </w:pPr>
    </w:p>
    <w:p>
      <w:pPr>
        <w:ind w:right="20" w:firstLine="1247"/>
        <w:spacing w:after="0" w:line="250"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color w:val="auto"/>
        </w:rPr>
        <w:t>Establishment of Performance Period, Performance Goals and Performance Award Formula</w:t>
      </w:r>
      <w:r>
        <w:rPr>
          <w:rFonts w:ascii="Arial" w:cs="Arial" w:eastAsia="Arial" w:hAnsi="Arial"/>
          <w:sz w:val="17"/>
          <w:szCs w:val="17"/>
          <w:color w:val="auto"/>
        </w:rPr>
        <w:t>.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54" w:name="page55"/>
    <w:bookmarkEnd w:id="54"/>
    <w:p>
      <w:pPr>
        <w:ind w:right="120" w:firstLine="1247"/>
        <w:spacing w:after="0" w:line="265"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color w:val="auto"/>
        </w:rPr>
        <w:t>Measurement of Performance Goals</w:t>
      </w:r>
      <w:r>
        <w:rPr>
          <w:rFonts w:ascii="Arial" w:cs="Arial" w:eastAsia="Arial" w:hAnsi="Arial"/>
          <w:sz w:val="17"/>
          <w:szCs w:val="17"/>
          <w:color w:val="auto"/>
        </w:rPr>
        <w:t>. Performance Goals shall be established by the Committee on the basis of targets to be attained (“</w:t>
      </w:r>
      <w:r>
        <w:rPr>
          <w:rFonts w:ascii="Arial" w:cs="Arial" w:eastAsia="Arial" w:hAnsi="Arial"/>
          <w:sz w:val="17"/>
          <w:szCs w:val="17"/>
          <w:b w:val="1"/>
          <w:bCs w:val="1"/>
          <w:i w:val="1"/>
          <w:iCs w:val="1"/>
          <w:color w:val="auto"/>
        </w:rPr>
        <w:t>Performance Targets</w:t>
      </w:r>
      <w:r>
        <w:rPr>
          <w:rFonts w:ascii="Arial" w:cs="Arial" w:eastAsia="Arial" w:hAnsi="Arial"/>
          <w:sz w:val="17"/>
          <w:szCs w:val="17"/>
          <w:color w:val="auto"/>
        </w:rPr>
        <w:t>”) with respect to one or more measures of objective or subjective business, financial, or individual performance or other performance criteria established by the Committee (each, a “</w:t>
      </w:r>
      <w:r>
        <w:rPr>
          <w:rFonts w:ascii="Arial" w:cs="Arial" w:eastAsia="Arial" w:hAnsi="Arial"/>
          <w:sz w:val="17"/>
          <w:szCs w:val="17"/>
          <w:b w:val="1"/>
          <w:bCs w:val="1"/>
          <w:i w:val="1"/>
          <w:iCs w:val="1"/>
          <w:color w:val="auto"/>
        </w:rPr>
        <w:t>Performance Measure</w:t>
      </w:r>
      <w:r>
        <w:rPr>
          <w:rFonts w:ascii="Arial" w:cs="Arial" w:eastAsia="Arial" w:hAnsi="Arial"/>
          <w:sz w:val="17"/>
          <w:szCs w:val="17"/>
          <w:color w:val="auto"/>
        </w:rPr>
        <w:t>”), subject to the following:</w:t>
      </w:r>
    </w:p>
    <w:p>
      <w:pPr>
        <w:spacing w:after="0" w:line="134" w:lineRule="exact"/>
        <w:rPr>
          <w:sz w:val="20"/>
          <w:szCs w:val="20"/>
          <w:color w:val="auto"/>
        </w:rPr>
      </w:pPr>
    </w:p>
    <w:p>
      <w:pPr>
        <w:ind w:firstLine="1875"/>
        <w:spacing w:after="0" w:line="242" w:lineRule="auto"/>
        <w:tabs>
          <w:tab w:leader="none" w:pos="242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Measures</w:t>
      </w:r>
      <w:r>
        <w:rPr>
          <w:rFonts w:ascii="Arial" w:cs="Arial" w:eastAsia="Arial" w:hAnsi="Arial"/>
          <w:sz w:val="17"/>
          <w:szCs w:val="17"/>
          <w:color w:val="auto"/>
        </w:rPr>
        <w:t>. Unless otherwise determined by the Committee Performance Measures based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objective criteria shall be 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w:t>
      </w:r>
    </w:p>
    <w:p>
      <w:pPr>
        <w:spacing w:after="0" w:line="166" w:lineRule="exact"/>
        <w:rPr>
          <w:rFonts w:ascii="Arial" w:cs="Arial" w:eastAsia="Arial" w:hAnsi="Arial"/>
          <w:sz w:val="17"/>
          <w:szCs w:val="17"/>
          <w:color w:val="auto"/>
        </w:rPr>
      </w:pPr>
    </w:p>
    <w:p>
      <w:pPr>
        <w:ind w:right="380" w:firstLine="1875"/>
        <w:spacing w:after="0" w:line="252" w:lineRule="auto"/>
        <w:tabs>
          <w:tab w:leader="none" w:pos="242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Targets</w:t>
      </w:r>
      <w:r>
        <w:rPr>
          <w:rFonts w:ascii="Arial" w:cs="Arial" w:eastAsia="Arial" w:hAnsi="Arial"/>
          <w:sz w:val="17"/>
          <w:szCs w:val="17"/>
          <w:color w:val="auto"/>
        </w:rPr>
        <w:t>. Performance Targets may include a minimum, maximum, target level and intermediate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levels of 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152" w:lineRule="exact"/>
        <w:rPr>
          <w:sz w:val="20"/>
          <w:szCs w:val="20"/>
          <w:color w:val="auto"/>
        </w:rPr>
      </w:pPr>
    </w:p>
    <w:p>
      <w:pPr>
        <w:ind w:left="1260"/>
        <w:spacing w:after="0"/>
        <w:tabs>
          <w:tab w:leader="none" w:pos="180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b w:val="1"/>
          <w:bCs w:val="1"/>
          <w:color w:val="auto"/>
        </w:rPr>
        <w:t>Settlement of Performance Awards</w:t>
      </w:r>
      <w:r>
        <w:rPr>
          <w:rFonts w:ascii="Arial" w:cs="Arial" w:eastAsia="Arial" w:hAnsi="Arial"/>
          <w:sz w:val="17"/>
          <w:szCs w:val="17"/>
          <w:color w:val="auto"/>
        </w:rPr>
        <w:t>.</w:t>
      </w:r>
    </w:p>
    <w:p>
      <w:pPr>
        <w:spacing w:after="0" w:line="196" w:lineRule="exact"/>
        <w:rPr>
          <w:sz w:val="20"/>
          <w:szCs w:val="20"/>
          <w:color w:val="auto"/>
        </w:rPr>
      </w:pPr>
    </w:p>
    <w:p>
      <w:pPr>
        <w:ind w:right="80" w:firstLine="1875"/>
        <w:spacing w:after="0" w:line="252" w:lineRule="auto"/>
        <w:tabs>
          <w:tab w:leader="none" w:pos="242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Determination of Final Value</w:t>
      </w:r>
      <w:r>
        <w:rPr>
          <w:rFonts w:ascii="Arial" w:cs="Arial" w:eastAsia="Arial" w:hAnsi="Arial"/>
          <w:sz w:val="17"/>
          <w:szCs w:val="17"/>
          <w:color w:val="auto"/>
        </w:rPr>
        <w:t>. As soon as practicable following the completion of the Performance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to a 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spacing w:after="0" w:line="153" w:lineRule="exact"/>
        <w:rPr>
          <w:rFonts w:ascii="Arial" w:cs="Arial" w:eastAsia="Arial" w:hAnsi="Arial"/>
          <w:sz w:val="17"/>
          <w:szCs w:val="17"/>
          <w:color w:val="auto"/>
        </w:rPr>
      </w:pPr>
    </w:p>
    <w:p>
      <w:pPr>
        <w:ind w:right="580" w:firstLine="1875"/>
        <w:spacing w:after="0" w:line="280" w:lineRule="auto"/>
        <w:tabs>
          <w:tab w:leader="none" w:pos="242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Notice to Participants</w:t>
      </w:r>
      <w:r>
        <w:rPr>
          <w:rFonts w:ascii="Arial" w:cs="Arial" w:eastAsia="Arial" w:hAnsi="Arial"/>
          <w:sz w:val="17"/>
          <w:szCs w:val="17"/>
          <w:color w:val="auto"/>
        </w:rPr>
        <w:t>. As soon as practicable following the Committee’s determination in accordance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Section 10.5(a) the Company shall notify each Participant of the determination of the Committee.</w:t>
      </w:r>
    </w:p>
    <w:p>
      <w:pPr>
        <w:spacing w:after="0" w:line="128" w:lineRule="exact"/>
        <w:rPr>
          <w:rFonts w:ascii="Arial" w:cs="Arial" w:eastAsia="Arial" w:hAnsi="Arial"/>
          <w:sz w:val="17"/>
          <w:szCs w:val="17"/>
          <w:color w:val="auto"/>
        </w:rPr>
      </w:pPr>
    </w:p>
    <w:p>
      <w:pPr>
        <w:ind w:firstLine="1875"/>
        <w:spacing w:after="0" w:line="243" w:lineRule="auto"/>
        <w:tabs>
          <w:tab w:leader="none" w:pos="241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Payment in Settlement of Performance Awards</w:t>
      </w:r>
      <w:r>
        <w:rPr>
          <w:rFonts w:ascii="Arial" w:cs="Arial" w:eastAsia="Arial" w:hAnsi="Arial"/>
          <w:sz w:val="17"/>
          <w:szCs w:val="17"/>
          <w:color w:val="auto"/>
        </w:rPr>
        <w:t>. As soon as practicable following the Committee’s determination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Section 10.5(a)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55" w:name="page56"/>
    <w:bookmarkEnd w:id="55"/>
    <w:p>
      <w:pPr>
        <w:ind w:right="140" w:firstLine="1875"/>
        <w:spacing w:after="0" w:line="249" w:lineRule="auto"/>
        <w:tabs>
          <w:tab w:leader="none" w:pos="242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Provisions Applicable to Payment in Shares</w:t>
      </w:r>
      <w:r>
        <w:rPr>
          <w:rFonts w:ascii="Arial" w:cs="Arial" w:eastAsia="Arial" w:hAnsi="Arial"/>
          <w:sz w:val="17"/>
          <w:szCs w:val="17"/>
          <w:color w:val="auto"/>
        </w:rPr>
        <w:t>. If payment is to be made in shares of Stock, the number of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153" w:lineRule="exact"/>
        <w:rPr>
          <w:sz w:val="20"/>
          <w:szCs w:val="20"/>
          <w:color w:val="auto"/>
        </w:rPr>
      </w:pPr>
    </w:p>
    <w:p>
      <w:pPr>
        <w:ind w:right="20" w:firstLine="1247"/>
        <w:spacing w:after="0"/>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color w:val="auto"/>
        </w:rPr>
        <w:t>Voting Rights; Dividend Equivalent Rights and Distributions</w:t>
      </w:r>
      <w:r>
        <w:rPr>
          <w:rFonts w:ascii="Arial" w:cs="Arial" w:eastAsia="Arial" w:hAnsi="Arial"/>
          <w:sz w:val="17"/>
          <w:szCs w:val="17"/>
          <w:color w:val="auto"/>
        </w:rPr>
        <w:t>.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w:t>
      </w:r>
    </w:p>
    <w:p>
      <w:pPr>
        <w:spacing w:after="0" w:line="10"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4.3, appropriate adjustments shall be made in the Participant’s Performance Share Award so that it represents the right to receive upon settlement any and all new, substituted or additional securities or other property to which the Participant would be entitled by reason of the shares of Stock issuable upon settlement of the Performance Share Award, and all such new, substituted or additional securities or other property shall be immediately subject to the same Performance Goals and other Vesting Conditions as are applicable to the Award. No dividends or distributions shall be paid on shares of Stock subject to any Performance Share Award which is subject to Performance Goals or other Vesting Conditions except to the extent that such Performance Goals and/or other Vesting Conditions are satisfied.</w:t>
      </w:r>
    </w:p>
    <w:p>
      <w:pPr>
        <w:spacing w:after="0" w:line="159" w:lineRule="exact"/>
        <w:rPr>
          <w:sz w:val="20"/>
          <w:szCs w:val="20"/>
          <w:color w:val="auto"/>
        </w:rPr>
      </w:pPr>
    </w:p>
    <w:p>
      <w:pPr>
        <w:ind w:right="320" w:firstLine="1247"/>
        <w:spacing w:after="0" w:line="282"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 Unless otherwise provided by the Committee and set forth in the Award Agreement evidencing a Performance Award, the effect of a Participant’s termination of Service on the Performance Award shall be as follows:</w:t>
      </w:r>
    </w:p>
    <w:p>
      <w:pPr>
        <w:spacing w:after="0" w:line="127" w:lineRule="exact"/>
        <w:rPr>
          <w:sz w:val="20"/>
          <w:szCs w:val="20"/>
          <w:color w:val="auto"/>
        </w:rPr>
      </w:pPr>
    </w:p>
    <w:p>
      <w:pPr>
        <w:ind w:firstLine="1875"/>
        <w:spacing w:after="0" w:line="249" w:lineRule="auto"/>
        <w:tabs>
          <w:tab w:leader="none" w:pos="242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Death or Disability</w:t>
      </w:r>
      <w:r>
        <w:rPr>
          <w:rFonts w:ascii="Arial" w:cs="Arial" w:eastAsia="Arial" w:hAnsi="Arial"/>
          <w:sz w:val="17"/>
          <w:szCs w:val="17"/>
          <w:color w:val="auto"/>
        </w:rPr>
        <w:t>. If the Participant’s Service terminates because of the death or Disability of the Participant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6" w:name="page57"/>
    <w:bookmarkEnd w:id="56"/>
    <w:p>
      <w:pPr>
        <w:ind w:right="340" w:firstLine="1875"/>
        <w:spacing w:after="0" w:line="244" w:lineRule="auto"/>
        <w:tabs>
          <w:tab w:leader="none" w:pos="242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Other Termination of Service</w:t>
      </w:r>
      <w:r>
        <w:rPr>
          <w:rFonts w:ascii="Arial" w:cs="Arial" w:eastAsia="Arial" w:hAnsi="Arial"/>
          <w:sz w:val="17"/>
          <w:szCs w:val="17"/>
          <w:color w:val="auto"/>
        </w:rPr>
        <w:t>. If the Participant’s Service terminates for any reason except death or Disability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w:t>
      </w:r>
    </w:p>
    <w:p>
      <w:pPr>
        <w:ind w:right="200"/>
        <w:spacing w:after="0" w:line="260" w:lineRule="auto"/>
        <w:rPr>
          <w:rFonts w:ascii="Arial" w:cs="Arial" w:eastAsia="Arial" w:hAnsi="Arial"/>
          <w:sz w:val="17"/>
          <w:szCs w:val="17"/>
          <w:color w:val="auto"/>
        </w:rPr>
      </w:pPr>
      <w:r>
        <w:rPr>
          <w:rFonts w:ascii="Arial" w:cs="Arial" w:eastAsia="Arial" w:hAnsi="Arial"/>
          <w:sz w:val="17"/>
          <w:szCs w:val="17"/>
          <w:color w:val="auto"/>
        </w:rPr>
        <w:t>10.7(a). Payment of any amount pursuant to this Section shall be made following the end of the Performance Period in any manner permitted by Section 10.5.</w:t>
      </w:r>
    </w:p>
    <w:p>
      <w:pPr>
        <w:spacing w:after="0" w:line="143" w:lineRule="exact"/>
        <w:rPr>
          <w:sz w:val="20"/>
          <w:szCs w:val="20"/>
          <w:color w:val="auto"/>
        </w:rPr>
      </w:pPr>
    </w:p>
    <w:p>
      <w:pPr>
        <w:ind w:right="380" w:firstLine="1247"/>
        <w:spacing w:after="0" w:line="250"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b w:val="1"/>
          <w:bCs w:val="1"/>
          <w:color w:val="auto"/>
        </w:rPr>
        <w:t>Nontransferability of Performance Awards</w:t>
      </w:r>
      <w:r>
        <w:rPr>
          <w:rFonts w:ascii="Arial" w:cs="Arial" w:eastAsia="Arial" w:hAnsi="Arial"/>
          <w:sz w:val="17"/>
          <w:szCs w:val="17"/>
          <w:color w:val="auto"/>
        </w:rPr>
        <w:t>.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51" w:lineRule="exact"/>
        <w:rPr>
          <w:sz w:val="20"/>
          <w:szCs w:val="20"/>
          <w:color w:val="auto"/>
        </w:rPr>
      </w:pPr>
    </w:p>
    <w:p>
      <w:pPr>
        <w:ind w:left="1260" w:hanging="632"/>
        <w:spacing w:after="0"/>
        <w:tabs>
          <w:tab w:leader="none" w:pos="1260" w:val="left"/>
        </w:tabs>
        <w:numPr>
          <w:ilvl w:val="0"/>
          <w:numId w:val="63"/>
        </w:numPr>
        <w:rPr>
          <w:rFonts w:ascii="Arial" w:cs="Arial" w:eastAsia="Arial" w:hAnsi="Arial"/>
          <w:sz w:val="17"/>
          <w:szCs w:val="17"/>
          <w:color w:val="auto"/>
        </w:rPr>
      </w:pPr>
      <w:r>
        <w:rPr>
          <w:rFonts w:ascii="Arial" w:cs="Arial" w:eastAsia="Arial" w:hAnsi="Arial"/>
          <w:sz w:val="17"/>
          <w:szCs w:val="17"/>
          <w:b w:val="1"/>
          <w:bCs w:val="1"/>
          <w:u w:val="single" w:color="auto"/>
          <w:color w:val="auto"/>
        </w:rPr>
        <w:t>C</w:t>
      </w:r>
      <w:r>
        <w:rPr>
          <w:rFonts w:ascii="Arial" w:cs="Arial" w:eastAsia="Arial" w:hAnsi="Arial"/>
          <w:sz w:val="11"/>
          <w:szCs w:val="11"/>
          <w:b w:val="1"/>
          <w:bCs w:val="1"/>
          <w:u w:val="single" w:color="auto"/>
          <w:color w:val="auto"/>
        </w:rPr>
        <w:t>ash</w:t>
      </w:r>
      <w:r>
        <w:rPr>
          <w:rFonts w:ascii="Arial" w:cs="Arial" w:eastAsia="Arial" w:hAnsi="Arial"/>
          <w:sz w:val="17"/>
          <w:szCs w:val="17"/>
          <w:b w:val="1"/>
          <w:bCs w:val="1"/>
          <w:u w:val="single" w:color="auto"/>
          <w:color w:val="auto"/>
        </w:rPr>
        <w:t>-B</w:t>
      </w:r>
      <w:r>
        <w:rPr>
          <w:rFonts w:ascii="Arial" w:cs="Arial" w:eastAsia="Arial" w:hAnsi="Arial"/>
          <w:sz w:val="11"/>
          <w:szCs w:val="11"/>
          <w:b w:val="1"/>
          <w:bCs w:val="1"/>
          <w:u w:val="single" w:color="auto"/>
          <w:color w:val="auto"/>
        </w:rPr>
        <w:t>ased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wards 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O</w:t>
      </w:r>
      <w:r>
        <w:rPr>
          <w:rFonts w:ascii="Arial" w:cs="Arial" w:eastAsia="Arial" w:hAnsi="Arial"/>
          <w:sz w:val="11"/>
          <w:szCs w:val="11"/>
          <w:b w:val="1"/>
          <w:bCs w:val="1"/>
          <w:u w:val="single" w:color="auto"/>
          <w:color w:val="auto"/>
        </w:rPr>
        <w:t>ther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w:t>
      </w:r>
      <w:r>
        <w:rPr>
          <w:rFonts w:ascii="Arial" w:cs="Arial" w:eastAsia="Arial" w:hAnsi="Arial"/>
          <w:sz w:val="11"/>
          <w:szCs w:val="11"/>
          <w:b w:val="1"/>
          <w:bCs w:val="1"/>
          <w:u w:val="single" w:color="auto"/>
          <w:color w:val="auto"/>
        </w:rPr>
        <w:t>tock</w:t>
      </w:r>
      <w:r>
        <w:rPr>
          <w:rFonts w:ascii="Arial" w:cs="Arial" w:eastAsia="Arial" w:hAnsi="Arial"/>
          <w:sz w:val="17"/>
          <w:szCs w:val="17"/>
          <w:b w:val="1"/>
          <w:bCs w:val="1"/>
          <w:u w:val="single" w:color="auto"/>
          <w:color w:val="auto"/>
        </w:rPr>
        <w:t>-B</w:t>
      </w:r>
      <w:r>
        <w:rPr>
          <w:rFonts w:ascii="Arial" w:cs="Arial" w:eastAsia="Arial" w:hAnsi="Arial"/>
          <w:sz w:val="11"/>
          <w:szCs w:val="11"/>
          <w:b w:val="1"/>
          <w:bCs w:val="1"/>
          <w:u w:val="single" w:color="auto"/>
          <w:color w:val="auto"/>
        </w:rPr>
        <w:t>ased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wards</w:t>
      </w:r>
      <w:r>
        <w:rPr>
          <w:rFonts w:ascii="Arial" w:cs="Arial" w:eastAsia="Arial" w:hAnsi="Arial"/>
          <w:sz w:val="17"/>
          <w:szCs w:val="17"/>
          <w:color w:val="auto"/>
        </w:rPr>
        <w:t>.</w:t>
      </w:r>
    </w:p>
    <w:p>
      <w:pPr>
        <w:spacing w:after="0" w:line="235" w:lineRule="exact"/>
        <w:rPr>
          <w:sz w:val="20"/>
          <w:szCs w:val="20"/>
          <w:color w:val="auto"/>
        </w:rPr>
      </w:pPr>
    </w:p>
    <w:p>
      <w:pPr>
        <w:jc w:val="both"/>
        <w:ind w:right="340"/>
        <w:spacing w:after="0" w:line="259" w:lineRule="auto"/>
        <w:rPr>
          <w:sz w:val="20"/>
          <w:szCs w:val="20"/>
          <w:color w:val="auto"/>
        </w:rPr>
      </w:pPr>
      <w:r>
        <w:rPr>
          <w:rFonts w:ascii="Arial" w:cs="Arial" w:eastAsia="Arial" w:hAnsi="Arial"/>
          <w:sz w:val="17"/>
          <w:szCs w:val="17"/>
          <w:color w:val="auto"/>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45" w:lineRule="exact"/>
        <w:rPr>
          <w:sz w:val="20"/>
          <w:szCs w:val="20"/>
          <w:color w:val="auto"/>
        </w:rPr>
      </w:pPr>
    </w:p>
    <w:p>
      <w:pPr>
        <w:jc w:val="both"/>
        <w:ind w:right="220" w:firstLine="1247"/>
        <w:spacing w:after="0" w:line="260"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color w:val="auto"/>
        </w:rPr>
        <w:t>Grant of Cash-Based Awards</w:t>
      </w:r>
      <w:r>
        <w:rPr>
          <w:rFonts w:ascii="Arial" w:cs="Arial" w:eastAsia="Arial" w:hAnsi="Arial"/>
          <w:sz w:val="17"/>
          <w:szCs w:val="17"/>
          <w:color w:val="auto"/>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144" w:lineRule="exact"/>
        <w:rPr>
          <w:sz w:val="20"/>
          <w:szCs w:val="20"/>
          <w:color w:val="auto"/>
        </w:rPr>
      </w:pPr>
    </w:p>
    <w:p>
      <w:pPr>
        <w:ind w:firstLine="1247"/>
        <w:spacing w:after="0" w:line="245"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color w:val="auto"/>
        </w:rPr>
        <w:t>Grant of Other Stock-Based Awards</w:t>
      </w:r>
      <w:r>
        <w:rPr>
          <w:rFonts w:ascii="Arial" w:cs="Arial" w:eastAsia="Arial" w:hAnsi="Arial"/>
          <w:sz w:val="17"/>
          <w:szCs w:val="17"/>
          <w:color w:val="auto"/>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357" w:lineRule="exact"/>
        <w:rPr>
          <w:sz w:val="20"/>
          <w:szCs w:val="20"/>
          <w:color w:val="auto"/>
        </w:rPr>
      </w:pPr>
    </w:p>
    <w:p>
      <w:pPr>
        <w:ind w:right="40" w:firstLine="1247"/>
        <w:spacing w:after="0" w:line="246"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color w:val="auto"/>
        </w:rPr>
        <w:t>Value of Cash-Based and Other Stock-Based Awards</w:t>
      </w:r>
      <w:r>
        <w:rPr>
          <w:rFonts w:ascii="Arial" w:cs="Arial" w:eastAsia="Arial" w:hAnsi="Arial"/>
          <w:sz w:val="17"/>
          <w:szCs w:val="17"/>
          <w:color w:val="auto"/>
        </w:rPr>
        <w:t>.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spacing w:after="0" w:line="157" w:lineRule="exact"/>
        <w:rPr>
          <w:sz w:val="20"/>
          <w:szCs w:val="20"/>
          <w:color w:val="auto"/>
        </w:rPr>
      </w:pPr>
    </w:p>
    <w:p>
      <w:pPr>
        <w:ind w:right="60" w:firstLine="1247"/>
        <w:spacing w:after="0" w:line="250"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b w:val="1"/>
          <w:bCs w:val="1"/>
          <w:color w:val="auto"/>
        </w:rPr>
        <w:t>Payment or Settlement of Cash-Based Awards and Other Stock-Based Awards</w:t>
      </w:r>
      <w:r>
        <w:rPr>
          <w:rFonts w:ascii="Arial" w:cs="Arial" w:eastAsia="Arial" w:hAnsi="Arial"/>
          <w:sz w:val="17"/>
          <w:szCs w:val="17"/>
          <w:color w:val="auto"/>
        </w:rPr>
        <w:t>.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57" w:name="page58"/>
    <w:bookmarkEnd w:id="57"/>
    <w:p>
      <w:pPr>
        <w:ind w:firstLine="1247"/>
        <w:spacing w:after="0" w:line="242"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b w:val="1"/>
          <w:bCs w:val="1"/>
          <w:color w:val="auto"/>
        </w:rPr>
        <w:t>Voting Rights; Dividend Equivalent Rights and Distributions</w:t>
      </w:r>
      <w:r>
        <w:rPr>
          <w:rFonts w:ascii="Arial" w:cs="Arial" w:eastAsia="Arial" w:hAnsi="Arial"/>
          <w:sz w:val="17"/>
          <w:szCs w:val="17"/>
          <w:color w:val="auto"/>
        </w:rPr>
        <w:t>.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 No dividends or distributions shall be paid on shares of Stock subject to any Other Stock Based Award which are subject to Vesting Conditions except to the extent that such Vesting Conditions are satisfied.</w:t>
      </w:r>
    </w:p>
    <w:p>
      <w:pPr>
        <w:spacing w:after="0" w:line="359" w:lineRule="exact"/>
        <w:rPr>
          <w:sz w:val="20"/>
          <w:szCs w:val="20"/>
          <w:color w:val="auto"/>
        </w:rPr>
      </w:pPr>
    </w:p>
    <w:p>
      <w:pPr>
        <w:ind w:right="40" w:firstLine="1247"/>
        <w:spacing w:after="0" w:line="253"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150" w:lineRule="exact"/>
        <w:rPr>
          <w:sz w:val="20"/>
          <w:szCs w:val="20"/>
          <w:color w:val="auto"/>
        </w:rPr>
      </w:pPr>
    </w:p>
    <w:p>
      <w:pPr>
        <w:ind w:firstLine="1247"/>
        <w:spacing w:after="0" w:line="246"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b w:val="1"/>
          <w:bCs w:val="1"/>
          <w:color w:val="auto"/>
        </w:rPr>
        <w:t>Nontransferability of Cash-Based Awards and Other Stock-Based Awards</w:t>
      </w:r>
      <w:r>
        <w:rPr>
          <w:rFonts w:ascii="Arial" w:cs="Arial" w:eastAsia="Arial" w:hAnsi="Arial"/>
          <w:sz w:val="17"/>
          <w:szCs w:val="17"/>
          <w:color w:val="auto"/>
        </w:rPr>
        <w:t>.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157" w:lineRule="exact"/>
        <w:rPr>
          <w:sz w:val="20"/>
          <w:szCs w:val="20"/>
          <w:color w:val="auto"/>
        </w:rPr>
      </w:pPr>
    </w:p>
    <w:p>
      <w:pPr>
        <w:ind w:left="1260" w:hanging="632"/>
        <w:spacing w:after="0"/>
        <w:tabs>
          <w:tab w:leader="none" w:pos="1260" w:val="left"/>
        </w:tabs>
        <w:numPr>
          <w:ilvl w:val="0"/>
          <w:numId w:val="64"/>
        </w:numPr>
        <w:rPr>
          <w:rFonts w:ascii="Arial" w:cs="Arial" w:eastAsia="Arial" w:hAnsi="Arial"/>
          <w:sz w:val="17"/>
          <w:szCs w:val="17"/>
          <w:color w:val="auto"/>
        </w:rPr>
      </w:pPr>
      <w:r>
        <w:rPr>
          <w:rFonts w:ascii="Arial" w:cs="Arial" w:eastAsia="Arial" w:hAnsi="Arial"/>
          <w:sz w:val="17"/>
          <w:szCs w:val="17"/>
          <w:b w:val="1"/>
          <w:bCs w:val="1"/>
          <w:u w:val="single" w:color="auto"/>
          <w:color w:val="auto"/>
        </w:rPr>
        <w:t>S</w:t>
      </w:r>
      <w:r>
        <w:rPr>
          <w:rFonts w:ascii="Arial" w:cs="Arial" w:eastAsia="Arial" w:hAnsi="Arial"/>
          <w:sz w:val="11"/>
          <w:szCs w:val="11"/>
          <w:b w:val="1"/>
          <w:bCs w:val="1"/>
          <w:u w:val="single" w:color="auto"/>
          <w:color w:val="auto"/>
        </w:rPr>
        <w:t>tandard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F</w:t>
      </w:r>
      <w:r>
        <w:rPr>
          <w:rFonts w:ascii="Arial" w:cs="Arial" w:eastAsia="Arial" w:hAnsi="Arial"/>
          <w:sz w:val="11"/>
          <w:szCs w:val="11"/>
          <w:b w:val="1"/>
          <w:bCs w:val="1"/>
          <w:u w:val="single" w:color="auto"/>
          <w:color w:val="auto"/>
        </w:rPr>
        <w:t>orms of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ward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greement</w:t>
      </w:r>
      <w:r>
        <w:rPr>
          <w:rFonts w:ascii="Arial" w:cs="Arial" w:eastAsia="Arial" w:hAnsi="Arial"/>
          <w:sz w:val="17"/>
          <w:szCs w:val="17"/>
          <w:color w:val="auto"/>
        </w:rPr>
        <w:t>.</w:t>
      </w:r>
    </w:p>
    <w:p>
      <w:pPr>
        <w:spacing w:after="0" w:line="233" w:lineRule="exact"/>
        <w:rPr>
          <w:sz w:val="20"/>
          <w:szCs w:val="20"/>
          <w:color w:val="auto"/>
        </w:rPr>
      </w:pPr>
    </w:p>
    <w:p>
      <w:pPr>
        <w:ind w:right="20" w:firstLine="1247"/>
        <w:spacing w:after="0" w:line="255"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color w:val="auto"/>
        </w:rPr>
        <w:t>Award Agreements</w:t>
      </w:r>
      <w:r>
        <w:rPr>
          <w:rFonts w:ascii="Arial" w:cs="Arial" w:eastAsia="Arial" w:hAnsi="Arial"/>
          <w:sz w:val="17"/>
          <w:szCs w:val="17"/>
          <w:color w:val="auto"/>
        </w:rPr>
        <w:t>.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p>
    <w:p>
      <w:pPr>
        <w:spacing w:after="0" w:line="352" w:lineRule="exact"/>
        <w:rPr>
          <w:sz w:val="20"/>
          <w:szCs w:val="20"/>
          <w:color w:val="auto"/>
        </w:rPr>
      </w:pPr>
    </w:p>
    <w:p>
      <w:pPr>
        <w:ind w:right="40" w:firstLine="1247"/>
        <w:spacing w:after="0" w:line="253"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b w:val="1"/>
          <w:bCs w:val="1"/>
          <w:color w:val="auto"/>
        </w:rPr>
        <w:t>Authority to Vary Terms</w:t>
      </w:r>
      <w:r>
        <w:rPr>
          <w:rFonts w:ascii="Arial" w:cs="Arial" w:eastAsia="Arial" w:hAnsi="Arial"/>
          <w:sz w:val="17"/>
          <w:szCs w:val="17"/>
          <w:color w:val="auto"/>
        </w:rPr>
        <w:t>.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58" w:name="page59"/>
    <w:bookmarkEnd w:id="58"/>
    <w:p>
      <w:pPr>
        <w:ind w:left="1260" w:hanging="632"/>
        <w:spacing w:after="0"/>
        <w:tabs>
          <w:tab w:leader="none" w:pos="1260" w:val="left"/>
        </w:tabs>
        <w:numPr>
          <w:ilvl w:val="0"/>
          <w:numId w:val="65"/>
        </w:numPr>
        <w:rPr>
          <w:rFonts w:ascii="Arial" w:cs="Arial" w:eastAsia="Arial" w:hAnsi="Arial"/>
          <w:sz w:val="17"/>
          <w:szCs w:val="17"/>
          <w:color w:val="auto"/>
        </w:rPr>
      </w:pPr>
      <w:r>
        <w:rPr>
          <w:rFonts w:ascii="Arial" w:cs="Arial" w:eastAsia="Arial" w:hAnsi="Arial"/>
          <w:sz w:val="17"/>
          <w:szCs w:val="17"/>
          <w:b w:val="1"/>
          <w:bCs w:val="1"/>
          <w:u w:val="single" w:color="auto"/>
          <w:color w:val="auto"/>
        </w:rPr>
        <w:t>C</w:t>
      </w:r>
      <w:r>
        <w:rPr>
          <w:rFonts w:ascii="Arial" w:cs="Arial" w:eastAsia="Arial" w:hAnsi="Arial"/>
          <w:sz w:val="11"/>
          <w:szCs w:val="11"/>
          <w:b w:val="1"/>
          <w:bCs w:val="1"/>
          <w:u w:val="single" w:color="auto"/>
          <w:color w:val="auto"/>
        </w:rPr>
        <w:t>hange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w:t>
      </w:r>
      <w:r>
        <w:rPr>
          <w:rFonts w:ascii="Arial" w:cs="Arial" w:eastAsia="Arial" w:hAnsi="Arial"/>
          <w:sz w:val="11"/>
          <w:szCs w:val="11"/>
          <w:b w:val="1"/>
          <w:bCs w:val="1"/>
          <w:u w:val="single" w:color="auto"/>
          <w:color w:val="auto"/>
        </w:rPr>
        <w:t>ontrol</w:t>
      </w:r>
      <w:r>
        <w:rPr>
          <w:rFonts w:ascii="Arial" w:cs="Arial" w:eastAsia="Arial" w:hAnsi="Arial"/>
          <w:sz w:val="17"/>
          <w:szCs w:val="17"/>
          <w:color w:val="auto"/>
        </w:rPr>
        <w:t>.</w:t>
      </w:r>
    </w:p>
    <w:p>
      <w:pPr>
        <w:spacing w:after="0" w:line="233" w:lineRule="exact"/>
        <w:rPr>
          <w:sz w:val="20"/>
          <w:szCs w:val="20"/>
          <w:color w:val="auto"/>
        </w:rPr>
      </w:pPr>
    </w:p>
    <w:p>
      <w:pPr>
        <w:ind w:right="60" w:firstLine="1247"/>
        <w:spacing w:after="0" w:line="244"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Effect of Change in Control on Awards.</w:t>
      </w:r>
      <w:r>
        <w:rPr>
          <w:rFonts w:ascii="Arial" w:cs="Arial" w:eastAsia="Arial" w:hAnsi="Arial"/>
          <w:sz w:val="17"/>
          <w:szCs w:val="17"/>
          <w:color w:val="auto"/>
        </w:rPr>
        <w:t xml:space="preserve"> In the event of a Change in Control, outstanding Awards shall be subject to the definitive agreement entered into by the Company in connection with the Change in Control. Subject to the requirements and limitations of Section 409A, if applicable, the following provisions will apply to Awards in the event of a Change in Control, contingent upon the consummation of the Change in Control, unless otherwise provided in the Award Agreement or any other written agreement between the Company or any Affiliate and the Participant or unless otherwise expressly provided by the Committee at the time of grant of an Award. In the event of a Change in Control, then, notwithstanding any other provision of the Plan, the Committee may take one or more of the following actions with respect to Awards, contingent upon the closing or completion of the Change in Control. The Committee need not take the same action or actions with respect to all Awards or portions thereof or with respect to all Participants and in each case may make such determination in its discretion and without the consent of any Participant (unless otherwise provided in the Award Agreement or any other written agreement between the Company or any Affiliate and the Participant or unless otherwise expressly provided by the Committee at the time of grant of an Award).</w:t>
      </w:r>
    </w:p>
    <w:p>
      <w:pPr>
        <w:spacing w:after="0" w:line="157" w:lineRule="exact"/>
        <w:rPr>
          <w:sz w:val="20"/>
          <w:szCs w:val="20"/>
          <w:color w:val="auto"/>
        </w:rPr>
      </w:pPr>
    </w:p>
    <w:p>
      <w:pPr>
        <w:ind w:right="20" w:firstLine="1875"/>
        <w:spacing w:after="0" w:line="253" w:lineRule="auto"/>
        <w:tabs>
          <w:tab w:leader="none" w:pos="2413"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Accelerated Vesting. </w:t>
      </w:r>
      <w:r>
        <w:rPr>
          <w:rFonts w:ascii="Arial" w:cs="Arial" w:eastAsia="Arial" w:hAnsi="Arial"/>
          <w:sz w:val="17"/>
          <w:szCs w:val="17"/>
          <w:color w:val="auto"/>
        </w:rPr>
        <w:t>The Committee may take such action as it deems appropriate to provide for acceleration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spacing w:after="0" w:line="150" w:lineRule="exact"/>
        <w:rPr>
          <w:rFonts w:ascii="Arial" w:cs="Arial" w:eastAsia="Arial" w:hAnsi="Arial"/>
          <w:sz w:val="17"/>
          <w:szCs w:val="17"/>
          <w:color w:val="auto"/>
        </w:rPr>
      </w:pPr>
    </w:p>
    <w:p>
      <w:pPr>
        <w:ind w:firstLine="1875"/>
        <w:spacing w:after="0" w:line="242" w:lineRule="auto"/>
        <w:tabs>
          <w:tab w:leader="none" w:pos="2413"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Assumption, Continuation or Substitution. </w:t>
      </w:r>
      <w:r>
        <w:rPr>
          <w:rFonts w:ascii="Arial" w:cs="Arial" w:eastAsia="Arial" w:hAnsi="Arial"/>
          <w:sz w:val="17"/>
          <w:szCs w:val="17"/>
          <w:color w:val="auto"/>
        </w:rPr>
        <w:t>The Committee may arrange for the surviving, continuing, successor,</w:t>
      </w:r>
      <w:r>
        <w:rPr>
          <w:rFonts w:ascii="Arial" w:cs="Arial" w:eastAsia="Arial" w:hAnsi="Arial"/>
          <w:sz w:val="17"/>
          <w:szCs w:val="17"/>
          <w:b w:val="1"/>
          <w:bCs w:val="1"/>
          <w:color w:val="auto"/>
        </w:rPr>
        <w:t xml:space="preserve"> </w:t>
      </w:r>
      <w:r>
        <w:rPr>
          <w:rFonts w:ascii="Arial" w:cs="Arial" w:eastAsia="Arial" w:hAnsi="Arial"/>
          <w:sz w:val="17"/>
          <w:szCs w:val="17"/>
          <w:color w:val="auto"/>
        </w:rPr>
        <w:t>or purchasing corporation or other business entity or parent thereof, as the case may be (the “</w:t>
      </w:r>
      <w:r>
        <w:rPr>
          <w:rFonts w:ascii="Arial" w:cs="Arial" w:eastAsia="Arial" w:hAnsi="Arial"/>
          <w:sz w:val="17"/>
          <w:szCs w:val="17"/>
          <w:b w:val="1"/>
          <w:bCs w:val="1"/>
          <w:i w:val="1"/>
          <w:iCs w:val="1"/>
          <w:color w:val="auto"/>
        </w:rPr>
        <w:t>Acquiror</w:t>
      </w:r>
      <w:r>
        <w:rPr>
          <w:rFonts w:ascii="Arial" w:cs="Arial" w:eastAsia="Arial" w:hAnsi="Arial"/>
          <w:sz w:val="17"/>
          <w:szCs w:val="17"/>
          <w:color w:val="auto"/>
        </w:rPr>
        <w:t>”), to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not assumed, continued, or substituted by the Acquiror in connection with the Change in Control nor exercised prior to the time of consummation of the Change in Control shall terminate and cease to be outstanding effective as of the time of consummation of the Change in Control.</w:t>
      </w:r>
    </w:p>
    <w:p>
      <w:pPr>
        <w:spacing w:after="0" w:line="162" w:lineRule="exact"/>
        <w:rPr>
          <w:rFonts w:ascii="Arial" w:cs="Arial" w:eastAsia="Arial" w:hAnsi="Arial"/>
          <w:sz w:val="17"/>
          <w:szCs w:val="17"/>
          <w:color w:val="auto"/>
        </w:rPr>
      </w:pPr>
    </w:p>
    <w:p>
      <w:pPr>
        <w:ind w:firstLine="1875"/>
        <w:spacing w:after="0" w:line="260" w:lineRule="auto"/>
        <w:tabs>
          <w:tab w:leader="none" w:pos="2458"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Assignment or Lapse of Reacquisition or Repurchase Rights. </w:t>
      </w:r>
      <w:r>
        <w:rPr>
          <w:rFonts w:ascii="Arial" w:cs="Arial" w:eastAsia="Arial" w:hAnsi="Arial"/>
          <w:sz w:val="17"/>
          <w:szCs w:val="17"/>
          <w:color w:val="auto"/>
        </w:rPr>
        <w:t>The Committee may arrange for the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of any reacquisition or repurchase rights held by the Company in respect of Stock issued pursuant to the Award to the Acquiror or arrange for the lapse, in whole or in part, of any reacquisition or repurchase rights held by the Company with respect to the Award.</w:t>
      </w:r>
    </w:p>
    <w:p>
      <w:pPr>
        <w:spacing w:after="0" w:line="144" w:lineRule="exact"/>
        <w:rPr>
          <w:rFonts w:ascii="Arial" w:cs="Arial" w:eastAsia="Arial" w:hAnsi="Arial"/>
          <w:sz w:val="17"/>
          <w:szCs w:val="17"/>
          <w:color w:val="auto"/>
        </w:rPr>
      </w:pPr>
    </w:p>
    <w:p>
      <w:pPr>
        <w:ind w:right="80" w:firstLine="1875"/>
        <w:spacing w:after="0" w:line="260" w:lineRule="auto"/>
        <w:tabs>
          <w:tab w:leader="none" w:pos="242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Cancellation. </w:t>
      </w:r>
      <w:r>
        <w:rPr>
          <w:rFonts w:ascii="Arial" w:cs="Arial" w:eastAsia="Arial" w:hAnsi="Arial"/>
          <w:sz w:val="17"/>
          <w:szCs w:val="17"/>
          <w:color w:val="auto"/>
        </w:rPr>
        <w:t>In its discretion, the Committee may cancel or arrange for the cancellation of the Award,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not vested or not exercised prior to the effective time of the Change in Control, in exchange for no consideration ($0) or such consideration, if any, as determined by the Committee.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9" w:name="page60"/>
    <w:bookmarkEnd w:id="59"/>
    <w:p>
      <w:pPr>
        <w:ind w:right="60" w:firstLine="1875"/>
        <w:spacing w:after="0" w:line="242" w:lineRule="auto"/>
        <w:tabs>
          <w:tab w:leader="none" w:pos="242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Cash-Out of Outstanding Stock-Based Awards. </w:t>
      </w:r>
      <w:r>
        <w:rPr>
          <w:rFonts w:ascii="Arial" w:cs="Arial" w:eastAsia="Arial" w:hAnsi="Arial"/>
          <w:sz w:val="17"/>
          <w:szCs w:val="17"/>
          <w:color w:val="auto"/>
        </w:rPr>
        <w:t>The Committee may determine that, upon the occurrence of a</w:t>
      </w:r>
      <w:r>
        <w:rPr>
          <w:rFonts w:ascii="Arial" w:cs="Arial" w:eastAsia="Arial" w:hAnsi="Arial"/>
          <w:sz w:val="17"/>
          <w:szCs w:val="17"/>
          <w:b w:val="1"/>
          <w:bCs w:val="1"/>
          <w:color w:val="auto"/>
        </w:rPr>
        <w:t xml:space="preserve"> </w:t>
      </w:r>
      <w:r>
        <w:rPr>
          <w:rFonts w:ascii="Arial" w:cs="Arial" w:eastAsia="Arial" w:hAnsi="Arial"/>
          <w:sz w:val="17"/>
          <w:szCs w:val="17"/>
          <w:color w:val="auto"/>
        </w:rPr>
        <w:t>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to the extent applicable, in respect of the unvested portions of their canceled Awards in accordance with the vesting schedules applicable to such Awards or, if determined by the Committee and in compliance with Section 409A, as soon as practicable following the date of the Change in Control.</w:t>
      </w:r>
    </w:p>
    <w:p>
      <w:pPr>
        <w:spacing w:after="0" w:line="166" w:lineRule="exact"/>
        <w:rPr>
          <w:rFonts w:ascii="Arial" w:cs="Arial" w:eastAsia="Arial" w:hAnsi="Arial"/>
          <w:sz w:val="17"/>
          <w:szCs w:val="17"/>
          <w:color w:val="auto"/>
        </w:rPr>
      </w:pPr>
    </w:p>
    <w:p>
      <w:pPr>
        <w:ind w:right="120" w:firstLine="1875"/>
        <w:spacing w:after="0" w:line="253" w:lineRule="auto"/>
        <w:tabs>
          <w:tab w:leader="none" w:pos="242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Adjustments and Earnouts</w:t>
      </w:r>
      <w:r>
        <w:rPr>
          <w:rFonts w:ascii="Arial" w:cs="Arial" w:eastAsia="Arial" w:hAnsi="Arial"/>
          <w:sz w:val="17"/>
          <w:szCs w:val="17"/>
          <w:color w:val="auto"/>
        </w:rPr>
        <w:t>. In making any determination pursuant to this Section 13.1 in the event of a Change</w:t>
      </w:r>
      <w:r>
        <w:rPr>
          <w:rFonts w:ascii="Arial" w:cs="Arial" w:eastAsia="Arial" w:hAnsi="Arial"/>
          <w:sz w:val="17"/>
          <w:szCs w:val="17"/>
          <w:b w:val="1"/>
          <w:bCs w:val="1"/>
          <w:color w:val="auto"/>
        </w:rPr>
        <w:t xml:space="preserve"> </w:t>
      </w:r>
      <w:r>
        <w:rPr>
          <w:rFonts w:ascii="Arial" w:cs="Arial" w:eastAsia="Arial" w:hAnsi="Arial"/>
          <w:sz w:val="17"/>
          <w:szCs w:val="17"/>
          <w:color w:val="auto"/>
        </w:rPr>
        <w:t>in Control, the Committee may, in its discretion, determine that an Award shall or shall not be 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p>
    <w:p>
      <w:pPr>
        <w:spacing w:after="0" w:line="150" w:lineRule="exact"/>
        <w:rPr>
          <w:sz w:val="20"/>
          <w:szCs w:val="20"/>
          <w:color w:val="auto"/>
        </w:rPr>
      </w:pPr>
    </w:p>
    <w:p>
      <w:pPr>
        <w:ind w:firstLine="1247"/>
        <w:spacing w:after="0" w:line="253"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color w:val="auto"/>
        </w:rPr>
        <w:t>Appointment of Stockholder Representative.</w:t>
      </w:r>
      <w:r>
        <w:rPr>
          <w:rFonts w:ascii="Arial" w:cs="Arial" w:eastAsia="Arial" w:hAnsi="Arial"/>
          <w:sz w:val="17"/>
          <w:szCs w:val="17"/>
          <w:color w:val="auto"/>
        </w:rPr>
        <w:t xml:space="preserve"> As a condition to the receipt of an Award under the Plan, a Participant will be deemed to have agreed that the Award will be subject to the terms of any agreement governing a Change in Control transaction involving the Company, including, without limitation, a provision for the appointment of a stockholder representative that is authorized to act on the Participant’s behalf.</w:t>
      </w:r>
    </w:p>
    <w:p>
      <w:pPr>
        <w:spacing w:after="0" w:line="150" w:lineRule="exact"/>
        <w:rPr>
          <w:sz w:val="20"/>
          <w:szCs w:val="20"/>
          <w:color w:val="auto"/>
        </w:rPr>
      </w:pPr>
    </w:p>
    <w:p>
      <w:pPr>
        <w:ind w:right="80" w:firstLine="1247"/>
        <w:spacing w:after="0" w:line="253"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b w:val="1"/>
          <w:bCs w:val="1"/>
          <w:color w:val="auto"/>
        </w:rPr>
        <w:t>Effect of Change in Control on Nonemployee Director Awards.</w:t>
      </w:r>
      <w:r>
        <w:rPr>
          <w:rFonts w:ascii="Arial" w:cs="Arial" w:eastAsia="Arial" w:hAnsi="Arial"/>
          <w:sz w:val="17"/>
          <w:szCs w:val="17"/>
          <w:color w:val="auto"/>
        </w:rPr>
        <w:t xml:space="preserve"> Subject to the requirements and limitations of Section 409A, if applicable, including as provided by Section 15.4(f), in the event of a Change in Control, each outstanding Nonemployee Director Award shall become immediately exercisable and vested in full effective immediately prior to and contingent upon the consummation of the Change in Control.</w:t>
      </w:r>
    </w:p>
    <w:p>
      <w:pPr>
        <w:spacing w:after="0" w:line="150"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13.4</w:t>
      </w:r>
      <w:r>
        <w:rPr>
          <w:sz w:val="20"/>
          <w:szCs w:val="20"/>
          <w:color w:val="auto"/>
        </w:rPr>
        <w:tab/>
      </w:r>
      <w:r>
        <w:rPr>
          <w:rFonts w:ascii="Arial" w:cs="Arial" w:eastAsia="Arial" w:hAnsi="Arial"/>
          <w:sz w:val="17"/>
          <w:szCs w:val="17"/>
          <w:b w:val="1"/>
          <w:bCs w:val="1"/>
          <w:color w:val="auto"/>
        </w:rPr>
        <w:t>Federal Excise Tax Under Section 4999 of the Code</w:t>
      </w:r>
      <w:r>
        <w:rPr>
          <w:rFonts w:ascii="Arial" w:cs="Arial" w:eastAsia="Arial" w:hAnsi="Arial"/>
          <w:sz w:val="17"/>
          <w:szCs w:val="17"/>
          <w:color w:val="auto"/>
        </w:rPr>
        <w:t>.</w:t>
      </w:r>
    </w:p>
    <w:p>
      <w:pPr>
        <w:spacing w:after="0" w:line="194" w:lineRule="exact"/>
        <w:rPr>
          <w:sz w:val="20"/>
          <w:szCs w:val="20"/>
          <w:color w:val="auto"/>
        </w:rPr>
      </w:pPr>
    </w:p>
    <w:p>
      <w:pPr>
        <w:ind w:right="80" w:firstLine="1875"/>
        <w:spacing w:after="0" w:line="250" w:lineRule="auto"/>
        <w:tabs>
          <w:tab w:leader="none" w:pos="242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Excess Parachute Payment</w:t>
      </w:r>
      <w:r>
        <w:rPr>
          <w:rFonts w:ascii="Arial" w:cs="Arial" w:eastAsia="Arial" w:hAnsi="Arial"/>
          <w:sz w:val="17"/>
          <w:szCs w:val="17"/>
          <w:color w:val="auto"/>
        </w:rPr>
        <w:t>. If any acceleration of vesting pursuant to an Award and any other payment or</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151" w:lineRule="exact"/>
        <w:rPr>
          <w:rFonts w:ascii="Arial" w:cs="Arial" w:eastAsia="Arial" w:hAnsi="Arial"/>
          <w:sz w:val="17"/>
          <w:szCs w:val="17"/>
          <w:color w:val="auto"/>
        </w:rPr>
      </w:pPr>
    </w:p>
    <w:p>
      <w:pPr>
        <w:ind w:right="20" w:firstLine="1875"/>
        <w:spacing w:after="0" w:line="244" w:lineRule="auto"/>
        <w:tabs>
          <w:tab w:leader="none" w:pos="242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Determination by Tax Firm</w:t>
      </w:r>
      <w:r>
        <w:rPr>
          <w:rFonts w:ascii="Arial" w:cs="Arial" w:eastAsia="Arial" w:hAnsi="Arial"/>
          <w:sz w:val="17"/>
          <w:szCs w:val="17"/>
          <w:color w:val="auto"/>
        </w:rPr>
        <w:t>. To aid the Participant in making any election called for under Section 13.4(a), no later</w:t>
      </w:r>
      <w:r>
        <w:rPr>
          <w:rFonts w:ascii="Arial" w:cs="Arial" w:eastAsia="Arial" w:hAnsi="Arial"/>
          <w:sz w:val="17"/>
          <w:szCs w:val="17"/>
          <w:b w:val="1"/>
          <w:bCs w:val="1"/>
          <w:color w:val="auto"/>
        </w:rPr>
        <w:t xml:space="preserve"> </w:t>
      </w:r>
      <w:r>
        <w:rPr>
          <w:rFonts w:ascii="Arial" w:cs="Arial" w:eastAsia="Arial" w:hAnsi="Arial"/>
          <w:sz w:val="17"/>
          <w:szCs w:val="17"/>
          <w:color w:val="auto"/>
        </w:rPr>
        <w:t>than the date of the occurrence of any event that might reasonably be anticipated to result in an “excess parachute payment” to the Participant as described in Section 13.4(a),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Arial" w:cs="Arial" w:eastAsia="Arial" w:hAnsi="Arial"/>
          <w:sz w:val="17"/>
          <w:szCs w:val="17"/>
          <w:b w:val="1"/>
          <w:bCs w:val="1"/>
          <w:i w:val="1"/>
          <w:iCs w:val="1"/>
          <w:color w:val="auto"/>
        </w:rPr>
        <w:t>Tax Firm</w:t>
      </w:r>
      <w:r>
        <w:rPr>
          <w:rFonts w:ascii="Arial" w:cs="Arial" w:eastAsia="Arial" w:hAnsi="Arial"/>
          <w:sz w:val="17"/>
          <w:szCs w:val="17"/>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60" w:name="page61"/>
    <w:bookmarkEnd w:id="60"/>
    <w:p>
      <w:pPr>
        <w:ind w:left="1260" w:hanging="632"/>
        <w:spacing w:after="0"/>
        <w:tabs>
          <w:tab w:leader="none" w:pos="1260" w:val="left"/>
        </w:tabs>
        <w:numPr>
          <w:ilvl w:val="0"/>
          <w:numId w:val="69"/>
        </w:numPr>
        <w:rPr>
          <w:rFonts w:ascii="Arial" w:cs="Arial" w:eastAsia="Arial" w:hAnsi="Arial"/>
          <w:sz w:val="17"/>
          <w:szCs w:val="17"/>
          <w:color w:val="auto"/>
        </w:rPr>
      </w:pPr>
      <w:r>
        <w:rPr>
          <w:rFonts w:ascii="Arial" w:cs="Arial" w:eastAsia="Arial" w:hAnsi="Arial"/>
          <w:sz w:val="17"/>
          <w:szCs w:val="17"/>
          <w:b w:val="1"/>
          <w:bCs w:val="1"/>
          <w:u w:val="single" w:color="auto"/>
          <w:color w:val="auto"/>
        </w:rPr>
        <w:t>C</w:t>
      </w:r>
      <w:r>
        <w:rPr>
          <w:rFonts w:ascii="Arial" w:cs="Arial" w:eastAsia="Arial" w:hAnsi="Arial"/>
          <w:sz w:val="11"/>
          <w:szCs w:val="11"/>
          <w:b w:val="1"/>
          <w:bCs w:val="1"/>
          <w:u w:val="single" w:color="auto"/>
          <w:color w:val="auto"/>
        </w:rPr>
        <w:t>ompliance with</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w:t>
      </w:r>
      <w:r>
        <w:rPr>
          <w:rFonts w:ascii="Arial" w:cs="Arial" w:eastAsia="Arial" w:hAnsi="Arial"/>
          <w:sz w:val="11"/>
          <w:szCs w:val="11"/>
          <w:b w:val="1"/>
          <w:bCs w:val="1"/>
          <w:u w:val="single" w:color="auto"/>
          <w:color w:val="auto"/>
        </w:rPr>
        <w:t>ecurities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L</w:t>
      </w:r>
      <w:r>
        <w:rPr>
          <w:rFonts w:ascii="Arial" w:cs="Arial" w:eastAsia="Arial" w:hAnsi="Arial"/>
          <w:sz w:val="11"/>
          <w:szCs w:val="11"/>
          <w:b w:val="1"/>
          <w:bCs w:val="1"/>
          <w:u w:val="single" w:color="auto"/>
          <w:color w:val="auto"/>
        </w:rPr>
        <w:t>aw</w:t>
      </w:r>
      <w:r>
        <w:rPr>
          <w:rFonts w:ascii="Arial" w:cs="Arial" w:eastAsia="Arial" w:hAnsi="Arial"/>
          <w:sz w:val="17"/>
          <w:szCs w:val="17"/>
          <w:color w:val="auto"/>
        </w:rPr>
        <w:t>.</w:t>
      </w:r>
    </w:p>
    <w:p>
      <w:pPr>
        <w:spacing w:after="0" w:line="235"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0" w:lineRule="exact"/>
        <w:rPr>
          <w:sz w:val="20"/>
          <w:szCs w:val="20"/>
          <w:color w:val="auto"/>
        </w:rPr>
      </w:pPr>
    </w:p>
    <w:p>
      <w:pPr>
        <w:ind w:left="1260" w:hanging="632"/>
        <w:spacing w:after="0"/>
        <w:tabs>
          <w:tab w:leader="none" w:pos="1260" w:val="left"/>
        </w:tabs>
        <w:numPr>
          <w:ilvl w:val="0"/>
          <w:numId w:val="70"/>
        </w:numPr>
        <w:rPr>
          <w:rFonts w:ascii="Arial" w:cs="Arial" w:eastAsia="Arial" w:hAnsi="Arial"/>
          <w:sz w:val="17"/>
          <w:szCs w:val="17"/>
          <w:color w:val="auto"/>
        </w:rPr>
      </w:pPr>
      <w:r>
        <w:rPr>
          <w:rFonts w:ascii="Arial" w:cs="Arial" w:eastAsia="Arial" w:hAnsi="Arial"/>
          <w:sz w:val="17"/>
          <w:szCs w:val="17"/>
          <w:b w:val="1"/>
          <w:bCs w:val="1"/>
          <w:u w:val="single" w:color="auto"/>
          <w:color w:val="auto"/>
        </w:rPr>
        <w:t>C</w:t>
      </w:r>
      <w:r>
        <w:rPr>
          <w:rFonts w:ascii="Arial" w:cs="Arial" w:eastAsia="Arial" w:hAnsi="Arial"/>
          <w:sz w:val="11"/>
          <w:szCs w:val="11"/>
          <w:b w:val="1"/>
          <w:bCs w:val="1"/>
          <w:u w:val="single" w:color="auto"/>
          <w:color w:val="auto"/>
        </w:rPr>
        <w:t>ompliance with</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w:t>
      </w:r>
      <w:r>
        <w:rPr>
          <w:rFonts w:ascii="Arial" w:cs="Arial" w:eastAsia="Arial" w:hAnsi="Arial"/>
          <w:sz w:val="11"/>
          <w:szCs w:val="11"/>
          <w:b w:val="1"/>
          <w:bCs w:val="1"/>
          <w:u w:val="single" w:color="auto"/>
          <w:color w:val="auto"/>
        </w:rPr>
        <w:t>ection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409A</w:t>
      </w:r>
      <w:r>
        <w:rPr>
          <w:rFonts w:ascii="Arial" w:cs="Arial" w:eastAsia="Arial" w:hAnsi="Arial"/>
          <w:sz w:val="17"/>
          <w:szCs w:val="17"/>
          <w:color w:val="auto"/>
        </w:rPr>
        <w:t>.</w:t>
      </w:r>
    </w:p>
    <w:p>
      <w:pPr>
        <w:spacing w:after="0" w:line="233" w:lineRule="exact"/>
        <w:rPr>
          <w:sz w:val="20"/>
          <w:szCs w:val="20"/>
          <w:color w:val="auto"/>
        </w:rPr>
      </w:pPr>
    </w:p>
    <w:p>
      <w:pPr>
        <w:ind w:right="380" w:firstLine="1247"/>
        <w:spacing w:after="0" w:line="260"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color w:val="auto"/>
        </w:rPr>
        <w:t>Awards Subject to Section 409A</w:t>
      </w:r>
      <w:r>
        <w:rPr>
          <w:rFonts w:ascii="Arial" w:cs="Arial" w:eastAsia="Arial" w:hAnsi="Arial"/>
          <w:sz w:val="17"/>
          <w:szCs w:val="17"/>
          <w:color w:val="auto"/>
        </w:rPr>
        <w:t>.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spacing w:after="0" w:line="146" w:lineRule="exact"/>
        <w:rPr>
          <w:sz w:val="20"/>
          <w:szCs w:val="20"/>
          <w:color w:val="auto"/>
        </w:rPr>
      </w:pPr>
    </w:p>
    <w:p>
      <w:pPr>
        <w:ind w:right="440" w:firstLine="1875"/>
        <w:spacing w:after="0" w:line="259" w:lineRule="auto"/>
        <w:tabs>
          <w:tab w:leader="none" w:pos="2468"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146" w:lineRule="exact"/>
        <w:rPr>
          <w:rFonts w:ascii="Arial" w:cs="Arial" w:eastAsia="Arial" w:hAnsi="Arial"/>
          <w:sz w:val="17"/>
          <w:szCs w:val="17"/>
          <w:color w:val="auto"/>
        </w:rPr>
      </w:pPr>
    </w:p>
    <w:p>
      <w:pPr>
        <w:ind w:firstLine="1875"/>
        <w:spacing w:after="0" w:line="252" w:lineRule="auto"/>
        <w:tabs>
          <w:tab w:leader="none" w:pos="2468"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15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Subject to the provisions of Section 409A, the term “</w:t>
      </w:r>
      <w:r>
        <w:rPr>
          <w:rFonts w:ascii="Arial" w:cs="Arial" w:eastAsia="Arial" w:hAnsi="Arial"/>
          <w:sz w:val="17"/>
          <w:szCs w:val="17"/>
          <w:b w:val="1"/>
          <w:bCs w:val="1"/>
          <w:i w:val="1"/>
          <w:iCs w:val="1"/>
          <w:color w:val="auto"/>
        </w:rPr>
        <w:t>Short-Term Deferral Period</w:t>
      </w:r>
      <w:r>
        <w:rPr>
          <w:rFonts w:ascii="Arial" w:cs="Arial" w:eastAsia="Arial" w:hAnsi="Arial"/>
          <w:sz w:val="17"/>
          <w:szCs w:val="17"/>
          <w:color w:val="auto"/>
        </w:rPr>
        <w:t>” means the 2 1/2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153" w:lineRule="exact"/>
        <w:rPr>
          <w:sz w:val="20"/>
          <w:szCs w:val="20"/>
          <w:color w:val="auto"/>
        </w:rPr>
      </w:pPr>
    </w:p>
    <w:p>
      <w:pPr>
        <w:jc w:val="both"/>
        <w:ind w:right="220" w:firstLine="1247"/>
        <w:spacing w:after="0" w:line="260"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b w:val="1"/>
          <w:bCs w:val="1"/>
          <w:color w:val="auto"/>
        </w:rPr>
        <w:t>Deferral and/or Distribution Elections</w:t>
      </w:r>
      <w:r>
        <w:rPr>
          <w:rFonts w:ascii="Arial" w:cs="Arial" w:eastAsia="Arial" w:hAnsi="Arial"/>
          <w:sz w:val="17"/>
          <w:szCs w:val="17"/>
          <w:color w:val="auto"/>
        </w:rPr>
        <w:t>. Except as otherwise permitted or required by Section 409A and the Company, the following rules shall apply to any compensation deferral and/or payment elections (each, an “</w:t>
      </w:r>
      <w:r>
        <w:rPr>
          <w:rFonts w:ascii="Arial" w:cs="Arial" w:eastAsia="Arial" w:hAnsi="Arial"/>
          <w:sz w:val="17"/>
          <w:szCs w:val="17"/>
          <w:b w:val="1"/>
          <w:bCs w:val="1"/>
          <w:i w:val="1"/>
          <w:iCs w:val="1"/>
          <w:color w:val="auto"/>
        </w:rPr>
        <w:t>Election</w:t>
      </w:r>
      <w:r>
        <w:rPr>
          <w:rFonts w:ascii="Arial" w:cs="Arial" w:eastAsia="Arial" w:hAnsi="Arial"/>
          <w:sz w:val="17"/>
          <w:szCs w:val="17"/>
          <w:color w:val="auto"/>
        </w:rPr>
        <w:t>”) that may be permitted or required by the Committee pursuant to an Award providing Section 409A Deferred Compensation:</w:t>
      </w:r>
    </w:p>
    <w:p>
      <w:pPr>
        <w:spacing w:after="0" w:line="146" w:lineRule="exact"/>
        <w:rPr>
          <w:sz w:val="20"/>
          <w:szCs w:val="20"/>
          <w:color w:val="auto"/>
        </w:rPr>
      </w:pPr>
    </w:p>
    <w:p>
      <w:pPr>
        <w:ind w:right="240" w:firstLine="1875"/>
        <w:spacing w:after="0" w:line="280" w:lineRule="auto"/>
        <w:tabs>
          <w:tab w:leader="none" w:pos="2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Elections must be in writing and specify the amount of the payment in settlement of an Award being deferred, as well as the time and form of payment as permitted by this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1" w:name="page62"/>
    <w:bookmarkEnd w:id="61"/>
    <w:p>
      <w:pPr>
        <w:ind w:right="160" w:firstLine="1875"/>
        <w:spacing w:after="0" w:line="280" w:lineRule="auto"/>
        <w:tabs>
          <w:tab w:leader="none" w:pos="2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Elections shall be made by the end of the Participant’s taxable year prior to the year in which services commence for which an Award may be granted to the Participant.</w:t>
      </w:r>
    </w:p>
    <w:p>
      <w:pPr>
        <w:spacing w:after="0" w:line="128" w:lineRule="exact"/>
        <w:rPr>
          <w:rFonts w:ascii="Arial" w:cs="Arial" w:eastAsia="Arial" w:hAnsi="Arial"/>
          <w:sz w:val="17"/>
          <w:szCs w:val="17"/>
          <w:color w:val="auto"/>
        </w:rPr>
      </w:pPr>
    </w:p>
    <w:p>
      <w:pPr>
        <w:ind w:firstLine="1875"/>
        <w:spacing w:after="0" w:line="259" w:lineRule="auto"/>
        <w:tabs>
          <w:tab w:leader="none" w:pos="241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spacing w:after="0" w:line="145" w:lineRule="exact"/>
        <w:rPr>
          <w:sz w:val="20"/>
          <w:szCs w:val="20"/>
          <w:color w:val="auto"/>
        </w:rPr>
      </w:pPr>
    </w:p>
    <w:p>
      <w:pPr>
        <w:jc w:val="both"/>
        <w:ind w:right="240" w:firstLine="1247"/>
        <w:spacing w:after="0" w:line="260"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b w:val="1"/>
          <w:bCs w:val="1"/>
          <w:color w:val="auto"/>
        </w:rPr>
        <w:t>Subsequent Elections</w:t>
      </w:r>
      <w:r>
        <w:rPr>
          <w:rFonts w:ascii="Arial" w:cs="Arial" w:eastAsia="Arial" w:hAnsi="Arial"/>
          <w:sz w:val="17"/>
          <w:szCs w:val="17"/>
          <w:color w:val="auto"/>
        </w:rPr>
        <w:t>.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146" w:lineRule="exact"/>
        <w:rPr>
          <w:sz w:val="20"/>
          <w:szCs w:val="20"/>
          <w:color w:val="auto"/>
        </w:rPr>
      </w:pPr>
    </w:p>
    <w:p>
      <w:pPr>
        <w:ind w:left="2420" w:hanging="545"/>
        <w:spacing w:after="0"/>
        <w:tabs>
          <w:tab w:leader="none" w:pos="24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 subsequent Election may take effect until at least twelve (12) months after the date on which the subsequent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Election is made.</w:t>
      </w:r>
    </w:p>
    <w:p>
      <w:pPr>
        <w:spacing w:after="0" w:line="178" w:lineRule="exact"/>
        <w:rPr>
          <w:sz w:val="20"/>
          <w:szCs w:val="20"/>
          <w:color w:val="auto"/>
        </w:rPr>
      </w:pPr>
    </w:p>
    <w:p>
      <w:pPr>
        <w:jc w:val="both"/>
        <w:ind w:right="420" w:firstLine="1875"/>
        <w:spacing w:after="0" w:line="259" w:lineRule="auto"/>
        <w:tabs>
          <w:tab w:leader="none" w:pos="24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Each subsequent Election related to a payment in settlement of an Award not described in Section 15.4(a)(ii), 15.4(a)(iii) or 15.4(a)(vi) must result in a delay of the payment for a period of not less than five (5) years from the date on which such payment would otherwise have been made.</w:t>
      </w:r>
    </w:p>
    <w:p>
      <w:pPr>
        <w:spacing w:after="0" w:line="146" w:lineRule="exact"/>
        <w:rPr>
          <w:rFonts w:ascii="Arial" w:cs="Arial" w:eastAsia="Arial" w:hAnsi="Arial"/>
          <w:sz w:val="17"/>
          <w:szCs w:val="17"/>
          <w:color w:val="auto"/>
        </w:rPr>
      </w:pPr>
    </w:p>
    <w:p>
      <w:pPr>
        <w:ind w:right="220" w:firstLine="1875"/>
        <w:spacing w:after="0" w:line="280" w:lineRule="auto"/>
        <w:tabs>
          <w:tab w:leader="none" w:pos="2410"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 subsequent Election related to a payment pursuant to Section 15.4(a)(vi) shall be made less than twelve (12) months before the date on which such payment would otherwise have been made.</w:t>
      </w:r>
    </w:p>
    <w:p>
      <w:pPr>
        <w:spacing w:after="0" w:line="128" w:lineRule="exact"/>
        <w:rPr>
          <w:rFonts w:ascii="Arial" w:cs="Arial" w:eastAsia="Arial" w:hAnsi="Arial"/>
          <w:sz w:val="17"/>
          <w:szCs w:val="17"/>
          <w:color w:val="auto"/>
        </w:rPr>
      </w:pPr>
    </w:p>
    <w:p>
      <w:pPr>
        <w:ind w:right="160" w:firstLine="1875"/>
        <w:spacing w:after="0" w:line="259" w:lineRule="auto"/>
        <w:tabs>
          <w:tab w:leader="none" w:pos="24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spacing w:after="0" w:line="145"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15.4</w:t>
      </w:r>
      <w:r>
        <w:rPr>
          <w:sz w:val="20"/>
          <w:szCs w:val="20"/>
          <w:color w:val="auto"/>
        </w:rPr>
        <w:tab/>
      </w:r>
      <w:r>
        <w:rPr>
          <w:rFonts w:ascii="Arial" w:cs="Arial" w:eastAsia="Arial" w:hAnsi="Arial"/>
          <w:sz w:val="17"/>
          <w:szCs w:val="17"/>
          <w:b w:val="1"/>
          <w:bCs w:val="1"/>
          <w:color w:val="auto"/>
        </w:rPr>
        <w:t>Payment of Section 409A Deferred Compensation</w:t>
      </w:r>
      <w:r>
        <w:rPr>
          <w:rFonts w:ascii="Arial" w:cs="Arial" w:eastAsia="Arial" w:hAnsi="Arial"/>
          <w:sz w:val="17"/>
          <w:szCs w:val="17"/>
          <w:color w:val="auto"/>
        </w:rPr>
        <w:t>.</w:t>
      </w:r>
    </w:p>
    <w:p>
      <w:pPr>
        <w:spacing w:after="0" w:line="196" w:lineRule="exact"/>
        <w:rPr>
          <w:sz w:val="20"/>
          <w:szCs w:val="20"/>
          <w:color w:val="auto"/>
        </w:rPr>
      </w:pPr>
    </w:p>
    <w:p>
      <w:pPr>
        <w:ind w:left="2420" w:hanging="545"/>
        <w:spacing w:after="0"/>
        <w:tabs>
          <w:tab w:leader="none" w:pos="242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Permissible Payments</w:t>
      </w:r>
      <w:r>
        <w:rPr>
          <w:rFonts w:ascii="Arial" w:cs="Arial" w:eastAsia="Arial" w:hAnsi="Arial"/>
          <w:sz w:val="17"/>
          <w:szCs w:val="17"/>
          <w:color w:val="auto"/>
        </w:rPr>
        <w:t>. Except as otherwise permitted or required by Section 409A, an Award providing Section</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409A Deferred Compensation must provide for payment in settlement of the Award only upon one or more of the following:</w:t>
      </w:r>
    </w:p>
    <w:p>
      <w:pPr>
        <w:spacing w:after="0" w:line="178" w:lineRule="exact"/>
        <w:rPr>
          <w:rFonts w:ascii="Arial" w:cs="Arial" w:eastAsia="Arial" w:hAnsi="Arial"/>
          <w:sz w:val="17"/>
          <w:szCs w:val="17"/>
          <w:color w:val="auto"/>
        </w:rPr>
      </w:pPr>
    </w:p>
    <w:p>
      <w:pPr>
        <w:ind w:left="3040" w:hanging="541"/>
        <w:spacing w:after="0"/>
        <w:tabs>
          <w:tab w:leader="none" w:pos="30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Participant’s “separation from service” (as defined by Section 409A);</w:t>
      </w:r>
    </w:p>
    <w:p>
      <w:pPr>
        <w:spacing w:after="0" w:line="194" w:lineRule="exact"/>
        <w:rPr>
          <w:rFonts w:ascii="Arial" w:cs="Arial" w:eastAsia="Arial" w:hAnsi="Arial"/>
          <w:sz w:val="17"/>
          <w:szCs w:val="17"/>
          <w:color w:val="auto"/>
        </w:rPr>
      </w:pPr>
    </w:p>
    <w:p>
      <w:pPr>
        <w:ind w:left="3020" w:hanging="521"/>
        <w:spacing w:after="0"/>
        <w:tabs>
          <w:tab w:leader="none" w:pos="3020"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Participant’s becoming “disabled” (as defined by Section 409A);</w:t>
      </w:r>
    </w:p>
    <w:p>
      <w:pPr>
        <w:spacing w:after="0" w:line="194" w:lineRule="exact"/>
        <w:rPr>
          <w:rFonts w:ascii="Arial" w:cs="Arial" w:eastAsia="Arial" w:hAnsi="Arial"/>
          <w:sz w:val="17"/>
          <w:szCs w:val="17"/>
          <w:color w:val="auto"/>
        </w:rPr>
      </w:pPr>
    </w:p>
    <w:p>
      <w:pPr>
        <w:ind w:left="3020" w:hanging="521"/>
        <w:spacing w:after="0"/>
        <w:tabs>
          <w:tab w:leader="none" w:pos="3020"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Participant’s death;</w:t>
      </w:r>
    </w:p>
    <w:p>
      <w:pPr>
        <w:spacing w:after="0" w:line="194" w:lineRule="exact"/>
        <w:rPr>
          <w:rFonts w:ascii="Arial" w:cs="Arial" w:eastAsia="Arial" w:hAnsi="Arial"/>
          <w:sz w:val="17"/>
          <w:szCs w:val="17"/>
          <w:color w:val="auto"/>
        </w:rPr>
      </w:pPr>
    </w:p>
    <w:p>
      <w:pPr>
        <w:ind w:right="160" w:firstLine="2499"/>
        <w:spacing w:after="0" w:line="259" w:lineRule="auto"/>
        <w:tabs>
          <w:tab w:leader="none" w:pos="3024" w:val="left"/>
        </w:tabs>
        <w:numPr>
          <w:ilvl w:val="1"/>
          <w:numId w:val="76"/>
        </w:numPr>
        <w:rPr>
          <w:rFonts w:ascii="Arial" w:cs="Arial" w:eastAsia="Arial" w:hAnsi="Arial"/>
          <w:sz w:val="17"/>
          <w:szCs w:val="17"/>
          <w:color w:val="auto"/>
        </w:rPr>
      </w:pPr>
      <w:r>
        <w:rPr>
          <w:rFonts w:ascii="Arial" w:cs="Arial" w:eastAsia="Arial" w:hAnsi="Arial"/>
          <w:sz w:val="17"/>
          <w:szCs w:val="17"/>
          <w:color w:val="auto"/>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146" w:lineRule="exact"/>
        <w:rPr>
          <w:rFonts w:ascii="Arial" w:cs="Arial" w:eastAsia="Arial" w:hAnsi="Arial"/>
          <w:sz w:val="17"/>
          <w:szCs w:val="17"/>
          <w:color w:val="auto"/>
        </w:rPr>
      </w:pPr>
    </w:p>
    <w:p>
      <w:pPr>
        <w:ind w:right="120" w:firstLine="2499"/>
        <w:spacing w:after="0" w:line="280" w:lineRule="auto"/>
        <w:tabs>
          <w:tab w:leader="none" w:pos="3024" w:val="left"/>
        </w:tabs>
        <w:numPr>
          <w:ilvl w:val="1"/>
          <w:numId w:val="76"/>
        </w:numPr>
        <w:rPr>
          <w:rFonts w:ascii="Arial" w:cs="Arial" w:eastAsia="Arial" w:hAnsi="Arial"/>
          <w:sz w:val="17"/>
          <w:szCs w:val="17"/>
          <w:color w:val="auto"/>
        </w:rPr>
      </w:pPr>
      <w:r>
        <w:rPr>
          <w:rFonts w:ascii="Arial" w:cs="Arial" w:eastAsia="Arial" w:hAnsi="Arial"/>
          <w:sz w:val="17"/>
          <w:szCs w:val="17"/>
          <w:color w:val="auto"/>
        </w:rPr>
        <w:t>A change in the ownership or effective control or the Company or in the ownership of a substantial portion of the assets of the Company determined in accordance with Section 409A; or</w:t>
      </w:r>
    </w:p>
    <w:p>
      <w:pPr>
        <w:spacing w:after="0" w:line="128" w:lineRule="exact"/>
        <w:rPr>
          <w:rFonts w:ascii="Arial" w:cs="Arial" w:eastAsia="Arial" w:hAnsi="Arial"/>
          <w:sz w:val="17"/>
          <w:szCs w:val="17"/>
          <w:color w:val="auto"/>
        </w:rPr>
      </w:pPr>
    </w:p>
    <w:p>
      <w:pPr>
        <w:ind w:left="3020" w:hanging="521"/>
        <w:spacing w:after="0"/>
        <w:tabs>
          <w:tab w:leader="none" w:pos="3020"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occurrence of an “unforeseeable emergency” (as defined by Section 409A).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62" w:name="page63"/>
    <w:bookmarkEnd w:id="62"/>
    <w:p>
      <w:pPr>
        <w:ind w:left="-20" w:right="280" w:firstLine="1875"/>
        <w:spacing w:after="0" w:line="280" w:lineRule="auto"/>
        <w:tabs>
          <w:tab w:leader="none" w:pos="2400"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Installment Payments</w:t>
      </w:r>
      <w:r>
        <w:rPr>
          <w:rFonts w:ascii="Arial" w:cs="Arial" w:eastAsia="Arial" w:hAnsi="Arial"/>
          <w:sz w:val="17"/>
          <w:szCs w:val="17"/>
          <w:color w:val="auto"/>
        </w:rPr>
        <w:t>. It is the intent of this Plan that any right of a Participant to receive installment payments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(within the meaning of Section 409A) shall, for all purposes of Section 409A, be treated as a right to a series of separate payments.</w:t>
      </w:r>
    </w:p>
    <w:p>
      <w:pPr>
        <w:spacing w:after="0" w:line="128" w:lineRule="exact"/>
        <w:rPr>
          <w:rFonts w:ascii="Arial" w:cs="Arial" w:eastAsia="Arial" w:hAnsi="Arial"/>
          <w:sz w:val="17"/>
          <w:szCs w:val="17"/>
          <w:color w:val="auto"/>
        </w:rPr>
      </w:pPr>
    </w:p>
    <w:p>
      <w:pPr>
        <w:ind w:left="-20" w:firstLine="1875"/>
        <w:spacing w:after="0" w:line="246" w:lineRule="auto"/>
        <w:tabs>
          <w:tab w:leader="none" w:pos="2390"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Required Delay in Payment to Specified Employee Pursuant to Separation from Service</w:t>
      </w:r>
      <w:r>
        <w:rPr>
          <w:rFonts w:ascii="Arial" w:cs="Arial" w:eastAsia="Arial" w:hAnsi="Arial"/>
          <w:sz w:val="17"/>
          <w:szCs w:val="17"/>
          <w:color w:val="auto"/>
        </w:rPr>
        <w:t>. Notwithstanding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provision of the Plan or an Award Agreement to the contrary, to the extent necessary to avoid adverse tax consequences under Section 409A no payment pursuant to Section 15.4(a)(i) in settlement of an Award providing for Section 409A Deferred Compensation and which is made in connection with the Participant’s separation from service may be made to a Participant who is a “specified employee” for purposes of Section 409A before the date that is one day and six (6) months after the date of such Participant’s separation from service, or, if earlier, the date of the Participant’s death (such applicable date, the “</w:t>
      </w:r>
      <w:r>
        <w:rPr>
          <w:rFonts w:ascii="Arial" w:cs="Arial" w:eastAsia="Arial" w:hAnsi="Arial"/>
          <w:sz w:val="17"/>
          <w:szCs w:val="17"/>
          <w:b w:val="1"/>
          <w:bCs w:val="1"/>
          <w:i w:val="1"/>
          <w:iCs w:val="1"/>
          <w:color w:val="auto"/>
        </w:rPr>
        <w:t>Delayed Payment Date</w:t>
      </w:r>
      <w:r>
        <w:rPr>
          <w:rFonts w:ascii="Arial" w:cs="Arial" w:eastAsia="Arial" w:hAnsi="Arial"/>
          <w:sz w:val="17"/>
          <w:szCs w:val="17"/>
          <w:color w:val="auto"/>
        </w:rPr>
        <w:t>”). All such amounts that would, but for this paragraph, become payable prior to the Delayed Payment Date shall be accumulated and paid on the Delayed Payment Date.</w:t>
      </w:r>
    </w:p>
    <w:p>
      <w:pPr>
        <w:spacing w:after="0" w:line="156" w:lineRule="exact"/>
        <w:rPr>
          <w:rFonts w:ascii="Arial" w:cs="Arial" w:eastAsia="Arial" w:hAnsi="Arial"/>
          <w:sz w:val="17"/>
          <w:szCs w:val="17"/>
          <w:color w:val="auto"/>
        </w:rPr>
      </w:pPr>
    </w:p>
    <w:p>
      <w:pPr>
        <w:jc w:val="both"/>
        <w:ind w:left="-20" w:right="60" w:firstLine="1875"/>
        <w:spacing w:after="0" w:line="252" w:lineRule="auto"/>
        <w:tabs>
          <w:tab w:leader="none" w:pos="2400"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Payment Upon Disability</w:t>
      </w:r>
      <w:r>
        <w:rPr>
          <w:rFonts w:ascii="Arial" w:cs="Arial" w:eastAsia="Arial" w:hAnsi="Arial"/>
          <w:sz w:val="17"/>
          <w:szCs w:val="17"/>
          <w:color w:val="auto"/>
        </w:rPr>
        <w:t>. All distributions of Section 409A Deferred Compensation payable pursuant to Section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15.4(a)(ii)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w:t>
      </w:r>
    </w:p>
    <w:p>
      <w:pPr>
        <w:spacing w:after="0" w:line="153" w:lineRule="exact"/>
        <w:rPr>
          <w:rFonts w:ascii="Arial" w:cs="Arial" w:eastAsia="Arial" w:hAnsi="Arial"/>
          <w:sz w:val="17"/>
          <w:szCs w:val="17"/>
          <w:color w:val="auto"/>
        </w:rPr>
      </w:pPr>
    </w:p>
    <w:p>
      <w:pPr>
        <w:ind w:left="-20" w:right="60" w:firstLine="1875"/>
        <w:spacing w:after="0" w:line="249" w:lineRule="auto"/>
        <w:tabs>
          <w:tab w:leader="none" w:pos="2400"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Payment Upon Death</w:t>
      </w:r>
      <w:r>
        <w:rPr>
          <w:rFonts w:ascii="Arial" w:cs="Arial" w:eastAsia="Arial" w:hAnsi="Arial"/>
          <w:sz w:val="17"/>
          <w:szCs w:val="17"/>
          <w:color w:val="auto"/>
        </w:rPr>
        <w:t>. If a Participant dies before complete distribution of amounts payable upon settlement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155" w:lineRule="exact"/>
        <w:rPr>
          <w:rFonts w:ascii="Arial" w:cs="Arial" w:eastAsia="Arial" w:hAnsi="Arial"/>
          <w:sz w:val="17"/>
          <w:szCs w:val="17"/>
          <w:color w:val="auto"/>
        </w:rPr>
      </w:pPr>
    </w:p>
    <w:p>
      <w:pPr>
        <w:ind w:left="-20" w:right="200" w:firstLine="1875"/>
        <w:spacing w:after="0" w:line="243" w:lineRule="auto"/>
        <w:tabs>
          <w:tab w:leader="none" w:pos="2400"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Payment Upon Change in Control</w:t>
      </w:r>
      <w:r>
        <w:rPr>
          <w:rFonts w:ascii="Arial" w:cs="Arial" w:eastAsia="Arial" w:hAnsi="Arial"/>
          <w:sz w:val="17"/>
          <w:szCs w:val="17"/>
          <w:color w:val="auto"/>
        </w:rPr>
        <w:t>. Notwithstanding any provision of the Plan or an Award Agreement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13.3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spacing w:after="0" w:line="164" w:lineRule="exact"/>
        <w:rPr>
          <w:rFonts w:ascii="Arial" w:cs="Arial" w:eastAsia="Arial" w:hAnsi="Arial"/>
          <w:sz w:val="17"/>
          <w:szCs w:val="17"/>
          <w:color w:val="auto"/>
        </w:rPr>
      </w:pPr>
    </w:p>
    <w:p>
      <w:pPr>
        <w:ind w:left="-20" w:right="120" w:firstLine="1875"/>
        <w:spacing w:after="0" w:line="243" w:lineRule="auto"/>
        <w:tabs>
          <w:tab w:leader="none" w:pos="2400"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Payment Upon Unforeseeable Emergency</w:t>
      </w:r>
      <w:r>
        <w:rPr>
          <w:rFonts w:ascii="Arial" w:cs="Arial" w:eastAsia="Arial" w:hAnsi="Arial"/>
          <w:sz w:val="17"/>
          <w:szCs w:val="17"/>
          <w:color w:val="auto"/>
        </w:rPr>
        <w:t>. The Committee shall have the authority to provide in the Award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evidencing 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76200</wp:posOffset>
            </wp:positionV>
            <wp:extent cx="713740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40" w:top="565" w:right="339" w:bottom="1440" w:gutter="0" w:footer="0" w:header="0"/>
        </w:sectPr>
      </w:pPr>
    </w:p>
    <w:bookmarkStart w:id="63" w:name="page64"/>
    <w:bookmarkEnd w:id="63"/>
    <w:p>
      <w:pPr>
        <w:jc w:val="both"/>
        <w:ind w:right="120" w:firstLine="1875"/>
        <w:spacing w:after="0" w:line="252" w:lineRule="auto"/>
        <w:tabs>
          <w:tab w:leader="none" w:pos="2420" w:val="left"/>
        </w:tabs>
        <w:numPr>
          <w:ilvl w:val="1"/>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Prohibition of Acceleration of Payments</w:t>
      </w:r>
      <w:r>
        <w:rPr>
          <w:rFonts w:ascii="Arial" w:cs="Arial" w:eastAsia="Arial" w:hAnsi="Arial"/>
          <w:sz w:val="17"/>
          <w:szCs w:val="17"/>
          <w:color w:val="auto"/>
        </w:rPr>
        <w:t>. Notwithstanding any provision of the Plan or an Award Agreement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contrary, this Plan does not permit the acceleration of the time or schedule of any payment under an Award providing Section 409A Deferred Compensation, except as permitted by Section 409A. The Company reserves the right in its discretion to accelerate the time or schedule of any payment under an Award providing Section 409A Deferred Compensation to the maximum extent permitted by Section 409A.</w:t>
      </w:r>
    </w:p>
    <w:p>
      <w:pPr>
        <w:spacing w:after="0" w:line="153" w:lineRule="exact"/>
        <w:rPr>
          <w:rFonts w:ascii="Arial" w:cs="Arial" w:eastAsia="Arial" w:hAnsi="Arial"/>
          <w:sz w:val="17"/>
          <w:szCs w:val="17"/>
          <w:color w:val="auto"/>
        </w:rPr>
      </w:pPr>
    </w:p>
    <w:p>
      <w:pPr>
        <w:ind w:right="100" w:firstLine="1875"/>
        <w:spacing w:after="0" w:line="259" w:lineRule="auto"/>
        <w:tabs>
          <w:tab w:leader="none" w:pos="2410" w:val="left"/>
        </w:tabs>
        <w:numPr>
          <w:ilvl w:val="1"/>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No Representation Regarding Section 409A Compliance</w:t>
      </w:r>
      <w:r>
        <w:rPr>
          <w:rFonts w:ascii="Arial" w:cs="Arial" w:eastAsia="Arial" w:hAnsi="Arial"/>
          <w:sz w:val="17"/>
          <w:szCs w:val="17"/>
          <w:color w:val="auto"/>
        </w:rPr>
        <w:t>. Notwithstanding any other provision of the Plan,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makes no representation that Awards shall be exempt from or comply with Section 409A. No Participating Company shall be liable for any tax, penalty or interest imposed on a Participant by Section 409A.</w:t>
      </w:r>
    </w:p>
    <w:p>
      <w:pPr>
        <w:spacing w:after="0" w:line="144" w:lineRule="exact"/>
        <w:rPr>
          <w:rFonts w:ascii="Arial" w:cs="Arial" w:eastAsia="Arial" w:hAnsi="Arial"/>
          <w:sz w:val="17"/>
          <w:szCs w:val="17"/>
          <w:color w:val="auto"/>
        </w:rPr>
      </w:pPr>
    </w:p>
    <w:p>
      <w:pPr>
        <w:ind w:left="1260" w:hanging="632"/>
        <w:spacing w:after="0"/>
        <w:tabs>
          <w:tab w:leader="none" w:pos="1260"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T</w:t>
      </w:r>
      <w:r>
        <w:rPr>
          <w:rFonts w:ascii="Arial" w:cs="Arial" w:eastAsia="Arial" w:hAnsi="Arial"/>
          <w:sz w:val="11"/>
          <w:szCs w:val="11"/>
          <w:b w:val="1"/>
          <w:bCs w:val="1"/>
          <w:u w:val="single" w:color="auto"/>
          <w:color w:val="auto"/>
        </w:rPr>
        <w:t>ax</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W</w:t>
      </w:r>
      <w:r>
        <w:rPr>
          <w:rFonts w:ascii="Arial" w:cs="Arial" w:eastAsia="Arial" w:hAnsi="Arial"/>
          <w:sz w:val="11"/>
          <w:szCs w:val="11"/>
          <w:b w:val="1"/>
          <w:bCs w:val="1"/>
          <w:u w:val="single" w:color="auto"/>
          <w:color w:val="auto"/>
        </w:rPr>
        <w:t>ithholding</w:t>
      </w:r>
      <w:r>
        <w:rPr>
          <w:rFonts w:ascii="Arial" w:cs="Arial" w:eastAsia="Arial" w:hAnsi="Arial"/>
          <w:sz w:val="17"/>
          <w:szCs w:val="17"/>
          <w:color w:val="auto"/>
        </w:rPr>
        <w:t>.</w:t>
      </w:r>
    </w:p>
    <w:p>
      <w:pPr>
        <w:spacing w:after="0" w:line="233" w:lineRule="exact"/>
        <w:rPr>
          <w:sz w:val="20"/>
          <w:szCs w:val="20"/>
          <w:color w:val="auto"/>
        </w:rPr>
      </w:pPr>
    </w:p>
    <w:p>
      <w:pPr>
        <w:ind w:right="20" w:firstLine="1247"/>
        <w:spacing w:after="0" w:line="247"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b w:val="1"/>
          <w:bCs w:val="1"/>
          <w:color w:val="auto"/>
        </w:rPr>
        <w:t>Tax Withholding in General</w:t>
      </w:r>
      <w:r>
        <w:rPr>
          <w:rFonts w:ascii="Arial" w:cs="Arial" w:eastAsia="Arial" w:hAnsi="Arial"/>
          <w:sz w:val="17"/>
          <w:szCs w:val="17"/>
          <w:color w:val="auto"/>
        </w:rPr>
        <w:t>.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157" w:lineRule="exact"/>
        <w:rPr>
          <w:sz w:val="20"/>
          <w:szCs w:val="20"/>
          <w:color w:val="auto"/>
        </w:rPr>
      </w:pPr>
    </w:p>
    <w:p>
      <w:pPr>
        <w:jc w:val="both"/>
        <w:ind w:firstLine="1247"/>
        <w:spacing w:after="0" w:line="243"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b w:val="1"/>
          <w:bCs w:val="1"/>
          <w:color w:val="auto"/>
        </w:rPr>
        <w:t>Withholding in or Directed Sale of Shares</w:t>
      </w:r>
      <w:r>
        <w:rPr>
          <w:rFonts w:ascii="Arial" w:cs="Arial" w:eastAsia="Arial" w:hAnsi="Arial"/>
          <w:sz w:val="17"/>
          <w:szCs w:val="17"/>
          <w:color w:val="auto"/>
        </w:rPr>
        <w:t>.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be determined by the Company in accordance with the Company’s withholding procedures and considering any accounting consequences or cost.</w:t>
      </w:r>
    </w:p>
    <w:p>
      <w:pPr>
        <w:spacing w:after="0" w:line="3"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spacing w:after="0" w:line="153" w:lineRule="exact"/>
        <w:rPr>
          <w:sz w:val="20"/>
          <w:szCs w:val="20"/>
          <w:color w:val="auto"/>
        </w:rPr>
      </w:pPr>
    </w:p>
    <w:p>
      <w:pPr>
        <w:ind w:left="1260" w:hanging="632"/>
        <w:spacing w:after="0"/>
        <w:tabs>
          <w:tab w:leader="none" w:pos="1260" w:val="left"/>
        </w:tabs>
        <w:numPr>
          <w:ilvl w:val="0"/>
          <w:numId w:val="80"/>
        </w:numPr>
        <w:rPr>
          <w:rFonts w:ascii="Arial" w:cs="Arial" w:eastAsia="Arial" w:hAnsi="Arial"/>
          <w:sz w:val="17"/>
          <w:szCs w:val="17"/>
          <w:color w:val="auto"/>
        </w:rPr>
      </w:pPr>
      <w:r>
        <w:rPr>
          <w:rFonts w:ascii="Arial" w:cs="Arial" w:eastAsia="Arial" w:hAnsi="Arial"/>
          <w:sz w:val="17"/>
          <w:szCs w:val="17"/>
          <w:b w:val="1"/>
          <w:bCs w:val="1"/>
          <w:u w:val="single" w:color="auto"/>
          <w:color w:val="auto"/>
        </w:rPr>
        <w:t>A</w:t>
      </w:r>
      <w:r>
        <w:rPr>
          <w:rFonts w:ascii="Arial" w:cs="Arial" w:eastAsia="Arial" w:hAnsi="Arial"/>
          <w:sz w:val="11"/>
          <w:szCs w:val="11"/>
          <w:b w:val="1"/>
          <w:bCs w:val="1"/>
          <w:u w:val="single" w:color="auto"/>
          <w:color w:val="auto"/>
        </w:rPr>
        <w:t>mendment</w:t>
      </w:r>
      <w:r>
        <w:rPr>
          <w:rFonts w:ascii="Arial" w:cs="Arial" w:eastAsia="Arial" w:hAnsi="Arial"/>
          <w:sz w:val="17"/>
          <w:szCs w:val="17"/>
          <w:b w:val="1"/>
          <w:bCs w:val="1"/>
          <w:u w:val="single" w:color="auto"/>
          <w:color w:val="auto"/>
        </w:rPr>
        <w:t>, S</w:t>
      </w:r>
      <w:r>
        <w:rPr>
          <w:rFonts w:ascii="Arial" w:cs="Arial" w:eastAsia="Arial" w:hAnsi="Arial"/>
          <w:sz w:val="11"/>
          <w:szCs w:val="11"/>
          <w:b w:val="1"/>
          <w:bCs w:val="1"/>
          <w:u w:val="single" w:color="auto"/>
          <w:color w:val="auto"/>
        </w:rPr>
        <w:t>uspension or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T</w:t>
      </w:r>
      <w:r>
        <w:rPr>
          <w:rFonts w:ascii="Arial" w:cs="Arial" w:eastAsia="Arial" w:hAnsi="Arial"/>
          <w:sz w:val="11"/>
          <w:szCs w:val="11"/>
          <w:b w:val="1"/>
          <w:bCs w:val="1"/>
          <w:u w:val="single" w:color="auto"/>
          <w:color w:val="auto"/>
        </w:rPr>
        <w:t>ermination of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w:t>
      </w:r>
      <w:r>
        <w:rPr>
          <w:rFonts w:ascii="Arial" w:cs="Arial" w:eastAsia="Arial" w:hAnsi="Arial"/>
          <w:sz w:val="11"/>
          <w:szCs w:val="11"/>
          <w:b w:val="1"/>
          <w:bCs w:val="1"/>
          <w:u w:val="single" w:color="auto"/>
          <w:color w:val="auto"/>
        </w:rPr>
        <w:t>lan</w:t>
      </w:r>
      <w:r>
        <w:rPr>
          <w:rFonts w:ascii="Arial" w:cs="Arial" w:eastAsia="Arial" w:hAnsi="Arial"/>
          <w:sz w:val="17"/>
          <w:szCs w:val="17"/>
          <w:color w:val="auto"/>
        </w:rPr>
        <w:t>.</w:t>
      </w:r>
    </w:p>
    <w:p>
      <w:pPr>
        <w:spacing w:after="0" w:line="235"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80"/>
          </w:cols>
          <w:pgMar w:left="320" w:top="565" w:right="399" w:bottom="1440" w:gutter="0" w:footer="0" w:header="0"/>
        </w:sectPr>
      </w:pPr>
    </w:p>
    <w:bookmarkStart w:id="64" w:name="page65"/>
    <w:bookmarkEnd w:id="64"/>
    <w:p>
      <w:pPr>
        <w:ind w:left="1260" w:hanging="632"/>
        <w:spacing w:after="0"/>
        <w:tabs>
          <w:tab w:leader="none" w:pos="1260" w:val="left"/>
        </w:tabs>
        <w:numPr>
          <w:ilvl w:val="0"/>
          <w:numId w:val="81"/>
        </w:numPr>
        <w:rPr>
          <w:rFonts w:ascii="Arial" w:cs="Arial" w:eastAsia="Arial" w:hAnsi="Arial"/>
          <w:sz w:val="17"/>
          <w:szCs w:val="17"/>
          <w:color w:val="auto"/>
        </w:rPr>
      </w:pPr>
      <w:r>
        <w:rPr>
          <w:rFonts w:ascii="Arial" w:cs="Arial" w:eastAsia="Arial" w:hAnsi="Arial"/>
          <w:sz w:val="17"/>
          <w:szCs w:val="17"/>
          <w:b w:val="1"/>
          <w:bCs w:val="1"/>
          <w:u w:val="single" w:color="auto"/>
          <w:color w:val="auto"/>
        </w:rPr>
        <w:t>M</w:t>
      </w:r>
      <w:r>
        <w:rPr>
          <w:rFonts w:ascii="Arial" w:cs="Arial" w:eastAsia="Arial" w:hAnsi="Arial"/>
          <w:sz w:val="11"/>
          <w:szCs w:val="11"/>
          <w:b w:val="1"/>
          <w:bCs w:val="1"/>
          <w:u w:val="single" w:color="auto"/>
          <w:color w:val="auto"/>
        </w:rPr>
        <w:t>iscellaneous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P</w:t>
      </w:r>
      <w:r>
        <w:rPr>
          <w:rFonts w:ascii="Arial" w:cs="Arial" w:eastAsia="Arial" w:hAnsi="Arial"/>
          <w:sz w:val="11"/>
          <w:szCs w:val="11"/>
          <w:b w:val="1"/>
          <w:bCs w:val="1"/>
          <w:u w:val="single" w:color="auto"/>
          <w:color w:val="auto"/>
        </w:rPr>
        <w:t>rovisions</w:t>
      </w:r>
      <w:r>
        <w:rPr>
          <w:rFonts w:ascii="Arial" w:cs="Arial" w:eastAsia="Arial" w:hAnsi="Arial"/>
          <w:sz w:val="17"/>
          <w:szCs w:val="17"/>
          <w:color w:val="auto"/>
        </w:rPr>
        <w:t>.</w:t>
      </w:r>
    </w:p>
    <w:p>
      <w:pPr>
        <w:spacing w:after="0" w:line="233" w:lineRule="exact"/>
        <w:rPr>
          <w:sz w:val="20"/>
          <w:szCs w:val="20"/>
          <w:color w:val="auto"/>
        </w:rPr>
      </w:pPr>
    </w:p>
    <w:p>
      <w:pPr>
        <w:ind w:right="80" w:firstLine="1247"/>
        <w:spacing w:after="0" w:line="247" w:lineRule="auto"/>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b w:val="1"/>
          <w:bCs w:val="1"/>
          <w:color w:val="auto"/>
        </w:rPr>
        <w:t>Repurchase Rights</w:t>
      </w:r>
      <w:r>
        <w:rPr>
          <w:rFonts w:ascii="Arial" w:cs="Arial" w:eastAsia="Arial" w:hAnsi="Arial"/>
          <w:sz w:val="17"/>
          <w:szCs w:val="17"/>
          <w:color w:val="auto"/>
        </w:rPr>
        <w:t>.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57"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18.2</w:t>
      </w:r>
      <w:r>
        <w:rPr>
          <w:sz w:val="20"/>
          <w:szCs w:val="20"/>
          <w:color w:val="auto"/>
        </w:rPr>
        <w:tab/>
      </w:r>
      <w:r>
        <w:rPr>
          <w:rFonts w:ascii="Arial" w:cs="Arial" w:eastAsia="Arial" w:hAnsi="Arial"/>
          <w:sz w:val="17"/>
          <w:szCs w:val="17"/>
          <w:b w:val="1"/>
          <w:bCs w:val="1"/>
          <w:color w:val="auto"/>
        </w:rPr>
        <w:t>Forfeiture Events</w:t>
      </w:r>
      <w:r>
        <w:rPr>
          <w:rFonts w:ascii="Arial" w:cs="Arial" w:eastAsia="Arial" w:hAnsi="Arial"/>
          <w:sz w:val="17"/>
          <w:szCs w:val="17"/>
          <w:color w:val="auto"/>
        </w:rPr>
        <w:t>.</w:t>
      </w:r>
    </w:p>
    <w:p>
      <w:pPr>
        <w:spacing w:after="0" w:line="196" w:lineRule="exact"/>
        <w:rPr>
          <w:sz w:val="20"/>
          <w:szCs w:val="20"/>
          <w:color w:val="auto"/>
        </w:rPr>
      </w:pPr>
    </w:p>
    <w:p>
      <w:pPr>
        <w:ind w:firstLine="1875"/>
        <w:spacing w:after="0" w:line="247" w:lineRule="auto"/>
        <w:tabs>
          <w:tab w:leader="none" w:pos="241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w:t>
      </w:r>
    </w:p>
    <w:p>
      <w:pPr>
        <w:spacing w:after="0" w:line="157" w:lineRule="exact"/>
        <w:rPr>
          <w:rFonts w:ascii="Arial" w:cs="Arial" w:eastAsia="Arial" w:hAnsi="Arial"/>
          <w:sz w:val="17"/>
          <w:szCs w:val="17"/>
          <w:color w:val="auto"/>
        </w:rPr>
      </w:pPr>
    </w:p>
    <w:p>
      <w:pPr>
        <w:ind w:right="120" w:firstLine="1875"/>
        <w:spacing w:after="0" w:line="247" w:lineRule="auto"/>
        <w:tabs>
          <w:tab w:leader="none" w:pos="241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All Awards granted under the Plan will be subject to recoupment in accordance with: (i) any clawback policy that the Company is required to adopt pursuant to the listing standards of any national securities exchange or association on which the Company’s securities are listed, (ii) as is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(iii) any other applicable law, and (iv) any clawback or recoupment policy that the Company otherwise adopts, in each case to the extent applicable and permissible under applicable law.</w:t>
      </w:r>
    </w:p>
    <w:p>
      <w:pPr>
        <w:spacing w:after="0" w:line="157" w:lineRule="exact"/>
        <w:rPr>
          <w:rFonts w:ascii="Arial" w:cs="Arial" w:eastAsia="Arial" w:hAnsi="Arial"/>
          <w:sz w:val="17"/>
          <w:szCs w:val="17"/>
          <w:color w:val="auto"/>
        </w:rPr>
      </w:pPr>
    </w:p>
    <w:p>
      <w:pPr>
        <w:ind w:left="2420" w:hanging="545"/>
        <w:spacing w:after="0"/>
        <w:tabs>
          <w:tab w:leader="none" w:pos="24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 recovery of compensation pursuant to the foregoing provisions will constitute an event giving rise to</w:t>
      </w:r>
    </w:p>
    <w:p>
      <w:pPr>
        <w:spacing w:after="0" w:line="15"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a Participant’s right to voluntarily terminate employment upon a “resignation for good reason” or for a “constructive termination” or any similar term under any plan or agreement with the Company.</w:t>
      </w:r>
    </w:p>
    <w:p>
      <w:pPr>
        <w:spacing w:after="0" w:line="143" w:lineRule="exact"/>
        <w:rPr>
          <w:sz w:val="20"/>
          <w:szCs w:val="20"/>
          <w:color w:val="auto"/>
        </w:rPr>
      </w:pPr>
    </w:p>
    <w:p>
      <w:pPr>
        <w:ind w:right="360" w:firstLine="1247"/>
        <w:spacing w:after="0" w:line="247"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b w:val="1"/>
          <w:bCs w:val="1"/>
          <w:color w:val="auto"/>
        </w:rPr>
        <w:t>Electronic Delivery and Participation</w:t>
      </w:r>
      <w:r>
        <w:rPr>
          <w:rFonts w:ascii="Arial" w:cs="Arial" w:eastAsia="Arial" w:hAnsi="Arial"/>
          <w:sz w:val="17"/>
          <w:szCs w:val="17"/>
          <w:color w:val="auto"/>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Stock (</w:t>
      </w:r>
      <w:r>
        <w:rPr>
          <w:rFonts w:ascii="Arial" w:cs="Arial" w:eastAsia="Arial" w:hAnsi="Arial"/>
          <w:sz w:val="17"/>
          <w:szCs w:val="17"/>
          <w:i w:val="1"/>
          <w:iCs w:val="1"/>
          <w:color w:val="auto"/>
        </w:rPr>
        <w:t>e.g.</w:t>
      </w:r>
      <w:r>
        <w:rPr>
          <w:rFonts w:ascii="Arial" w:cs="Arial" w:eastAsia="Arial" w:hAnsi="Arial"/>
          <w:sz w:val="17"/>
          <w:szCs w:val="17"/>
          <w:color w:val="auto"/>
        </w:rPr>
        <w:t>, a stock certificate or electronic entry evidencing such shares) shall be determined by the Company.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563" w:right="379" w:bottom="1440" w:gutter="0" w:footer="0" w:header="0"/>
        </w:sectPr>
      </w:pPr>
    </w:p>
    <w:bookmarkStart w:id="65" w:name="page66"/>
    <w:bookmarkEnd w:id="65"/>
    <w:p>
      <w:pPr>
        <w:ind w:right="60" w:firstLine="1247"/>
        <w:spacing w:after="0" w:line="245" w:lineRule="auto"/>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b w:val="1"/>
          <w:bCs w:val="1"/>
          <w:color w:val="auto"/>
        </w:rPr>
        <w:t>Change in Time Commitment</w:t>
      </w:r>
      <w:r>
        <w:rPr>
          <w:rFonts w:ascii="Arial" w:cs="Arial" w:eastAsia="Arial" w:hAnsi="Arial"/>
          <w:sz w:val="17"/>
          <w:szCs w:val="17"/>
          <w:color w:val="auto"/>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Committee may determine, to the extent permitted by Applicable Law, to (i) make a corresponding reduction in the number of shares, amount of cash, or other property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58" w:lineRule="exact"/>
        <w:rPr>
          <w:sz w:val="20"/>
          <w:szCs w:val="20"/>
          <w:color w:val="auto"/>
        </w:rPr>
      </w:pPr>
    </w:p>
    <w:p>
      <w:pPr>
        <w:ind w:firstLine="1247"/>
        <w:spacing w:after="0" w:line="247" w:lineRule="auto"/>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b w:val="1"/>
          <w:bCs w:val="1"/>
          <w:color w:val="auto"/>
        </w:rPr>
        <w:t>Rights as Employee, Consultant or Director</w:t>
      </w:r>
      <w:r>
        <w:rPr>
          <w:rFonts w:ascii="Arial" w:cs="Arial" w:eastAsia="Arial" w:hAnsi="Arial"/>
          <w:sz w:val="17"/>
          <w:szCs w:val="17"/>
          <w:color w:val="auto"/>
        </w:rPr>
        <w:t>.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157" w:lineRule="exact"/>
        <w:rPr>
          <w:sz w:val="20"/>
          <w:szCs w:val="20"/>
          <w:color w:val="auto"/>
        </w:rPr>
      </w:pPr>
    </w:p>
    <w:p>
      <w:pPr>
        <w:jc w:val="both"/>
        <w:ind w:right="240" w:firstLine="1247"/>
        <w:spacing w:after="0" w:line="253" w:lineRule="auto"/>
        <w:rPr>
          <w:sz w:val="20"/>
          <w:szCs w:val="20"/>
          <w:color w:val="auto"/>
        </w:rPr>
      </w:pPr>
      <w:r>
        <w:rPr>
          <w:rFonts w:ascii="Arial" w:cs="Arial" w:eastAsia="Arial" w:hAnsi="Arial"/>
          <w:sz w:val="17"/>
          <w:szCs w:val="17"/>
          <w:color w:val="auto"/>
        </w:rPr>
        <w:t xml:space="preserve">18.6 </w:t>
      </w:r>
      <w:r>
        <w:rPr>
          <w:rFonts w:ascii="Arial" w:cs="Arial" w:eastAsia="Arial" w:hAnsi="Arial"/>
          <w:sz w:val="17"/>
          <w:szCs w:val="17"/>
          <w:b w:val="1"/>
          <w:bCs w:val="1"/>
          <w:color w:val="auto"/>
        </w:rPr>
        <w:t>Rights as a Stockholder</w:t>
      </w:r>
      <w:r>
        <w:rPr>
          <w:rFonts w:ascii="Arial" w:cs="Arial" w:eastAsia="Arial" w:hAnsi="Arial"/>
          <w:sz w:val="17"/>
          <w:szCs w:val="17"/>
          <w:color w:val="auto"/>
        </w:rPr>
        <w:t>.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 or another provision of the Plan.</w:t>
      </w:r>
    </w:p>
    <w:p>
      <w:pPr>
        <w:spacing w:after="0" w:line="150" w:lineRule="exact"/>
        <w:rPr>
          <w:sz w:val="20"/>
          <w:szCs w:val="20"/>
          <w:color w:val="auto"/>
        </w:rPr>
      </w:pPr>
    </w:p>
    <w:p>
      <w:pPr>
        <w:ind w:right="40" w:firstLine="1247"/>
        <w:spacing w:after="0" w:line="250" w:lineRule="auto"/>
        <w:rPr>
          <w:sz w:val="20"/>
          <w:szCs w:val="20"/>
          <w:color w:val="auto"/>
        </w:rPr>
      </w:pPr>
      <w:r>
        <w:rPr>
          <w:rFonts w:ascii="Arial" w:cs="Arial" w:eastAsia="Arial" w:hAnsi="Arial"/>
          <w:sz w:val="17"/>
          <w:szCs w:val="17"/>
          <w:color w:val="auto"/>
        </w:rPr>
        <w:t xml:space="preserve">18.7 </w:t>
      </w:r>
      <w:r>
        <w:rPr>
          <w:rFonts w:ascii="Arial" w:cs="Arial" w:eastAsia="Arial" w:hAnsi="Arial"/>
          <w:sz w:val="17"/>
          <w:szCs w:val="17"/>
          <w:b w:val="1"/>
          <w:bCs w:val="1"/>
          <w:color w:val="auto"/>
        </w:rPr>
        <w:t>Delivery of Title to Shares</w:t>
      </w:r>
      <w:r>
        <w:rPr>
          <w:rFonts w:ascii="Arial" w:cs="Arial" w:eastAsia="Arial" w:hAnsi="Arial"/>
          <w:sz w:val="17"/>
          <w:szCs w:val="17"/>
          <w:color w:val="auto"/>
        </w:rPr>
        <w:t>.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51" w:lineRule="exact"/>
        <w:rPr>
          <w:sz w:val="20"/>
          <w:szCs w:val="20"/>
          <w:color w:val="auto"/>
        </w:rPr>
      </w:pPr>
    </w:p>
    <w:p>
      <w:pPr>
        <w:ind w:left="1260"/>
        <w:spacing w:after="0"/>
        <w:tabs>
          <w:tab w:leader="none" w:pos="1860" w:val="left"/>
        </w:tabs>
        <w:rPr>
          <w:sz w:val="20"/>
          <w:szCs w:val="20"/>
          <w:color w:val="auto"/>
        </w:rPr>
      </w:pPr>
      <w:r>
        <w:rPr>
          <w:rFonts w:ascii="Arial" w:cs="Arial" w:eastAsia="Arial" w:hAnsi="Arial"/>
          <w:sz w:val="17"/>
          <w:szCs w:val="17"/>
          <w:color w:val="auto"/>
        </w:rPr>
        <w:t>18.8</w:t>
      </w:r>
      <w:r>
        <w:rPr>
          <w:sz w:val="20"/>
          <w:szCs w:val="20"/>
          <w:color w:val="auto"/>
        </w:rPr>
        <w:tab/>
      </w:r>
      <w:r>
        <w:rPr>
          <w:rFonts w:ascii="Arial" w:cs="Arial" w:eastAsia="Arial" w:hAnsi="Arial"/>
          <w:sz w:val="17"/>
          <w:szCs w:val="17"/>
          <w:b w:val="1"/>
          <w:bCs w:val="1"/>
          <w:color w:val="auto"/>
        </w:rPr>
        <w:t>Fractional Shares</w:t>
      </w:r>
      <w:r>
        <w:rPr>
          <w:rFonts w:ascii="Arial" w:cs="Arial" w:eastAsia="Arial" w:hAnsi="Arial"/>
          <w:sz w:val="17"/>
          <w:szCs w:val="17"/>
          <w:color w:val="auto"/>
        </w:rPr>
        <w:t>. The Company shall not be required to issue fractional shares upon the exercise or settlement of any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Award.</w:t>
      </w:r>
    </w:p>
    <w:p>
      <w:pPr>
        <w:spacing w:after="0" w:line="176" w:lineRule="exact"/>
        <w:rPr>
          <w:sz w:val="20"/>
          <w:szCs w:val="20"/>
          <w:color w:val="auto"/>
        </w:rPr>
      </w:pPr>
    </w:p>
    <w:p>
      <w:pPr>
        <w:ind w:right="520" w:firstLine="1247"/>
        <w:spacing w:after="0" w:line="260" w:lineRule="auto"/>
        <w:rPr>
          <w:sz w:val="20"/>
          <w:szCs w:val="20"/>
          <w:color w:val="auto"/>
        </w:rPr>
      </w:pPr>
      <w:r>
        <w:rPr>
          <w:rFonts w:ascii="Arial" w:cs="Arial" w:eastAsia="Arial" w:hAnsi="Arial"/>
          <w:sz w:val="17"/>
          <w:szCs w:val="17"/>
          <w:color w:val="auto"/>
        </w:rPr>
        <w:t xml:space="preserve">18.9 </w:t>
      </w:r>
      <w:r>
        <w:rPr>
          <w:rFonts w:ascii="Arial" w:cs="Arial" w:eastAsia="Arial" w:hAnsi="Arial"/>
          <w:sz w:val="17"/>
          <w:szCs w:val="17"/>
          <w:b w:val="1"/>
          <w:bCs w:val="1"/>
          <w:color w:val="auto"/>
        </w:rPr>
        <w:t>Provisions for Non-U.S. Participants</w:t>
      </w:r>
      <w:r>
        <w:rPr>
          <w:rFonts w:ascii="Arial" w:cs="Arial" w:eastAsia="Arial" w:hAnsi="Arial"/>
          <w:sz w:val="17"/>
          <w:szCs w:val="17"/>
          <w:color w:val="auto"/>
        </w:rPr>
        <w:t>. The Committee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44" w:lineRule="exact"/>
        <w:rPr>
          <w:sz w:val="20"/>
          <w:szCs w:val="20"/>
          <w:color w:val="auto"/>
        </w:rPr>
      </w:pPr>
    </w:p>
    <w:p>
      <w:pPr>
        <w:ind w:right="340" w:firstLine="1247"/>
        <w:spacing w:after="0" w:line="253" w:lineRule="auto"/>
        <w:rPr>
          <w:sz w:val="20"/>
          <w:szCs w:val="20"/>
          <w:color w:val="auto"/>
        </w:rPr>
      </w:pPr>
      <w:r>
        <w:rPr>
          <w:rFonts w:ascii="Arial" w:cs="Arial" w:eastAsia="Arial" w:hAnsi="Arial"/>
          <w:sz w:val="17"/>
          <w:szCs w:val="17"/>
          <w:color w:val="auto"/>
        </w:rPr>
        <w:t xml:space="preserve">18.10 </w:t>
      </w:r>
      <w:r>
        <w:rPr>
          <w:rFonts w:ascii="Arial" w:cs="Arial" w:eastAsia="Arial" w:hAnsi="Arial"/>
          <w:sz w:val="17"/>
          <w:szCs w:val="17"/>
          <w:b w:val="1"/>
          <w:bCs w:val="1"/>
          <w:color w:val="auto"/>
        </w:rPr>
        <w:t>Lock-Up Period</w:t>
      </w:r>
      <w:r>
        <w:rPr>
          <w:rFonts w:ascii="Arial" w:cs="Arial" w:eastAsia="Arial" w:hAnsi="Arial"/>
          <w:sz w:val="17"/>
          <w:szCs w:val="17"/>
          <w:color w:val="auto"/>
        </w:rPr>
        <w:t>. The Company may, at the request of any underwriter representative or otherwise, in connection with registering any offering of any Company securities under the Securities Act, prohibit Participants from, directly or indirectly, selling or otherwise transferring any share of Stock or other Company securities during a period of up to 180 days following the effective date of a Company registration statement filed under the Securities Act, or such longer period as determined by the underwriter.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6" w:name="page67"/>
    <w:bookmarkEnd w:id="66"/>
    <w:p>
      <w:pPr>
        <w:ind w:firstLine="1247"/>
        <w:spacing w:after="0" w:line="241" w:lineRule="auto"/>
        <w:rPr>
          <w:sz w:val="20"/>
          <w:szCs w:val="20"/>
          <w:color w:val="auto"/>
        </w:rPr>
      </w:pPr>
      <w:r>
        <w:rPr>
          <w:rFonts w:ascii="Arial" w:cs="Arial" w:eastAsia="Arial" w:hAnsi="Arial"/>
          <w:sz w:val="17"/>
          <w:szCs w:val="17"/>
          <w:color w:val="auto"/>
        </w:rPr>
        <w:t xml:space="preserve">18.11 </w:t>
      </w:r>
      <w:r>
        <w:rPr>
          <w:rFonts w:ascii="Arial" w:cs="Arial" w:eastAsia="Arial" w:hAnsi="Arial"/>
          <w:sz w:val="17"/>
          <w:szCs w:val="17"/>
          <w:b w:val="1"/>
          <w:bCs w:val="1"/>
          <w:color w:val="auto"/>
        </w:rPr>
        <w:t>Data Privacy</w:t>
      </w:r>
      <w:r>
        <w:rPr>
          <w:rFonts w:ascii="Arial" w:cs="Arial" w:eastAsia="Arial" w:hAnsi="Arial"/>
          <w:sz w:val="17"/>
          <w:szCs w:val="17"/>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of Stock held in the Company or its Subsidiaries and affiliates; and Award details, to implement, manage and administer the Plan and Awards (the “</w:t>
      </w:r>
      <w:r>
        <w:rPr>
          <w:rFonts w:ascii="Arial" w:cs="Arial" w:eastAsia="Arial" w:hAnsi="Arial"/>
          <w:sz w:val="17"/>
          <w:szCs w:val="17"/>
          <w:b w:val="1"/>
          <w:bCs w:val="1"/>
          <w:i w:val="1"/>
          <w:iCs w:val="1"/>
          <w:color w:val="auto"/>
        </w:rPr>
        <w:t>Data</w:t>
      </w:r>
      <w:r>
        <w:rPr>
          <w:rFonts w:ascii="Arial" w:cs="Arial" w:eastAsia="Arial" w:hAnsi="Arial"/>
          <w:sz w:val="17"/>
          <w:szCs w:val="17"/>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of Stock.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18.12 in writing, without cost, by contacting the local human resources representative. If the Participant refuses or withdraws the consents in this Section 18.12,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169" w:lineRule="exact"/>
        <w:rPr>
          <w:sz w:val="20"/>
          <w:szCs w:val="20"/>
          <w:color w:val="auto"/>
        </w:rPr>
      </w:pPr>
    </w:p>
    <w:p>
      <w:pPr>
        <w:ind w:right="20" w:firstLine="1247"/>
        <w:spacing w:after="0" w:line="247" w:lineRule="auto"/>
        <w:rPr>
          <w:sz w:val="20"/>
          <w:szCs w:val="20"/>
          <w:color w:val="auto"/>
        </w:rPr>
      </w:pPr>
      <w:r>
        <w:rPr>
          <w:rFonts w:ascii="Arial" w:cs="Arial" w:eastAsia="Arial" w:hAnsi="Arial"/>
          <w:sz w:val="17"/>
          <w:szCs w:val="17"/>
          <w:color w:val="auto"/>
        </w:rPr>
        <w:t xml:space="preserve">18.12 </w:t>
      </w:r>
      <w:r>
        <w:rPr>
          <w:rFonts w:ascii="Arial" w:cs="Arial" w:eastAsia="Arial" w:hAnsi="Arial"/>
          <w:sz w:val="17"/>
          <w:szCs w:val="17"/>
          <w:b w:val="1"/>
          <w:bCs w:val="1"/>
          <w:color w:val="auto"/>
        </w:rPr>
        <w:t>Retirement and Welfare Plans</w:t>
      </w:r>
      <w:r>
        <w:rPr>
          <w:rFonts w:ascii="Arial" w:cs="Arial" w:eastAsia="Arial" w:hAnsi="Arial"/>
          <w:sz w:val="17"/>
          <w:szCs w:val="17"/>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spacing w:after="0" w:line="157" w:lineRule="exact"/>
        <w:rPr>
          <w:sz w:val="20"/>
          <w:szCs w:val="20"/>
          <w:color w:val="auto"/>
        </w:rPr>
      </w:pPr>
    </w:p>
    <w:p>
      <w:pPr>
        <w:ind w:right="20" w:firstLine="1247"/>
        <w:spacing w:after="0" w:line="246" w:lineRule="auto"/>
        <w:rPr>
          <w:sz w:val="20"/>
          <w:szCs w:val="20"/>
          <w:color w:val="auto"/>
        </w:rPr>
      </w:pPr>
      <w:r>
        <w:rPr>
          <w:rFonts w:ascii="Arial" w:cs="Arial" w:eastAsia="Arial" w:hAnsi="Arial"/>
          <w:sz w:val="17"/>
          <w:szCs w:val="17"/>
          <w:color w:val="auto"/>
        </w:rPr>
        <w:t xml:space="preserve">18.13 </w:t>
      </w:r>
      <w:r>
        <w:rPr>
          <w:rFonts w:ascii="Arial" w:cs="Arial" w:eastAsia="Arial" w:hAnsi="Arial"/>
          <w:sz w:val="17"/>
          <w:szCs w:val="17"/>
          <w:b w:val="1"/>
          <w:bCs w:val="1"/>
          <w:color w:val="auto"/>
        </w:rPr>
        <w:t>Beneficiary Designation</w:t>
      </w:r>
      <w:r>
        <w:rPr>
          <w:rFonts w:ascii="Arial" w:cs="Arial" w:eastAsia="Arial" w:hAnsi="Arial"/>
          <w:sz w:val="17"/>
          <w:szCs w:val="17"/>
          <w:color w:val="auto"/>
        </w:rPr>
        <w:t>.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157" w:lineRule="exact"/>
        <w:rPr>
          <w:sz w:val="20"/>
          <w:szCs w:val="20"/>
          <w:color w:val="auto"/>
        </w:rPr>
      </w:pPr>
    </w:p>
    <w:p>
      <w:pPr>
        <w:jc w:val="both"/>
        <w:ind w:right="780" w:firstLine="1247"/>
        <w:spacing w:after="0" w:line="260" w:lineRule="auto"/>
        <w:rPr>
          <w:sz w:val="20"/>
          <w:szCs w:val="20"/>
          <w:color w:val="auto"/>
        </w:rPr>
      </w:pPr>
      <w:r>
        <w:rPr>
          <w:rFonts w:ascii="Arial" w:cs="Arial" w:eastAsia="Arial" w:hAnsi="Arial"/>
          <w:sz w:val="17"/>
          <w:szCs w:val="17"/>
          <w:color w:val="auto"/>
        </w:rPr>
        <w:t xml:space="preserve">18.14 </w:t>
      </w:r>
      <w:r>
        <w:rPr>
          <w:rFonts w:ascii="Arial" w:cs="Arial" w:eastAsia="Arial" w:hAnsi="Arial"/>
          <w:sz w:val="17"/>
          <w:szCs w:val="17"/>
          <w:b w:val="1"/>
          <w:bCs w:val="1"/>
          <w:color w:val="auto"/>
        </w:rPr>
        <w:t>Severability</w:t>
      </w:r>
      <w:r>
        <w:rPr>
          <w:rFonts w:ascii="Arial" w:cs="Arial" w:eastAsia="Arial" w:hAnsi="Arial"/>
          <w:sz w:val="17"/>
          <w:szCs w:val="17"/>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144" w:lineRule="exact"/>
        <w:rPr>
          <w:sz w:val="20"/>
          <w:szCs w:val="20"/>
          <w:color w:val="auto"/>
        </w:rPr>
      </w:pPr>
    </w:p>
    <w:p>
      <w:pPr>
        <w:jc w:val="both"/>
        <w:ind w:right="60" w:firstLine="1247"/>
        <w:spacing w:after="0" w:line="253" w:lineRule="auto"/>
        <w:rPr>
          <w:sz w:val="20"/>
          <w:szCs w:val="20"/>
          <w:color w:val="auto"/>
        </w:rPr>
      </w:pPr>
      <w:r>
        <w:rPr>
          <w:rFonts w:ascii="Arial" w:cs="Arial" w:eastAsia="Arial" w:hAnsi="Arial"/>
          <w:sz w:val="17"/>
          <w:szCs w:val="17"/>
          <w:color w:val="auto"/>
        </w:rPr>
        <w:t xml:space="preserve">18.15 </w:t>
      </w:r>
      <w:r>
        <w:rPr>
          <w:rFonts w:ascii="Arial" w:cs="Arial" w:eastAsia="Arial" w:hAnsi="Arial"/>
          <w:sz w:val="17"/>
          <w:szCs w:val="17"/>
          <w:b w:val="1"/>
          <w:bCs w:val="1"/>
          <w:color w:val="auto"/>
        </w:rPr>
        <w:t>No Constraint on Corporate Action</w:t>
      </w:r>
      <w:r>
        <w:rPr>
          <w:rFonts w:ascii="Arial" w:cs="Arial" w:eastAsia="Arial" w:hAnsi="Arial"/>
          <w:sz w:val="17"/>
          <w:szCs w:val="17"/>
          <w:color w:val="auto"/>
        </w:rPr>
        <w:t>.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67" w:name="page68"/>
    <w:bookmarkEnd w:id="67"/>
    <w:p>
      <w:pPr>
        <w:ind w:firstLine="1247"/>
        <w:spacing w:after="0" w:line="244" w:lineRule="auto"/>
        <w:rPr>
          <w:sz w:val="20"/>
          <w:szCs w:val="20"/>
          <w:color w:val="auto"/>
        </w:rPr>
      </w:pPr>
      <w:r>
        <w:rPr>
          <w:rFonts w:ascii="Arial" w:cs="Arial" w:eastAsia="Arial" w:hAnsi="Arial"/>
          <w:sz w:val="17"/>
          <w:szCs w:val="17"/>
          <w:color w:val="auto"/>
        </w:rPr>
        <w:t xml:space="preserve">18.16 </w:t>
      </w:r>
      <w:r>
        <w:rPr>
          <w:rFonts w:ascii="Arial" w:cs="Arial" w:eastAsia="Arial" w:hAnsi="Arial"/>
          <w:sz w:val="17"/>
          <w:szCs w:val="17"/>
          <w:b w:val="1"/>
          <w:bCs w:val="1"/>
          <w:color w:val="auto"/>
        </w:rPr>
        <w:t>Unfunded Obligation</w:t>
      </w:r>
      <w:r>
        <w:rPr>
          <w:rFonts w:ascii="Arial" w:cs="Arial" w:eastAsia="Arial" w:hAnsi="Arial"/>
          <w:sz w:val="17"/>
          <w:szCs w:val="17"/>
          <w:color w:val="auto"/>
        </w:rPr>
        <w:t>.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61" w:lineRule="exact"/>
        <w:rPr>
          <w:sz w:val="20"/>
          <w:szCs w:val="20"/>
          <w:color w:val="auto"/>
        </w:rPr>
      </w:pPr>
    </w:p>
    <w:p>
      <w:pPr>
        <w:ind w:right="220" w:firstLine="1247"/>
        <w:spacing w:after="0" w:line="260" w:lineRule="auto"/>
        <w:rPr>
          <w:sz w:val="20"/>
          <w:szCs w:val="20"/>
          <w:color w:val="auto"/>
        </w:rPr>
      </w:pPr>
      <w:r>
        <w:rPr>
          <w:rFonts w:ascii="Arial" w:cs="Arial" w:eastAsia="Arial" w:hAnsi="Arial"/>
          <w:sz w:val="17"/>
          <w:szCs w:val="17"/>
          <w:color w:val="auto"/>
        </w:rPr>
        <w:t xml:space="preserve">18.17 </w:t>
      </w:r>
      <w:r>
        <w:rPr>
          <w:rFonts w:ascii="Arial" w:cs="Arial" w:eastAsia="Arial" w:hAnsi="Arial"/>
          <w:sz w:val="17"/>
          <w:szCs w:val="17"/>
          <w:b w:val="1"/>
          <w:bCs w:val="1"/>
          <w:color w:val="auto"/>
        </w:rPr>
        <w:t>Choice of Law</w:t>
      </w:r>
      <w:r>
        <w:rPr>
          <w:rFonts w:ascii="Arial" w:cs="Arial" w:eastAsia="Arial" w:hAnsi="Arial"/>
          <w:sz w:val="17"/>
          <w:szCs w:val="17"/>
          <w:color w:val="auto"/>
        </w:rPr>
        <w:t>. Except to the extent governed by applicable federal law, the validity, interpretation, construction and performance of the Plan and each Award Agreement shall be governed by the laws of the State of California, without regard to its conflict of law rules.</w:t>
      </w:r>
    </w:p>
    <w:p>
      <w:pPr>
        <w:spacing w:after="0" w:line="146"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 * *</w:t>
      </w:r>
    </w:p>
    <w:p>
      <w:pPr>
        <w:spacing w:after="0" w:line="194"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C-34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68" w:name="page69"/>
    <w:bookmarkEnd w:id="68"/>
    <w:p>
      <w:pPr>
        <w:ind w:right="540"/>
        <w:spacing w:after="0" w:line="282" w:lineRule="auto"/>
        <w:rPr>
          <w:sz w:val="20"/>
          <w:szCs w:val="20"/>
          <w:color w:val="auto"/>
        </w:rPr>
      </w:pPr>
      <w:r>
        <w:rPr>
          <w:rFonts w:ascii="Arial" w:cs="Arial" w:eastAsia="Arial" w:hAnsi="Arial"/>
          <w:sz w:val="31"/>
          <w:szCs w:val="31"/>
          <w:color w:val="FFFFFF"/>
        </w:rPr>
        <w:drawing>
          <wp:anchor simplePos="0" relativeHeight="251657728" behindDoc="1" locked="0" layoutInCell="0" allowOverlap="1">
            <wp:simplePos x="0" y="0"/>
            <wp:positionH relativeFrom="page">
              <wp:posOffset>205740</wp:posOffset>
            </wp:positionH>
            <wp:positionV relativeFrom="page">
              <wp:posOffset>534670</wp:posOffset>
            </wp:positionV>
            <wp:extent cx="7137400" cy="5118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7400" cy="511810"/>
                    </a:xfrm>
                    <a:prstGeom prst="rect">
                      <a:avLst/>
                    </a:prstGeom>
                    <a:noFill/>
                  </pic:spPr>
                </pic:pic>
              </a:graphicData>
            </a:graphic>
          </wp:anchor>
        </w:drawing>
        <w:t>Annex D: Amended and Restated Cohu, Inc. 1997 Employee Stock Purchase Plan</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2D53A6"/>
        </w:rPr>
        <w:t>Cohu, Inc. Amended and Restated 1997 Employee Stock Purchase Plan</w:t>
      </w:r>
    </w:p>
    <w:p>
      <w:pPr>
        <w:spacing w:after="0" w:line="195" w:lineRule="exact"/>
        <w:rPr>
          <w:sz w:val="20"/>
          <w:szCs w:val="20"/>
          <w:color w:val="auto"/>
        </w:rPr>
      </w:pPr>
    </w:p>
    <w:p>
      <w:pPr>
        <w:ind w:left="1260" w:hanging="632"/>
        <w:spacing w:after="0"/>
        <w:tabs>
          <w:tab w:leader="none" w:pos="1260" w:val="left"/>
        </w:tabs>
        <w:numPr>
          <w:ilvl w:val="0"/>
          <w:numId w:val="83"/>
        </w:numPr>
        <w:rPr>
          <w:rFonts w:ascii="Arial" w:cs="Arial" w:eastAsia="Arial" w:hAnsi="Arial"/>
          <w:sz w:val="17"/>
          <w:szCs w:val="17"/>
          <w:color w:val="auto"/>
        </w:rPr>
      </w:pPr>
      <w:r>
        <w:rPr>
          <w:rFonts w:ascii="Arial" w:cs="Arial" w:eastAsia="Arial" w:hAnsi="Arial"/>
          <w:sz w:val="17"/>
          <w:szCs w:val="17"/>
          <w:b w:val="1"/>
          <w:bCs w:val="1"/>
          <w:u w:val="single" w:color="auto"/>
          <w:color w:val="auto"/>
        </w:rPr>
        <w:t>Establishment and Purpose</w:t>
      </w:r>
      <w:r>
        <w:rPr>
          <w:rFonts w:ascii="Arial" w:cs="Arial" w:eastAsia="Arial" w:hAnsi="Arial"/>
          <w:sz w:val="17"/>
          <w:szCs w:val="17"/>
          <w:b w:val="1"/>
          <w:bCs w:val="1"/>
          <w:color w:val="auto"/>
        </w:rPr>
        <w:t>.</w:t>
      </w:r>
    </w:p>
    <w:p>
      <w:pPr>
        <w:spacing w:after="0" w:line="233" w:lineRule="exact"/>
        <w:rPr>
          <w:sz w:val="20"/>
          <w:szCs w:val="20"/>
          <w:color w:val="auto"/>
        </w:rPr>
      </w:pPr>
    </w:p>
    <w:p>
      <w:pPr>
        <w:ind w:left="100" w:right="160" w:firstLine="1247"/>
        <w:spacing w:after="0" w:line="28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color w:val="auto"/>
        </w:rPr>
        <w:t>Establishment.</w:t>
      </w:r>
      <w:r>
        <w:rPr>
          <w:rFonts w:ascii="Arial" w:cs="Arial" w:eastAsia="Arial" w:hAnsi="Arial"/>
          <w:sz w:val="17"/>
          <w:szCs w:val="17"/>
          <w:color w:val="auto"/>
        </w:rPr>
        <w:t xml:space="preserve"> The Cohu, Inc. 1997 Employee Stock Purchase Plan (the “Plan”) was originally established effective as of February 28, 1997, and is hereby most recently amended and restated, subject to stockholder approval, effective as of May 15, 2026.</w:t>
      </w:r>
    </w:p>
    <w:p>
      <w:pPr>
        <w:spacing w:after="0" w:line="125" w:lineRule="exact"/>
        <w:rPr>
          <w:sz w:val="20"/>
          <w:szCs w:val="20"/>
          <w:color w:val="auto"/>
        </w:rPr>
      </w:pPr>
    </w:p>
    <w:p>
      <w:pPr>
        <w:ind w:left="100" w:right="160" w:firstLine="1247"/>
        <w:spacing w:after="0" w:line="253"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Purpose.</w:t>
      </w:r>
      <w:r>
        <w:rPr>
          <w:rFonts w:ascii="Arial" w:cs="Arial" w:eastAsia="Arial" w:hAnsi="Arial"/>
          <w:sz w:val="17"/>
          <w:szCs w:val="17"/>
          <w:color w:val="auto"/>
        </w:rPr>
        <w:t xml:space="preserve"> The purpose of the Plan is to provide Eligible Employees of the Participating Company Group with an opportunity to acquire a proprietary interest in the Company through the purchase of Stock. The Company intends that the Plan shall qualify as an “employee stock purchase plan” under Sections 421 and 423 of the Code (including any amendments or replacements of such section), and the Plan shall be so construed.</w:t>
      </w:r>
    </w:p>
    <w:p>
      <w:pPr>
        <w:spacing w:after="0" w:line="150" w:lineRule="exact"/>
        <w:rPr>
          <w:sz w:val="20"/>
          <w:szCs w:val="20"/>
          <w:color w:val="auto"/>
        </w:rPr>
      </w:pPr>
    </w:p>
    <w:p>
      <w:pPr>
        <w:ind w:left="1260" w:hanging="632"/>
        <w:spacing w:after="0"/>
        <w:tabs>
          <w:tab w:leader="none" w:pos="1260" w:val="left"/>
        </w:tabs>
        <w:numPr>
          <w:ilvl w:val="0"/>
          <w:numId w:val="84"/>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 and Construction</w:t>
      </w:r>
      <w:r>
        <w:rPr>
          <w:rFonts w:ascii="Arial" w:cs="Arial" w:eastAsia="Arial" w:hAnsi="Arial"/>
          <w:sz w:val="17"/>
          <w:szCs w:val="17"/>
          <w:b w:val="1"/>
          <w:bCs w:val="1"/>
          <w:color w:val="auto"/>
        </w:rPr>
        <w:t>.</w:t>
      </w:r>
    </w:p>
    <w:p>
      <w:pPr>
        <w:spacing w:after="0" w:line="233" w:lineRule="exact"/>
        <w:rPr>
          <w:sz w:val="20"/>
          <w:szCs w:val="20"/>
          <w:color w:val="auto"/>
        </w:rPr>
      </w:pPr>
    </w:p>
    <w:p>
      <w:pPr>
        <w:ind w:left="100" w:right="260" w:firstLine="1247"/>
        <w:spacing w:after="0" w:line="28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Definitions.</w:t>
      </w:r>
      <w:r>
        <w:rPr>
          <w:rFonts w:ascii="Arial" w:cs="Arial" w:eastAsia="Arial" w:hAnsi="Arial"/>
          <w:sz w:val="17"/>
          <w:szCs w:val="17"/>
          <w:color w:val="auto"/>
        </w:rPr>
        <w:t xml:space="preserve"> Any term not expressly defined in the Plan but defined for purposes of Section 423 of the Code shall have the same definition herein. Whenever used herein, the following terms shall have their respective meanings set forth below:</w:t>
      </w:r>
    </w:p>
    <w:p>
      <w:pPr>
        <w:spacing w:after="0" w:line="127" w:lineRule="exact"/>
        <w:rPr>
          <w:sz w:val="20"/>
          <w:szCs w:val="20"/>
          <w:color w:val="auto"/>
        </w:rPr>
      </w:pPr>
    </w:p>
    <w:p>
      <w:pPr>
        <w:ind w:left="100" w:right="80" w:firstLine="1255"/>
        <w:spacing w:after="0" w:line="246" w:lineRule="auto"/>
        <w:tabs>
          <w:tab w:leader="none" w:pos="1896" w:val="left"/>
        </w:tabs>
        <w:numPr>
          <w:ilvl w:val="0"/>
          <w:numId w:val="85"/>
        </w:numPr>
        <w:rPr>
          <w:rFonts w:ascii="Arial" w:cs="Arial" w:eastAsia="Arial" w:hAnsi="Arial"/>
          <w:sz w:val="17"/>
          <w:szCs w:val="17"/>
          <w:color w:val="auto"/>
        </w:rPr>
      </w:pPr>
      <w:r>
        <w:rPr>
          <w:rFonts w:ascii="Arial" w:cs="Arial" w:eastAsia="Arial" w:hAnsi="Arial"/>
          <w:sz w:val="17"/>
          <w:szCs w:val="17"/>
          <w:color w:val="auto"/>
        </w:rPr>
        <w:t>“Board” means the Board of Directors of the Company. If one or more Committees have been appointed by the Board to administer the Plan, “Board” also means such Committee(s). In addition, the Company’s Vice President of Human Resources, or any officer or officers of the Company, to the extent appointed by the Board or the Committee, shall have all of the powers of the Board granted herein, except the power to (i) amend Sections 4 (Shares Subject to Plan), 5 (Eligibility), and 9 (Purchase Price) or otherwise amend the Plan in a manner that requires stockholder approval under applicable law or the rules of any securities exchange or market system on which the Stock is then listed or quoted, (ii) terminate the Plan, or (iii) act beyond specific limits set by the Board or the Committee. Any officer appointed by the Board or the Committee to administer the Plan also is referred to herein as the “Board.”</w:t>
      </w:r>
    </w:p>
    <w:p>
      <w:pPr>
        <w:spacing w:after="0" w:line="156" w:lineRule="exact"/>
        <w:rPr>
          <w:rFonts w:ascii="Arial" w:cs="Arial" w:eastAsia="Arial" w:hAnsi="Arial"/>
          <w:sz w:val="17"/>
          <w:szCs w:val="17"/>
          <w:color w:val="auto"/>
        </w:rPr>
      </w:pPr>
    </w:p>
    <w:p>
      <w:pPr>
        <w:ind w:left="1900" w:hanging="545"/>
        <w:spacing w:after="0"/>
        <w:tabs>
          <w:tab w:leader="none" w:pos="1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 and any applicable regulations promulgated thereunder.</w:t>
      </w:r>
    </w:p>
    <w:p>
      <w:pPr>
        <w:spacing w:after="0" w:line="194" w:lineRule="exact"/>
        <w:rPr>
          <w:rFonts w:ascii="Arial" w:cs="Arial" w:eastAsia="Arial" w:hAnsi="Arial"/>
          <w:sz w:val="17"/>
          <w:szCs w:val="17"/>
          <w:color w:val="auto"/>
        </w:rPr>
      </w:pPr>
    </w:p>
    <w:p>
      <w:pPr>
        <w:ind w:left="100" w:firstLine="1255"/>
        <w:spacing w:after="0" w:line="252" w:lineRule="auto"/>
        <w:tabs>
          <w:tab w:leader="none" w:pos="1886"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“Committee” means a committee of the Board duly appointed to administer the Plan and 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spacing w:after="0" w:line="192" w:lineRule="exact"/>
        <w:rPr>
          <w:rFonts w:ascii="Arial" w:cs="Arial" w:eastAsia="Arial" w:hAnsi="Arial"/>
          <w:sz w:val="17"/>
          <w:szCs w:val="17"/>
          <w:color w:val="auto"/>
        </w:rPr>
      </w:pPr>
    </w:p>
    <w:p>
      <w:pPr>
        <w:ind w:left="1900" w:hanging="545"/>
        <w:spacing w:after="0"/>
        <w:tabs>
          <w:tab w:leader="none" w:pos="1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“Company” means Cohu, Inc., a Delaware corporation, or any successor corporation</w:t>
      </w:r>
    </w:p>
    <w:p>
      <w:pPr>
        <w:spacing w:after="0" w:line="194" w:lineRule="exact"/>
        <w:rPr>
          <w:rFonts w:ascii="Arial" w:cs="Arial" w:eastAsia="Arial" w:hAnsi="Arial"/>
          <w:sz w:val="17"/>
          <w:szCs w:val="17"/>
          <w:color w:val="auto"/>
        </w:rPr>
      </w:pPr>
    </w:p>
    <w:p>
      <w:pPr>
        <w:ind w:left="100" w:right="60" w:firstLine="1255"/>
        <w:spacing w:after="0" w:line="247" w:lineRule="auto"/>
        <w:tabs>
          <w:tab w:leader="none" w:pos="1896"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“Compensation” means, with respect to an Offering Period under the Plan, all amounts paid in cash in the form of base salary and base wages, paid during such Offering Period before deduction for any contributions to any plan maintained by a Participating Company and described in Section 401(k) or Section 125 of the Code. Compensation shall not include cash or non-cash payments of any other amounts, whether consisting of overtime, bonuses, commissions, other incentive compensation, reimbursements of expenses, allowances, long-term disability, workers’ compensation or any amount deemed received or any amounts directly or indirectly paid pursuant to the Plan or any other stock purchase or stock option plan.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69" w:name="page70"/>
    <w:bookmarkEnd w:id="69"/>
    <w:p>
      <w:pPr>
        <w:ind w:left="1260" w:right="160" w:hanging="5"/>
        <w:spacing w:after="0" w:line="280" w:lineRule="auto"/>
        <w:tabs>
          <w:tab w:leader="none" w:pos="1808" w:val="left"/>
        </w:tabs>
        <w:numPr>
          <w:ilvl w:val="0"/>
          <w:numId w:val="86"/>
        </w:numPr>
        <w:rPr>
          <w:rFonts w:ascii="Arial" w:cs="Arial" w:eastAsia="Arial" w:hAnsi="Arial"/>
          <w:sz w:val="17"/>
          <w:szCs w:val="17"/>
          <w:color w:val="auto"/>
        </w:rPr>
      </w:pPr>
      <w:r>
        <w:rPr>
          <w:rFonts w:ascii="Arial" w:cs="Arial" w:eastAsia="Arial" w:hAnsi="Arial"/>
          <w:sz w:val="17"/>
          <w:szCs w:val="17"/>
          <w:color w:val="auto"/>
        </w:rPr>
        <w:t>“Eligible Employee” means an Employee who meets the requirements set forth in Section 5 for eligibility to participate in the Plan.</w:t>
      </w:r>
    </w:p>
    <w:p>
      <w:pPr>
        <w:spacing w:after="0" w:line="128" w:lineRule="exact"/>
        <w:rPr>
          <w:rFonts w:ascii="Arial" w:cs="Arial" w:eastAsia="Arial" w:hAnsi="Arial"/>
          <w:sz w:val="17"/>
          <w:szCs w:val="17"/>
          <w:color w:val="auto"/>
        </w:rPr>
      </w:pPr>
    </w:p>
    <w:p>
      <w:pPr>
        <w:ind w:right="200" w:firstLine="1255"/>
        <w:spacing w:after="0" w:line="259" w:lineRule="auto"/>
        <w:tabs>
          <w:tab w:leader="none" w:pos="1796" w:val="left"/>
        </w:tabs>
        <w:numPr>
          <w:ilvl w:val="0"/>
          <w:numId w:val="86"/>
        </w:numPr>
        <w:rPr>
          <w:rFonts w:ascii="Arial" w:cs="Arial" w:eastAsia="Arial" w:hAnsi="Arial"/>
          <w:sz w:val="17"/>
          <w:szCs w:val="17"/>
          <w:color w:val="auto"/>
        </w:rPr>
      </w:pPr>
      <w:r>
        <w:rPr>
          <w:rFonts w:ascii="Arial" w:cs="Arial" w:eastAsia="Arial" w:hAnsi="Arial"/>
          <w:sz w:val="17"/>
          <w:szCs w:val="17"/>
          <w:color w:val="auto"/>
        </w:rPr>
        <w:t>“Employee” means any person treated as an employee (including an officer or a director who is also treated as an employee) in the records of a Participating Company and for purposes of Section 423 of the Code; provided, however, that neither service as a director nor payment of a director’s fee shall be sufficient to constitute employment for purposes of the Plan.</w:t>
      </w:r>
    </w:p>
    <w:p>
      <w:pPr>
        <w:spacing w:after="0" w:line="146" w:lineRule="exact"/>
        <w:rPr>
          <w:rFonts w:ascii="Arial" w:cs="Arial" w:eastAsia="Arial" w:hAnsi="Arial"/>
          <w:sz w:val="17"/>
          <w:szCs w:val="17"/>
          <w:color w:val="auto"/>
        </w:rPr>
      </w:pPr>
    </w:p>
    <w:p>
      <w:pPr>
        <w:ind w:left="1820" w:hanging="547"/>
        <w:spacing w:after="0"/>
        <w:tabs>
          <w:tab w:leader="none" w:pos="18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“Exchange Act” means the Securities Exchange Act of 1934, as amended.</w:t>
      </w:r>
    </w:p>
    <w:p>
      <w:pPr>
        <w:spacing w:after="0" w:line="194" w:lineRule="exact"/>
        <w:rPr>
          <w:rFonts w:ascii="Arial" w:cs="Arial" w:eastAsia="Arial" w:hAnsi="Arial"/>
          <w:sz w:val="17"/>
          <w:szCs w:val="17"/>
          <w:color w:val="auto"/>
        </w:rPr>
      </w:pPr>
    </w:p>
    <w:p>
      <w:pPr>
        <w:ind w:right="20" w:firstLine="1272"/>
        <w:spacing w:after="0" w:line="245" w:lineRule="auto"/>
        <w:tabs>
          <w:tab w:leader="none" w:pos="1821" w:val="left"/>
        </w:tabs>
        <w:numPr>
          <w:ilvl w:val="1"/>
          <w:numId w:val="86"/>
        </w:numPr>
        <w:rPr>
          <w:rFonts w:ascii="Arial" w:cs="Arial" w:eastAsia="Arial" w:hAnsi="Arial"/>
          <w:sz w:val="17"/>
          <w:szCs w:val="17"/>
          <w:color w:val="auto"/>
        </w:rPr>
      </w:pPr>
      <w:r>
        <w:rPr>
          <w:rFonts w:ascii="Arial" w:cs="Arial" w:eastAsia="Arial" w:hAnsi="Arial"/>
          <w:sz w:val="17"/>
          <w:szCs w:val="17"/>
          <w:color w:val="auto"/>
        </w:rPr>
        <w:t>“Fair Market Value” means, as of any date, if there is then a public market for the Stock, the closing price of a share of Stock (or the mean of the closing bid and asked prices of a share of Stock if the Stock is so reported instead) as reported on the National Association of Securities Dealers Automated Quotation Stock Market (“Nasdaq”) or such other national or regional securities exchange or market system constituting the primary market for the Stock. If the relevant date does not fall on a day on which the Stock is trading on Nasdaq or other national or regional securities exchange or market system, the date on which the Fair Market Value shall be established shall be the last day on which the Stock was so traded prior to the relevant date, or such other appropriate day as shall be determined by the Board, in its sole discretion. If there is then no public market for the Stock, the Fair Market Value on any relevant date shall be as determined by the Board without regard to any restriction other than a restriction which, by its terms, will never lapse.</w:t>
      </w:r>
    </w:p>
    <w:p>
      <w:pPr>
        <w:spacing w:after="0" w:line="157" w:lineRule="exact"/>
        <w:rPr>
          <w:rFonts w:ascii="Arial" w:cs="Arial" w:eastAsia="Arial" w:hAnsi="Arial"/>
          <w:sz w:val="17"/>
          <w:szCs w:val="17"/>
          <w:color w:val="auto"/>
        </w:rPr>
      </w:pPr>
    </w:p>
    <w:p>
      <w:pPr>
        <w:ind w:left="1820" w:hanging="547"/>
        <w:spacing w:after="0"/>
        <w:tabs>
          <w:tab w:leader="none" w:pos="18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“Offering” means an offering of Stock as provided in Section 6.</w:t>
      </w:r>
    </w:p>
    <w:p>
      <w:pPr>
        <w:spacing w:after="0" w:line="194" w:lineRule="exact"/>
        <w:rPr>
          <w:rFonts w:ascii="Arial" w:cs="Arial" w:eastAsia="Arial" w:hAnsi="Arial"/>
          <w:sz w:val="17"/>
          <w:szCs w:val="17"/>
          <w:color w:val="auto"/>
        </w:rPr>
      </w:pPr>
    </w:p>
    <w:p>
      <w:pPr>
        <w:ind w:left="1820" w:hanging="547"/>
        <w:spacing w:after="0"/>
        <w:tabs>
          <w:tab w:leader="none" w:pos="18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“Offering Date” means, for any Offering Period, the first day of such Offering Period.</w:t>
      </w:r>
    </w:p>
    <w:p>
      <w:pPr>
        <w:spacing w:after="0" w:line="194" w:lineRule="exact"/>
        <w:rPr>
          <w:rFonts w:ascii="Arial" w:cs="Arial" w:eastAsia="Arial" w:hAnsi="Arial"/>
          <w:sz w:val="17"/>
          <w:szCs w:val="17"/>
          <w:color w:val="auto"/>
        </w:rPr>
      </w:pPr>
    </w:p>
    <w:p>
      <w:pPr>
        <w:ind w:left="1820" w:hanging="547"/>
        <w:spacing w:after="0"/>
        <w:tabs>
          <w:tab w:leader="none" w:pos="18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“Offering Period” means a period determined in accordance with Section 6.1.</w:t>
      </w:r>
    </w:p>
    <w:p>
      <w:pPr>
        <w:spacing w:after="0" w:line="194" w:lineRule="exact"/>
        <w:rPr>
          <w:rFonts w:ascii="Arial" w:cs="Arial" w:eastAsia="Arial" w:hAnsi="Arial"/>
          <w:sz w:val="17"/>
          <w:szCs w:val="17"/>
          <w:color w:val="auto"/>
        </w:rPr>
      </w:pPr>
    </w:p>
    <w:p>
      <w:pPr>
        <w:ind w:left="1820" w:hanging="547"/>
        <w:spacing w:after="0"/>
        <w:tabs>
          <w:tab w:leader="none" w:pos="18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“Parent Corporation” means any present or future “parent corporation” of the Company, as defined in Section 424(e) of</w:t>
      </w:r>
    </w:p>
    <w:p>
      <w:pPr>
        <w:spacing w:after="0" w:line="15"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the Code.</w:t>
      </w:r>
    </w:p>
    <w:p>
      <w:pPr>
        <w:spacing w:after="0" w:line="178" w:lineRule="exact"/>
        <w:rPr>
          <w:rFonts w:ascii="Arial" w:cs="Arial" w:eastAsia="Arial" w:hAnsi="Arial"/>
          <w:sz w:val="17"/>
          <w:szCs w:val="17"/>
          <w:color w:val="auto"/>
        </w:rPr>
      </w:pPr>
    </w:p>
    <w:p>
      <w:pPr>
        <w:ind w:left="1820" w:hanging="547"/>
        <w:spacing w:after="0"/>
        <w:tabs>
          <w:tab w:leader="none" w:pos="18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“Participant” means an Eligible Employee participating in the Plan.</w:t>
      </w:r>
    </w:p>
    <w:p>
      <w:pPr>
        <w:spacing w:after="0" w:line="194" w:lineRule="exact"/>
        <w:rPr>
          <w:rFonts w:ascii="Arial" w:cs="Arial" w:eastAsia="Arial" w:hAnsi="Arial"/>
          <w:sz w:val="17"/>
          <w:szCs w:val="17"/>
          <w:color w:val="auto"/>
        </w:rPr>
      </w:pPr>
    </w:p>
    <w:p>
      <w:pPr>
        <w:ind w:left="20" w:right="320" w:firstLine="1253"/>
        <w:spacing w:after="0" w:line="259" w:lineRule="auto"/>
        <w:tabs>
          <w:tab w:leader="none" w:pos="1816" w:val="left"/>
        </w:tabs>
        <w:numPr>
          <w:ilvl w:val="1"/>
          <w:numId w:val="86"/>
        </w:numPr>
        <w:rPr>
          <w:rFonts w:ascii="Arial" w:cs="Arial" w:eastAsia="Arial" w:hAnsi="Arial"/>
          <w:sz w:val="17"/>
          <w:szCs w:val="17"/>
          <w:color w:val="auto"/>
        </w:rPr>
      </w:pPr>
      <w:r>
        <w:rPr>
          <w:rFonts w:ascii="Arial" w:cs="Arial" w:eastAsia="Arial" w:hAnsi="Arial"/>
          <w:sz w:val="17"/>
          <w:szCs w:val="17"/>
          <w:color w:val="auto"/>
        </w:rPr>
        <w:t>“Participating Company” means the Company or any Parent Corporation or Subsidiary Corporation which the Board determines should be included in the Plan. The Board shall have the sole and absolute discretion to determine from time-to-time what Parent Corporations or Subsidiary Corporations shall be Participating Companies.</w:t>
      </w:r>
    </w:p>
    <w:p>
      <w:pPr>
        <w:spacing w:after="0" w:line="146" w:lineRule="exact"/>
        <w:rPr>
          <w:rFonts w:ascii="Arial" w:cs="Arial" w:eastAsia="Arial" w:hAnsi="Arial"/>
          <w:sz w:val="17"/>
          <w:szCs w:val="17"/>
          <w:color w:val="auto"/>
        </w:rPr>
      </w:pPr>
    </w:p>
    <w:p>
      <w:pPr>
        <w:ind w:left="20" w:firstLine="1253"/>
        <w:spacing w:after="0" w:line="280" w:lineRule="auto"/>
        <w:tabs>
          <w:tab w:leader="none" w:pos="1816" w:val="left"/>
        </w:tabs>
        <w:numPr>
          <w:ilvl w:val="1"/>
          <w:numId w:val="86"/>
        </w:numPr>
        <w:rPr>
          <w:rFonts w:ascii="Arial" w:cs="Arial" w:eastAsia="Arial" w:hAnsi="Arial"/>
          <w:sz w:val="17"/>
          <w:szCs w:val="17"/>
          <w:color w:val="auto"/>
        </w:rPr>
      </w:pPr>
      <w:r>
        <w:rPr>
          <w:rFonts w:ascii="Arial" w:cs="Arial" w:eastAsia="Arial" w:hAnsi="Arial"/>
          <w:sz w:val="17"/>
          <w:szCs w:val="17"/>
          <w:color w:val="auto"/>
        </w:rPr>
        <w:t>“Participating Company Group” means, at any point in time, the Company and all other corporations collectively which are then Participating Companies.</w:t>
      </w:r>
    </w:p>
    <w:p>
      <w:pPr>
        <w:spacing w:after="0" w:line="128" w:lineRule="exact"/>
        <w:rPr>
          <w:rFonts w:ascii="Arial" w:cs="Arial" w:eastAsia="Arial" w:hAnsi="Arial"/>
          <w:sz w:val="17"/>
          <w:szCs w:val="17"/>
          <w:color w:val="auto"/>
        </w:rPr>
      </w:pPr>
    </w:p>
    <w:p>
      <w:pPr>
        <w:ind w:left="1820" w:hanging="547"/>
        <w:spacing w:after="0"/>
        <w:tabs>
          <w:tab w:leader="none" w:pos="1820" w:val="left"/>
        </w:tabs>
        <w:numPr>
          <w:ilvl w:val="1"/>
          <w:numId w:val="86"/>
        </w:numPr>
        <w:rPr>
          <w:rFonts w:ascii="Arial" w:cs="Arial" w:eastAsia="Arial" w:hAnsi="Arial"/>
          <w:sz w:val="17"/>
          <w:szCs w:val="17"/>
          <w:color w:val="auto"/>
        </w:rPr>
      </w:pPr>
      <w:r>
        <w:rPr>
          <w:rFonts w:ascii="Arial" w:cs="Arial" w:eastAsia="Arial" w:hAnsi="Arial"/>
          <w:sz w:val="17"/>
          <w:szCs w:val="17"/>
          <w:color w:val="auto"/>
        </w:rPr>
        <w:t>“Purchase Date” means, for any Offering Period, the last day of such Offering Period.</w:t>
      </w:r>
    </w:p>
    <w:p>
      <w:pPr>
        <w:spacing w:after="0" w:line="194" w:lineRule="exact"/>
        <w:rPr>
          <w:rFonts w:ascii="Arial" w:cs="Arial" w:eastAsia="Arial" w:hAnsi="Arial"/>
          <w:sz w:val="17"/>
          <w:szCs w:val="17"/>
          <w:color w:val="auto"/>
        </w:rPr>
      </w:pPr>
    </w:p>
    <w:p>
      <w:pPr>
        <w:ind w:left="20" w:right="280" w:firstLine="1253"/>
        <w:spacing w:after="0" w:line="280" w:lineRule="auto"/>
        <w:tabs>
          <w:tab w:leader="none" w:pos="1825" w:val="left"/>
        </w:tabs>
        <w:numPr>
          <w:ilvl w:val="1"/>
          <w:numId w:val="86"/>
        </w:numPr>
        <w:rPr>
          <w:rFonts w:ascii="Arial" w:cs="Arial" w:eastAsia="Arial" w:hAnsi="Arial"/>
          <w:sz w:val="17"/>
          <w:szCs w:val="17"/>
          <w:color w:val="auto"/>
        </w:rPr>
      </w:pPr>
      <w:r>
        <w:rPr>
          <w:rFonts w:ascii="Arial" w:cs="Arial" w:eastAsia="Arial" w:hAnsi="Arial"/>
          <w:sz w:val="17"/>
          <w:szCs w:val="17"/>
          <w:color w:val="auto"/>
        </w:rPr>
        <w:t>“Purchase Price” means the price at which a share of Stock may be purchased pursuant to the Plan, as determined in accordance with Section 9.</w:t>
      </w:r>
    </w:p>
    <w:p>
      <w:pPr>
        <w:spacing w:after="0" w:line="128" w:lineRule="exact"/>
        <w:rPr>
          <w:rFonts w:ascii="Arial" w:cs="Arial" w:eastAsia="Arial" w:hAnsi="Arial"/>
          <w:sz w:val="17"/>
          <w:szCs w:val="17"/>
          <w:color w:val="auto"/>
        </w:rPr>
      </w:pPr>
    </w:p>
    <w:p>
      <w:pPr>
        <w:ind w:left="20" w:right="80" w:firstLine="1253"/>
        <w:spacing w:after="0" w:line="259" w:lineRule="auto"/>
        <w:tabs>
          <w:tab w:leader="none" w:pos="1806" w:val="left"/>
        </w:tabs>
        <w:numPr>
          <w:ilvl w:val="1"/>
          <w:numId w:val="86"/>
        </w:numPr>
        <w:rPr>
          <w:rFonts w:ascii="Arial" w:cs="Arial" w:eastAsia="Arial" w:hAnsi="Arial"/>
          <w:sz w:val="17"/>
          <w:szCs w:val="17"/>
          <w:color w:val="auto"/>
        </w:rPr>
      </w:pPr>
      <w:r>
        <w:rPr>
          <w:rFonts w:ascii="Arial" w:cs="Arial" w:eastAsia="Arial" w:hAnsi="Arial"/>
          <w:sz w:val="17"/>
          <w:szCs w:val="17"/>
          <w:color w:val="auto"/>
        </w:rPr>
        <w:t>“Purchase Right” means an option pursuant to the Plan to purchase such shares of Stock as provided in Section 8 which may or may not be exercised at the end of an Offering Period. Such option arises from the right of a Participant to withdraw such Participant’s accumulated payroll deductions (if any) and terminate participation in the Plan or any Offering therein at any time during an Offering Period.</w:t>
      </w:r>
    </w:p>
    <w:p>
      <w:pPr>
        <w:spacing w:after="0" w:line="14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76200</wp:posOffset>
            </wp:positionV>
            <wp:extent cx="713740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20"/>
          </w:cols>
          <w:pgMar w:left="420" w:top="565" w:right="359" w:bottom="1440" w:gutter="0" w:footer="0" w:header="0"/>
        </w:sectPr>
      </w:pPr>
    </w:p>
    <w:bookmarkStart w:id="70" w:name="page71"/>
    <w:bookmarkEnd w:id="70"/>
    <w:p>
      <w:pPr>
        <w:ind w:left="1820" w:hanging="547"/>
        <w:spacing w:after="0"/>
        <w:tabs>
          <w:tab w:leader="none" w:pos="18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“Stock” means the common stock, $1.00 par value, of the Company, as adjusted from time to time in accordance with</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Section 4.2.</w:t>
      </w:r>
    </w:p>
    <w:p>
      <w:pPr>
        <w:spacing w:after="0" w:line="178" w:lineRule="exact"/>
        <w:rPr>
          <w:sz w:val="20"/>
          <w:szCs w:val="20"/>
          <w:color w:val="auto"/>
        </w:rPr>
      </w:pPr>
    </w:p>
    <w:p>
      <w:pPr>
        <w:ind w:left="1820" w:hanging="547"/>
        <w:spacing w:after="0"/>
        <w:tabs>
          <w:tab w:leader="none" w:pos="18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“Subsidiary Corporation” means any present or future “subsidiary corporation” of the Company, as defined in Section</w:t>
      </w:r>
    </w:p>
    <w:p>
      <w:pPr>
        <w:spacing w:after="0" w:line="15"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7"/>
          <w:szCs w:val="17"/>
          <w:color w:val="auto"/>
        </w:rPr>
        <w:t>424(f) of the Code.</w:t>
      </w:r>
    </w:p>
    <w:p>
      <w:pPr>
        <w:spacing w:after="0" w:line="178" w:lineRule="exact"/>
        <w:rPr>
          <w:sz w:val="20"/>
          <w:szCs w:val="20"/>
          <w:color w:val="auto"/>
        </w:rPr>
      </w:pPr>
    </w:p>
    <w:p>
      <w:pPr>
        <w:ind w:left="20" w:right="240" w:firstLine="1247"/>
        <w:spacing w:after="0" w:line="259" w:lineRule="auto"/>
        <w:rPr>
          <w:sz w:val="20"/>
          <w:szCs w:val="20"/>
          <w:color w:val="auto"/>
        </w:rPr>
      </w:pPr>
      <w:r>
        <w:rPr>
          <w:rFonts w:ascii="Arial" w:cs="Arial" w:eastAsia="Arial" w:hAnsi="Arial"/>
          <w:sz w:val="17"/>
          <w:szCs w:val="17"/>
          <w:color w:val="auto"/>
        </w:rPr>
        <w:t>2.2 Construction. Captions and titles contained herein are for convenience only and shall not affect the meaning or interpretation of any provision of the Plan. Except when otherwise indicated by the context, the singular shall include the plural, the plural shall include the singular, and use of the term “or” shall include the conjunctive as well as the disjunctive.</w:t>
      </w:r>
    </w:p>
    <w:p>
      <w:pPr>
        <w:spacing w:after="0" w:line="145" w:lineRule="exact"/>
        <w:rPr>
          <w:sz w:val="20"/>
          <w:szCs w:val="20"/>
          <w:color w:val="auto"/>
        </w:rPr>
      </w:pPr>
    </w:p>
    <w:p>
      <w:pPr>
        <w:ind w:right="60" w:firstLine="632"/>
        <w:spacing w:after="0" w:line="245" w:lineRule="auto"/>
        <w:tabs>
          <w:tab w:leader="none" w:pos="1249" w:val="left"/>
        </w:tabs>
        <w:numPr>
          <w:ilvl w:val="1"/>
          <w:numId w:val="89"/>
        </w:numPr>
        <w:rPr>
          <w:rFonts w:ascii="Arial" w:cs="Arial" w:eastAsia="Arial" w:hAnsi="Arial"/>
          <w:sz w:val="17"/>
          <w:szCs w:val="17"/>
          <w:color w:val="auto"/>
        </w:rPr>
      </w:pPr>
      <w:r>
        <w:rPr>
          <w:rFonts w:ascii="Arial" w:cs="Arial" w:eastAsia="Arial" w:hAnsi="Arial"/>
          <w:sz w:val="17"/>
          <w:szCs w:val="17"/>
          <w:b w:val="1"/>
          <w:bCs w:val="1"/>
          <w:u w:val="single" w:color="auto"/>
          <w:color w:val="auto"/>
        </w:rPr>
        <w:t>Administration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shall be administered by the Board, including any duly appointed Committee of the Board or officer or</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of the Company. In administering the Plan, the Board may prescribe, amend, and rescind procedural rules and adopt subplans (for some or all Participating Companies, for non-U.S. jurisdictions, and whether or not intended to be an “employee stock purchase plan” under Section 423 of the Code). All questions of interpretation of the Plan or of any Purchase Right shall be determined by the Board and shall be final and binding upon all persons having an interest in the Plan or such Purchase Right. Subject to the provisions of the Plan, the Board shall determine all of the relevant terms and conditions of Purchase Rights granted pursuant to the Plan; provided, however, that all Participants granted Purchase Rights pursuant to the Plan shall have the same rights and privileges within the meaning of Section 423(b)(5) of the Code. All expenses incurred in connection with the administration of the Plan shall be paid by the Company.</w:t>
      </w:r>
    </w:p>
    <w:p>
      <w:pPr>
        <w:spacing w:after="0" w:line="157" w:lineRule="exact"/>
        <w:rPr>
          <w:rFonts w:ascii="Arial" w:cs="Arial" w:eastAsia="Arial" w:hAnsi="Arial"/>
          <w:sz w:val="17"/>
          <w:szCs w:val="17"/>
          <w:color w:val="auto"/>
        </w:rPr>
      </w:pPr>
    </w:p>
    <w:p>
      <w:pPr>
        <w:ind w:left="1300" w:hanging="772"/>
        <w:spacing w:after="0"/>
        <w:tabs>
          <w:tab w:leader="none" w:pos="1300" w:val="left"/>
        </w:tabs>
        <w:numPr>
          <w:ilvl w:val="0"/>
          <w:numId w:val="90"/>
        </w:numPr>
        <w:rPr>
          <w:rFonts w:ascii="Arial" w:cs="Arial" w:eastAsia="Arial" w:hAnsi="Arial"/>
          <w:sz w:val="17"/>
          <w:szCs w:val="17"/>
          <w:color w:val="auto"/>
        </w:rPr>
      </w:pPr>
      <w:r>
        <w:rPr>
          <w:rFonts w:ascii="Arial" w:cs="Arial" w:eastAsia="Arial" w:hAnsi="Arial"/>
          <w:sz w:val="17"/>
          <w:szCs w:val="17"/>
          <w:b w:val="1"/>
          <w:bCs w:val="1"/>
          <w:u w:val="single" w:color="auto"/>
          <w:color w:val="auto"/>
        </w:rPr>
        <w:t>Shares Subject to Plan</w:t>
      </w:r>
      <w:r>
        <w:rPr>
          <w:rFonts w:ascii="Arial" w:cs="Arial" w:eastAsia="Arial" w:hAnsi="Arial"/>
          <w:sz w:val="17"/>
          <w:szCs w:val="17"/>
          <w:b w:val="1"/>
          <w:bCs w:val="1"/>
          <w:color w:val="auto"/>
        </w:rPr>
        <w:t>.</w:t>
      </w:r>
    </w:p>
    <w:p>
      <w:pPr>
        <w:spacing w:after="0" w:line="233" w:lineRule="exact"/>
        <w:rPr>
          <w:sz w:val="20"/>
          <w:szCs w:val="20"/>
          <w:color w:val="auto"/>
        </w:rPr>
      </w:pPr>
    </w:p>
    <w:p>
      <w:pPr>
        <w:ind w:right="20" w:firstLine="1247"/>
        <w:spacing w:after="0" w:line="253"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Maximum Number of Shares Issuable.</w:t>
      </w:r>
      <w:r>
        <w:rPr>
          <w:rFonts w:ascii="Arial" w:cs="Arial" w:eastAsia="Arial" w:hAnsi="Arial"/>
          <w:sz w:val="17"/>
          <w:szCs w:val="17"/>
          <w:color w:val="auto"/>
        </w:rPr>
        <w:t xml:space="preserve"> Subject to adjustment as provided in Section 4.2, the maximum aggregate number of shares of Stock that may be issued under the Plan shall be 4,350,000 and shall consist of authorized but unissued or reacquired shares of the Stock, or any combination thereof. If an outstanding Purchase Right for any reason expires or is terminated or canceled, the shares of Stock allocable to the unexercised portion of such Purchase Right shall again be available for issuance under the Plan.</w:t>
      </w:r>
    </w:p>
    <w:p>
      <w:pPr>
        <w:spacing w:after="0" w:line="150" w:lineRule="exact"/>
        <w:rPr>
          <w:sz w:val="20"/>
          <w:szCs w:val="20"/>
          <w:color w:val="auto"/>
        </w:rPr>
      </w:pPr>
    </w:p>
    <w:p>
      <w:pPr>
        <w:ind w:right="80" w:firstLine="1247"/>
        <w:spacing w:after="0" w:line="25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Adjustments for Changes in Capital Structure.</w:t>
      </w:r>
      <w:r>
        <w:rPr>
          <w:rFonts w:ascii="Arial" w:cs="Arial" w:eastAsia="Arial" w:hAnsi="Arial"/>
          <w:sz w:val="17"/>
          <w:szCs w:val="17"/>
          <w:color w:val="auto"/>
        </w:rPr>
        <w:t xml:space="preserve"> In the event of any stock dividend, stock split, reverse stock split, recapitalization, combination, reclassification or similar change in the capital structure of the Company, or in the event of any merger (including a merger effected for the purpose of changing the Company’s domicile), sale of assets or other reorganization in which the Company is a party, appropriate adjustments shall be made to the number and class of shares subject to the Plan, to the Per Offering Share Limit set forth in Section 8.1 and to each Purchase Right and to the Purchase Price.</w:t>
      </w:r>
    </w:p>
    <w:p>
      <w:pPr>
        <w:spacing w:after="0" w:line="151" w:lineRule="exact"/>
        <w:rPr>
          <w:sz w:val="20"/>
          <w:szCs w:val="20"/>
          <w:color w:val="auto"/>
        </w:rPr>
      </w:pPr>
    </w:p>
    <w:p>
      <w:pPr>
        <w:ind w:left="1300" w:hanging="772"/>
        <w:spacing w:after="0"/>
        <w:tabs>
          <w:tab w:leader="none" w:pos="1300" w:val="left"/>
        </w:tabs>
        <w:numPr>
          <w:ilvl w:val="0"/>
          <w:numId w:val="91"/>
        </w:numPr>
        <w:rPr>
          <w:rFonts w:ascii="Arial" w:cs="Arial" w:eastAsia="Arial" w:hAnsi="Arial"/>
          <w:sz w:val="17"/>
          <w:szCs w:val="17"/>
          <w:color w:val="auto"/>
        </w:rPr>
      </w:pPr>
      <w:r>
        <w:rPr>
          <w:rFonts w:ascii="Arial" w:cs="Arial" w:eastAsia="Arial" w:hAnsi="Arial"/>
          <w:sz w:val="17"/>
          <w:szCs w:val="17"/>
          <w:b w:val="1"/>
          <w:bCs w:val="1"/>
          <w:u w:val="single" w:color="auto"/>
          <w:color w:val="auto"/>
        </w:rPr>
        <w:t>Eligibility</w:t>
      </w:r>
      <w:r>
        <w:rPr>
          <w:rFonts w:ascii="Arial" w:cs="Arial" w:eastAsia="Arial" w:hAnsi="Arial"/>
          <w:sz w:val="17"/>
          <w:szCs w:val="17"/>
          <w:b w:val="1"/>
          <w:bCs w:val="1"/>
          <w:color w:val="auto"/>
        </w:rPr>
        <w:t>.</w:t>
      </w:r>
    </w:p>
    <w:p>
      <w:pPr>
        <w:spacing w:after="0" w:line="233" w:lineRule="exact"/>
        <w:rPr>
          <w:sz w:val="20"/>
          <w:szCs w:val="20"/>
          <w:color w:val="auto"/>
        </w:rPr>
      </w:pPr>
    </w:p>
    <w:p>
      <w:pPr>
        <w:ind w:left="1260"/>
        <w:spacing w:after="0"/>
        <w:tabs>
          <w:tab w:leader="none" w:pos="182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7"/>
          <w:szCs w:val="17"/>
          <w:b w:val="1"/>
          <w:bCs w:val="1"/>
          <w:color w:val="auto"/>
        </w:rPr>
        <w:t xml:space="preserve">Employees Eligible to Participate. </w:t>
      </w:r>
      <w:r>
        <w:rPr>
          <w:rFonts w:ascii="Arial" w:cs="Arial" w:eastAsia="Arial" w:hAnsi="Arial"/>
          <w:sz w:val="17"/>
          <w:szCs w:val="17"/>
          <w:color w:val="auto"/>
        </w:rPr>
        <w:t>Any Employee of a Participating Company is eligible to participate in the Plan except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w:t>
      </w:r>
    </w:p>
    <w:p>
      <w:pPr>
        <w:spacing w:after="0" w:line="178" w:lineRule="exact"/>
        <w:rPr>
          <w:sz w:val="20"/>
          <w:szCs w:val="20"/>
          <w:color w:val="auto"/>
        </w:rPr>
      </w:pPr>
    </w:p>
    <w:p>
      <w:pPr>
        <w:ind w:left="1800" w:hanging="545"/>
        <w:spacing w:after="0"/>
        <w:tabs>
          <w:tab w:leader="none" w:pos="18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Employees who are customarily employed by the Participating Company Group for twenty (20) hours or less per week;</w:t>
      </w:r>
    </w:p>
    <w:p>
      <w:pPr>
        <w:spacing w:after="0" w:line="194" w:lineRule="exact"/>
        <w:rPr>
          <w:rFonts w:ascii="Arial" w:cs="Arial" w:eastAsia="Arial" w:hAnsi="Arial"/>
          <w:sz w:val="17"/>
          <w:szCs w:val="17"/>
          <w:color w:val="auto"/>
        </w:rPr>
      </w:pPr>
    </w:p>
    <w:p>
      <w:pPr>
        <w:ind w:left="1800" w:hanging="545"/>
        <w:spacing w:after="0"/>
        <w:tabs>
          <w:tab w:leader="none" w:pos="18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Employees who are customarily employed by the Participating Company Group for not more than five (5) months in any</w:t>
      </w:r>
    </w:p>
    <w:p>
      <w:pPr>
        <w:spacing w:after="0" w:line="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calendar year; and</w:t>
      </w:r>
    </w:p>
    <w:p>
      <w:pPr>
        <w:spacing w:after="0" w:line="178" w:lineRule="exact"/>
        <w:rPr>
          <w:rFonts w:ascii="Arial" w:cs="Arial" w:eastAsia="Arial" w:hAnsi="Arial"/>
          <w:sz w:val="17"/>
          <w:szCs w:val="17"/>
          <w:color w:val="auto"/>
        </w:rPr>
      </w:pPr>
    </w:p>
    <w:p>
      <w:pPr>
        <w:ind w:firstLine="1255"/>
        <w:spacing w:after="0" w:line="259" w:lineRule="auto"/>
        <w:tabs>
          <w:tab w:leader="none" w:pos="1786" w:val="left"/>
        </w:tabs>
        <w:numPr>
          <w:ilvl w:val="0"/>
          <w:numId w:val="92"/>
        </w:numPr>
        <w:rPr>
          <w:rFonts w:ascii="Arial" w:cs="Arial" w:eastAsia="Arial" w:hAnsi="Arial"/>
          <w:sz w:val="17"/>
          <w:szCs w:val="17"/>
          <w:color w:val="auto"/>
        </w:rPr>
      </w:pPr>
      <w:r>
        <w:rPr>
          <w:rFonts w:ascii="Arial" w:cs="Arial" w:eastAsia="Arial" w:hAnsi="Arial"/>
          <w:sz w:val="17"/>
          <w:szCs w:val="17"/>
          <w:color w:val="auto"/>
        </w:rPr>
        <w:t>Employees who own or hold options to purchase or who, as a result of participation in the Plan, would own or hold options to purchase, stock of the Company or of any Parent Corporation or Subsidiary Corporation possessing five percent (5%) or more of the total combined voting power or value of all classes of stock of such corporation within the meaning of Section 423(b)(3) of the Code.</w:t>
      </w:r>
    </w:p>
    <w:p>
      <w:pPr>
        <w:spacing w:after="0" w:line="14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76200</wp:posOffset>
            </wp:positionV>
            <wp:extent cx="713740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20"/>
          </w:cols>
          <w:pgMar w:left="420" w:top="564" w:right="359" w:bottom="1440" w:gutter="0" w:footer="0" w:header="0"/>
        </w:sectPr>
      </w:pPr>
    </w:p>
    <w:bookmarkStart w:id="71" w:name="page72"/>
    <w:bookmarkEnd w:id="71"/>
    <w:p>
      <w:pPr>
        <w:ind w:right="100" w:firstLine="1247"/>
        <w:spacing w:after="0" w:line="26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color w:val="auto"/>
        </w:rPr>
        <w:t>Leased Employees Excluded.</w:t>
      </w:r>
      <w:r>
        <w:rPr>
          <w:rFonts w:ascii="Arial" w:cs="Arial" w:eastAsia="Arial" w:hAnsi="Arial"/>
          <w:sz w:val="17"/>
          <w:szCs w:val="17"/>
          <w:color w:val="auto"/>
        </w:rPr>
        <w:t xml:space="preserve"> Notwithstanding anything herein to the contrary, any individual performing services for a Participating Company solely through a leasing agency or employment agency shall not be deemed an “Employee” of such Participating Company.</w:t>
      </w:r>
    </w:p>
    <w:p>
      <w:pPr>
        <w:spacing w:after="0" w:line="144" w:lineRule="exact"/>
        <w:rPr>
          <w:sz w:val="20"/>
          <w:szCs w:val="20"/>
          <w:color w:val="auto"/>
        </w:rPr>
      </w:pPr>
    </w:p>
    <w:p>
      <w:pPr>
        <w:ind w:left="1300" w:hanging="772"/>
        <w:spacing w:after="0"/>
        <w:tabs>
          <w:tab w:leader="none" w:pos="1300" w:val="left"/>
        </w:tabs>
        <w:numPr>
          <w:ilvl w:val="0"/>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Offerings</w:t>
      </w:r>
      <w:r>
        <w:rPr>
          <w:rFonts w:ascii="Arial" w:cs="Arial" w:eastAsia="Arial" w:hAnsi="Arial"/>
          <w:sz w:val="17"/>
          <w:szCs w:val="17"/>
          <w:b w:val="1"/>
          <w:bCs w:val="1"/>
          <w:color w:val="auto"/>
        </w:rPr>
        <w:t>.</w:t>
      </w:r>
    </w:p>
    <w:p>
      <w:pPr>
        <w:spacing w:after="0" w:line="235" w:lineRule="exact"/>
        <w:rPr>
          <w:sz w:val="20"/>
          <w:szCs w:val="20"/>
          <w:color w:val="auto"/>
        </w:rPr>
      </w:pPr>
    </w:p>
    <w:p>
      <w:pPr>
        <w:ind w:firstLine="1247"/>
        <w:spacing w:after="0" w:line="245" w:lineRule="auto"/>
        <w:rPr>
          <w:sz w:val="20"/>
          <w:szCs w:val="20"/>
          <w:color w:val="auto"/>
        </w:rPr>
      </w:pPr>
      <w:r>
        <w:rPr>
          <w:rFonts w:ascii="Arial" w:cs="Arial" w:eastAsia="Arial" w:hAnsi="Arial"/>
          <w:sz w:val="17"/>
          <w:szCs w:val="17"/>
          <w:color w:val="auto"/>
        </w:rPr>
        <w:t>6.1 Offering Periods. Except as otherwise set forth below, the Plan shall be implemented by sequential Offerings of six (6) months’ duration (an “Offering Period”). Offerings shall commence on the first days of November and May of each year and end on the last days of the first April and October, respectively, occurring thereafter. Notwithstanding the foregoing, the Board may establish a different term for one or more Offerings or different commencing or ending dates for such Offerings; provided, however, that no Offering may exceed a term of twenty-seven (27) months. An Employee who becomes an Eligible Employee after an Offering Period has commenced shall not be eligible to participate in such Offering but may participate in any subsequent Offering provided such Employee is still an Eligible Employee as of the commencement of any such subsequent Offering. In the event the first or last day of an Offering Period is not a business day, the Company shall specify the business day that will be deemed the first or last day, as the case may be, of the Offering Period.</w:t>
      </w:r>
    </w:p>
    <w:p>
      <w:pPr>
        <w:spacing w:after="0" w:line="156" w:lineRule="exact"/>
        <w:rPr>
          <w:sz w:val="20"/>
          <w:szCs w:val="20"/>
          <w:color w:val="auto"/>
        </w:rPr>
      </w:pPr>
    </w:p>
    <w:p>
      <w:pPr>
        <w:ind w:firstLine="1247"/>
        <w:spacing w:after="0" w:line="26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Governmental Approval;</w:t>
      </w:r>
      <w:r>
        <w:rPr>
          <w:rFonts w:ascii="Arial" w:cs="Arial" w:eastAsia="Arial" w:hAnsi="Arial"/>
          <w:sz w:val="17"/>
          <w:szCs w:val="17"/>
          <w:color w:val="auto"/>
        </w:rPr>
        <w:t xml:space="preserve"> Stockholder Approval. Notwithstanding any other provision of the Plan to the contrary, any Purchase Right granted pursuant to the Plan shall be subject to (a) obtaining all necessary governmental approvals or qualifications of the sale or issuance of the Purchase Rights or the shares of Stock and (b) obtaining stockholder approval of the Plan.</w:t>
      </w:r>
    </w:p>
    <w:p>
      <w:pPr>
        <w:spacing w:after="0" w:line="144" w:lineRule="exact"/>
        <w:rPr>
          <w:sz w:val="20"/>
          <w:szCs w:val="20"/>
          <w:color w:val="auto"/>
        </w:rPr>
      </w:pPr>
    </w:p>
    <w:p>
      <w:pPr>
        <w:ind w:left="1300" w:hanging="772"/>
        <w:spacing w:after="0"/>
        <w:tabs>
          <w:tab w:leader="none" w:pos="1300" w:val="left"/>
        </w:tabs>
        <w:numPr>
          <w:ilvl w:val="0"/>
          <w:numId w:val="94"/>
        </w:numPr>
        <w:rPr>
          <w:rFonts w:ascii="Arial" w:cs="Arial" w:eastAsia="Arial" w:hAnsi="Arial"/>
          <w:sz w:val="17"/>
          <w:szCs w:val="17"/>
          <w:color w:val="auto"/>
        </w:rPr>
      </w:pPr>
      <w:r>
        <w:rPr>
          <w:rFonts w:ascii="Arial" w:cs="Arial" w:eastAsia="Arial" w:hAnsi="Arial"/>
          <w:sz w:val="17"/>
          <w:szCs w:val="17"/>
          <w:b w:val="1"/>
          <w:bCs w:val="1"/>
          <w:u w:val="single" w:color="auto"/>
          <w:color w:val="auto"/>
        </w:rPr>
        <w:t>Participation in the Plan.</w:t>
      </w:r>
    </w:p>
    <w:p>
      <w:pPr>
        <w:spacing w:after="0" w:line="233" w:lineRule="exact"/>
        <w:rPr>
          <w:sz w:val="20"/>
          <w:szCs w:val="20"/>
          <w:color w:val="auto"/>
        </w:rPr>
      </w:pPr>
    </w:p>
    <w:p>
      <w:pPr>
        <w:ind w:firstLine="1247"/>
        <w:spacing w:after="0" w:line="245"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color w:val="auto"/>
        </w:rPr>
        <w:t>Initial Participation.</w:t>
      </w:r>
      <w:r>
        <w:rPr>
          <w:rFonts w:ascii="Arial" w:cs="Arial" w:eastAsia="Arial" w:hAnsi="Arial"/>
          <w:sz w:val="17"/>
          <w:szCs w:val="17"/>
          <w:color w:val="auto"/>
        </w:rPr>
        <w:t xml:space="preserve"> An Eligible Employee shall become a Participant on the first Offering Date after satisfying the eligibility requirements of Section 5 and delivering to the Company’s payroll office or other office designated by the Company not later than the close of business for such office on the last business day before such Offering Date (the “Subscription Date”) a subscription agreement indicating the Employee’s election to participate in the Plan and authorizing payroll deductions. An Eligible Employee who does not deliver a subscription agreement to the Company’s payroll or other designated office on or before the Subscription Date shall not participate in the Plan for that Offering Period or for any subsequent Offering Period unless such Employee subsequently enrolls in the Plan by filing a subscription agreement with the Company by the Subscription Date for such subsequent Offering Period. The Company may, from time to time, change the Subscription Date as deemed advisable by the Company in its sole discretion for proper administration of the Plan.</w:t>
      </w:r>
    </w:p>
    <w:p>
      <w:pPr>
        <w:spacing w:after="0" w:line="158" w:lineRule="exact"/>
        <w:rPr>
          <w:sz w:val="20"/>
          <w:szCs w:val="20"/>
          <w:color w:val="auto"/>
        </w:rPr>
      </w:pPr>
    </w:p>
    <w:p>
      <w:pPr>
        <w:ind w:right="40" w:firstLine="1247"/>
        <w:spacing w:after="0" w:line="24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Continued Participation.</w:t>
      </w:r>
      <w:r>
        <w:rPr>
          <w:rFonts w:ascii="Arial" w:cs="Arial" w:eastAsia="Arial" w:hAnsi="Arial"/>
          <w:sz w:val="17"/>
          <w:szCs w:val="17"/>
          <w:color w:val="auto"/>
        </w:rPr>
        <w:t xml:space="preserve"> A Participant shall automatically participate in each subsequent Offering Period until such time as such Participant (a) ceases to be an Eligible Employee, (b) withdraws from the Plan pursuant to Section 13.2 or (c) terminates employment as provided in Section 14. If a Participant automatically may participate in a subsequent Offering Period pursuant to this Section 7.2, then the Participant is not required to file any additional subscription agreement for such subsequent Offering Period in order to continue participation in the Plan. However, a Participant may file a subscription agreement with respect to a subsequent Offering Period if the Participant desires to change any of the Participant’s elections contained in the Participant’s then effective subscription agreement.</w:t>
      </w:r>
    </w:p>
    <w:p>
      <w:pPr>
        <w:spacing w:after="0" w:line="157" w:lineRule="exact"/>
        <w:rPr>
          <w:sz w:val="20"/>
          <w:szCs w:val="20"/>
          <w:color w:val="auto"/>
        </w:rPr>
      </w:pPr>
    </w:p>
    <w:p>
      <w:pPr>
        <w:ind w:right="240" w:firstLine="701"/>
        <w:spacing w:after="0" w:line="260" w:lineRule="auto"/>
        <w:tabs>
          <w:tab w:leader="none" w:pos="1240" w:val="left"/>
        </w:tabs>
        <w:numPr>
          <w:ilvl w:val="0"/>
          <w:numId w:val="95"/>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 to Purchase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set forth below, during an Offering Period each Participant shall have a Purchase Right</w:t>
      </w:r>
      <w:r>
        <w:rPr>
          <w:rFonts w:ascii="Arial" w:cs="Arial" w:eastAsia="Arial" w:hAnsi="Arial"/>
          <w:sz w:val="17"/>
          <w:szCs w:val="17"/>
          <w:b w:val="1"/>
          <w:bCs w:val="1"/>
          <w:color w:val="auto"/>
        </w:rPr>
        <w:t xml:space="preserve"> </w:t>
      </w:r>
      <w:r>
        <w:rPr>
          <w:rFonts w:ascii="Arial" w:cs="Arial" w:eastAsia="Arial" w:hAnsi="Arial"/>
          <w:sz w:val="17"/>
          <w:szCs w:val="17"/>
          <w:color w:val="auto"/>
        </w:rPr>
        <w:t>consisting of the right to purchase up to 3,000 shares (the “Per Offering Share Limit”). Shares of Stock may only be purchased through a Participant’s payroll deductions pursuant to Section 10.</w:t>
      </w:r>
    </w:p>
    <w:p>
      <w:pPr>
        <w:spacing w:after="0" w:line="14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76200</wp:posOffset>
            </wp:positionV>
            <wp:extent cx="713740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20"/>
          </w:cols>
          <w:pgMar w:left="420" w:top="563" w:right="359" w:bottom="1440" w:gutter="0" w:footer="0" w:header="0"/>
        </w:sectPr>
      </w:pPr>
    </w:p>
    <w:bookmarkStart w:id="72" w:name="page73"/>
    <w:bookmarkEnd w:id="72"/>
    <w:p>
      <w:pPr>
        <w:ind w:right="160" w:firstLine="684"/>
        <w:spacing w:after="0" w:line="243" w:lineRule="auto"/>
        <w:tabs>
          <w:tab w:leader="none" w:pos="1253" w:val="left"/>
        </w:tabs>
        <w:numPr>
          <w:ilvl w:val="1"/>
          <w:numId w:val="96"/>
        </w:numPr>
        <w:rPr>
          <w:rFonts w:ascii="Arial" w:cs="Arial" w:eastAsia="Arial" w:hAnsi="Arial"/>
          <w:sz w:val="17"/>
          <w:szCs w:val="17"/>
          <w:color w:val="auto"/>
        </w:rPr>
      </w:pPr>
      <w:r>
        <w:rPr>
          <w:rFonts w:ascii="Arial" w:cs="Arial" w:eastAsia="Arial" w:hAnsi="Arial"/>
          <w:sz w:val="17"/>
          <w:szCs w:val="17"/>
          <w:b w:val="1"/>
          <w:bCs w:val="1"/>
          <w:u w:val="single" w:color="auto"/>
          <w:color w:val="auto"/>
        </w:rPr>
        <w:t>Purchase Price</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 Price at which each share of Stock may be acquired in a given Offering Period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of all or any portion of a Purchase Right granted under the Plan shall be set by the Board; provided, however, that the Purchase Price shall not be less than eighty five percent (85%) of the lesser of (a) the Fair Market Value of a share of Stock on the Offering Date of the Offering Period, or (b) the Fair Market Value of a share of Stock on the Purchase Date of the Offering Period. Unless otherwise provided by the Board prior to the commencement of an Offering Period, the Purchase Price for that Offering Period shall be eighty five percent (85%) of the lesser of</w:t>
      </w:r>
    </w:p>
    <w:p>
      <w:pPr>
        <w:spacing w:after="0" w:line="2" w:lineRule="exact"/>
        <w:rPr>
          <w:rFonts w:ascii="Arial" w:cs="Arial" w:eastAsia="Arial" w:hAnsi="Arial"/>
          <w:sz w:val="17"/>
          <w:szCs w:val="17"/>
          <w:color w:val="auto"/>
        </w:rPr>
      </w:pPr>
    </w:p>
    <w:p>
      <w:pPr>
        <w:ind w:right="220" w:firstLine="8"/>
        <w:spacing w:after="0" w:line="249" w:lineRule="auto"/>
        <w:tabs>
          <w:tab w:leader="none" w:pos="2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Fair Market Value of a share of Stock on the Offering Date of the Offering Period, or (b) the Fair Market Value of a share of Stock on the Purchase Date of the Offering Period. Notwithstanding anything in the Plan to the contrary, the Purchase Price per share of Stock shall in no event be less than par value.</w:t>
      </w:r>
    </w:p>
    <w:p>
      <w:pPr>
        <w:spacing w:after="0" w:line="153" w:lineRule="exact"/>
        <w:rPr>
          <w:sz w:val="20"/>
          <w:szCs w:val="20"/>
          <w:color w:val="auto"/>
        </w:rPr>
      </w:pPr>
    </w:p>
    <w:p>
      <w:pPr>
        <w:ind w:left="20" w:right="100" w:firstLine="611"/>
        <w:spacing w:after="0" w:line="253" w:lineRule="auto"/>
        <w:tabs>
          <w:tab w:leader="none" w:pos="1252" w:val="left"/>
        </w:tabs>
        <w:numPr>
          <w:ilvl w:val="0"/>
          <w:numId w:val="98"/>
        </w:numPr>
        <w:rPr>
          <w:rFonts w:ascii="Arial" w:cs="Arial" w:eastAsia="Arial" w:hAnsi="Arial"/>
          <w:sz w:val="17"/>
          <w:szCs w:val="17"/>
          <w:color w:val="auto"/>
        </w:rPr>
      </w:pPr>
      <w:r>
        <w:rPr>
          <w:rFonts w:ascii="Arial" w:cs="Arial" w:eastAsia="Arial" w:hAnsi="Arial"/>
          <w:sz w:val="17"/>
          <w:szCs w:val="17"/>
          <w:b w:val="1"/>
          <w:bCs w:val="1"/>
          <w:u w:val="single" w:color="auto"/>
          <w:color w:val="auto"/>
        </w:rPr>
        <w:t>Accumulation of Purchase Price through Payroll Deduction</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Stock which are acquired pursuant to the exercise of</w:t>
      </w:r>
      <w:r>
        <w:rPr>
          <w:rFonts w:ascii="Arial" w:cs="Arial" w:eastAsia="Arial" w:hAnsi="Arial"/>
          <w:sz w:val="17"/>
          <w:szCs w:val="17"/>
          <w:b w:val="1"/>
          <w:bCs w:val="1"/>
          <w:color w:val="auto"/>
        </w:rPr>
        <w:t xml:space="preserve"> </w:t>
      </w:r>
      <w:r>
        <w:rPr>
          <w:rFonts w:ascii="Arial" w:cs="Arial" w:eastAsia="Arial" w:hAnsi="Arial"/>
          <w:sz w:val="17"/>
          <w:szCs w:val="17"/>
          <w:color w:val="auto"/>
        </w:rPr>
        <w:t>all or any portion of a Purchase Right for an Offering Period may be paid for only by means of payroll deductions from the Participant’s Compensation accumulated during the Offering Period. Except as set forth below, the amount of Compensation to be deducted from a Participant’s Compensation during each pay period shall be determined by the Participant’s subscription agreement.</w:t>
      </w:r>
    </w:p>
    <w:p>
      <w:pPr>
        <w:spacing w:after="0" w:line="150" w:lineRule="exact"/>
        <w:rPr>
          <w:sz w:val="20"/>
          <w:szCs w:val="20"/>
          <w:color w:val="auto"/>
        </w:rPr>
      </w:pPr>
    </w:p>
    <w:p>
      <w:pPr>
        <w:ind w:left="20" w:right="160" w:firstLine="1247"/>
        <w:spacing w:after="0" w:line="282"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Commencement of Payroll Deductions.</w:t>
      </w:r>
      <w:r>
        <w:rPr>
          <w:rFonts w:ascii="Arial" w:cs="Arial" w:eastAsia="Arial" w:hAnsi="Arial"/>
          <w:sz w:val="17"/>
          <w:szCs w:val="17"/>
          <w:color w:val="auto"/>
        </w:rPr>
        <w:t xml:space="preserve"> Payroll deductions shall commence on the first payday following the Offering Date and shall continue to the end of the Offering Period unless sooner altered or terminated as provided in the Plan.</w:t>
      </w:r>
    </w:p>
    <w:p>
      <w:pPr>
        <w:spacing w:after="0" w:line="125" w:lineRule="exact"/>
        <w:rPr>
          <w:sz w:val="20"/>
          <w:szCs w:val="20"/>
          <w:color w:val="auto"/>
        </w:rPr>
      </w:pPr>
    </w:p>
    <w:p>
      <w:pPr>
        <w:ind w:left="20" w:right="20" w:firstLine="1247"/>
        <w:spacing w:after="0" w:line="250"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Limitations on Payroll Deductions.</w:t>
      </w:r>
      <w:r>
        <w:rPr>
          <w:rFonts w:ascii="Arial" w:cs="Arial" w:eastAsia="Arial" w:hAnsi="Arial"/>
          <w:sz w:val="17"/>
          <w:szCs w:val="17"/>
          <w:color w:val="auto"/>
        </w:rPr>
        <w:t xml:space="preserve"> The amount of payroll deductions with respect to the Plan for any Participant during any pay period shall be in one percent (1%) increments not to exceed ten percent (10%) of the Participant’s Compensation for such pay period. Notwithstanding the foregoing, the Board may change the limits on payroll deductions effective as of a future Offering Date, as determined by the Board. Amounts deducted from Compensation shall be reduced by any amounts contributed by the Participant and applied to the purchase of Company stock pursuant to any other employee stock purchase plan qualifying under Section 423 of the Code.</w:t>
      </w:r>
    </w:p>
    <w:p>
      <w:pPr>
        <w:spacing w:after="0" w:line="151" w:lineRule="exact"/>
        <w:rPr>
          <w:sz w:val="20"/>
          <w:szCs w:val="20"/>
          <w:color w:val="auto"/>
        </w:rPr>
      </w:pPr>
    </w:p>
    <w:p>
      <w:pPr>
        <w:ind w:left="20" w:right="60" w:firstLine="1247"/>
        <w:spacing w:after="0" w:line="25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color w:val="auto"/>
        </w:rPr>
        <w:t>Election to Increase, Decrease or Stop Payroll Deductions.</w:t>
      </w:r>
      <w:r>
        <w:rPr>
          <w:rFonts w:ascii="Arial" w:cs="Arial" w:eastAsia="Arial" w:hAnsi="Arial"/>
          <w:sz w:val="17"/>
          <w:szCs w:val="17"/>
          <w:color w:val="auto"/>
        </w:rPr>
        <w:t xml:space="preserve"> During an Offering Period, a Participant may elect to increase or decrease the amount deducted or stop deductions from his or her Compensation by filing an amended subscription agreement with the Company on or before the “Change Notice Date.” The “Change Notice Date” shall initially be the seventh (7th) day prior to the end of the first pay period for which such election is to be effective; however, the Company may change such Change Notice Date from time to time.</w:t>
      </w:r>
    </w:p>
    <w:p>
      <w:pPr>
        <w:spacing w:after="0" w:line="150" w:lineRule="exact"/>
        <w:rPr>
          <w:sz w:val="20"/>
          <w:szCs w:val="20"/>
          <w:color w:val="auto"/>
        </w:rPr>
      </w:pPr>
    </w:p>
    <w:p>
      <w:pPr>
        <w:ind w:left="20" w:right="240" w:firstLine="1247"/>
        <w:spacing w:after="0" w:line="260"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color w:val="auto"/>
        </w:rPr>
        <w:t>Participant Accounts.</w:t>
      </w:r>
      <w:r>
        <w:rPr>
          <w:rFonts w:ascii="Arial" w:cs="Arial" w:eastAsia="Arial" w:hAnsi="Arial"/>
          <w:sz w:val="17"/>
          <w:szCs w:val="17"/>
          <w:color w:val="auto"/>
        </w:rPr>
        <w:t xml:space="preserve"> Individual Plan accounts shall be maintained for each Participant. All payroll deductions from a Participant’s Compensation shall be credited to such account and shall be deposited with the general funds of the Company. All payroll deductions received or held by the Company may be used by the Company for any corporate purpose.</w:t>
      </w:r>
    </w:p>
    <w:p>
      <w:pPr>
        <w:spacing w:after="0" w:line="144" w:lineRule="exact"/>
        <w:rPr>
          <w:sz w:val="20"/>
          <w:szCs w:val="20"/>
          <w:color w:val="auto"/>
        </w:rPr>
      </w:pPr>
    </w:p>
    <w:p>
      <w:pPr>
        <w:ind w:left="1280"/>
        <w:spacing w:after="0"/>
        <w:tabs>
          <w:tab w:leader="none" w:pos="184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b w:val="1"/>
          <w:bCs w:val="1"/>
          <w:color w:val="auto"/>
        </w:rPr>
        <w:t xml:space="preserve">No Interest Paid. </w:t>
      </w:r>
      <w:r>
        <w:rPr>
          <w:rFonts w:ascii="Arial" w:cs="Arial" w:eastAsia="Arial" w:hAnsi="Arial"/>
          <w:sz w:val="17"/>
          <w:szCs w:val="17"/>
          <w:color w:val="auto"/>
        </w:rPr>
        <w:t>Interest shall not be paid on sums deducted from a Participant’s Compensation pursuant to the Plan.</w:t>
      </w:r>
    </w:p>
    <w:p>
      <w:pPr>
        <w:spacing w:after="0" w:line="194" w:lineRule="exact"/>
        <w:rPr>
          <w:sz w:val="20"/>
          <w:szCs w:val="20"/>
          <w:color w:val="auto"/>
        </w:rPr>
      </w:pPr>
    </w:p>
    <w:p>
      <w:pPr>
        <w:ind w:left="20" w:firstLine="1247"/>
        <w:spacing w:after="0" w:line="246"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color w:val="auto"/>
        </w:rPr>
        <w:t>Company Established Procedures.</w:t>
      </w:r>
      <w:r>
        <w:rPr>
          <w:rFonts w:ascii="Arial" w:cs="Arial" w:eastAsia="Arial" w:hAnsi="Arial"/>
          <w:sz w:val="17"/>
          <w:szCs w:val="17"/>
          <w:color w:val="auto"/>
        </w:rPr>
        <w:t xml:space="preserve"> The Company may, from time to time, establish or change (a) a minimum required payroll deduction amount for participation in an Offering, (b) limitations on the frequency or number of changes in the rate of payroll deduction during an Offering, (c) an exchange ratio applicable to amounts withheld in a currency other than U.S. dollars, (d) payroll deduction in excess of or less than the amount designated by a Participant in order to adjust for delays or mistakes in the Company’s processing of subscription agreements, (e) the date(s) and manner by which the Fair Market Value of a share of Stock is determined for purposes of administration of the Plan, or (f) such other limitations or procedures as deemed advisable by the Company in the Company’s sole discretion which are consistent with the Plan and in accordance with the requirements of Section 423 of the Code.</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76200</wp:posOffset>
            </wp:positionV>
            <wp:extent cx="7137400"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40"/>
          </w:cols>
          <w:pgMar w:left="420" w:top="549" w:right="339" w:bottom="1440" w:gutter="0" w:footer="0" w:header="0"/>
        </w:sectPr>
      </w:pPr>
    </w:p>
    <w:bookmarkStart w:id="73" w:name="page74"/>
    <w:bookmarkEnd w:id="73"/>
    <w:p>
      <w:pPr>
        <w:ind w:left="1300" w:hanging="772"/>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b w:val="1"/>
          <w:bCs w:val="1"/>
          <w:u w:val="single" w:color="auto"/>
          <w:color w:val="auto"/>
        </w:rPr>
        <w:t>Purchase of Shares</w:t>
      </w:r>
      <w:r>
        <w:rPr>
          <w:rFonts w:ascii="Arial" w:cs="Arial" w:eastAsia="Arial" w:hAnsi="Arial"/>
          <w:sz w:val="17"/>
          <w:szCs w:val="17"/>
          <w:b w:val="1"/>
          <w:bCs w:val="1"/>
          <w:color w:val="auto"/>
        </w:rPr>
        <w:t>.</w:t>
      </w:r>
    </w:p>
    <w:p>
      <w:pPr>
        <w:spacing w:after="0" w:line="233" w:lineRule="exact"/>
        <w:rPr>
          <w:sz w:val="20"/>
          <w:szCs w:val="20"/>
          <w:color w:val="auto"/>
        </w:rPr>
      </w:pPr>
    </w:p>
    <w:p>
      <w:pPr>
        <w:ind w:left="20" w:firstLine="1247"/>
        <w:spacing w:after="0" w:line="246"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color w:val="auto"/>
        </w:rPr>
        <w:t>Exercise of Purchase Right.</w:t>
      </w:r>
      <w:r>
        <w:rPr>
          <w:rFonts w:ascii="Arial" w:cs="Arial" w:eastAsia="Arial" w:hAnsi="Arial"/>
          <w:sz w:val="17"/>
          <w:szCs w:val="17"/>
          <w:color w:val="auto"/>
        </w:rPr>
        <w:t xml:space="preserve"> On each Purchase Date, each Participant who has not withdrawn from the Offering or whose participation in the Offering has not terminated on or before such Purchase Date shall automatically acquire pursuant to the exercise of the Participant’s Purchase Right the number of whole shares of Stock arrived at by dividing the total amount of the Participant’s accumulated payroll deductions for the Purchase Period by the Purchase Price; provided, however, in no event shall the number of shares purchased by the Participant during an Offering Period exceed the number of shares subject to the Participant’s Purchase Right or the pro rata allocation under Section 12.2. No shares of Stock shall be purchased on a Purchase Date on behalf of a Participant whose participation in the Offering or the Plan has terminated on or before such Purchase Date.</w:t>
      </w:r>
    </w:p>
    <w:p>
      <w:pPr>
        <w:spacing w:after="0" w:line="157" w:lineRule="exact"/>
        <w:rPr>
          <w:sz w:val="20"/>
          <w:szCs w:val="20"/>
          <w:color w:val="auto"/>
        </w:rPr>
      </w:pPr>
    </w:p>
    <w:p>
      <w:pPr>
        <w:ind w:right="100" w:firstLine="1247"/>
        <w:spacing w:after="0" w:line="253"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color w:val="auto"/>
        </w:rPr>
        <w:t>Return of Cash Balance.</w:t>
      </w:r>
      <w:r>
        <w:rPr>
          <w:rFonts w:ascii="Arial" w:cs="Arial" w:eastAsia="Arial" w:hAnsi="Arial"/>
          <w:sz w:val="17"/>
          <w:szCs w:val="17"/>
          <w:color w:val="auto"/>
        </w:rPr>
        <w:t xml:space="preserve"> Any cash balance remaining in the Participant’s Plan account shall be refunded to the Participant as soon as practicable after the Purchase Date. In the event the cash to be returned to a Participant pursuant to the preceding sentence is an amount less than the amount necessary to purchase a whole share of Stock, the Company may establish procedures whereby such cash is maintained in the Participant’s Plan account and applied toward the purchase of shares of Stock in the subsequent Offering Period.</w:t>
      </w:r>
    </w:p>
    <w:p>
      <w:pPr>
        <w:spacing w:after="0" w:line="150" w:lineRule="exact"/>
        <w:rPr>
          <w:sz w:val="20"/>
          <w:szCs w:val="20"/>
          <w:color w:val="auto"/>
        </w:rPr>
      </w:pPr>
    </w:p>
    <w:p>
      <w:pPr>
        <w:ind w:right="20" w:firstLine="1247"/>
        <w:spacing w:after="0" w:line="250"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color w:val="auto"/>
        </w:rPr>
        <w:t>Tax Withholding.</w:t>
      </w:r>
      <w:r>
        <w:rPr>
          <w:rFonts w:ascii="Arial" w:cs="Arial" w:eastAsia="Arial" w:hAnsi="Arial"/>
          <w:sz w:val="17"/>
          <w:szCs w:val="17"/>
          <w:color w:val="auto"/>
        </w:rPr>
        <w:t xml:space="preserve"> At the time a Participant’s Purchase Right is exercised, in whole or in part, or at the time a Participant disposes of some or all of the shares of Stock he or she acquires under the Plan, the Participant shall make adequate provision for the foreign, federal, state and local tax withholding obligations of the Participating Company Group, if any, which arise upon exercise of the Purchase Right or upon such disposition of shares, respectively. The Participating Company Group may, but shall not be obligated to, withhold from the Participant’s compensation the amount necessary to meet such withholding obligations.</w:t>
      </w:r>
    </w:p>
    <w:p>
      <w:pPr>
        <w:spacing w:after="0" w:line="151" w:lineRule="exact"/>
        <w:rPr>
          <w:sz w:val="20"/>
          <w:szCs w:val="20"/>
          <w:color w:val="auto"/>
        </w:rPr>
      </w:pPr>
    </w:p>
    <w:p>
      <w:pPr>
        <w:ind w:right="120" w:firstLine="1247"/>
        <w:spacing w:after="0" w:line="282"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b w:val="1"/>
          <w:bCs w:val="1"/>
          <w:color w:val="auto"/>
        </w:rPr>
        <w:t>Expiration of Purchase Right.</w:t>
      </w:r>
      <w:r>
        <w:rPr>
          <w:rFonts w:ascii="Arial" w:cs="Arial" w:eastAsia="Arial" w:hAnsi="Arial"/>
          <w:sz w:val="17"/>
          <w:szCs w:val="17"/>
          <w:color w:val="auto"/>
        </w:rPr>
        <w:t xml:space="preserve"> Any portion of a Participant’s Purchase Right remaining unexercised after the end of the Offering Period to which such Purchase Right relates shall expire immediately upon the end of such Offering Period.</w:t>
      </w:r>
    </w:p>
    <w:p>
      <w:pPr>
        <w:spacing w:after="0" w:line="125" w:lineRule="exact"/>
        <w:rPr>
          <w:sz w:val="20"/>
          <w:szCs w:val="20"/>
          <w:color w:val="auto"/>
        </w:rPr>
      </w:pPr>
    </w:p>
    <w:p>
      <w:pPr>
        <w:ind w:left="1300" w:hanging="772"/>
        <w:spacing w:after="0"/>
        <w:tabs>
          <w:tab w:leader="none" w:pos="1300" w:val="left"/>
        </w:tabs>
        <w:numPr>
          <w:ilvl w:val="0"/>
          <w:numId w:val="100"/>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Limitations on Purchase of Shares; Rights as a Stockholder</w:t>
      </w:r>
      <w:r>
        <w:rPr>
          <w:rFonts w:ascii="Arial" w:cs="Arial" w:eastAsia="Arial" w:hAnsi="Arial"/>
          <w:sz w:val="17"/>
          <w:szCs w:val="17"/>
          <w:b w:val="1"/>
          <w:bCs w:val="1"/>
          <w:color w:val="auto"/>
        </w:rPr>
        <w:t>.</w:t>
      </w:r>
    </w:p>
    <w:p>
      <w:pPr>
        <w:spacing w:after="0" w:line="233" w:lineRule="exact"/>
        <w:rPr>
          <w:sz w:val="20"/>
          <w:szCs w:val="20"/>
          <w:color w:val="auto"/>
        </w:rPr>
      </w:pPr>
    </w:p>
    <w:p>
      <w:pPr>
        <w:ind w:right="20" w:firstLine="1247"/>
        <w:spacing w:after="0" w:line="247"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color w:val="auto"/>
        </w:rPr>
        <w:t>Fair Market Value Limitation.</w:t>
      </w:r>
      <w:r>
        <w:rPr>
          <w:rFonts w:ascii="Arial" w:cs="Arial" w:eastAsia="Arial" w:hAnsi="Arial"/>
          <w:sz w:val="17"/>
          <w:szCs w:val="17"/>
          <w:color w:val="auto"/>
        </w:rPr>
        <w:t xml:space="preserve"> Notwithstanding any other provision of the Plan, no Participant shall be entitled to purchase shares of Stock under the Plan (or any other employee stock purchase plan which is intended to meet the requirements of Section 423 of the Code sponsored by the Company or a Parent Corporation or Subsidiary Corporation at a rate which exceeds $25,000 in Fair Market Value, which Fair Market Value is determined for shares purchased during a given Offering Period as of the Offering Date (or such other limit as may be imposed by the Code), for each calendar year in which the Participant participates in the Plan (or any other employee stock purchase plan described in this sentence).</w:t>
      </w:r>
    </w:p>
    <w:p>
      <w:pPr>
        <w:spacing w:after="0" w:line="157" w:lineRule="exact"/>
        <w:rPr>
          <w:sz w:val="20"/>
          <w:szCs w:val="20"/>
          <w:color w:val="auto"/>
        </w:rPr>
      </w:pPr>
    </w:p>
    <w:p>
      <w:pPr>
        <w:ind w:right="20" w:firstLine="1247"/>
        <w:spacing w:after="0" w:line="253"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b w:val="1"/>
          <w:bCs w:val="1"/>
          <w:color w:val="auto"/>
        </w:rPr>
        <w:t>Pro Rata Allocation.</w:t>
      </w:r>
      <w:r>
        <w:rPr>
          <w:rFonts w:ascii="Arial" w:cs="Arial" w:eastAsia="Arial" w:hAnsi="Arial"/>
          <w:sz w:val="17"/>
          <w:szCs w:val="17"/>
          <w:color w:val="auto"/>
        </w:rPr>
        <w:t xml:space="preserve"> In the event the number of shares of Stock which might be purchased by all Participants in the Plan exceeds the number of shares of Stock available in the Plan, the Company shall make a pro rata allocation of the remaining shares in as uniform a manner as shall be practicable and as the Company shall determine to be equitable. Any fractional share of Stock remaining from a pro rata allocation under this Section shall be disregarded.</w:t>
      </w:r>
    </w:p>
    <w:p>
      <w:pPr>
        <w:spacing w:after="0" w:line="150" w:lineRule="exact"/>
        <w:rPr>
          <w:sz w:val="20"/>
          <w:szCs w:val="20"/>
          <w:color w:val="auto"/>
        </w:rPr>
      </w:pPr>
    </w:p>
    <w:p>
      <w:pPr>
        <w:ind w:right="20" w:firstLine="1247"/>
        <w:spacing w:after="0" w:line="245"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b w:val="1"/>
          <w:bCs w:val="1"/>
          <w:color w:val="auto"/>
        </w:rPr>
        <w:t>Rights as a Stockholder and Employee.</w:t>
      </w:r>
      <w:r>
        <w:rPr>
          <w:rFonts w:ascii="Arial" w:cs="Arial" w:eastAsia="Arial" w:hAnsi="Arial"/>
          <w:sz w:val="17"/>
          <w:szCs w:val="17"/>
          <w:color w:val="auto"/>
        </w:rPr>
        <w:t xml:space="preserve"> A Participant shall have no rights as a stockholder by virtue of the Participant’s participation in the Plan until the date of the issuance of a stock certificate for the shares of Stock being purchased pursuant to the exercise of the Participant’s Purchase Right. No adjustment shall be made for cash dividends or distributions or other rights for which the record date is prior to the date such stock certificate is issued. Nothing herein shall confer upon a Participant any right to continue in the employ of the Participating Company Group or interfere in any way with any right of the Participating Company Group to terminate the Participant’s employment at any time. Nothing in this Plan affects the Participating Company Group’s right to (a) adjust, reclassify, reorganize, or otherwise change its capital or business structure; (b) merge, consolidate, dissolve, liquidate, sell, or transfer any part of its business or assets; or (c) act as considered necessary or appropriate.</w:t>
      </w:r>
    </w:p>
    <w:p>
      <w:pPr>
        <w:spacing w:after="0" w:line="3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76200</wp:posOffset>
            </wp:positionV>
            <wp:extent cx="7137400"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40"/>
          </w:cols>
          <w:pgMar w:left="420" w:top="563" w:right="339" w:bottom="1440" w:gutter="0" w:footer="0" w:header="0"/>
        </w:sectPr>
      </w:pPr>
    </w:p>
    <w:bookmarkStart w:id="74" w:name="page75"/>
    <w:bookmarkEnd w:id="74"/>
    <w:p>
      <w:pPr>
        <w:ind w:left="1380" w:hanging="772"/>
        <w:spacing w:after="0"/>
        <w:tabs>
          <w:tab w:leader="none" w:pos="1380" w:val="left"/>
        </w:tabs>
        <w:numPr>
          <w:ilvl w:val="0"/>
          <w:numId w:val="101"/>
        </w:numPr>
        <w:rPr>
          <w:rFonts w:ascii="Arial" w:cs="Arial" w:eastAsia="Arial" w:hAnsi="Arial"/>
          <w:sz w:val="17"/>
          <w:szCs w:val="17"/>
          <w:color w:val="auto"/>
        </w:rPr>
      </w:pPr>
      <w:r>
        <w:rPr>
          <w:rFonts w:ascii="Arial" w:cs="Arial" w:eastAsia="Arial" w:hAnsi="Arial"/>
          <w:sz w:val="17"/>
          <w:szCs w:val="17"/>
          <w:b w:val="1"/>
          <w:bCs w:val="1"/>
          <w:u w:val="single" w:color="auto"/>
          <w:color w:val="auto"/>
        </w:rPr>
        <w:t>Withdrawal</w:t>
      </w:r>
      <w:r>
        <w:rPr>
          <w:rFonts w:ascii="Arial" w:cs="Arial" w:eastAsia="Arial" w:hAnsi="Arial"/>
          <w:sz w:val="17"/>
          <w:szCs w:val="17"/>
          <w:b w:val="1"/>
          <w:bCs w:val="1"/>
          <w:color w:val="auto"/>
        </w:rPr>
        <w:t>.</w:t>
      </w:r>
    </w:p>
    <w:p>
      <w:pPr>
        <w:spacing w:after="0" w:line="233" w:lineRule="exact"/>
        <w:rPr>
          <w:sz w:val="20"/>
          <w:szCs w:val="20"/>
          <w:color w:val="auto"/>
        </w:rPr>
      </w:pPr>
    </w:p>
    <w:p>
      <w:pPr>
        <w:ind w:left="80" w:right="80" w:firstLine="1247"/>
        <w:spacing w:after="0" w:line="246"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Withdrawal From an Offering.</w:t>
      </w:r>
      <w:r>
        <w:rPr>
          <w:rFonts w:ascii="Arial" w:cs="Arial" w:eastAsia="Arial" w:hAnsi="Arial"/>
          <w:sz w:val="17"/>
          <w:szCs w:val="17"/>
          <w:color w:val="auto"/>
        </w:rPr>
        <w:t xml:space="preserve"> A Participant may withdraw from an Offering by signing and delivering to the Company’s payroll or other designated office a written notice of withdrawal on a form provided by the Company for such purpose. Such withdrawal may be elected at any time prior to the end of an Offering Period. Unless otherwise indicated, withdrawal from an Offering shall not result in a withdrawal from the Plan or any succeeding Offering therein. A Participant is prohibited from again participating in an Offering at any time following withdrawal from such Offering. The Company may impose, from time to time, a requirement that the notice of withdrawal be on file with the Company’s payroll office or other designated office for a reasonable period prior to the effectiveness of the Participant’s withdrawal from an Offering.</w:t>
      </w:r>
    </w:p>
    <w:p>
      <w:pPr>
        <w:spacing w:after="0" w:line="357" w:lineRule="exact"/>
        <w:rPr>
          <w:sz w:val="20"/>
          <w:szCs w:val="20"/>
          <w:color w:val="auto"/>
        </w:rPr>
      </w:pPr>
    </w:p>
    <w:p>
      <w:pPr>
        <w:ind w:left="80" w:right="40" w:firstLine="1247"/>
        <w:spacing w:after="0" w:line="246"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color w:val="auto"/>
        </w:rPr>
        <w:t>Withdrawal from the Plan.</w:t>
      </w:r>
      <w:r>
        <w:rPr>
          <w:rFonts w:ascii="Arial" w:cs="Arial" w:eastAsia="Arial" w:hAnsi="Arial"/>
          <w:sz w:val="17"/>
          <w:szCs w:val="17"/>
          <w:color w:val="auto"/>
        </w:rPr>
        <w:t xml:space="preserve"> A Participant may withdraw from the Plan by signing and delivering to the Company’s payroll office or other designated office a written notice of withdrawal on a form provided by the Company for such purpose. Withdrawals made after a Purchase Date shall not affect shares of Stock acquired by the Participant on such Purchase Date. In the event a Participant voluntarily elects to withdraw from the Plan, the Participant may not resume participation in the Plan during the same Offering Period, but may participate in any subsequent Offering under the Plan by again satisfying the requirements of Sections 5 and 7.1. The Company may impose, from time to time, a requirement that the notice of withdrawal be on file with the Company’s payroll office or other designated office for a reasonable period prior to the effectiveness of the Participant’s withdrawal from the Plan.</w:t>
      </w:r>
    </w:p>
    <w:p>
      <w:pPr>
        <w:spacing w:after="0" w:line="157" w:lineRule="exact"/>
        <w:rPr>
          <w:sz w:val="20"/>
          <w:szCs w:val="20"/>
          <w:color w:val="auto"/>
        </w:rPr>
      </w:pPr>
    </w:p>
    <w:p>
      <w:pPr>
        <w:ind w:left="80" w:firstLine="1247"/>
        <w:spacing w:after="0" w:line="250"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b w:val="1"/>
          <w:bCs w:val="1"/>
          <w:color w:val="auto"/>
        </w:rPr>
        <w:t>Return of Payroll Deductions.</w:t>
      </w:r>
      <w:r>
        <w:rPr>
          <w:rFonts w:ascii="Arial" w:cs="Arial" w:eastAsia="Arial" w:hAnsi="Arial"/>
          <w:sz w:val="17"/>
          <w:szCs w:val="17"/>
          <w:color w:val="auto"/>
        </w:rPr>
        <w:t xml:space="preserve"> Upon a Participant’s withdrawal from an Offering or the Plan pursuant to Sections 13.1 or 13.2, respectively, the Participant’s accumulated payroll deductions which have not been applied toward the purchase of shares of Stock shall be returned as soon as practicable after the withdrawal, without the payment of any interest, to the Participant, and the Participant’s interest in the Offering or the Plan, as applicable, shall terminate. Such accumulated payroll deductions may not be applied to any other Offering under the Plan.</w:t>
      </w:r>
    </w:p>
    <w:p>
      <w:pPr>
        <w:spacing w:after="0" w:line="355" w:lineRule="exact"/>
        <w:rPr>
          <w:sz w:val="20"/>
          <w:szCs w:val="20"/>
          <w:color w:val="auto"/>
        </w:rPr>
      </w:pPr>
    </w:p>
    <w:p>
      <w:pPr>
        <w:ind w:left="-20" w:right="20" w:firstLine="628"/>
        <w:spacing w:after="0" w:line="246" w:lineRule="auto"/>
        <w:tabs>
          <w:tab w:leader="none" w:pos="1325" w:val="left"/>
        </w:tabs>
        <w:numPr>
          <w:ilvl w:val="0"/>
          <w:numId w:val="102"/>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of Employment or Eligibility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a Participant’s employment with a Participating Company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including retirement, disability or death or the failure of a Participant to remain an Eligible Employee, shall terminate the Participant’s participation in the Plan immediately. In such event, the payroll deductions credited to the Participant’s Plan account since the last Purchase Date shall, as soon as practicable, be returned to the Participant or, in the case of the Participant’s death, to the Participant’s legal representative, and all of the Participant’s rights under the Plan shall terminate. Interest shall not be paid on sums returned to a Participant pursuant to this Section 14. A Participant whose participation has been so terminated may again become eligible to participate in the Plan by again satisfying the requirements of Sections 5 and 7.1.</w:t>
      </w:r>
    </w:p>
    <w:p>
      <w:pPr>
        <w:spacing w:after="0" w:line="156" w:lineRule="exact"/>
        <w:rPr>
          <w:rFonts w:ascii="Arial" w:cs="Arial" w:eastAsia="Arial" w:hAnsi="Arial"/>
          <w:sz w:val="17"/>
          <w:szCs w:val="17"/>
          <w:color w:val="auto"/>
        </w:rPr>
      </w:pPr>
    </w:p>
    <w:p>
      <w:pPr>
        <w:ind w:left="1380" w:hanging="772"/>
        <w:spacing w:after="0"/>
        <w:tabs>
          <w:tab w:leader="none" w:pos="1380" w:val="left"/>
        </w:tabs>
        <w:numPr>
          <w:ilvl w:val="0"/>
          <w:numId w:val="102"/>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 of Control</w:t>
      </w:r>
      <w:r>
        <w:rPr>
          <w:rFonts w:ascii="Arial" w:cs="Arial" w:eastAsia="Arial" w:hAnsi="Arial"/>
          <w:sz w:val="17"/>
          <w:szCs w:val="17"/>
          <w:b w:val="1"/>
          <w:bCs w:val="1"/>
          <w:color w:val="auto"/>
        </w:rPr>
        <w:t>.</w:t>
      </w:r>
    </w:p>
    <w:p>
      <w:pPr>
        <w:spacing w:after="0" w:line="233" w:lineRule="exact"/>
        <w:rPr>
          <w:sz w:val="20"/>
          <w:szCs w:val="20"/>
          <w:color w:val="auto"/>
        </w:rPr>
      </w:pPr>
    </w:p>
    <w:p>
      <w:pPr>
        <w:ind w:left="1340"/>
        <w:spacing w:after="0"/>
        <w:tabs>
          <w:tab w:leader="none" w:pos="1900" w:val="left"/>
        </w:tabs>
        <w:rPr>
          <w:sz w:val="20"/>
          <w:szCs w:val="20"/>
          <w:color w:val="auto"/>
        </w:rPr>
      </w:pPr>
      <w:r>
        <w:rPr>
          <w:rFonts w:ascii="Arial" w:cs="Arial" w:eastAsia="Arial" w:hAnsi="Arial"/>
          <w:sz w:val="17"/>
          <w:szCs w:val="17"/>
          <w:color w:val="auto"/>
        </w:rPr>
        <w:t>15.1</w:t>
      </w:r>
      <w:r>
        <w:rPr>
          <w:sz w:val="20"/>
          <w:szCs w:val="20"/>
          <w:color w:val="auto"/>
        </w:rPr>
        <w:tab/>
      </w:r>
      <w:r>
        <w:rPr>
          <w:rFonts w:ascii="Arial" w:cs="Arial" w:eastAsia="Arial" w:hAnsi="Arial"/>
          <w:sz w:val="17"/>
          <w:szCs w:val="17"/>
          <w:b w:val="1"/>
          <w:bCs w:val="1"/>
          <w:color w:val="auto"/>
        </w:rPr>
        <w:t>Definitions.</w:t>
      </w:r>
    </w:p>
    <w:p>
      <w:pPr>
        <w:spacing w:after="0" w:line="196" w:lineRule="exact"/>
        <w:rPr>
          <w:sz w:val="20"/>
          <w:szCs w:val="20"/>
          <w:color w:val="auto"/>
        </w:rPr>
      </w:pPr>
    </w:p>
    <w:p>
      <w:pPr>
        <w:ind w:left="80" w:right="60" w:firstLine="1255"/>
        <w:spacing w:after="0" w:line="252" w:lineRule="auto"/>
        <w:tabs>
          <w:tab w:leader="none" w:pos="192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 “Ownership Change Event”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76200</wp:posOffset>
            </wp:positionV>
            <wp:extent cx="713740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40" w:top="563" w:right="359" w:bottom="1440" w:gutter="0" w:footer="0" w:header="0"/>
        </w:sectPr>
      </w:pPr>
    </w:p>
    <w:bookmarkStart w:id="75" w:name="page76"/>
    <w:bookmarkEnd w:id="75"/>
    <w:p>
      <w:pPr>
        <w:ind w:right="60" w:firstLine="1255"/>
        <w:spacing w:after="0" w:line="243" w:lineRule="auto"/>
        <w:tabs>
          <w:tab w:leader="none" w:pos="1844"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“Transfer of Control” shall mean an Ownership Change Event or a series of related Ownership Change Events (collectively, the “Transaction”) wherein the stockholders of the Company immediately before the Transaction do not retain immediately after the Transaction, in substantially the same proportions as their ownership of shares of the Company’s voting stock immediately before the Transaction, direct or indirect beneficial ownership of more than fifty percent (50%) of the total combined voting power of the outstanding voting stock of the Company or the corporation or corporations to which the assets of the Company were transferred (the “Transferee Corporation(s)”), as the case may be. For purposes of the preceding sentence, indirect beneficial ownership shall include, without limitation, an interest resulting from ownership of the voting stock of one or more corporations which, as a result of the Transaction, own the Company or the Transferee Corporation(s), as the case may be, either directly or through one or more subsidiary corporations. The Board shall have the right to determine whether multiple sales or exchanges of the voting stock of the Company or multiple Ownership Change Events are related, and its determination shall be final, binding and conclusive.</w:t>
      </w:r>
    </w:p>
    <w:p>
      <w:pPr>
        <w:spacing w:after="0" w:line="163" w:lineRule="exact"/>
        <w:rPr>
          <w:sz w:val="20"/>
          <w:szCs w:val="20"/>
          <w:color w:val="auto"/>
        </w:rPr>
      </w:pPr>
    </w:p>
    <w:p>
      <w:pPr>
        <w:ind w:right="80" w:firstLine="1247"/>
        <w:spacing w:after="0" w:line="242"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b w:val="1"/>
          <w:bCs w:val="1"/>
          <w:color w:val="auto"/>
        </w:rPr>
        <w:t>Effect of Transfer of Control on Purchase Rights.</w:t>
      </w:r>
      <w:r>
        <w:rPr>
          <w:rFonts w:ascii="Arial" w:cs="Arial" w:eastAsia="Arial" w:hAnsi="Arial"/>
          <w:sz w:val="17"/>
          <w:szCs w:val="17"/>
          <w:color w:val="auto"/>
        </w:rPr>
        <w:t xml:space="preserve"> In the event of a Transfer of Control, the surviving, continuing, successor, or purchasing corporation or parent corporation thereof, as the case may be (the “Acquiring Corporation”), may assume the Company’s rights and obligations under the Plan or substitute substantially equivalent Purchase Rights for stock of the Acquiring Corporation. If the Acquiring Corporation elects not to assume or substitute for the outstanding Purchase Rights, the Board shall, notwithstanding any other provision herein to the contrary, adjust the Purchase Date of the then current Offering Period to a date immediately before the date of the Transfer of Control, but shall not adjust the number of shares of Stock subject to any Purchase Right. All Purchase Rights which are neither assumed or substituted for by the Acquiring Corporation in connection with the Transfer of Control nor exercised as of the date of the Transfer of Control shall terminate and cease to be outstanding effective as of the date of the Transfer of Control. Notwithstanding the foregoing, if the corporation the stock of which is subject to the outstanding Purchase Rights immediately prior to an Ownership Change Event described in Section 15.1(a)(i) constituting a Transfer of Control is the surviving or continuing corporation and immediately after such Ownership Change Event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Purchase Rights shall not terminate unless the Board otherwise provides in its sole discretion.</w:t>
      </w:r>
    </w:p>
    <w:p>
      <w:pPr>
        <w:spacing w:after="0" w:line="166" w:lineRule="exact"/>
        <w:rPr>
          <w:sz w:val="20"/>
          <w:szCs w:val="20"/>
          <w:color w:val="auto"/>
        </w:rPr>
      </w:pPr>
    </w:p>
    <w:p>
      <w:pPr>
        <w:ind w:right="100" w:firstLine="632"/>
        <w:spacing w:after="0" w:line="247" w:lineRule="auto"/>
        <w:tabs>
          <w:tab w:leader="none" w:pos="1249" w:val="left"/>
        </w:tabs>
        <w:numPr>
          <w:ilvl w:val="0"/>
          <w:numId w:val="105"/>
        </w:numPr>
        <w:rPr>
          <w:rFonts w:ascii="Arial" w:cs="Arial" w:eastAsia="Arial" w:hAnsi="Arial"/>
          <w:sz w:val="17"/>
          <w:szCs w:val="17"/>
          <w:color w:val="auto"/>
        </w:rPr>
      </w:pPr>
      <w:r>
        <w:rPr>
          <w:rFonts w:ascii="Arial" w:cs="Arial" w:eastAsia="Arial" w:hAnsi="Arial"/>
          <w:sz w:val="17"/>
          <w:szCs w:val="17"/>
          <w:b w:val="1"/>
          <w:bCs w:val="1"/>
          <w:u w:val="single" w:color="auto"/>
          <w:color w:val="auto"/>
        </w:rPr>
        <w:t>Nontransferability of Purchase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 Purchase Right may not be transferred in any manner otherwise than by will or the</w:t>
      </w:r>
      <w:r>
        <w:rPr>
          <w:rFonts w:ascii="Arial" w:cs="Arial" w:eastAsia="Arial" w:hAnsi="Arial"/>
          <w:sz w:val="17"/>
          <w:szCs w:val="17"/>
          <w:b w:val="1"/>
          <w:bCs w:val="1"/>
          <w:color w:val="auto"/>
        </w:rPr>
        <w:t xml:space="preserve"> </w:t>
      </w:r>
      <w:r>
        <w:rPr>
          <w:rFonts w:ascii="Arial" w:cs="Arial" w:eastAsia="Arial" w:hAnsi="Arial"/>
          <w:sz w:val="17"/>
          <w:szCs w:val="17"/>
          <w:color w:val="auto"/>
        </w:rPr>
        <w:t>laws of descent and distribution and shall be exercisable during the lifetime of the Participant only by the Participant. Any attempt to pledge, assign or transfer such Purchase Rights or accumulated payroll deductions shall be treated as an election to withdraw from the Plan. The Company, in its absolute discretion, may impose such restrictions on the transferability of the shares purchasable upon the exercise of a Purchase Right as it deems appropriate and any such restriction shall be set forth in the respective subscription agreement and may be referred to on the certificates evidencing such shares.</w:t>
      </w:r>
    </w:p>
    <w:p>
      <w:pPr>
        <w:spacing w:after="0" w:line="157" w:lineRule="exact"/>
        <w:rPr>
          <w:rFonts w:ascii="Arial" w:cs="Arial" w:eastAsia="Arial" w:hAnsi="Arial"/>
          <w:sz w:val="17"/>
          <w:szCs w:val="17"/>
          <w:color w:val="auto"/>
        </w:rPr>
      </w:pPr>
    </w:p>
    <w:p>
      <w:pPr>
        <w:ind w:firstLine="632"/>
        <w:spacing w:after="0" w:line="250" w:lineRule="auto"/>
        <w:tabs>
          <w:tab w:leader="none" w:pos="1249" w:val="left"/>
        </w:tabs>
        <w:numPr>
          <w:ilvl w:val="0"/>
          <w:numId w:val="105"/>
        </w:numPr>
        <w:rPr>
          <w:rFonts w:ascii="Arial" w:cs="Arial" w:eastAsia="Arial" w:hAnsi="Arial"/>
          <w:sz w:val="17"/>
          <w:szCs w:val="17"/>
          <w:color w:val="auto"/>
        </w:rPr>
      </w:pPr>
      <w:r>
        <w:rPr>
          <w:rFonts w:ascii="Arial" w:cs="Arial" w:eastAsia="Arial" w:hAnsi="Arial"/>
          <w:sz w:val="17"/>
          <w:szCs w:val="17"/>
          <w:b w:val="1"/>
          <w:bCs w:val="1"/>
          <w:u w:val="single" w:color="auto"/>
          <w:color w:val="auto"/>
        </w:rPr>
        <w:t>Reports</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Participant who exercised all or part of his or her Purchase Right for an Offering Period shall receive, as soon as</w:t>
      </w:r>
      <w:r>
        <w:rPr>
          <w:rFonts w:ascii="Arial" w:cs="Arial" w:eastAsia="Arial" w:hAnsi="Arial"/>
          <w:sz w:val="17"/>
          <w:szCs w:val="17"/>
          <w:b w:val="1"/>
          <w:bCs w:val="1"/>
          <w:color w:val="auto"/>
        </w:rPr>
        <w:t xml:space="preserve"> </w:t>
      </w:r>
      <w:r>
        <w:rPr>
          <w:rFonts w:ascii="Arial" w:cs="Arial" w:eastAsia="Arial" w:hAnsi="Arial"/>
          <w:sz w:val="17"/>
          <w:szCs w:val="17"/>
          <w:color w:val="auto"/>
        </w:rPr>
        <w:t>practicable after the Purchase Date, a report of such Participant’s Plan account setting forth the total payroll deductions accumulated, the number of shares of Stock purchased, the Purchase Price for such shares, the date of purchase and the remaining cash balance to be refunded or retained in the Participant’s Plan account pursuant to Section 11.2, if any. Each Participant shall be provided information concerning the Company equivalent to that information generally made available to the Company’s common stockholders.</w:t>
      </w:r>
    </w:p>
    <w:p>
      <w:pPr>
        <w:spacing w:after="0" w:line="15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76200</wp:posOffset>
            </wp:positionV>
            <wp:extent cx="713740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20"/>
          </w:cols>
          <w:pgMar w:left="420" w:top="565" w:right="359" w:bottom="1440" w:gutter="0" w:footer="0" w:header="0"/>
        </w:sectPr>
      </w:pPr>
    </w:p>
    <w:bookmarkStart w:id="76" w:name="page77"/>
    <w:bookmarkEnd w:id="76"/>
    <w:p>
      <w:pPr>
        <w:ind w:right="60" w:firstLine="632"/>
        <w:spacing w:after="0" w:line="241" w:lineRule="auto"/>
        <w:tabs>
          <w:tab w:leader="none" w:pos="1249" w:val="left"/>
        </w:tabs>
        <w:numPr>
          <w:ilvl w:val="0"/>
          <w:numId w:val="106"/>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Restriction on Issuance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of shares under the Plan shall be subject to compliance with all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of foreign, federal or state law with respect to such securities. A Purchase Right may not be exercised if the issuance of shares upon such exercise would constitute a violation of any applicable foreign, federal or state securities laws or other law or regulations. In addition, no Purchase Right may be exercised unless (a) a registration statement under the Securities Act of 1933, as amended, shall at the time of exercise of the Purchase Right be in effect with respect to the shares issuable upon exercise of the Purchase Right, or (b) in the opinion of legal counsel to the Company, the shares issuable upon exercise of the Purchase Right may be issued in accordance with the terms of an applicable exemption from the registration requirements of said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the exercise of a Purchase Right, the Company may require the Participant to satisfy any qualifications that may be necessary or appropriate, to evidence compliance with any applicable law or regulation, and to make any representation or warranty with respect thereto as may be requested by the</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w:t>
      </w:r>
    </w:p>
    <w:p>
      <w:pPr>
        <w:spacing w:after="0" w:line="176" w:lineRule="exact"/>
        <w:rPr>
          <w:rFonts w:ascii="Arial" w:cs="Arial" w:eastAsia="Arial" w:hAnsi="Arial"/>
          <w:sz w:val="17"/>
          <w:szCs w:val="17"/>
          <w:color w:val="auto"/>
        </w:rPr>
      </w:pPr>
    </w:p>
    <w:p>
      <w:pPr>
        <w:ind w:firstLine="632"/>
        <w:spacing w:after="0" w:line="250" w:lineRule="auto"/>
        <w:tabs>
          <w:tab w:leader="none" w:pos="1249" w:val="left"/>
        </w:tabs>
        <w:numPr>
          <w:ilvl w:val="0"/>
          <w:numId w:val="106"/>
        </w:numPr>
        <w:rPr>
          <w:rFonts w:ascii="Arial" w:cs="Arial" w:eastAsia="Arial" w:hAnsi="Arial"/>
          <w:sz w:val="17"/>
          <w:szCs w:val="17"/>
          <w:color w:val="auto"/>
        </w:rPr>
      </w:pPr>
      <w:r>
        <w:rPr>
          <w:rFonts w:ascii="Arial" w:cs="Arial" w:eastAsia="Arial" w:hAnsi="Arial"/>
          <w:sz w:val="17"/>
          <w:szCs w:val="17"/>
          <w:b w:val="1"/>
          <w:bCs w:val="1"/>
          <w:u w:val="single" w:color="auto"/>
          <w:color w:val="auto"/>
        </w:rPr>
        <w:t>Legends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at any time place legends or other identifying symbols referencing any applicable foreign,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or state securities law restrictions or any provision convenient in the administration of the Plan on some or all of the certificates representing shares of Stock issued under the Plan. The Participant shall, at the request of the Company, promptly present to the Company any and all certificates representing shares acquired pursuant to a Purchase Right in the possession of the Participant in order to carry out the provisions of this Section. Unless otherwise specified by the Company, legends placed on such certificates may include but shall not be limited to the following:</w:t>
      </w:r>
    </w:p>
    <w:p>
      <w:pPr>
        <w:spacing w:after="0" w:line="153" w:lineRule="exact"/>
        <w:rPr>
          <w:sz w:val="20"/>
          <w:szCs w:val="20"/>
          <w:color w:val="auto"/>
        </w:rPr>
      </w:pPr>
    </w:p>
    <w:p>
      <w:pPr>
        <w:ind w:right="140" w:firstLine="1247"/>
        <w:spacing w:after="0" w:line="247" w:lineRule="auto"/>
        <w:rPr>
          <w:sz w:val="20"/>
          <w:szCs w:val="20"/>
          <w:color w:val="auto"/>
        </w:rPr>
      </w:pPr>
      <w:r>
        <w:rPr>
          <w:rFonts w:ascii="Arial" w:cs="Arial" w:eastAsia="Arial" w:hAnsi="Arial"/>
          <w:sz w:val="17"/>
          <w:szCs w:val="17"/>
          <w:color w:val="auto"/>
        </w:rPr>
        <w:t>“THE SHARES EVIDENCED BY THIS CERTIFICATE WERE ISSUED BY THE CORPORATION TO THE REGISTERED HOLDER UPON THE PURCHASE OF SHARES UNDER AN EMPLOYEE STOCK PURCHASE PLAN AS DEFINED IN SECTION 423 OF THE INTERNAL REVENUE CODE OF 1986, AS AMENDED. THE TRANSFER AGENT FOR THE SHARES EVIDENCED HEREBY SHALL NOTIFY THE CORPORATION IMMEDIATELY OF ANY TRANSFER OF THE SHARES BY THE REGISTERED HOLDER HEREOF. THE REGISTERED HOLDER SHALL HOLD ALL SHARES PURCHASED UNDER THE PLAN IN THE REGISTERED HOLDER’S NAME (AND NOT IN THE NAME OF ANY NOMINEE).”</w:t>
      </w:r>
    </w:p>
    <w:p>
      <w:pPr>
        <w:spacing w:after="0" w:line="155" w:lineRule="exact"/>
        <w:rPr>
          <w:sz w:val="20"/>
          <w:szCs w:val="20"/>
          <w:color w:val="auto"/>
        </w:rPr>
      </w:pPr>
    </w:p>
    <w:p>
      <w:pPr>
        <w:ind w:right="60" w:firstLine="632"/>
        <w:spacing w:after="0" w:line="247" w:lineRule="auto"/>
        <w:tabs>
          <w:tab w:leader="none" w:pos="1249" w:val="left"/>
        </w:tabs>
        <w:numPr>
          <w:ilvl w:val="0"/>
          <w:numId w:val="107"/>
        </w:numPr>
        <w:rPr>
          <w:rFonts w:ascii="Arial" w:cs="Arial" w:eastAsia="Arial" w:hAnsi="Arial"/>
          <w:sz w:val="17"/>
          <w:szCs w:val="17"/>
          <w:color w:val="auto"/>
        </w:rPr>
      </w:pPr>
      <w:r>
        <w:rPr>
          <w:rFonts w:ascii="Arial" w:cs="Arial" w:eastAsia="Arial" w:hAnsi="Arial"/>
          <w:sz w:val="17"/>
          <w:szCs w:val="17"/>
          <w:b w:val="1"/>
          <w:bCs w:val="1"/>
          <w:u w:val="single" w:color="auto"/>
          <w:color w:val="auto"/>
        </w:rPr>
        <w:t>Notification of Sale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require the Participant to give the Company prompt notice of any disposition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acquired by exercise of a Purchase Right within two years from the date of granting such Purchase Right or one year from the date of exercise of such Purchase Right. The Company may require that until such time as a Participant disposes of shares acquired upon exercise of a Purchase Right, the Participant shall hold all such shares in the Participant’s name (and not in the name of any nominee) until the lapse of the time periods with respect to such Purchase Right referred to in the preceding sentence. The Company may direct that the certificates evidencing shares acquired by exercise of a Purchase Right refer to such requirement to give prompt notice of disposition.</w:t>
      </w:r>
    </w:p>
    <w:p>
      <w:pPr>
        <w:spacing w:after="0" w:line="157" w:lineRule="exact"/>
        <w:rPr>
          <w:rFonts w:ascii="Arial" w:cs="Arial" w:eastAsia="Arial" w:hAnsi="Arial"/>
          <w:sz w:val="17"/>
          <w:szCs w:val="17"/>
          <w:color w:val="auto"/>
        </w:rPr>
      </w:pPr>
    </w:p>
    <w:p>
      <w:pPr>
        <w:ind w:right="20" w:firstLine="632"/>
        <w:spacing w:after="0" w:line="243" w:lineRule="auto"/>
        <w:tabs>
          <w:tab w:leader="none" w:pos="1249" w:val="left"/>
        </w:tabs>
        <w:numPr>
          <w:ilvl w:val="0"/>
          <w:numId w:val="107"/>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 or Termination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shall terminate on the earliest to occur of (i) the date on which all available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are issued; or (ii) the date on which the outstanding Purchase Rights are exercised in connection with a Transfer of Control. The Board may at any time amend or terminate the Plan, except that (a) such termination shall not affect Purchase Rights previously granted under the Plan, except as permitted under the Plan, and (b) no amendment may adversely affect a Purchase Right previously granted under the Plan (except to the extent permitted by the Plan or as may be necessary to qualify the Plan as an employee stock purchase plan pursuant to Section 423 of the Code or to obtain qualification or registration of the shares of Stock under applicable foreign, federal or state securities laws). In addition, an amendment to the Plan must be approved by the stockholders of the Company within twelve (12) months of the adoption of such amendment if such amendment would (a) authorize the sale of more shares than are authorized for issuance under the Plan; or (b) change the definition of the corporations that may be designated by the Board as Participating Companies; or (c) materially modify the eligibility requirements of the Plan except as required by changes in the Code; or (d) permit payroll deductions with respect to the Plan in excess of 10% of the Participant’s compensation; or (e) materially increase the benefits which may accrue under the Plan.</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76200</wp:posOffset>
            </wp:positionV>
            <wp:extent cx="713740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40"/>
          </w:cols>
          <w:pgMar w:left="420" w:top="549" w:right="339" w:bottom="1440" w:gutter="0" w:footer="0" w:header="0"/>
        </w:sectPr>
      </w:pPr>
    </w:p>
    <w:bookmarkStart w:id="77" w:name="page78"/>
    <w:bookmarkEnd w:id="77"/>
    <w:p>
      <w:pPr>
        <w:ind w:left="1300" w:hanging="772"/>
        <w:spacing w:after="0"/>
        <w:tabs>
          <w:tab w:leader="none" w:pos="1300" w:val="left"/>
        </w:tabs>
        <w:numPr>
          <w:ilvl w:val="0"/>
          <w:numId w:val="108"/>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33" w:lineRule="exact"/>
        <w:rPr>
          <w:sz w:val="20"/>
          <w:szCs w:val="20"/>
          <w:color w:val="auto"/>
        </w:rPr>
      </w:pPr>
    </w:p>
    <w:p>
      <w:pPr>
        <w:ind w:firstLine="1247"/>
        <w:spacing w:after="0" w:line="247"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b w:val="1"/>
          <w:bCs w:val="1"/>
          <w:color w:val="auto"/>
        </w:rPr>
        <w:t>Beneficiary Designation.</w:t>
      </w:r>
      <w:r>
        <w:rPr>
          <w:rFonts w:ascii="Arial" w:cs="Arial" w:eastAsia="Arial" w:hAnsi="Arial"/>
          <w:sz w:val="17"/>
          <w:szCs w:val="17"/>
          <w:color w:val="auto"/>
        </w:rPr>
        <w:t xml:space="preserve"> A Participant may designate one or more beneficiaries who may exercise the Participant’s rights under the Plan upon the Participant’s death. Any beneficiary designation shall be in the written form the Company requires, revoke all prior designations by the same Participant, and be effective when filed with the Company during the Participant’s lifetime. A married Participant who designates a beneficiary other than a spouse may be required by applicable laws to provide the spouse’s consent. If a Participant dies without a properly designated living beneficiary, the Company shall pay any remaining unpaid benefits under the Plan in accordance with the applicable laws of descent and distribution.</w:t>
      </w:r>
    </w:p>
    <w:p>
      <w:pPr>
        <w:spacing w:after="0" w:line="157" w:lineRule="exact"/>
        <w:rPr>
          <w:sz w:val="20"/>
          <w:szCs w:val="20"/>
          <w:color w:val="auto"/>
        </w:rPr>
      </w:pPr>
    </w:p>
    <w:p>
      <w:pPr>
        <w:ind w:firstLine="1247"/>
        <w:spacing w:after="0" w:line="28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b w:val="1"/>
          <w:bCs w:val="1"/>
          <w:color w:val="auto"/>
        </w:rPr>
        <w:t>Severability.</w:t>
      </w:r>
      <w:r>
        <w:rPr>
          <w:rFonts w:ascii="Arial" w:cs="Arial" w:eastAsia="Arial" w:hAnsi="Arial"/>
          <w:sz w:val="17"/>
          <w:szCs w:val="17"/>
          <w:color w:val="auto"/>
        </w:rPr>
        <w:t xml:space="preserve"> To the extent any term of the Plan is held wholly or partially invalid, illegal, or unenforceable, that term shall be considered modified to the extent necessary to render the remaining portion of the term and any other term valid, legal, and enforceable.</w:t>
      </w:r>
    </w:p>
    <w:p>
      <w:pPr>
        <w:spacing w:after="0" w:line="125" w:lineRule="exact"/>
        <w:rPr>
          <w:sz w:val="20"/>
          <w:szCs w:val="20"/>
          <w:color w:val="auto"/>
        </w:rPr>
      </w:pPr>
    </w:p>
    <w:p>
      <w:pPr>
        <w:ind w:right="280" w:firstLine="1247"/>
        <w:spacing w:after="0" w:line="282"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b w:val="1"/>
          <w:bCs w:val="1"/>
          <w:color w:val="auto"/>
        </w:rPr>
        <w:t>Choice of Law.</w:t>
      </w:r>
      <w:r>
        <w:rPr>
          <w:rFonts w:ascii="Arial" w:cs="Arial" w:eastAsia="Arial" w:hAnsi="Arial"/>
          <w:sz w:val="17"/>
          <w:szCs w:val="17"/>
          <w:color w:val="auto"/>
        </w:rPr>
        <w:t xml:space="preserve"> The Plan is governed by the laws of the State of California, without regard to its conflict-of-law rules, except to the extent U.S. federal law applies.</w:t>
      </w:r>
    </w:p>
    <w:p>
      <w:pPr>
        <w:spacing w:after="0" w:line="127"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 * *</w:t>
      </w:r>
    </w:p>
    <w:p>
      <w:pPr>
        <w:spacing w:after="0" w:line="194"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76200</wp:posOffset>
            </wp:positionV>
            <wp:extent cx="7137400"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060"/>
          </w:cols>
          <w:pgMar w:left="420" w:top="562" w:right="419" w:bottom="1440" w:gutter="0" w:footer="0" w:header="0"/>
        </w:sectPr>
      </w:pPr>
    </w:p>
    <w:bookmarkStart w:id="78" w:name="page79"/>
    <w:bookmarkEnd w:id="78"/>
    <w:p>
      <w:pPr>
        <w:ind w:left="140"/>
        <w:spacing w:after="0"/>
        <w:rPr>
          <w:sz w:val="20"/>
          <w:szCs w:val="20"/>
          <w:color w:val="auto"/>
        </w:rPr>
      </w:pPr>
      <w:r>
        <w:rPr>
          <w:rFonts w:ascii="Arial" w:cs="Arial" w:eastAsia="Arial" w:hAnsi="Arial"/>
          <w:sz w:val="31"/>
          <w:szCs w:val="31"/>
          <w:b w:val="1"/>
          <w:bCs w:val="1"/>
          <w:color w:val="FFFFFF"/>
        </w:rPr>
        <w:drawing>
          <wp:anchor simplePos="0" relativeHeight="251657728" behindDoc="1" locked="0" layoutInCell="0" allowOverlap="1">
            <wp:simplePos x="0" y="0"/>
            <wp:positionH relativeFrom="page">
              <wp:posOffset>205740</wp:posOffset>
            </wp:positionH>
            <wp:positionV relativeFrom="page">
              <wp:posOffset>807085</wp:posOffset>
            </wp:positionV>
            <wp:extent cx="7137400" cy="4787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7400" cy="478790"/>
                    </a:xfrm>
                    <a:prstGeom prst="rect">
                      <a:avLst/>
                    </a:prstGeom>
                    <a:noFill/>
                  </pic:spPr>
                </pic:pic>
              </a:graphicData>
            </a:graphic>
          </wp:anchor>
        </w:drawing>
        <w:t>Annex E: Governance and Fiscal 2025 Compensation Information</w:t>
      </w:r>
    </w:p>
    <w:p>
      <w:pPr>
        <w:spacing w:after="0" w:line="200" w:lineRule="exact"/>
        <w:rPr>
          <w:sz w:val="20"/>
          <w:szCs w:val="20"/>
          <w:color w:val="auto"/>
        </w:rPr>
      </w:pPr>
    </w:p>
    <w:p>
      <w:pPr>
        <w:spacing w:after="0" w:line="209"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This annex provides additional governance and compensation information. Fiscal-year references and historical compensation amounts relate to the periods expressly stated. The historical ratification proposals do not change those compensation arrangements.</w:t>
      </w:r>
    </w:p>
    <w:p>
      <w:pPr>
        <w:spacing w:after="0" w:line="119"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Delinquent Section 16(a) Reports</w:t>
      </w:r>
    </w:p>
    <w:p>
      <w:pPr>
        <w:spacing w:after="0" w:line="19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Section 16(a) of the Securities Exchange Act of 1934, as amended (the “Exchange Act”) requires our officers and directors, and persons who own more than ten percent of a registered class of our equity securities, to file with the SEC reports of ownership of our securities and changes in reported ownership. Based on a review of reports filed with the SEC, or written representations from reporting persons that all reportable transactions transaction were reported, we believe that during the fiscal year ended December 27, 2025, our officers, directors and greater than ten percent owners timely filed all reports they were required to file under Section 16(a), other than one late Form 4 filing for Klaus Ilgenfritz due to administrative delay in obtaining EDGAR codes for his first filings following appointment as an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Corporate Governance</w:t>
      </w:r>
    </w:p>
    <w:p>
      <w:pPr>
        <w:spacing w:after="0" w:line="19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 xml:space="preserve">Cohu has adopted Corporate Governance Guidelines (the “Guidelines”) that outline, among other matters, the role and functions of the Board, the responsibilities of various Board committees, selection of new directors and director independence. The Guidelines are available, along with other important corporate governance materials, on our website at </w:t>
      </w:r>
      <w:r>
        <w:rPr>
          <w:rFonts w:ascii="Arial" w:cs="Arial" w:eastAsia="Arial" w:hAnsi="Arial"/>
          <w:sz w:val="17"/>
          <w:szCs w:val="17"/>
          <w:u w:val="single" w:color="auto"/>
          <w:color w:val="auto"/>
        </w:rPr>
        <w:t>https://cohu.gcs-web.com/corporate-governance/documents-charters</w:t>
      </w:r>
      <w:r>
        <w:rPr>
          <w:rFonts w:ascii="Arial" w:cs="Arial" w:eastAsia="Arial" w:hAnsi="Arial"/>
          <w:sz w:val="17"/>
          <w:szCs w:val="17"/>
          <w:color w:val="auto"/>
        </w:rPr>
        <w:t>. As the operation of the Board is a dynamic process, the Board regularly reviews new or changing legal and regulatory requirements, evolving best practices and other developments, and the Board may modify the Guidelines, as appropriate, from time to time.</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3D85C6"/>
        </w:rPr>
        <w:t>Code of Business Conduct and Ethics</w:t>
      </w:r>
    </w:p>
    <w:p>
      <w:pPr>
        <w:spacing w:after="0" w:line="18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Cohu has adopted a Code of Business Conduct and Ethics (the “Code of Conduct”). The Code of Conduct applies to all of Cohu’s directors and employees including its principal executive officer, principal financial officer and principal accounting officer. The Code of Conduct, among other things, is designed to promote: honest and ethical conduct, including the ethical handling of actual or apparent conflicts of interest between personal and professional relationships; full, fair, accurate, timely and understandable disclosure in reports and documents that Cohu files with, or submits to, the SEC and in other public communications made by Cohu; compliance with applicable governmental laws, rules and regulations; the prompt internal reporting of violations of the Code of Conduct to an appropriate person or persons identified in the Code of Conduct; and accountability for adherence to the Code of Conduct.</w:t>
      </w:r>
    </w:p>
    <w:p>
      <w:pPr>
        <w:spacing w:after="0" w:line="157" w:lineRule="exact"/>
        <w:rPr>
          <w:sz w:val="20"/>
          <w:szCs w:val="20"/>
          <w:color w:val="auto"/>
        </w:rPr>
      </w:pPr>
    </w:p>
    <w:p>
      <w:pPr>
        <w:ind w:right="660"/>
        <w:spacing w:after="0" w:line="280" w:lineRule="auto"/>
        <w:rPr>
          <w:sz w:val="20"/>
          <w:szCs w:val="20"/>
          <w:color w:val="auto"/>
        </w:rPr>
      </w:pPr>
      <w:r>
        <w:rPr>
          <w:rFonts w:ascii="Arial" w:cs="Arial" w:eastAsia="Arial" w:hAnsi="Arial"/>
          <w:sz w:val="17"/>
          <w:szCs w:val="17"/>
          <w:color w:val="auto"/>
        </w:rPr>
        <w:t xml:space="preserve">The Code of Conduct is available at </w:t>
      </w:r>
      <w:r>
        <w:rPr>
          <w:rFonts w:ascii="Arial" w:cs="Arial" w:eastAsia="Arial" w:hAnsi="Arial"/>
          <w:sz w:val="17"/>
          <w:szCs w:val="17"/>
          <w:u w:val="single" w:color="auto"/>
          <w:color w:val="auto"/>
        </w:rPr>
        <w:t>https://cohu.gcs-web.com/corporate-governance/documents-charters</w:t>
      </w:r>
      <w:r>
        <w:rPr>
          <w:rFonts w:ascii="Arial" w:cs="Arial" w:eastAsia="Arial" w:hAnsi="Arial"/>
          <w:sz w:val="17"/>
          <w:szCs w:val="17"/>
          <w:color w:val="auto"/>
        </w:rPr>
        <w:t>. We intend to make all required disclosures concerning any amendments to, or waivers from, our Code of Conduct on our website within four business days.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3D85C6"/>
        </w:rPr>
        <w:t>Insider Trading Policy</w:t>
      </w:r>
    </w:p>
    <w:p>
      <w:pPr>
        <w:spacing w:after="0" w:line="189"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We have adopted an Insider Trading Policy governing transactions in our securities by our directors, officers and employees that we believe is reasonably designed to promote compliance with insider trading laws, rules and regulations and Nasdaq listing standards. A copy of the Insider Trading Policy is filed as Exhibit 19 to our Annual Report on Form 10-K for the year ended December 27, 2025.</w:t>
      </w:r>
    </w:p>
    <w:p>
      <w:pPr>
        <w:spacing w:after="0" w:line="1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80"/>
          </w:cols>
          <w:pgMar w:left="320" w:top="1437" w:right="399" w:bottom="1440" w:gutter="0" w:footer="0" w:header="0"/>
        </w:sectPr>
      </w:pPr>
    </w:p>
    <w:bookmarkStart w:id="79" w:name="page80"/>
    <w:bookmarkEnd w:id="79"/>
    <w:p>
      <w:pPr>
        <w:spacing w:after="0"/>
        <w:rPr>
          <w:sz w:val="20"/>
          <w:szCs w:val="20"/>
          <w:color w:val="auto"/>
        </w:rPr>
      </w:pPr>
      <w:r>
        <w:rPr>
          <w:rFonts w:ascii="Arial" w:cs="Arial" w:eastAsia="Arial" w:hAnsi="Arial"/>
          <w:sz w:val="21"/>
          <w:szCs w:val="21"/>
          <w:b w:val="1"/>
          <w:bCs w:val="1"/>
          <w:color w:val="2D53A6"/>
        </w:rPr>
        <w:t>Board of Directors and Committees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3D85C6"/>
        </w:rPr>
        <w:t>Director Independence</w:t>
      </w:r>
    </w:p>
    <w:p>
      <w:pPr>
        <w:spacing w:after="0" w:line="189" w:lineRule="exact"/>
        <w:rPr>
          <w:sz w:val="20"/>
          <w:szCs w:val="20"/>
          <w:color w:val="auto"/>
        </w:rPr>
      </w:pPr>
    </w:p>
    <w:p>
      <w:pPr>
        <w:ind w:right="620"/>
        <w:spacing w:after="0" w:line="249" w:lineRule="auto"/>
        <w:rPr>
          <w:sz w:val="20"/>
          <w:szCs w:val="20"/>
          <w:color w:val="auto"/>
        </w:rPr>
      </w:pPr>
      <w:r>
        <w:rPr>
          <w:rFonts w:ascii="Arial" w:cs="Arial" w:eastAsia="Arial" w:hAnsi="Arial"/>
          <w:sz w:val="17"/>
          <w:szCs w:val="17"/>
          <w:color w:val="auto"/>
        </w:rPr>
        <w:t>Cohu has adopted standards for director independence pursuant to Nasdaq listing standards and SEC rules, and previously adopted more restrictive guidelines (than set forth by Nasdaq) on the independence of former employee directors and the amounts of compensation for professional services that can be accepted. An “independent director” means a person other than an officer or employee of Cohu or its subsidiaries, or any other individual having a relationship that, in the opinion of the Board, would interfere with the exercise of independent judgment in carrying out the responsibilities of a director.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Board has considered relationships, transactions and/or arrangements with each of the directors and has determined that seven (7) of its nine</w:t>
      </w:r>
    </w:p>
    <w:p>
      <w:pPr>
        <w:spacing w:after="0" w:line="15" w:lineRule="exact"/>
        <w:rPr>
          <w:sz w:val="20"/>
          <w:szCs w:val="20"/>
          <w:color w:val="auto"/>
        </w:rPr>
      </w:pPr>
    </w:p>
    <w:p>
      <w:pPr>
        <w:ind w:firstLine="4"/>
        <w:spacing w:after="0" w:line="260" w:lineRule="auto"/>
        <w:tabs>
          <w:tab w:leader="none" w:pos="2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directors (78% of the Board), namely, Mses. Jorden, Rapp and Richardson and Messrs. Bendush, Bilodeau, Caggia and Mattes, are independent directors in accordance with Nasdaq listing standards and SEC rules. In addition, the Board has also considered and determined that:</w:t>
      </w:r>
    </w:p>
    <w:p>
      <w:pPr>
        <w:spacing w:after="0" w:line="145" w:lineRule="exact"/>
        <w:rPr>
          <w:rFonts w:ascii="Arial" w:cs="Arial" w:eastAsia="Arial" w:hAnsi="Arial"/>
          <w:sz w:val="17"/>
          <w:szCs w:val="17"/>
          <w:color w:val="auto"/>
        </w:rPr>
      </w:pPr>
    </w:p>
    <w:p>
      <w:pPr>
        <w:ind w:left="940" w:right="220" w:hanging="312"/>
        <w:spacing w:after="0" w:line="280" w:lineRule="auto"/>
        <w:tabs>
          <w:tab w:leader="none" w:pos="94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All directors who serve on the Audit, Compensation and Nominating and Governance committees are independent under applicable Nasdaq listing standards and SEC rules.</w:t>
      </w:r>
    </w:p>
    <w:p>
      <w:pPr>
        <w:spacing w:after="0" w:line="128" w:lineRule="exact"/>
        <w:rPr>
          <w:rFonts w:ascii="Arial" w:cs="Arial" w:eastAsia="Arial" w:hAnsi="Arial"/>
          <w:sz w:val="17"/>
          <w:szCs w:val="17"/>
          <w:color w:val="auto"/>
        </w:rPr>
      </w:pPr>
    </w:p>
    <w:p>
      <w:pPr>
        <w:ind w:left="940" w:right="420" w:hanging="312"/>
        <w:spacing w:after="0" w:line="280" w:lineRule="auto"/>
        <w:tabs>
          <w:tab w:leader="none" w:pos="94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All members of the Audit and Compensation Committees meet the additional independence requirements as required by Nasdaq listing standards and SEC rules.</w:t>
      </w:r>
    </w:p>
    <w:p>
      <w:pPr>
        <w:spacing w:after="0" w:line="128" w:lineRule="exact"/>
        <w:rPr>
          <w:rFonts w:ascii="Arial" w:cs="Arial" w:eastAsia="Arial" w:hAnsi="Arial"/>
          <w:sz w:val="17"/>
          <w:szCs w:val="17"/>
          <w:color w:val="auto"/>
        </w:rPr>
      </w:pPr>
    </w:p>
    <w:p>
      <w:pPr>
        <w:ind w:left="940" w:right="480" w:hanging="312"/>
        <w:spacing w:after="0" w:line="280" w:lineRule="auto"/>
        <w:tabs>
          <w:tab w:leader="none" w:pos="94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All members of the Audit Committee, currently Mses. Jorden and Rapp and Mr. Bendush qualify as an “audit committee financial expert” under SEC guidelines.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3D85C6"/>
        </w:rPr>
        <w:t>Board Structure and Committee Composition</w:t>
      </w:r>
    </w:p>
    <w:p>
      <w:pPr>
        <w:spacing w:after="0" w:line="18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 xml:space="preserve">As of the date of this proxy statement, our Board has nine (9) directors. Our Board has three standing committees: (1) Audit, (2) Compensation and (3) Nominating and Governance. The membership and function of each of the committees are described below, and we believe that the composition of these committees meets the criteria for independence, and the functioning of these committees complies with the applicable requirements of the Sarbanes-Oxley Act of 2002, as amended, the current rules of the Nasdaq Global Select Market and applicable SEC rules and regulations. Each committee operates under a written charter adopted by the Board, and each of the charters are available on Cohu’s website at </w:t>
      </w:r>
      <w:r>
        <w:rPr>
          <w:rFonts w:ascii="Arial" w:cs="Arial" w:eastAsia="Arial" w:hAnsi="Arial"/>
          <w:sz w:val="17"/>
          <w:szCs w:val="17"/>
          <w:u w:val="single" w:color="auto"/>
          <w:color w:val="auto"/>
        </w:rPr>
        <w:t>https://cohu.gcs-web.com/corporate-governance/documents-charters</w:t>
      </w:r>
      <w:r>
        <w:rPr>
          <w:rFonts w:ascii="Arial" w:cs="Arial" w:eastAsia="Arial" w:hAnsi="Arial"/>
          <w:sz w:val="17"/>
          <w:szCs w:val="17"/>
          <w:color w:val="auto"/>
        </w:rPr>
        <w:t>.</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During fiscal year 2025, the Board held ten (10) meetings. Each director attended at least 75% of all Board and applicable committee meetings on which they served and held during the period for which they were directors or committee members. Although we do not have a formal policy regarding attendance by members of our Board at annual meetings of stockholders, we encourage all of our directors to attend annual meetings of Cohu stockholders and all our continuing directors at that time virtually attended the 2025 Annual Meeting.</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Cohu’s Corporate Governance Guidelines set forth the circumstances in which the Nominating and Governance Committee shall nominate an independent director to serve as the Lead Independent Director, the selection of whom shall be subject to approval by a vote of the majority of the independent directors.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55" w:right="35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The table below breaks down committee membership, as of the date of this proxy statement, for each committee and each director.</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4500" w:type="dxa"/>
            <w:vAlign w:val="bottom"/>
            <w:tcBorders>
              <w:top w:val="single" w:sz="8" w:color="3D85C6"/>
              <w:left w:val="single" w:sz="8" w:color="3D85C6"/>
              <w:right w:val="single" w:sz="8" w:color="3D85C6"/>
            </w:tcBorders>
            <w:vMerge w:val="restart"/>
            <w:shd w:val="clear" w:color="auto" w:fill="2D53A6"/>
          </w:tcPr>
          <w:p>
            <w:pPr>
              <w:ind w:left="180"/>
              <w:spacing w:after="0"/>
              <w:rPr>
                <w:sz w:val="20"/>
                <w:szCs w:val="20"/>
                <w:color w:val="auto"/>
              </w:rPr>
            </w:pPr>
            <w:r>
              <w:rPr>
                <w:rFonts w:ascii="Arial" w:cs="Arial" w:eastAsia="Arial" w:hAnsi="Arial"/>
                <w:sz w:val="17"/>
                <w:szCs w:val="17"/>
                <w:b w:val="1"/>
                <w:bCs w:val="1"/>
                <w:color w:val="FFFFFF"/>
              </w:rPr>
              <w:t>Name of Director</w:t>
            </w:r>
          </w:p>
        </w:tc>
        <w:tc>
          <w:tcPr>
            <w:tcW w:w="2260" w:type="dxa"/>
            <w:vAlign w:val="bottom"/>
            <w:tcBorders>
              <w:top w:val="single" w:sz="8" w:color="2D53A6"/>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Audit</w:t>
            </w:r>
          </w:p>
        </w:tc>
        <w:tc>
          <w:tcPr>
            <w:tcW w:w="2240" w:type="dxa"/>
            <w:vAlign w:val="bottom"/>
            <w:tcBorders>
              <w:top w:val="single" w:sz="8" w:color="2D53A6"/>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Compensation</w:t>
            </w:r>
          </w:p>
        </w:tc>
        <w:tc>
          <w:tcPr>
            <w:tcW w:w="2260" w:type="dxa"/>
            <w:vAlign w:val="bottom"/>
            <w:tcBorders>
              <w:top w:val="single" w:sz="8" w:color="2D53A6"/>
              <w:right w:val="single" w:sz="8" w:color="3D85C6"/>
            </w:tcBorders>
            <w:shd w:val="clear" w:color="auto" w:fill="2D53A6"/>
          </w:tcPr>
          <w:p>
            <w:pPr>
              <w:jc w:val="center"/>
              <w:spacing w:after="0" w:line="193" w:lineRule="exact"/>
              <w:rPr>
                <w:sz w:val="20"/>
                <w:szCs w:val="20"/>
                <w:color w:val="auto"/>
              </w:rPr>
            </w:pPr>
            <w:r>
              <w:rPr>
                <w:rFonts w:ascii="Arial" w:cs="Arial" w:eastAsia="Arial" w:hAnsi="Arial"/>
                <w:sz w:val="17"/>
                <w:szCs w:val="17"/>
                <w:b w:val="1"/>
                <w:bCs w:val="1"/>
                <w:color w:val="FFFFFF"/>
              </w:rPr>
              <w:t>Nominating and</w:t>
            </w:r>
          </w:p>
        </w:tc>
        <w:tc>
          <w:tcPr>
            <w:tcW w:w="0" w:type="dxa"/>
            <w:vAlign w:val="bottom"/>
          </w:tcPr>
          <w:p>
            <w:pPr>
              <w:spacing w:after="0"/>
              <w:rPr>
                <w:sz w:val="1"/>
                <w:szCs w:val="1"/>
                <w:color w:val="auto"/>
              </w:rPr>
            </w:pPr>
          </w:p>
        </w:tc>
      </w:tr>
      <w:tr>
        <w:trPr>
          <w:trHeight w:val="135"/>
        </w:trPr>
        <w:tc>
          <w:tcPr>
            <w:tcW w:w="4500" w:type="dxa"/>
            <w:vAlign w:val="bottom"/>
            <w:tcBorders>
              <w:left w:val="single" w:sz="8" w:color="3D85C6"/>
              <w:right w:val="single" w:sz="8" w:color="3D85C6"/>
            </w:tcBorders>
            <w:vMerge w:val="continue"/>
            <w:shd w:val="clear" w:color="auto" w:fill="2D53A6"/>
          </w:tcPr>
          <w:p>
            <w:pPr>
              <w:spacing w:after="0"/>
              <w:rPr>
                <w:sz w:val="11"/>
                <w:szCs w:val="11"/>
                <w:color w:val="auto"/>
              </w:rPr>
            </w:pPr>
          </w:p>
        </w:tc>
        <w:tc>
          <w:tcPr>
            <w:tcW w:w="2260" w:type="dxa"/>
            <w:vAlign w:val="bottom"/>
            <w:tcBorders>
              <w:right w:val="single" w:sz="8" w:color="3D85C6"/>
            </w:tcBorders>
            <w:vMerge w:val="continue"/>
            <w:shd w:val="clear" w:color="auto" w:fill="2D53A6"/>
          </w:tcPr>
          <w:p>
            <w:pPr>
              <w:spacing w:after="0"/>
              <w:rPr>
                <w:sz w:val="11"/>
                <w:szCs w:val="11"/>
                <w:color w:val="auto"/>
              </w:rPr>
            </w:pPr>
          </w:p>
        </w:tc>
        <w:tc>
          <w:tcPr>
            <w:tcW w:w="2240" w:type="dxa"/>
            <w:vAlign w:val="bottom"/>
            <w:tcBorders>
              <w:right w:val="single" w:sz="8" w:color="3D85C6"/>
            </w:tcBorders>
            <w:vMerge w:val="continue"/>
            <w:shd w:val="clear" w:color="auto" w:fill="2D53A6"/>
          </w:tcPr>
          <w:p>
            <w:pPr>
              <w:spacing w:after="0"/>
              <w:rPr>
                <w:sz w:val="11"/>
                <w:szCs w:val="11"/>
                <w:color w:val="auto"/>
              </w:rPr>
            </w:pPr>
          </w:p>
        </w:tc>
        <w:tc>
          <w:tcPr>
            <w:tcW w:w="226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Governance</w:t>
            </w:r>
          </w:p>
        </w:tc>
        <w:tc>
          <w:tcPr>
            <w:tcW w:w="0" w:type="dxa"/>
            <w:vAlign w:val="bottom"/>
          </w:tcPr>
          <w:p>
            <w:pPr>
              <w:spacing w:after="0"/>
              <w:rPr>
                <w:sz w:val="1"/>
                <w:szCs w:val="1"/>
                <w:color w:val="auto"/>
              </w:rPr>
            </w:pPr>
          </w:p>
        </w:tc>
      </w:tr>
      <w:tr>
        <w:trPr>
          <w:trHeight w:val="99"/>
        </w:trPr>
        <w:tc>
          <w:tcPr>
            <w:tcW w:w="4500" w:type="dxa"/>
            <w:vAlign w:val="bottom"/>
            <w:tcBorders>
              <w:left w:val="single" w:sz="8" w:color="3D85C6"/>
              <w:bottom w:val="single" w:sz="8" w:color="3D85C6"/>
              <w:right w:val="single" w:sz="8" w:color="3D85C6"/>
            </w:tcBorders>
            <w:shd w:val="clear" w:color="auto" w:fill="2D53A6"/>
          </w:tcPr>
          <w:p>
            <w:pPr>
              <w:spacing w:after="0"/>
              <w:rPr>
                <w:sz w:val="8"/>
                <w:szCs w:val="8"/>
                <w:color w:val="auto"/>
              </w:rPr>
            </w:pPr>
          </w:p>
        </w:tc>
        <w:tc>
          <w:tcPr>
            <w:tcW w:w="2260" w:type="dxa"/>
            <w:vAlign w:val="bottom"/>
            <w:tcBorders>
              <w:bottom w:val="single" w:sz="8" w:color="3D85C6"/>
              <w:right w:val="single" w:sz="8" w:color="3D85C6"/>
            </w:tcBorders>
            <w:shd w:val="clear" w:color="auto" w:fill="2D53A6"/>
          </w:tcPr>
          <w:p>
            <w:pPr>
              <w:spacing w:after="0"/>
              <w:rPr>
                <w:sz w:val="8"/>
                <w:szCs w:val="8"/>
                <w:color w:val="auto"/>
              </w:rPr>
            </w:pPr>
          </w:p>
        </w:tc>
        <w:tc>
          <w:tcPr>
            <w:tcW w:w="2240" w:type="dxa"/>
            <w:vAlign w:val="bottom"/>
            <w:tcBorders>
              <w:bottom w:val="single" w:sz="8" w:color="3D85C6"/>
              <w:right w:val="single" w:sz="8" w:color="3D85C6"/>
            </w:tcBorders>
            <w:shd w:val="clear" w:color="auto" w:fill="2D53A6"/>
          </w:tcPr>
          <w:p>
            <w:pPr>
              <w:spacing w:after="0"/>
              <w:rPr>
                <w:sz w:val="8"/>
                <w:szCs w:val="8"/>
                <w:color w:val="auto"/>
              </w:rPr>
            </w:pPr>
          </w:p>
        </w:tc>
        <w:tc>
          <w:tcPr>
            <w:tcW w:w="2260" w:type="dxa"/>
            <w:vAlign w:val="bottom"/>
            <w:tcBorders>
              <w:bottom w:val="single" w:sz="8" w:color="3D85C6"/>
              <w:right w:val="single" w:sz="8" w:color="3D85C6"/>
            </w:tcBorders>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500" w:type="dxa"/>
            <w:vAlign w:val="bottom"/>
            <w:tcBorders>
              <w:left w:val="single" w:sz="8" w:color="3D85C6"/>
              <w:bottom w:val="single" w:sz="8" w:color="3D85C6"/>
              <w:right w:val="single" w:sz="8" w:color="3D85C6"/>
            </w:tcBorders>
          </w:tcPr>
          <w:p>
            <w:pPr>
              <w:ind w:left="180"/>
              <w:spacing w:after="0" w:line="168" w:lineRule="exact"/>
              <w:rPr>
                <w:sz w:val="20"/>
                <w:szCs w:val="20"/>
                <w:color w:val="auto"/>
              </w:rPr>
            </w:pPr>
            <w:r>
              <w:rPr>
                <w:rFonts w:ascii="Arial" w:cs="Arial" w:eastAsia="Arial" w:hAnsi="Arial"/>
                <w:sz w:val="17"/>
                <w:szCs w:val="17"/>
                <w:b w:val="1"/>
                <w:bCs w:val="1"/>
                <w:i w:val="1"/>
                <w:iCs w:val="1"/>
                <w:color w:val="auto"/>
              </w:rPr>
              <w:t>Independent Directors:</w:t>
            </w:r>
          </w:p>
        </w:tc>
        <w:tc>
          <w:tcPr>
            <w:tcW w:w="2260" w:type="dxa"/>
            <w:vAlign w:val="bottom"/>
            <w:tcBorders>
              <w:bottom w:val="single" w:sz="8" w:color="3D85C6"/>
              <w:right w:val="single" w:sz="8" w:color="3D85C6"/>
            </w:tcBorders>
          </w:tcPr>
          <w:p>
            <w:pPr>
              <w:spacing w:after="0"/>
              <w:rPr>
                <w:sz w:val="14"/>
                <w:szCs w:val="14"/>
                <w:color w:val="auto"/>
              </w:rPr>
            </w:pPr>
          </w:p>
        </w:tc>
        <w:tc>
          <w:tcPr>
            <w:tcW w:w="2240" w:type="dxa"/>
            <w:vAlign w:val="bottom"/>
            <w:tcBorders>
              <w:bottom w:val="single" w:sz="8" w:color="3D85C6"/>
              <w:right w:val="single" w:sz="8" w:color="3D85C6"/>
            </w:tcBorders>
          </w:tcPr>
          <w:p>
            <w:pPr>
              <w:spacing w:after="0"/>
              <w:rPr>
                <w:sz w:val="14"/>
                <w:szCs w:val="14"/>
                <w:color w:val="auto"/>
              </w:rPr>
            </w:pPr>
          </w:p>
        </w:tc>
        <w:tc>
          <w:tcPr>
            <w:tcW w:w="2260" w:type="dxa"/>
            <w:vAlign w:val="bottom"/>
            <w:tcBorders>
              <w:bottom w:val="single" w:sz="8" w:color="3D85C6"/>
              <w:right w:val="single" w:sz="8" w:color="3D85C6"/>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00" w:type="dxa"/>
            <w:vAlign w:val="bottom"/>
            <w:tcBorders>
              <w:left w:val="single" w:sz="8" w:color="3D85C6"/>
              <w:bottom w:val="single" w:sz="8" w:color="3D85C6"/>
              <w:right w:val="single" w:sz="8" w:color="3D85C6"/>
            </w:tcBorders>
            <w:shd w:val="clear" w:color="auto" w:fill="E6E6E6"/>
          </w:tcPr>
          <w:p>
            <w:pPr>
              <w:ind w:left="180"/>
              <w:spacing w:after="0" w:line="188" w:lineRule="exact"/>
              <w:rPr>
                <w:sz w:val="20"/>
                <w:szCs w:val="20"/>
                <w:color w:val="auto"/>
              </w:rPr>
            </w:pPr>
            <w:r>
              <w:rPr>
                <w:rFonts w:ascii="Arial" w:cs="Arial" w:eastAsia="Arial" w:hAnsi="Arial"/>
                <w:sz w:val="17"/>
                <w:szCs w:val="17"/>
                <w:color w:val="auto"/>
              </w:rPr>
              <w:t>William E. Bendush</w:t>
            </w:r>
          </w:p>
        </w:tc>
        <w:tc>
          <w:tcPr>
            <w:tcW w:w="2260" w:type="dxa"/>
            <w:vAlign w:val="bottom"/>
            <w:tcBorders>
              <w:bottom w:val="single" w:sz="8" w:color="3D85C6"/>
              <w:right w:val="single" w:sz="8" w:color="3D85C6"/>
            </w:tcBorders>
            <w:shd w:val="clear" w:color="auto" w:fill="E6E6E6"/>
          </w:tcPr>
          <w:p>
            <w:pPr>
              <w:jc w:val="center"/>
              <w:spacing w:after="0" w:line="188" w:lineRule="exact"/>
              <w:rPr>
                <w:sz w:val="20"/>
                <w:szCs w:val="20"/>
                <w:color w:val="auto"/>
              </w:rPr>
            </w:pPr>
            <w:r>
              <w:rPr>
                <w:rFonts w:ascii="Arial" w:cs="Arial" w:eastAsia="Arial" w:hAnsi="Arial"/>
                <w:sz w:val="17"/>
                <w:szCs w:val="17"/>
                <w:color w:val="auto"/>
                <w:w w:val="98"/>
              </w:rPr>
              <w:t>Chair</w:t>
            </w:r>
          </w:p>
        </w:tc>
        <w:tc>
          <w:tcPr>
            <w:tcW w:w="2240" w:type="dxa"/>
            <w:vAlign w:val="bottom"/>
            <w:tcBorders>
              <w:bottom w:val="single" w:sz="8" w:color="3D85C6"/>
              <w:right w:val="single" w:sz="8" w:color="3D85C6"/>
            </w:tcBorders>
            <w:shd w:val="clear" w:color="auto" w:fill="E6E6E6"/>
          </w:tcPr>
          <w:p>
            <w:pPr>
              <w:spacing w:after="0"/>
              <w:rPr>
                <w:sz w:val="16"/>
                <w:szCs w:val="16"/>
                <w:color w:val="auto"/>
              </w:rPr>
            </w:pPr>
          </w:p>
        </w:tc>
        <w:tc>
          <w:tcPr>
            <w:tcW w:w="2260" w:type="dxa"/>
            <w:vAlign w:val="bottom"/>
            <w:tcBorders>
              <w:bottom w:val="single" w:sz="8" w:color="3D85C6"/>
              <w:right w:val="single" w:sz="8" w:color="3D85C6"/>
            </w:tcBorders>
            <w:shd w:val="clear" w:color="auto" w:fill="E6E6E6"/>
          </w:tcPr>
          <w:p>
            <w:pPr>
              <w:jc w:val="center"/>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4500" w:type="dxa"/>
            <w:vAlign w:val="bottom"/>
            <w:tcBorders>
              <w:left w:val="single" w:sz="8" w:color="3D85C6"/>
              <w:bottom w:val="single" w:sz="8" w:color="3D85C6"/>
              <w:right w:val="single" w:sz="8" w:color="3D85C6"/>
            </w:tcBorders>
          </w:tcPr>
          <w:p>
            <w:pPr>
              <w:ind w:left="180"/>
              <w:spacing w:after="0" w:line="188" w:lineRule="exact"/>
              <w:rPr>
                <w:sz w:val="20"/>
                <w:szCs w:val="20"/>
                <w:color w:val="auto"/>
              </w:rPr>
            </w:pPr>
            <w:r>
              <w:rPr>
                <w:rFonts w:ascii="Arial" w:cs="Arial" w:eastAsia="Arial" w:hAnsi="Arial"/>
                <w:sz w:val="17"/>
                <w:szCs w:val="17"/>
                <w:color w:val="auto"/>
              </w:rPr>
              <w:t>Steven J. Bilodeau</w:t>
            </w:r>
            <w:r>
              <w:rPr>
                <w:rFonts w:ascii="Arial" w:cs="Arial" w:eastAsia="Arial" w:hAnsi="Arial"/>
                <w:sz w:val="14"/>
                <w:szCs w:val="14"/>
                <w:color w:val="auto"/>
              </w:rPr>
              <w:t>(1)</w:t>
            </w:r>
          </w:p>
        </w:tc>
        <w:tc>
          <w:tcPr>
            <w:tcW w:w="2260" w:type="dxa"/>
            <w:vAlign w:val="bottom"/>
            <w:tcBorders>
              <w:bottom w:val="single" w:sz="8" w:color="3D85C6"/>
              <w:right w:val="single" w:sz="8" w:color="3D85C6"/>
            </w:tcBorders>
          </w:tcPr>
          <w:p>
            <w:pPr>
              <w:spacing w:after="0"/>
              <w:rPr>
                <w:sz w:val="16"/>
                <w:szCs w:val="16"/>
                <w:color w:val="auto"/>
              </w:rPr>
            </w:pPr>
          </w:p>
        </w:tc>
        <w:tc>
          <w:tcPr>
            <w:tcW w:w="2240" w:type="dxa"/>
            <w:vAlign w:val="bottom"/>
            <w:tcBorders>
              <w:bottom w:val="single" w:sz="8" w:color="3D85C6"/>
              <w:right w:val="single" w:sz="8" w:color="3D85C6"/>
            </w:tcBorders>
          </w:tcPr>
          <w:p>
            <w:pPr>
              <w:jc w:val="center"/>
              <w:spacing w:after="0" w:line="188" w:lineRule="exact"/>
              <w:rPr>
                <w:sz w:val="20"/>
                <w:szCs w:val="20"/>
                <w:color w:val="auto"/>
              </w:rPr>
            </w:pPr>
            <w:r>
              <w:rPr>
                <w:rFonts w:ascii="Arial" w:cs="Arial" w:eastAsia="Arial" w:hAnsi="Arial"/>
                <w:sz w:val="17"/>
                <w:szCs w:val="17"/>
                <w:color w:val="auto"/>
              </w:rPr>
              <w:t>Chair</w:t>
            </w:r>
          </w:p>
        </w:tc>
        <w:tc>
          <w:tcPr>
            <w:tcW w:w="2260" w:type="dxa"/>
            <w:vAlign w:val="bottom"/>
            <w:tcBorders>
              <w:bottom w:val="single" w:sz="8" w:color="3D85C6"/>
              <w:right w:val="single" w:sz="8" w:color="3D85C6"/>
            </w:tcBorders>
          </w:tcPr>
          <w:p>
            <w:pPr>
              <w:jc w:val="center"/>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4500" w:type="dxa"/>
            <w:vAlign w:val="bottom"/>
            <w:tcBorders>
              <w:left w:val="single" w:sz="8" w:color="3D85C6"/>
              <w:bottom w:val="single" w:sz="8" w:color="3D85C6"/>
              <w:right w:val="single" w:sz="8" w:color="3D85C6"/>
            </w:tcBorders>
            <w:shd w:val="clear" w:color="auto" w:fill="E6E6E6"/>
          </w:tcPr>
          <w:p>
            <w:pPr>
              <w:ind w:left="180"/>
              <w:spacing w:after="0" w:line="188" w:lineRule="exact"/>
              <w:rPr>
                <w:sz w:val="20"/>
                <w:szCs w:val="20"/>
                <w:color w:val="auto"/>
              </w:rPr>
            </w:pPr>
            <w:r>
              <w:rPr>
                <w:rFonts w:ascii="Arial" w:cs="Arial" w:eastAsia="Arial" w:hAnsi="Arial"/>
                <w:sz w:val="17"/>
                <w:szCs w:val="17"/>
                <w:color w:val="auto"/>
              </w:rPr>
              <w:t>Andrew M. Caggia</w:t>
            </w:r>
          </w:p>
        </w:tc>
        <w:tc>
          <w:tcPr>
            <w:tcW w:w="2260" w:type="dxa"/>
            <w:vAlign w:val="bottom"/>
            <w:tcBorders>
              <w:bottom w:val="single" w:sz="8" w:color="3D85C6"/>
              <w:right w:val="single" w:sz="8" w:color="3D85C6"/>
            </w:tcBorders>
            <w:shd w:val="clear" w:color="auto" w:fill="E6E6E6"/>
          </w:tcPr>
          <w:p>
            <w:pPr>
              <w:spacing w:after="0"/>
              <w:rPr>
                <w:sz w:val="16"/>
                <w:szCs w:val="16"/>
                <w:color w:val="auto"/>
              </w:rPr>
            </w:pPr>
          </w:p>
        </w:tc>
        <w:tc>
          <w:tcPr>
            <w:tcW w:w="2240" w:type="dxa"/>
            <w:vAlign w:val="bottom"/>
            <w:tcBorders>
              <w:bottom w:val="single" w:sz="8" w:color="3D85C6"/>
              <w:right w:val="single" w:sz="8" w:color="3D85C6"/>
            </w:tcBorders>
            <w:shd w:val="clear" w:color="auto" w:fill="E6E6E6"/>
          </w:tcPr>
          <w:p>
            <w:pPr>
              <w:spacing w:after="0"/>
              <w:rPr>
                <w:sz w:val="16"/>
                <w:szCs w:val="16"/>
                <w:color w:val="auto"/>
              </w:rPr>
            </w:pPr>
          </w:p>
        </w:tc>
        <w:tc>
          <w:tcPr>
            <w:tcW w:w="2260" w:type="dxa"/>
            <w:vAlign w:val="bottom"/>
            <w:tcBorders>
              <w:bottom w:val="single" w:sz="8" w:color="3D85C6"/>
              <w:right w:val="single" w:sz="8" w:color="3D85C6"/>
            </w:tcBorders>
            <w:shd w:val="clear" w:color="auto" w:fill="E6E6E6"/>
          </w:tcPr>
          <w:p>
            <w:pPr>
              <w:jc w:val="center"/>
              <w:spacing w:after="0" w:line="188" w:lineRule="exact"/>
              <w:rPr>
                <w:sz w:val="20"/>
                <w:szCs w:val="20"/>
                <w:color w:val="auto"/>
              </w:rPr>
            </w:pPr>
            <w:r>
              <w:rPr>
                <w:rFonts w:ascii="Arial" w:cs="Arial" w:eastAsia="Arial" w:hAnsi="Arial"/>
                <w:sz w:val="17"/>
                <w:szCs w:val="17"/>
                <w:color w:val="auto"/>
              </w:rPr>
              <w:t>Chair</w:t>
            </w:r>
          </w:p>
        </w:tc>
        <w:tc>
          <w:tcPr>
            <w:tcW w:w="0" w:type="dxa"/>
            <w:vAlign w:val="bottom"/>
          </w:tcPr>
          <w:p>
            <w:pPr>
              <w:spacing w:after="0"/>
              <w:rPr>
                <w:sz w:val="1"/>
                <w:szCs w:val="1"/>
                <w:color w:val="auto"/>
              </w:rPr>
            </w:pPr>
          </w:p>
        </w:tc>
      </w:tr>
      <w:tr>
        <w:trPr>
          <w:trHeight w:val="188"/>
        </w:trPr>
        <w:tc>
          <w:tcPr>
            <w:tcW w:w="4500" w:type="dxa"/>
            <w:vAlign w:val="bottom"/>
            <w:tcBorders>
              <w:left w:val="single" w:sz="8" w:color="3D85C6"/>
              <w:bottom w:val="single" w:sz="8" w:color="3D85C6"/>
              <w:right w:val="single" w:sz="8" w:color="3D85C6"/>
            </w:tcBorders>
          </w:tcPr>
          <w:p>
            <w:pPr>
              <w:ind w:left="180"/>
              <w:spacing w:after="0" w:line="188" w:lineRule="exact"/>
              <w:rPr>
                <w:sz w:val="20"/>
                <w:szCs w:val="20"/>
                <w:color w:val="auto"/>
              </w:rPr>
            </w:pPr>
            <w:r>
              <w:rPr>
                <w:rFonts w:ascii="Arial" w:cs="Arial" w:eastAsia="Arial" w:hAnsi="Arial"/>
                <w:sz w:val="17"/>
                <w:szCs w:val="17"/>
                <w:color w:val="auto"/>
              </w:rPr>
              <w:t>Yon Y. Jorden</w:t>
            </w:r>
          </w:p>
        </w:tc>
        <w:tc>
          <w:tcPr>
            <w:tcW w:w="2260" w:type="dxa"/>
            <w:vAlign w:val="bottom"/>
            <w:tcBorders>
              <w:bottom w:val="single" w:sz="8" w:color="3D85C6"/>
              <w:right w:val="single" w:sz="8" w:color="3D85C6"/>
            </w:tcBorders>
          </w:tcPr>
          <w:p>
            <w:pPr>
              <w:jc w:val="center"/>
              <w:spacing w:after="0" w:line="188" w:lineRule="exact"/>
              <w:rPr>
                <w:sz w:val="20"/>
                <w:szCs w:val="20"/>
                <w:color w:val="auto"/>
              </w:rPr>
            </w:pPr>
            <w:r>
              <w:rPr>
                <w:rFonts w:ascii="Arial" w:cs="Arial" w:eastAsia="Arial" w:hAnsi="Arial"/>
                <w:sz w:val="17"/>
                <w:szCs w:val="17"/>
                <w:color w:val="auto"/>
                <w:w w:val="85"/>
              </w:rPr>
              <w:t>√</w:t>
            </w:r>
          </w:p>
        </w:tc>
        <w:tc>
          <w:tcPr>
            <w:tcW w:w="2240" w:type="dxa"/>
            <w:vAlign w:val="bottom"/>
            <w:tcBorders>
              <w:bottom w:val="single" w:sz="8" w:color="3D85C6"/>
              <w:right w:val="single" w:sz="8" w:color="3D85C6"/>
            </w:tcBorders>
          </w:tcPr>
          <w:p>
            <w:pPr>
              <w:spacing w:after="0"/>
              <w:rPr>
                <w:sz w:val="16"/>
                <w:szCs w:val="16"/>
                <w:color w:val="auto"/>
              </w:rPr>
            </w:pPr>
          </w:p>
        </w:tc>
        <w:tc>
          <w:tcPr>
            <w:tcW w:w="2260" w:type="dxa"/>
            <w:vAlign w:val="bottom"/>
            <w:tcBorders>
              <w:bottom w:val="single" w:sz="8" w:color="3D85C6"/>
              <w:right w:val="single" w:sz="8" w:color="3D85C6"/>
            </w:tcBorders>
          </w:tcPr>
          <w:p>
            <w:pPr>
              <w:jc w:val="center"/>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4500" w:type="dxa"/>
            <w:vAlign w:val="bottom"/>
            <w:tcBorders>
              <w:left w:val="single" w:sz="8" w:color="3D85C6"/>
              <w:bottom w:val="single" w:sz="8" w:color="3D85C6"/>
              <w:right w:val="single" w:sz="8" w:color="3D85C6"/>
            </w:tcBorders>
            <w:shd w:val="clear" w:color="auto" w:fill="E6E6E6"/>
          </w:tcPr>
          <w:p>
            <w:pPr>
              <w:ind w:left="180"/>
              <w:spacing w:after="0" w:line="188" w:lineRule="exact"/>
              <w:rPr>
                <w:sz w:val="20"/>
                <w:szCs w:val="20"/>
                <w:color w:val="auto"/>
              </w:rPr>
            </w:pPr>
            <w:r>
              <w:rPr>
                <w:rFonts w:ascii="Arial" w:cs="Arial" w:eastAsia="Arial" w:hAnsi="Arial"/>
                <w:sz w:val="17"/>
                <w:szCs w:val="17"/>
                <w:color w:val="auto"/>
              </w:rPr>
              <w:t>Andreas W. Mattes</w:t>
            </w:r>
          </w:p>
        </w:tc>
        <w:tc>
          <w:tcPr>
            <w:tcW w:w="2260" w:type="dxa"/>
            <w:vAlign w:val="bottom"/>
            <w:tcBorders>
              <w:bottom w:val="single" w:sz="8" w:color="3D85C6"/>
              <w:right w:val="single" w:sz="8" w:color="3D85C6"/>
            </w:tcBorders>
            <w:shd w:val="clear" w:color="auto" w:fill="E6E6E6"/>
          </w:tcPr>
          <w:p>
            <w:pPr>
              <w:spacing w:after="0"/>
              <w:rPr>
                <w:sz w:val="16"/>
                <w:szCs w:val="16"/>
                <w:color w:val="auto"/>
              </w:rPr>
            </w:pPr>
          </w:p>
        </w:tc>
        <w:tc>
          <w:tcPr>
            <w:tcW w:w="2240" w:type="dxa"/>
            <w:vAlign w:val="bottom"/>
            <w:tcBorders>
              <w:bottom w:val="single" w:sz="8" w:color="3D85C6"/>
              <w:right w:val="single" w:sz="8" w:color="3D85C6"/>
            </w:tcBorders>
            <w:shd w:val="clear" w:color="auto" w:fill="E6E6E6"/>
          </w:tcPr>
          <w:p>
            <w:pPr>
              <w:jc w:val="center"/>
              <w:spacing w:after="0" w:line="188" w:lineRule="exact"/>
              <w:rPr>
                <w:sz w:val="20"/>
                <w:szCs w:val="20"/>
                <w:color w:val="auto"/>
              </w:rPr>
            </w:pPr>
            <w:r>
              <w:rPr>
                <w:rFonts w:ascii="Arial" w:cs="Arial" w:eastAsia="Arial" w:hAnsi="Arial"/>
                <w:sz w:val="17"/>
                <w:szCs w:val="17"/>
                <w:color w:val="auto"/>
              </w:rPr>
              <w:t>√</w:t>
            </w:r>
          </w:p>
        </w:tc>
        <w:tc>
          <w:tcPr>
            <w:tcW w:w="2260" w:type="dxa"/>
            <w:vAlign w:val="bottom"/>
            <w:tcBorders>
              <w:bottom w:val="single" w:sz="8" w:color="3D85C6"/>
              <w:right w:val="single" w:sz="8" w:color="3D85C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00" w:type="dxa"/>
            <w:vAlign w:val="bottom"/>
            <w:tcBorders>
              <w:left w:val="single" w:sz="8" w:color="3D85C6"/>
              <w:bottom w:val="single" w:sz="8" w:color="3D85C6"/>
              <w:right w:val="single" w:sz="8" w:color="3D85C6"/>
            </w:tcBorders>
          </w:tcPr>
          <w:p>
            <w:pPr>
              <w:ind w:left="180"/>
              <w:spacing w:after="0" w:line="188" w:lineRule="exact"/>
              <w:rPr>
                <w:sz w:val="20"/>
                <w:szCs w:val="20"/>
                <w:color w:val="auto"/>
              </w:rPr>
            </w:pPr>
            <w:r>
              <w:rPr>
                <w:rFonts w:ascii="Arial" w:cs="Arial" w:eastAsia="Arial" w:hAnsi="Arial"/>
                <w:sz w:val="17"/>
                <w:szCs w:val="17"/>
                <w:color w:val="auto"/>
              </w:rPr>
              <w:t>Karen M. Rapp</w:t>
            </w:r>
          </w:p>
        </w:tc>
        <w:tc>
          <w:tcPr>
            <w:tcW w:w="2260" w:type="dxa"/>
            <w:vAlign w:val="bottom"/>
            <w:tcBorders>
              <w:bottom w:val="single" w:sz="8" w:color="3D85C6"/>
              <w:right w:val="single" w:sz="8" w:color="3D85C6"/>
            </w:tcBorders>
          </w:tcPr>
          <w:p>
            <w:pPr>
              <w:jc w:val="center"/>
              <w:spacing w:after="0" w:line="188" w:lineRule="exact"/>
              <w:rPr>
                <w:sz w:val="20"/>
                <w:szCs w:val="20"/>
                <w:color w:val="auto"/>
              </w:rPr>
            </w:pPr>
            <w:r>
              <w:rPr>
                <w:rFonts w:ascii="Arial" w:cs="Arial" w:eastAsia="Arial" w:hAnsi="Arial"/>
                <w:sz w:val="17"/>
                <w:szCs w:val="17"/>
                <w:color w:val="auto"/>
                <w:w w:val="85"/>
              </w:rPr>
              <w:t>√</w:t>
            </w:r>
          </w:p>
        </w:tc>
        <w:tc>
          <w:tcPr>
            <w:tcW w:w="2240" w:type="dxa"/>
            <w:vAlign w:val="bottom"/>
            <w:tcBorders>
              <w:bottom w:val="single" w:sz="8" w:color="3D85C6"/>
              <w:right w:val="single" w:sz="8" w:color="3D85C6"/>
            </w:tcBorders>
          </w:tcPr>
          <w:p>
            <w:pPr>
              <w:spacing w:after="0"/>
              <w:rPr>
                <w:sz w:val="16"/>
                <w:szCs w:val="16"/>
                <w:color w:val="auto"/>
              </w:rPr>
            </w:pPr>
          </w:p>
        </w:tc>
        <w:tc>
          <w:tcPr>
            <w:tcW w:w="2260" w:type="dxa"/>
            <w:vAlign w:val="bottom"/>
            <w:tcBorders>
              <w:bottom w:val="single" w:sz="8" w:color="3D85C6"/>
              <w:right w:val="single" w:sz="8" w:color="3D85C6"/>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00" w:type="dxa"/>
            <w:vAlign w:val="bottom"/>
            <w:tcBorders>
              <w:left w:val="single" w:sz="8" w:color="3D85C6"/>
              <w:bottom w:val="single" w:sz="8" w:color="3D85C6"/>
              <w:right w:val="single" w:sz="8" w:color="3D85C6"/>
            </w:tcBorders>
            <w:shd w:val="clear" w:color="auto" w:fill="E6E6E6"/>
          </w:tcPr>
          <w:p>
            <w:pPr>
              <w:ind w:left="180"/>
              <w:spacing w:after="0" w:line="188" w:lineRule="exact"/>
              <w:rPr>
                <w:sz w:val="20"/>
                <w:szCs w:val="20"/>
                <w:color w:val="auto"/>
              </w:rPr>
            </w:pPr>
            <w:r>
              <w:rPr>
                <w:rFonts w:ascii="Arial" w:cs="Arial" w:eastAsia="Arial" w:hAnsi="Arial"/>
                <w:sz w:val="17"/>
                <w:szCs w:val="17"/>
                <w:color w:val="auto"/>
              </w:rPr>
              <w:t>Nina L. Richardson</w:t>
            </w:r>
          </w:p>
        </w:tc>
        <w:tc>
          <w:tcPr>
            <w:tcW w:w="2260" w:type="dxa"/>
            <w:vAlign w:val="bottom"/>
            <w:tcBorders>
              <w:bottom w:val="single" w:sz="8" w:color="3D85C6"/>
              <w:right w:val="single" w:sz="8" w:color="3D85C6"/>
            </w:tcBorders>
            <w:shd w:val="clear" w:color="auto" w:fill="E6E6E6"/>
          </w:tcPr>
          <w:p>
            <w:pPr>
              <w:spacing w:after="0"/>
              <w:rPr>
                <w:sz w:val="16"/>
                <w:szCs w:val="16"/>
                <w:color w:val="auto"/>
              </w:rPr>
            </w:pPr>
          </w:p>
        </w:tc>
        <w:tc>
          <w:tcPr>
            <w:tcW w:w="2240" w:type="dxa"/>
            <w:vAlign w:val="bottom"/>
            <w:tcBorders>
              <w:bottom w:val="single" w:sz="8" w:color="3D85C6"/>
              <w:right w:val="single" w:sz="8" w:color="3D85C6"/>
            </w:tcBorders>
            <w:shd w:val="clear" w:color="auto" w:fill="E6E6E6"/>
          </w:tcPr>
          <w:p>
            <w:pPr>
              <w:jc w:val="center"/>
              <w:spacing w:after="0" w:line="188" w:lineRule="exact"/>
              <w:rPr>
                <w:sz w:val="20"/>
                <w:szCs w:val="20"/>
                <w:color w:val="auto"/>
              </w:rPr>
            </w:pPr>
            <w:r>
              <w:rPr>
                <w:rFonts w:ascii="Arial" w:cs="Arial" w:eastAsia="Arial" w:hAnsi="Arial"/>
                <w:sz w:val="17"/>
                <w:szCs w:val="17"/>
                <w:color w:val="auto"/>
              </w:rPr>
              <w:t>√</w:t>
            </w:r>
          </w:p>
        </w:tc>
        <w:tc>
          <w:tcPr>
            <w:tcW w:w="2260" w:type="dxa"/>
            <w:vAlign w:val="bottom"/>
            <w:tcBorders>
              <w:bottom w:val="single" w:sz="8" w:color="3D85C6"/>
              <w:right w:val="single" w:sz="8" w:color="3D85C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00" w:type="dxa"/>
            <w:vAlign w:val="bottom"/>
            <w:tcBorders>
              <w:left w:val="single" w:sz="8" w:color="3D85C6"/>
              <w:bottom w:val="single" w:sz="8" w:color="3D85C6"/>
              <w:right w:val="single" w:sz="8" w:color="3D85C6"/>
            </w:tcBorders>
          </w:tcPr>
          <w:p>
            <w:pPr>
              <w:ind w:left="480"/>
              <w:spacing w:after="0" w:line="188" w:lineRule="exact"/>
              <w:rPr>
                <w:sz w:val="20"/>
                <w:szCs w:val="20"/>
                <w:color w:val="auto"/>
              </w:rPr>
            </w:pPr>
            <w:r>
              <w:rPr>
                <w:rFonts w:ascii="Arial" w:cs="Arial" w:eastAsia="Arial" w:hAnsi="Arial"/>
                <w:sz w:val="17"/>
                <w:szCs w:val="17"/>
                <w:color w:val="auto"/>
              </w:rPr>
              <w:t>Total committee size:</w:t>
            </w:r>
          </w:p>
        </w:tc>
        <w:tc>
          <w:tcPr>
            <w:tcW w:w="2260" w:type="dxa"/>
            <w:vAlign w:val="bottom"/>
            <w:tcBorders>
              <w:bottom w:val="single" w:sz="8" w:color="3D85C6"/>
              <w:right w:val="single" w:sz="8" w:color="3D85C6"/>
            </w:tcBorders>
          </w:tcPr>
          <w:p>
            <w:pPr>
              <w:jc w:val="center"/>
              <w:spacing w:after="0" w:line="188" w:lineRule="exact"/>
              <w:rPr>
                <w:sz w:val="20"/>
                <w:szCs w:val="20"/>
                <w:color w:val="auto"/>
              </w:rPr>
            </w:pPr>
            <w:r>
              <w:rPr>
                <w:rFonts w:ascii="Arial" w:cs="Arial" w:eastAsia="Arial" w:hAnsi="Arial"/>
                <w:sz w:val="17"/>
                <w:szCs w:val="17"/>
                <w:color w:val="auto"/>
              </w:rPr>
              <w:t>3</w:t>
            </w:r>
          </w:p>
        </w:tc>
        <w:tc>
          <w:tcPr>
            <w:tcW w:w="2240" w:type="dxa"/>
            <w:vAlign w:val="bottom"/>
            <w:tcBorders>
              <w:bottom w:val="single" w:sz="8" w:color="3D85C6"/>
              <w:right w:val="single" w:sz="8" w:color="3D85C6"/>
            </w:tcBorders>
          </w:tcPr>
          <w:p>
            <w:pPr>
              <w:jc w:val="center"/>
              <w:spacing w:after="0" w:line="188" w:lineRule="exact"/>
              <w:rPr>
                <w:sz w:val="20"/>
                <w:szCs w:val="20"/>
                <w:color w:val="auto"/>
              </w:rPr>
            </w:pPr>
            <w:r>
              <w:rPr>
                <w:rFonts w:ascii="Arial" w:cs="Arial" w:eastAsia="Arial" w:hAnsi="Arial"/>
                <w:sz w:val="17"/>
                <w:szCs w:val="17"/>
                <w:color w:val="auto"/>
              </w:rPr>
              <w:t>3</w:t>
            </w:r>
          </w:p>
        </w:tc>
        <w:tc>
          <w:tcPr>
            <w:tcW w:w="2260" w:type="dxa"/>
            <w:vAlign w:val="bottom"/>
            <w:tcBorders>
              <w:bottom w:val="single" w:sz="8" w:color="3D85C6"/>
              <w:right w:val="single" w:sz="8" w:color="3D85C6"/>
            </w:tcBorders>
          </w:tcPr>
          <w:p>
            <w:pPr>
              <w:jc w:val="center"/>
              <w:spacing w:after="0" w:line="188"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8"/>
        </w:trPr>
        <w:tc>
          <w:tcPr>
            <w:tcW w:w="4500" w:type="dxa"/>
            <w:vAlign w:val="bottom"/>
            <w:tcBorders>
              <w:left w:val="single" w:sz="8" w:color="3D85C6"/>
              <w:bottom w:val="single" w:sz="8" w:color="3D85C6"/>
              <w:right w:val="single" w:sz="8" w:color="3D85C6"/>
            </w:tcBorders>
            <w:shd w:val="clear" w:color="auto" w:fill="E6E6E6"/>
          </w:tcPr>
          <w:p>
            <w:pPr>
              <w:ind w:left="180"/>
              <w:spacing w:after="0" w:line="188" w:lineRule="exact"/>
              <w:rPr>
                <w:sz w:val="20"/>
                <w:szCs w:val="20"/>
                <w:color w:val="auto"/>
              </w:rPr>
            </w:pPr>
            <w:r>
              <w:rPr>
                <w:rFonts w:ascii="Arial" w:cs="Arial" w:eastAsia="Arial" w:hAnsi="Arial"/>
                <w:sz w:val="17"/>
                <w:szCs w:val="17"/>
                <w:b w:val="1"/>
                <w:bCs w:val="1"/>
                <w:i w:val="1"/>
                <w:iCs w:val="1"/>
                <w:color w:val="auto"/>
              </w:rPr>
              <w:t>Other Directors:</w:t>
            </w:r>
          </w:p>
        </w:tc>
        <w:tc>
          <w:tcPr>
            <w:tcW w:w="2260" w:type="dxa"/>
            <w:vAlign w:val="bottom"/>
            <w:tcBorders>
              <w:bottom w:val="single" w:sz="8" w:color="3D85C6"/>
              <w:right w:val="single" w:sz="8" w:color="3D85C6"/>
            </w:tcBorders>
            <w:shd w:val="clear" w:color="auto" w:fill="E6E6E6"/>
          </w:tcPr>
          <w:p>
            <w:pPr>
              <w:spacing w:after="0"/>
              <w:rPr>
                <w:sz w:val="16"/>
                <w:szCs w:val="16"/>
                <w:color w:val="auto"/>
              </w:rPr>
            </w:pPr>
          </w:p>
        </w:tc>
        <w:tc>
          <w:tcPr>
            <w:tcW w:w="2240" w:type="dxa"/>
            <w:vAlign w:val="bottom"/>
            <w:tcBorders>
              <w:bottom w:val="single" w:sz="8" w:color="3D85C6"/>
              <w:right w:val="single" w:sz="8" w:color="3D85C6"/>
            </w:tcBorders>
            <w:shd w:val="clear" w:color="auto" w:fill="E6E6E6"/>
          </w:tcPr>
          <w:p>
            <w:pPr>
              <w:spacing w:after="0"/>
              <w:rPr>
                <w:sz w:val="16"/>
                <w:szCs w:val="16"/>
                <w:color w:val="auto"/>
              </w:rPr>
            </w:pPr>
          </w:p>
        </w:tc>
        <w:tc>
          <w:tcPr>
            <w:tcW w:w="2260" w:type="dxa"/>
            <w:vAlign w:val="bottom"/>
            <w:tcBorders>
              <w:bottom w:val="single" w:sz="8" w:color="3D85C6"/>
              <w:right w:val="single" w:sz="8" w:color="3D85C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00" w:type="dxa"/>
            <w:vAlign w:val="bottom"/>
            <w:tcBorders>
              <w:left w:val="single" w:sz="8" w:color="3D85C6"/>
              <w:bottom w:val="single" w:sz="8" w:color="3D85C6"/>
              <w:right w:val="single" w:sz="8" w:color="3D85C6"/>
            </w:tcBorders>
          </w:tcPr>
          <w:p>
            <w:pPr>
              <w:ind w:left="180"/>
              <w:spacing w:after="0" w:line="188" w:lineRule="exact"/>
              <w:rPr>
                <w:sz w:val="20"/>
                <w:szCs w:val="20"/>
                <w:color w:val="auto"/>
              </w:rPr>
            </w:pPr>
            <w:r>
              <w:rPr>
                <w:rFonts w:ascii="Arial" w:cs="Arial" w:eastAsia="Arial" w:hAnsi="Arial"/>
                <w:sz w:val="17"/>
                <w:szCs w:val="17"/>
                <w:color w:val="auto"/>
              </w:rPr>
              <w:t>James A. Donahue</w:t>
            </w:r>
          </w:p>
        </w:tc>
        <w:tc>
          <w:tcPr>
            <w:tcW w:w="2260" w:type="dxa"/>
            <w:vAlign w:val="bottom"/>
            <w:tcBorders>
              <w:bottom w:val="single" w:sz="8" w:color="3D85C6"/>
              <w:right w:val="single" w:sz="8" w:color="3D85C6"/>
            </w:tcBorders>
          </w:tcPr>
          <w:p>
            <w:pPr>
              <w:spacing w:after="0"/>
              <w:rPr>
                <w:sz w:val="16"/>
                <w:szCs w:val="16"/>
                <w:color w:val="auto"/>
              </w:rPr>
            </w:pPr>
          </w:p>
        </w:tc>
        <w:tc>
          <w:tcPr>
            <w:tcW w:w="2240" w:type="dxa"/>
            <w:vAlign w:val="bottom"/>
            <w:tcBorders>
              <w:bottom w:val="single" w:sz="8" w:color="3D85C6"/>
              <w:right w:val="single" w:sz="8" w:color="3D85C6"/>
            </w:tcBorders>
          </w:tcPr>
          <w:p>
            <w:pPr>
              <w:spacing w:after="0"/>
              <w:rPr>
                <w:sz w:val="16"/>
                <w:szCs w:val="16"/>
                <w:color w:val="auto"/>
              </w:rPr>
            </w:pPr>
          </w:p>
        </w:tc>
        <w:tc>
          <w:tcPr>
            <w:tcW w:w="2260" w:type="dxa"/>
            <w:vAlign w:val="bottom"/>
            <w:tcBorders>
              <w:bottom w:val="single" w:sz="8" w:color="3D85C6"/>
              <w:right w:val="single" w:sz="8" w:color="3D85C6"/>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00" w:type="dxa"/>
            <w:vAlign w:val="bottom"/>
            <w:tcBorders>
              <w:left w:val="single" w:sz="8" w:color="3D85C6"/>
              <w:bottom w:val="single" w:sz="8" w:color="3D85C6"/>
              <w:right w:val="single" w:sz="8" w:color="3D85C6"/>
            </w:tcBorders>
            <w:shd w:val="clear" w:color="auto" w:fill="E6E6E6"/>
          </w:tcPr>
          <w:p>
            <w:pPr>
              <w:ind w:left="180"/>
              <w:spacing w:after="0" w:line="188" w:lineRule="exact"/>
              <w:rPr>
                <w:sz w:val="20"/>
                <w:szCs w:val="20"/>
                <w:color w:val="auto"/>
              </w:rPr>
            </w:pPr>
            <w:r>
              <w:rPr>
                <w:rFonts w:ascii="Arial" w:cs="Arial" w:eastAsia="Arial" w:hAnsi="Arial"/>
                <w:sz w:val="17"/>
                <w:szCs w:val="17"/>
                <w:color w:val="auto"/>
              </w:rPr>
              <w:t>Luis A. Müller</w:t>
            </w:r>
          </w:p>
        </w:tc>
        <w:tc>
          <w:tcPr>
            <w:tcW w:w="2260" w:type="dxa"/>
            <w:vAlign w:val="bottom"/>
            <w:tcBorders>
              <w:bottom w:val="single" w:sz="8" w:color="3D85C6"/>
              <w:right w:val="single" w:sz="8" w:color="3D85C6"/>
            </w:tcBorders>
            <w:shd w:val="clear" w:color="auto" w:fill="E6E6E6"/>
          </w:tcPr>
          <w:p>
            <w:pPr>
              <w:spacing w:after="0"/>
              <w:rPr>
                <w:sz w:val="16"/>
                <w:szCs w:val="16"/>
                <w:color w:val="auto"/>
              </w:rPr>
            </w:pPr>
          </w:p>
        </w:tc>
        <w:tc>
          <w:tcPr>
            <w:tcW w:w="2240" w:type="dxa"/>
            <w:vAlign w:val="bottom"/>
            <w:tcBorders>
              <w:bottom w:val="single" w:sz="8" w:color="3D85C6"/>
              <w:right w:val="single" w:sz="8" w:color="3D85C6"/>
            </w:tcBorders>
            <w:shd w:val="clear" w:color="auto" w:fill="E6E6E6"/>
          </w:tcPr>
          <w:p>
            <w:pPr>
              <w:spacing w:after="0"/>
              <w:rPr>
                <w:sz w:val="16"/>
                <w:szCs w:val="16"/>
                <w:color w:val="auto"/>
              </w:rPr>
            </w:pPr>
          </w:p>
        </w:tc>
        <w:tc>
          <w:tcPr>
            <w:tcW w:w="2260" w:type="dxa"/>
            <w:vAlign w:val="bottom"/>
            <w:tcBorders>
              <w:bottom w:val="single" w:sz="8" w:color="3D85C6"/>
              <w:right w:val="single" w:sz="8" w:color="3D85C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00" w:type="dxa"/>
            <w:vAlign w:val="bottom"/>
            <w:tcBorders>
              <w:left w:val="single" w:sz="8" w:color="3D85C6"/>
              <w:bottom w:val="single" w:sz="8" w:color="3D85C6"/>
              <w:right w:val="single" w:sz="8" w:color="3D85C6"/>
            </w:tcBorders>
          </w:tcPr>
          <w:p>
            <w:pPr>
              <w:ind w:left="180"/>
              <w:spacing w:after="0" w:line="188" w:lineRule="exact"/>
              <w:rPr>
                <w:sz w:val="20"/>
                <w:szCs w:val="20"/>
                <w:color w:val="auto"/>
              </w:rPr>
            </w:pPr>
            <w:r>
              <w:rPr>
                <w:rFonts w:ascii="Arial" w:cs="Arial" w:eastAsia="Arial" w:hAnsi="Arial"/>
                <w:sz w:val="17"/>
                <w:szCs w:val="17"/>
                <w:b w:val="1"/>
                <w:bCs w:val="1"/>
                <w:color w:val="auto"/>
              </w:rPr>
              <w:t>Number of Meetings in Fiscal Year 2025</w:t>
            </w:r>
          </w:p>
        </w:tc>
        <w:tc>
          <w:tcPr>
            <w:tcW w:w="2260" w:type="dxa"/>
            <w:vAlign w:val="bottom"/>
            <w:tcBorders>
              <w:bottom w:val="single" w:sz="8" w:color="3D85C6"/>
              <w:right w:val="single" w:sz="8" w:color="3D85C6"/>
            </w:tcBorders>
          </w:tcPr>
          <w:p>
            <w:pPr>
              <w:jc w:val="center"/>
              <w:spacing w:after="0" w:line="188" w:lineRule="exact"/>
              <w:rPr>
                <w:sz w:val="20"/>
                <w:szCs w:val="20"/>
                <w:color w:val="auto"/>
              </w:rPr>
            </w:pPr>
            <w:r>
              <w:rPr>
                <w:rFonts w:ascii="Arial" w:cs="Arial" w:eastAsia="Arial" w:hAnsi="Arial"/>
                <w:sz w:val="17"/>
                <w:szCs w:val="17"/>
                <w:color w:val="auto"/>
              </w:rPr>
              <w:t>5</w:t>
            </w:r>
          </w:p>
        </w:tc>
        <w:tc>
          <w:tcPr>
            <w:tcW w:w="2240" w:type="dxa"/>
            <w:vAlign w:val="bottom"/>
            <w:tcBorders>
              <w:bottom w:val="single" w:sz="8" w:color="3D85C6"/>
              <w:right w:val="single" w:sz="8" w:color="3D85C6"/>
            </w:tcBorders>
          </w:tcPr>
          <w:p>
            <w:pPr>
              <w:jc w:val="center"/>
              <w:spacing w:after="0" w:line="188" w:lineRule="exact"/>
              <w:rPr>
                <w:sz w:val="20"/>
                <w:szCs w:val="20"/>
                <w:color w:val="auto"/>
              </w:rPr>
            </w:pPr>
            <w:r>
              <w:rPr>
                <w:rFonts w:ascii="Arial" w:cs="Arial" w:eastAsia="Arial" w:hAnsi="Arial"/>
                <w:sz w:val="17"/>
                <w:szCs w:val="17"/>
                <w:color w:val="auto"/>
              </w:rPr>
              <w:t>5</w:t>
            </w:r>
          </w:p>
        </w:tc>
        <w:tc>
          <w:tcPr>
            <w:tcW w:w="2260" w:type="dxa"/>
            <w:vAlign w:val="bottom"/>
            <w:tcBorders>
              <w:bottom w:val="single" w:sz="8" w:color="3D85C6"/>
              <w:right w:val="single" w:sz="8" w:color="3D85C6"/>
            </w:tcBorders>
          </w:tcPr>
          <w:p>
            <w:pPr>
              <w:jc w:val="center"/>
              <w:spacing w:after="0" w:line="188"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7"/>
                <w:szCs w:val="17"/>
                <w:color w:val="auto"/>
              </w:rPr>
              <w:t>(1) Lead Independent Director.</w:t>
            </w:r>
          </w:p>
        </w:tc>
        <w:tc>
          <w:tcPr>
            <w:tcW w:w="22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3D85C6"/>
        </w:rPr>
        <w:t>Audit Committee</w:t>
      </w:r>
    </w:p>
    <w:p>
      <w:pPr>
        <w:spacing w:after="0" w:line="18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independence and performance, enterprise risk assessment and risk management, and execution of Cohu’s cybersecurity risk management strategy. Among other things, the Audit Committee reviews the results of the independent registered public accounting firm’s annual audit and quarterly reviews, including the communications required by the PCAOB; prepares the Audit Committee report for inclusion in the annual proxy statement; annually reviews the Audit Committee charter and the committee’s performance; appoints, evaluates and approves the fees of Cohu’s independent registered public accounting firm and the lead audit engagement partner and reviews rotation of the lead audit engagement partner; reviews and approves the scope of the annual audit, the audit fee and the financial statements; assesses the independence of the independent registered public accounting firm; reviews Cohu’s disclosure controls and procedures, internal controls, including such controls over financial reporting; reviews the adequacy and effectiveness of Cohu’s information security policies and the internal controls regarding information security and cybersecurity; oversees investigations into complaints concerning financial and accounting matters; oversees the work of internal auditors; and reviews other risks that may have a significant impact on Cohu’s financial statements. The Audit Committee works closely with management as well as Cohu’s independent registered public accounting firm. The Audit Committee has the authority to obtain advice and assistance from, and receive appropriate funding from Cohu for, outside legal, accounting or other advisors as the Audit Committee deems necessary in order to carry out its duties.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charter of the Audit Committee is available at </w:t>
      </w:r>
      <w:r>
        <w:rPr>
          <w:rFonts w:ascii="Arial" w:cs="Arial" w:eastAsia="Arial" w:hAnsi="Arial"/>
          <w:sz w:val="17"/>
          <w:szCs w:val="17"/>
          <w:u w:val="single" w:color="auto"/>
          <w:color w:val="auto"/>
        </w:rPr>
        <w:t>https://cohu.gcs-web.com/corporate-governance/documents-charters</w:t>
      </w:r>
      <w:r>
        <w:rPr>
          <w:rFonts w:ascii="Arial" w:cs="Arial" w:eastAsia="Arial" w:hAnsi="Arial"/>
          <w:sz w:val="17"/>
          <w:szCs w:val="17"/>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81" w:name="page82"/>
    <w:bookmarkEnd w:id="81"/>
    <w:p>
      <w:pPr>
        <w:spacing w:after="0"/>
        <w:rPr>
          <w:sz w:val="20"/>
          <w:szCs w:val="20"/>
          <w:color w:val="auto"/>
        </w:rPr>
      </w:pPr>
      <w:r>
        <w:rPr>
          <w:rFonts w:ascii="Arial" w:cs="Arial" w:eastAsia="Arial" w:hAnsi="Arial"/>
          <w:sz w:val="19"/>
          <w:szCs w:val="19"/>
          <w:color w:val="3D85C6"/>
        </w:rPr>
        <w:t>Compensation Committee</w:t>
      </w:r>
    </w:p>
    <w:p>
      <w:pPr>
        <w:spacing w:after="0" w:line="18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Compensation Committee discharges the Board’s responsibilities relating to determining compensation of Cohu’s executives, makes recommendations to the Board related to compensation of directors, produces an annual report on executive compensation for inclusion in Cohu’s proxy statement, and provides general oversight of Cohu’s compensation structure, including equity compensation plans and benefit programs. Among other things, the Compensation Committee reviews and discusses the “Compensation Discussion and Analysis” with management, and prepares an annual compensation committee report for inclusion in Cohu’s proxy statement; provides general oversight of Cohu’s compensation structure, including Cohu’s equity compensation plans and benefits programs; and retains and approves the terms of the retention of any compensation consultants and other compensation experts. Other specific duties and responsibilities of the Compensation Committee include reviewing and approving objectives relevant to executive officer compensation, participating in the evaluation of the performance of the CEO and other Section 16 officers and determining the compensation of executive officers, including equity awards, in accordance with those objectives; approving employment agreements for executive officers; approving and amending Cohu’s equity and non-equity incentive compensation and related performance goals and measures and stock-related programs (subject to stockholder approval, if required); approving any changes to non-equity based benefit plans involving a material financial commitment by Cohu; recommending director compensation to the Board; overseeing executive succession planning; monitoring director and executive stock ownership; periodically reviewing and assessing risks related to compensation structures; administering Cohu’s clawback policy; and annually evaluating its performance and its charter.</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charter of the Compensation Committee is available at </w:t>
      </w:r>
      <w:r>
        <w:rPr>
          <w:rFonts w:ascii="Arial" w:cs="Arial" w:eastAsia="Arial" w:hAnsi="Arial"/>
          <w:sz w:val="17"/>
          <w:szCs w:val="17"/>
          <w:u w:val="single" w:color="auto"/>
          <w:color w:val="auto"/>
        </w:rPr>
        <w:t>https://cohu.gcs-web.com/corporate-governance/documents-charters</w:t>
      </w:r>
      <w:r>
        <w:rPr>
          <w:rFonts w:ascii="Arial" w:cs="Arial" w:eastAsia="Arial" w:hAnsi="Arial"/>
          <w:sz w:val="17"/>
          <w:szCs w:val="17"/>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3D85C6"/>
        </w:rPr>
        <w:t>Nominating and Governance Committee</w:t>
      </w:r>
    </w:p>
    <w:p>
      <w:pPr>
        <w:spacing w:after="0" w:line="18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Nominating and Governance Committee identifies individuals qualified to become Board members and establishes the procedures for the nomination of Board candidates for election as directors at Cohu’s annual meeting consistent with criteria the Nominating and Governance Committee deems appropriate, as approved by the Board; develops Cohu’s Corporate Governance Guidelines for approval by the Board, and reviews and recommends updates to such Guidelines, as appropriate; oversees the Company’s corporate responsibility and sustainability initiatives; oversees the organization of the Board to discharge the Board’s duties and responsibilities properly and efficiently, including the annual evaluation of the Board and its committees; and giving proper attention and making effective responses to stockholder concerns regarding corporate governance. Other specific duties and responsibilities of the Nominating and Governance Committee include annual assessment of the size and composition of the Board; developing membership qualifications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Compensation Committee and the Lead Independent Director, providing input to the performance evaluation of the CEO; reviewing and recommending proposed changes to Cohu’s articles or bylaws and Board committee charters; periodically assessing and recommending action with respect to stockholder rights plans or other stockholder protections; recommending Board committee assignments; reviewing and approving any employee director or executive officer standing for election for outside for-profit or non-profit boards of directors; reviewing governance-related stockholder proposals and recommending Board responses; overseeing the evaluation of the Board and management and conducting a preliminary review of director independence and the financial literacy and expertise of Audit Committee members; reviewing and assessing the channels through which the Board receives information, and the quality and timeliness of information received; and reviewing, overseeing and reporting to the Board on Cohu’s corporate responsibility and sustainability initiatives, including potential trends and impacts to Cohu’s business regarding environmental (including climate-related risks and opportunities), social and governance issues. The Chair of the Nominating and Governance Committee receives communications directed to non-employee directors.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charter of the Nominating and Governance Committee is available at </w:t>
      </w:r>
      <w:r>
        <w:rPr>
          <w:rFonts w:ascii="Arial" w:cs="Arial" w:eastAsia="Arial" w:hAnsi="Arial"/>
          <w:sz w:val="17"/>
          <w:szCs w:val="17"/>
          <w:u w:val="single" w:color="auto"/>
          <w:color w:val="auto"/>
        </w:rPr>
        <w:t>https://cohu.gcs-web.com/corporate-governance/documents-charters</w:t>
      </w:r>
      <w:r>
        <w:rPr>
          <w:rFonts w:ascii="Arial" w:cs="Arial" w:eastAsia="Arial" w:hAnsi="Arial"/>
          <w:sz w:val="17"/>
          <w:szCs w:val="17"/>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3D85C6"/>
        </w:rPr>
        <w:t>Board Leadership Structure</w:t>
      </w:r>
    </w:p>
    <w:p>
      <w:pPr>
        <w:spacing w:after="0" w:line="189"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As of the date of this proxy statement, our Board is currently comprised of seven (7) independent directors, one (1) non-independent, non-executive director (Mr. Donahue, as the former CEO of Cohu), and one (1) executive director (Dr. Müller, our CEO). Our corporate governance principles provide that the Board will fill the Chairperson and Chief Executive Officer positions based upon the Board’s view of what is in Cohu’s best interests at any point in time and do not prevent our Chief Executive Officer from also serving as our Chairperson of the Board. Our Board evaluates its leadership structure and elects the Chairperson and the Chief Executive Officer based on the criteria it deems to be appropriate and in the best interests of Cohu and its stockholders, given the circumstances at the time of such election. While we have in the past had one person serve as Chairperson of the Board and Chief Executive Officer, the positions are currently held by separate individuals.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560" w:right="379" w:bottom="1440" w:gutter="0" w:footer="0" w:header="0"/>
        </w:sectPr>
      </w:pPr>
    </w:p>
    <w:bookmarkStart w:id="82" w:name="page83"/>
    <w:bookmarkEnd w:id="82"/>
    <w:p>
      <w:pPr>
        <w:spacing w:after="0" w:line="246" w:lineRule="auto"/>
        <w:rPr>
          <w:sz w:val="20"/>
          <w:szCs w:val="20"/>
          <w:color w:val="auto"/>
        </w:rPr>
      </w:pPr>
      <w:r>
        <w:rPr>
          <w:rFonts w:ascii="Arial" w:cs="Arial" w:eastAsia="Arial" w:hAnsi="Arial"/>
          <w:sz w:val="17"/>
          <w:szCs w:val="17"/>
          <w:color w:val="auto"/>
        </w:rPr>
        <w:t>Separating the positions of Chief Executive Officer and Chairperson of the Board allows our Chief Executive Officer to focus on the day-to-day operations and strategy of our business, while allowing the Chairperson of the Board to lead the Board in its fundamental role of providing advice to and independent oversight of management. Given his long tenure with and status within Cohu, our Board believes Mr. Donahue possesses detailed and in-depth knowledge of the issues, opportunities, and challenges facing Cohu and we believe he is best positioned to develop agendas that ensure that the Board’s time and attention are focused on the most critical matters. Our Board believes that having Dr. Müller serve as Cohu’s Chief Executive Officer and Mr. Donahue serve as Chairperson, in combination with Mr. Bilodeau’s service as Lead Independent Director, is in the best interests of Cohu and its stockholders.</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Cohu’s Corporate Governance Guidelines provide for the circumstances in which the Nominating and Governance Committee shall nominate an independent director to serve as the Lead Independent Director, the selection of whom shall be subject to approval by a vote of the majority of the independent directors. Although annually elected, the Lead Independent Director is generally expected to serve for more than one year.</w:t>
      </w:r>
    </w:p>
    <w:p>
      <w:pPr>
        <w:spacing w:after="0" w:line="147"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specific responsibilities of the Lead Independent Director include presiding at executive sessions of directors and at board meetings where the Chairperson is not present, calling meetings of independent directors, serving as a liaison between the independent directors and the Chairperson and CEO, annually evaluating the performance of the CEO and performing such other duties and responsibilities as the Board may determine.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color w:val="3D85C6"/>
        </w:rPr>
        <w:t>Risk Oversight</w:t>
      </w:r>
    </w:p>
    <w:p>
      <w:pPr>
        <w:spacing w:after="0" w:line="18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Board oversees our risk management process. The Board focuses on general risk management strategy, the most significant risks facing Cohu, and ensures that appropriate risk mitigation strategies are implemented by management. The Board is also apprised of particular risk management matters in connection with its general oversight and approval of corporate matters. Cohu’s management is responsible for day-to-day risk management. This responsibility includes identifying, evaluating, and addressing potential risks that may exist at the enterprise, strategic, financial, operational, cybersecurity, artificial intelligence (“AI”), and compliance and reporting levels. Management annually prepares an enterprise risk assessment and reviews such assessment with the Board. In 2025, the management team, with Board support, established an AI governance framework which is intended to be flexible enough to keep pace with emerging opportunities, challenges and risks, as well as the evolving international regulatory environment. Our governance structure provides for technical and AI risk assessment and oversight by a management group known as the AI Implementation Committee with a focus on the innovative and responsible use of emerging AI-enabled solutions. The AI Implementation Committee provides periodic updates to our Board regarding our AI governance process, reviews and progress on implementation.</w:t>
      </w:r>
    </w:p>
    <w:p>
      <w:pPr>
        <w:spacing w:after="0" w:line="360"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While our Board is ultimately responsible for risk oversight, our Board committees assist our Board in fulfilling its oversight responsibilities in certain areas of risk. Our Audit Committee assists our Board in fulfilling its oversight responsibilities with respect to risk management in the areas of internal control over financial reporting and disclosure controls and procedures, and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In addition, our Audit Committee monitors certain key risks on a regular basis throughout the fiscal year, such as risk associated with internal control over financial reporting, liquidity and cybersecurity. Five (5) of our directors, including two (2) members of the Audit Committee, have completed a course on cybersecurity and earned the CERT Certificate in Cybersecurity Oversight from the National Association of Corporate Directors (NACD). Our Nominating and Governance Committee assists our Board in fulfilling its oversight responsibilities with respect to the management of risk associated with board organization, membership and structure, corporate governance and sustainability risks. Our Compensation Committee oversees risks related to our compensation policies to ensure that our compensation programs do not encourage unnecessary risk-taking. Finally, our full Board reviews strategic and operational risk in the context of reports from the management team, receives reports on all significant committee activities at each regular meeting, and evaluates the risks inherent in significant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3D85C6"/>
        </w:rPr>
        <w:t>Stockholder Nominees</w:t>
      </w:r>
    </w:p>
    <w:p>
      <w:pPr>
        <w:spacing w:after="0" w:line="189"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The policy of the Nominating and Governance Committee is to consider properly submitted stockholder nominations for candidates for membership on the Board as described below under “Identifying and Evaluating Nominees for Directors”. In evaluating such nominations, the Nominating and Governance Committee seeks to achieve a balance of knowledge, experience, capability, background and perspective on the Board and to address the membership criteria set forth under “Director Qualifications”.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83" w:name="page84"/>
    <w:bookmarkEnd w:id="83"/>
    <w:p>
      <w:pPr>
        <w:ind w:right="140"/>
        <w:spacing w:after="0" w:line="280" w:lineRule="auto"/>
        <w:rPr>
          <w:sz w:val="20"/>
          <w:szCs w:val="20"/>
          <w:color w:val="auto"/>
        </w:rPr>
      </w:pPr>
      <w:r>
        <w:rPr>
          <w:rFonts w:ascii="Arial" w:cs="Arial" w:eastAsia="Arial" w:hAnsi="Arial"/>
          <w:sz w:val="17"/>
          <w:szCs w:val="17"/>
          <w:color w:val="auto"/>
        </w:rPr>
        <w:t>Any stockholder nominations proposed for consideration by the Nominating and Governance Committee should include the nominee’s name and qualifications for Board membership and should be addressed to:</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Corporate Secretary</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Cohu, Inc.</w:t>
      </w:r>
    </w:p>
    <w:p>
      <w:pPr>
        <w:ind w:left="620"/>
        <w:spacing w:after="0"/>
        <w:rPr>
          <w:sz w:val="20"/>
          <w:szCs w:val="20"/>
          <w:color w:val="auto"/>
        </w:rPr>
      </w:pPr>
      <w:r>
        <w:rPr>
          <w:rFonts w:ascii="Arial" w:cs="Arial" w:eastAsia="Arial" w:hAnsi="Arial"/>
          <w:sz w:val="17"/>
          <w:szCs w:val="17"/>
          <w:color w:val="auto"/>
        </w:rPr>
        <w:t>17087 Via Del Campo</w:t>
      </w:r>
    </w:p>
    <w:p>
      <w:pPr>
        <w:ind w:left="620"/>
        <w:spacing w:after="0"/>
        <w:rPr>
          <w:sz w:val="20"/>
          <w:szCs w:val="20"/>
          <w:color w:val="auto"/>
        </w:rPr>
      </w:pPr>
      <w:r>
        <w:rPr>
          <w:rFonts w:ascii="Arial" w:cs="Arial" w:eastAsia="Arial" w:hAnsi="Arial"/>
          <w:sz w:val="17"/>
          <w:szCs w:val="17"/>
          <w:color w:val="auto"/>
        </w:rPr>
        <w:t>San Diego, CA 92127-1711</w:t>
      </w:r>
    </w:p>
    <w:p>
      <w:pPr>
        <w:spacing w:after="0" w:line="178"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In addition, the bylaws of Cohu permit stockholders to nominate directors for consideration at an annual stockholder meeting. For a description of the process for nominating directors in accordance with Cohu’s bylaws, see “Additional information and future meetings.”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3D85C6"/>
        </w:rPr>
        <w:t>Director Qualifications</w:t>
      </w:r>
    </w:p>
    <w:p>
      <w:pPr>
        <w:spacing w:after="0" w:line="18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 xml:space="preserve">Cohu’s Corporate Governance Guidelines are available at </w:t>
      </w:r>
      <w:r>
        <w:rPr>
          <w:rFonts w:ascii="Arial" w:cs="Arial" w:eastAsia="Arial" w:hAnsi="Arial"/>
          <w:sz w:val="17"/>
          <w:szCs w:val="17"/>
          <w:u w:val="single" w:color="auto"/>
          <w:color w:val="auto"/>
        </w:rPr>
        <w:t>https://cohu.gcs-web.com/corporate-governance/documents-charters</w:t>
      </w:r>
      <w:r>
        <w:rPr>
          <w:rFonts w:ascii="Arial" w:cs="Arial" w:eastAsia="Arial" w:hAnsi="Arial"/>
          <w:sz w:val="17"/>
          <w:szCs w:val="17"/>
          <w:color w:val="auto"/>
        </w:rPr>
        <w:t xml:space="preserve"> and contain Board membership criteria that apply to nominees recommended by the Nominating and Governance Committee for a position on Cohu’s Board. Under these criteria, members of the Board should have high professional and personal ethics and values and diversity in perspectives and experiences, consistent with longstanding Cohu values and standards. They should have relevant experience at the policy-making level in business, government, education, technology and/or public interest. They should also be committed to enhancing stockholder value and should have sufficient time to carry out their duties and to provide insight and practical wisdom, based on their experience. In addition, the Board and Nominating and Governance Committee value economic, professional and educational diversity in evaluating new Board candidates and seek to incorporate a wide range of these attributes within Cohu’s Board. Their service on other boards of public companies should be limited to a number that permits them, given their individual circumstances, to responsibly perform all director duties. Consistent with these values, our Board has interviewed and considered a diverse set of candidates each time it has made new appointments to the Cohu Board. As demonstrated by our past recruitment actions, in future director searches, we will continue to broadly seek and consider qualified candidates that we believe best represent the interests of all our stockholders.</w:t>
      </w:r>
    </w:p>
    <w:p>
      <w:pPr>
        <w:spacing w:after="0" w:line="35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Additionally, our Corporate Governance Guidelines, as adopted and annually reviewed by our Board, include a retirement policy under which non-executive directors may stand for re-election to a maximum of one-term after reaching the age of 75, provided that the Nominating and Governance Committee and the Board determine it is in the best interests of the Company and its stockholders. Consistent with such policy, the Nominating and Governance Committee and the Board evaluated and determined that the nomination of Mr. Bendush for an additional term pending his re-election in 2026 (See Proposal No. 1) is in the best interest of the Company and its stockholders.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3D85C6"/>
        </w:rPr>
        <w:t>Identifying and Evaluating Nominees for Directors</w:t>
      </w:r>
    </w:p>
    <w:p>
      <w:pPr>
        <w:spacing w:after="0" w:line="18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Our Nominating and Governance Committee uses a variety of methods for identifying and evaluating nominees for director. The Nominating and Governance Committee assesses the appropriate size of the Board, and whether any vacancies on the Board are expected due to retirement or otherwise. In the event that vacancies are anticipated, or otherwise arise, the Nominating and Governance Committee considers various potential candidates for director. Candidates may come to the attention of the Nominating and Governance Committee through current Board members, professional search firms, stockholders or other persons. These candidates are evaluated at regular or special meetings of the Nominating and Governance Committee and may be considered at any point during the year. As described above, the Nominating and Governance Committee also considers properly submitted stockholder nominations for candidates for the Board. Following verification of the stockholder status of persons proposing candidates, recommendations are aggregated and considered by the Nominating and Governance Committee at a regularly scheduled meeting. If any materials are provided by a stockholder in connection with the nomination of a director candidate, such materials are forwarded to the Nominating and Governance Committee. The Nominating and Governance Committee also reviews materials provided by professional search firms or other parties in connection with a nominee who is not proposed by a stockholder. In evaluating such nominations, the Nominating and Governance Committee seeks to achieve a balance of knowledge, backgrounds and perspectives, experience and capability on the Board. The Board believes it is important for the Board to have diversity of knowledge base, life perspectives, professional experience and skills, and the Board and Nominating and Governance Committee takes these qualities into account when considering director nominees.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3D85C6"/>
        </w:rPr>
        <w:t>Executive Sessions</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Executive sessions of independent directors, without management and non-independent directors present, are held at least three times a year. The sessions are scheduled, and chaired by the Lead Independent Director or, in the absence of the Lead Independent Director, the Chair of the Nominating and Governance Committee. Any independent director can request that an additional executive session be scheduled.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84" w:name="page85"/>
    <w:bookmarkEnd w:id="84"/>
    <w:p>
      <w:pPr>
        <w:spacing w:after="0"/>
        <w:rPr>
          <w:sz w:val="20"/>
          <w:szCs w:val="20"/>
          <w:color w:val="auto"/>
        </w:rPr>
      </w:pPr>
      <w:r>
        <w:rPr>
          <w:rFonts w:ascii="Arial" w:cs="Arial" w:eastAsia="Arial" w:hAnsi="Arial"/>
          <w:sz w:val="19"/>
          <w:szCs w:val="19"/>
          <w:color w:val="3D85C6"/>
        </w:rPr>
        <w:t>Communications with the Board</w:t>
      </w:r>
    </w:p>
    <w:p>
      <w:pPr>
        <w:spacing w:after="0" w:line="18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Individuals may communicate with the Board, including the non-employee directors, by submitting an e-mail to Cohu’s Board at corp@cohu.com or by sending a letter to the Cohu Board of Directors, c/o Corporate Secretary, Cohu, Inc., 17087 Via Del Campo San Diego, CA 92127-1711. Communications are distributed to our Board, or to individual directors as appropriate, depending on the facts and circumstances outlined in the communication.</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3D85C6"/>
        </w:rPr>
        <w:t>Compensation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Compensation</w:t>
      </w:r>
    </w:p>
    <w:p>
      <w:pPr>
        <w:spacing w:after="0" w:line="194"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Directors who are employees of Cohu do not receive any additional compensation for their services as directors. During fiscal year 2025, non-employee directors received an annual retainer, and Board committee Chairs and members received annual fees, all paid quarterly, as set forth below.</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5160" w:type="dxa"/>
            <w:vAlign w:val="bottom"/>
            <w:tcBorders>
              <w:top w:val="single" w:sz="8" w:color="3D85C6"/>
              <w:left w:val="single" w:sz="8" w:color="3D85C6"/>
              <w:bottom w:val="single" w:sz="8" w:color="3D85C6"/>
              <w:right w:val="single" w:sz="8" w:color="3D85C6"/>
            </w:tcBorders>
            <w:shd w:val="clear" w:color="auto" w:fill="2D53A6"/>
          </w:tcPr>
          <w:p>
            <w:pPr>
              <w:spacing w:after="0"/>
              <w:rPr>
                <w:sz w:val="21"/>
                <w:szCs w:val="21"/>
                <w:color w:val="auto"/>
              </w:rPr>
            </w:pPr>
          </w:p>
        </w:tc>
        <w:tc>
          <w:tcPr>
            <w:tcW w:w="4420" w:type="dxa"/>
            <w:vAlign w:val="bottom"/>
            <w:tcBorders>
              <w:top w:val="single" w:sz="8" w:color="2D53A6"/>
              <w:bottom w:val="single" w:sz="8" w:color="3D85C6"/>
              <w:right w:val="single" w:sz="8" w:color="3D85C6"/>
            </w:tcBorders>
            <w:shd w:val="clear" w:color="auto" w:fill="2D53A6"/>
          </w:tcPr>
          <w:p>
            <w:pPr>
              <w:ind w:left="160"/>
              <w:spacing w:after="0"/>
              <w:rPr>
                <w:sz w:val="20"/>
                <w:szCs w:val="20"/>
                <w:color w:val="auto"/>
              </w:rPr>
            </w:pPr>
            <w:r>
              <w:rPr>
                <w:rFonts w:ascii="Arial" w:cs="Arial" w:eastAsia="Arial" w:hAnsi="Arial"/>
                <w:sz w:val="17"/>
                <w:szCs w:val="17"/>
                <w:b w:val="1"/>
                <w:bCs w:val="1"/>
                <w:color w:val="FFFFFF"/>
              </w:rPr>
              <w:t>Compensation</w:t>
            </w:r>
          </w:p>
        </w:tc>
        <w:tc>
          <w:tcPr>
            <w:tcW w:w="440" w:type="dxa"/>
            <w:vAlign w:val="bottom"/>
            <w:tcBorders>
              <w:top w:val="single" w:sz="8" w:color="2D53A6"/>
              <w:bottom w:val="single" w:sz="8" w:color="3D85C6"/>
            </w:tcBorders>
            <w:shd w:val="clear" w:color="auto" w:fill="2D53A6"/>
          </w:tcPr>
          <w:p>
            <w:pPr>
              <w:spacing w:after="0"/>
              <w:rPr>
                <w:sz w:val="21"/>
                <w:szCs w:val="21"/>
                <w:color w:val="auto"/>
              </w:rPr>
            </w:pPr>
          </w:p>
        </w:tc>
        <w:tc>
          <w:tcPr>
            <w:tcW w:w="1240" w:type="dxa"/>
            <w:vAlign w:val="bottom"/>
            <w:tcBorders>
              <w:top w:val="single" w:sz="8" w:color="2D53A6"/>
              <w:bottom w:val="single" w:sz="8" w:color="3D85C6"/>
              <w:right w:val="single" w:sz="8" w:color="3D85C6"/>
            </w:tcBorders>
            <w:shd w:val="clear" w:color="auto" w:fill="2D53A6"/>
          </w:tcPr>
          <w:p>
            <w:pPr>
              <w:jc w:val="right"/>
              <w:ind w:right="553"/>
              <w:spacing w:after="0"/>
              <w:rPr>
                <w:sz w:val="20"/>
                <w:szCs w:val="20"/>
                <w:color w:val="auto"/>
              </w:rPr>
            </w:pPr>
            <w:r>
              <w:rPr>
                <w:rFonts w:ascii="Arial" w:cs="Arial" w:eastAsia="Arial" w:hAnsi="Arial"/>
                <w:sz w:val="17"/>
                <w:szCs w:val="17"/>
                <w:b w:val="1"/>
                <w:bCs w:val="1"/>
                <w:color w:val="FFFFFF"/>
              </w:rPr>
              <w:t>2025</w:t>
            </w:r>
          </w:p>
        </w:tc>
        <w:tc>
          <w:tcPr>
            <w:tcW w:w="0" w:type="dxa"/>
            <w:vAlign w:val="bottom"/>
          </w:tcPr>
          <w:p>
            <w:pPr>
              <w:spacing w:after="0"/>
              <w:rPr>
                <w:sz w:val="1"/>
                <w:szCs w:val="1"/>
                <w:color w:val="auto"/>
              </w:rPr>
            </w:pPr>
          </w:p>
        </w:tc>
      </w:tr>
      <w:tr>
        <w:trPr>
          <w:trHeight w:val="181"/>
        </w:trPr>
        <w:tc>
          <w:tcPr>
            <w:tcW w:w="5160" w:type="dxa"/>
            <w:vAlign w:val="bottom"/>
            <w:tcBorders>
              <w:left w:val="single" w:sz="8" w:color="3D85C6"/>
              <w:right w:val="single" w:sz="8" w:color="3D85C6"/>
            </w:tcBorders>
            <w:vMerge w:val="restart"/>
          </w:tcPr>
          <w:p>
            <w:pPr>
              <w:ind w:left="180"/>
              <w:spacing w:after="0"/>
              <w:rPr>
                <w:sz w:val="20"/>
                <w:szCs w:val="20"/>
                <w:color w:val="auto"/>
              </w:rPr>
            </w:pPr>
            <w:r>
              <w:rPr>
                <w:rFonts w:ascii="Arial" w:cs="Arial" w:eastAsia="Arial" w:hAnsi="Arial"/>
                <w:sz w:val="17"/>
                <w:szCs w:val="17"/>
                <w:b w:val="1"/>
                <w:bCs w:val="1"/>
                <w:color w:val="auto"/>
              </w:rPr>
              <w:t>Annual Retainer</w:t>
            </w:r>
          </w:p>
        </w:tc>
        <w:tc>
          <w:tcPr>
            <w:tcW w:w="4420" w:type="dxa"/>
            <w:vAlign w:val="bottom"/>
            <w:tcBorders>
              <w:bottom w:val="single" w:sz="8" w:color="3D85C6"/>
              <w:right w:val="single" w:sz="8" w:color="3D85C6"/>
            </w:tcBorders>
          </w:tcPr>
          <w:p>
            <w:pPr>
              <w:ind w:left="320"/>
              <w:spacing w:after="0" w:line="181" w:lineRule="exact"/>
              <w:rPr>
                <w:sz w:val="20"/>
                <w:szCs w:val="20"/>
                <w:color w:val="auto"/>
              </w:rPr>
            </w:pPr>
            <w:r>
              <w:rPr>
                <w:rFonts w:ascii="Arial" w:cs="Arial" w:eastAsia="Arial" w:hAnsi="Arial"/>
                <w:sz w:val="17"/>
                <w:szCs w:val="17"/>
                <w:color w:val="auto"/>
              </w:rPr>
              <w:t>Chairperson of the Board</w:t>
            </w:r>
          </w:p>
        </w:tc>
        <w:tc>
          <w:tcPr>
            <w:tcW w:w="440" w:type="dxa"/>
            <w:vAlign w:val="bottom"/>
            <w:tcBorders>
              <w:bottom w:val="single" w:sz="8" w:color="3D85C6"/>
            </w:tcBorders>
          </w:tcPr>
          <w:p>
            <w:pPr>
              <w:jc w:val="right"/>
              <w:ind w:right="133"/>
              <w:spacing w:after="0" w:line="181"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3D85C6"/>
              <w:right w:val="single" w:sz="8" w:color="3D85C6"/>
            </w:tcBorders>
          </w:tcPr>
          <w:p>
            <w:pPr>
              <w:jc w:val="right"/>
              <w:ind w:right="33"/>
              <w:spacing w:after="0" w:line="181" w:lineRule="exact"/>
              <w:rPr>
                <w:sz w:val="20"/>
                <w:szCs w:val="20"/>
                <w:color w:val="auto"/>
              </w:rPr>
            </w:pPr>
            <w:r>
              <w:rPr>
                <w:rFonts w:ascii="Arial" w:cs="Arial" w:eastAsia="Arial" w:hAnsi="Arial"/>
                <w:sz w:val="17"/>
                <w:szCs w:val="17"/>
                <w:color w:val="auto"/>
              </w:rPr>
              <w:t>110,000</w:t>
            </w:r>
          </w:p>
        </w:tc>
        <w:tc>
          <w:tcPr>
            <w:tcW w:w="0" w:type="dxa"/>
            <w:vAlign w:val="bottom"/>
          </w:tcPr>
          <w:p>
            <w:pPr>
              <w:spacing w:after="0"/>
              <w:rPr>
                <w:sz w:val="1"/>
                <w:szCs w:val="1"/>
                <w:color w:val="auto"/>
              </w:rPr>
            </w:pPr>
          </w:p>
        </w:tc>
      </w:tr>
      <w:tr>
        <w:trPr>
          <w:trHeight w:val="201"/>
        </w:trPr>
        <w:tc>
          <w:tcPr>
            <w:tcW w:w="5160" w:type="dxa"/>
            <w:vAlign w:val="bottom"/>
            <w:tcBorders>
              <w:left w:val="single" w:sz="8" w:color="3D85C6"/>
              <w:right w:val="single" w:sz="8" w:color="3D85C6"/>
            </w:tcBorders>
            <w:vMerge w:val="continue"/>
          </w:tcPr>
          <w:p>
            <w:pPr>
              <w:spacing w:after="0"/>
              <w:rPr>
                <w:sz w:val="17"/>
                <w:szCs w:val="17"/>
                <w:color w:val="auto"/>
              </w:rPr>
            </w:pPr>
          </w:p>
        </w:tc>
        <w:tc>
          <w:tcPr>
            <w:tcW w:w="4420" w:type="dxa"/>
            <w:vAlign w:val="bottom"/>
            <w:tcBorders>
              <w:bottom w:val="single" w:sz="8" w:color="3D85C6"/>
              <w:right w:val="single" w:sz="8" w:color="3D85C6"/>
            </w:tcBorders>
          </w:tcPr>
          <w:p>
            <w:pPr>
              <w:ind w:left="320"/>
              <w:spacing w:after="0"/>
              <w:rPr>
                <w:sz w:val="20"/>
                <w:szCs w:val="20"/>
                <w:color w:val="auto"/>
              </w:rPr>
            </w:pPr>
            <w:r>
              <w:rPr>
                <w:rFonts w:ascii="Arial" w:cs="Arial" w:eastAsia="Arial" w:hAnsi="Arial"/>
                <w:sz w:val="17"/>
                <w:szCs w:val="17"/>
                <w:color w:val="auto"/>
              </w:rPr>
              <w:t>Lead Independent Director</w:t>
            </w:r>
          </w:p>
        </w:tc>
        <w:tc>
          <w:tcPr>
            <w:tcW w:w="440" w:type="dxa"/>
            <w:vAlign w:val="bottom"/>
            <w:tcBorders>
              <w:bottom w:val="single" w:sz="8" w:color="3D85C6"/>
            </w:tcBorders>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85,000</w:t>
            </w:r>
          </w:p>
        </w:tc>
        <w:tc>
          <w:tcPr>
            <w:tcW w:w="0" w:type="dxa"/>
            <w:vAlign w:val="bottom"/>
          </w:tcPr>
          <w:p>
            <w:pPr>
              <w:spacing w:after="0"/>
              <w:rPr>
                <w:sz w:val="1"/>
                <w:szCs w:val="1"/>
                <w:color w:val="auto"/>
              </w:rPr>
            </w:pPr>
          </w:p>
        </w:tc>
      </w:tr>
      <w:tr>
        <w:trPr>
          <w:trHeight w:val="201"/>
        </w:trPr>
        <w:tc>
          <w:tcPr>
            <w:tcW w:w="5160" w:type="dxa"/>
            <w:vAlign w:val="bottom"/>
            <w:tcBorders>
              <w:left w:val="single" w:sz="8" w:color="3D85C6"/>
              <w:bottom w:val="single" w:sz="8" w:color="3D85C6"/>
              <w:right w:val="single" w:sz="8" w:color="3D85C6"/>
            </w:tcBorders>
          </w:tcPr>
          <w:p>
            <w:pPr>
              <w:spacing w:after="0"/>
              <w:rPr>
                <w:sz w:val="17"/>
                <w:szCs w:val="17"/>
                <w:color w:val="auto"/>
              </w:rPr>
            </w:pPr>
          </w:p>
        </w:tc>
        <w:tc>
          <w:tcPr>
            <w:tcW w:w="4420" w:type="dxa"/>
            <w:vAlign w:val="bottom"/>
            <w:tcBorders>
              <w:bottom w:val="single" w:sz="8" w:color="3D85C6"/>
              <w:right w:val="single" w:sz="8" w:color="3D85C6"/>
            </w:tcBorders>
          </w:tcPr>
          <w:p>
            <w:pPr>
              <w:ind w:left="320"/>
              <w:spacing w:after="0"/>
              <w:rPr>
                <w:sz w:val="20"/>
                <w:szCs w:val="20"/>
                <w:color w:val="auto"/>
              </w:rPr>
            </w:pPr>
            <w:r>
              <w:rPr>
                <w:rFonts w:ascii="Arial" w:cs="Arial" w:eastAsia="Arial" w:hAnsi="Arial"/>
                <w:sz w:val="17"/>
                <w:szCs w:val="17"/>
                <w:color w:val="auto"/>
              </w:rPr>
              <w:t>Other Directors</w:t>
            </w:r>
          </w:p>
        </w:tc>
        <w:tc>
          <w:tcPr>
            <w:tcW w:w="440" w:type="dxa"/>
            <w:vAlign w:val="bottom"/>
            <w:tcBorders>
              <w:bottom w:val="single" w:sz="8" w:color="3D85C6"/>
            </w:tcBorders>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60,000</w:t>
            </w:r>
          </w:p>
        </w:tc>
        <w:tc>
          <w:tcPr>
            <w:tcW w:w="0" w:type="dxa"/>
            <w:vAlign w:val="bottom"/>
          </w:tcPr>
          <w:p>
            <w:pPr>
              <w:spacing w:after="0"/>
              <w:rPr>
                <w:sz w:val="1"/>
                <w:szCs w:val="1"/>
                <w:color w:val="auto"/>
              </w:rPr>
            </w:pPr>
          </w:p>
        </w:tc>
      </w:tr>
      <w:tr>
        <w:trPr>
          <w:trHeight w:val="201"/>
        </w:trPr>
        <w:tc>
          <w:tcPr>
            <w:tcW w:w="5160" w:type="dxa"/>
            <w:vAlign w:val="bottom"/>
            <w:tcBorders>
              <w:left w:val="single" w:sz="8" w:color="3D85C6"/>
              <w:right w:val="single" w:sz="8" w:color="3D85C6"/>
            </w:tcBorders>
          </w:tcPr>
          <w:p>
            <w:pPr>
              <w:ind w:left="180"/>
              <w:spacing w:after="0"/>
              <w:rPr>
                <w:sz w:val="20"/>
                <w:szCs w:val="20"/>
                <w:color w:val="auto"/>
              </w:rPr>
            </w:pPr>
            <w:r>
              <w:rPr>
                <w:rFonts w:ascii="Arial" w:cs="Arial" w:eastAsia="Arial" w:hAnsi="Arial"/>
                <w:sz w:val="17"/>
                <w:szCs w:val="17"/>
                <w:b w:val="1"/>
                <w:bCs w:val="1"/>
                <w:color w:val="auto"/>
              </w:rPr>
              <w:t>Annual Fees for</w:t>
            </w:r>
          </w:p>
        </w:tc>
        <w:tc>
          <w:tcPr>
            <w:tcW w:w="4420" w:type="dxa"/>
            <w:vAlign w:val="bottom"/>
            <w:tcBorders>
              <w:bottom w:val="single" w:sz="8" w:color="3D85C6"/>
              <w:right w:val="single" w:sz="8" w:color="3D85C6"/>
            </w:tcBorders>
          </w:tcPr>
          <w:p>
            <w:pPr>
              <w:ind w:left="320"/>
              <w:spacing w:after="0"/>
              <w:rPr>
                <w:sz w:val="20"/>
                <w:szCs w:val="20"/>
                <w:color w:val="auto"/>
              </w:rPr>
            </w:pPr>
            <w:r>
              <w:rPr>
                <w:rFonts w:ascii="Arial" w:cs="Arial" w:eastAsia="Arial" w:hAnsi="Arial"/>
                <w:sz w:val="17"/>
                <w:szCs w:val="17"/>
                <w:color w:val="auto"/>
              </w:rPr>
              <w:t>Audit Committee</w:t>
            </w:r>
          </w:p>
        </w:tc>
        <w:tc>
          <w:tcPr>
            <w:tcW w:w="440" w:type="dxa"/>
            <w:vAlign w:val="bottom"/>
            <w:tcBorders>
              <w:bottom w:val="single" w:sz="8" w:color="3D85C6"/>
            </w:tcBorders>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01"/>
        </w:trPr>
        <w:tc>
          <w:tcPr>
            <w:tcW w:w="5160" w:type="dxa"/>
            <w:vAlign w:val="bottom"/>
            <w:tcBorders>
              <w:left w:val="single" w:sz="8" w:color="3D85C6"/>
              <w:right w:val="single" w:sz="8" w:color="3D85C6"/>
            </w:tcBorders>
          </w:tcPr>
          <w:p>
            <w:pPr>
              <w:ind w:left="180"/>
              <w:spacing w:after="0"/>
              <w:rPr>
                <w:sz w:val="20"/>
                <w:szCs w:val="20"/>
                <w:color w:val="auto"/>
              </w:rPr>
            </w:pPr>
            <w:r>
              <w:rPr>
                <w:rFonts w:ascii="Arial" w:cs="Arial" w:eastAsia="Arial" w:hAnsi="Arial"/>
                <w:sz w:val="17"/>
                <w:szCs w:val="17"/>
                <w:b w:val="1"/>
                <w:bCs w:val="1"/>
                <w:color w:val="auto"/>
              </w:rPr>
              <w:t>Committee Chairs</w:t>
            </w:r>
          </w:p>
        </w:tc>
        <w:tc>
          <w:tcPr>
            <w:tcW w:w="4420" w:type="dxa"/>
            <w:vAlign w:val="bottom"/>
            <w:tcBorders>
              <w:bottom w:val="single" w:sz="8" w:color="3D85C6"/>
              <w:right w:val="single" w:sz="8" w:color="3D85C6"/>
            </w:tcBorders>
          </w:tcPr>
          <w:p>
            <w:pPr>
              <w:ind w:left="320"/>
              <w:spacing w:after="0"/>
              <w:rPr>
                <w:sz w:val="20"/>
                <w:szCs w:val="20"/>
                <w:color w:val="auto"/>
              </w:rPr>
            </w:pPr>
            <w:r>
              <w:rPr>
                <w:rFonts w:ascii="Arial" w:cs="Arial" w:eastAsia="Arial" w:hAnsi="Arial"/>
                <w:sz w:val="17"/>
                <w:szCs w:val="17"/>
                <w:color w:val="auto"/>
              </w:rPr>
              <w:t>Compensation Committee</w:t>
            </w:r>
          </w:p>
        </w:tc>
        <w:tc>
          <w:tcPr>
            <w:tcW w:w="440" w:type="dxa"/>
            <w:vAlign w:val="bottom"/>
            <w:tcBorders>
              <w:bottom w:val="single" w:sz="8" w:color="3D85C6"/>
            </w:tcBorders>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16,500</w:t>
            </w:r>
          </w:p>
        </w:tc>
        <w:tc>
          <w:tcPr>
            <w:tcW w:w="0" w:type="dxa"/>
            <w:vAlign w:val="bottom"/>
          </w:tcPr>
          <w:p>
            <w:pPr>
              <w:spacing w:after="0"/>
              <w:rPr>
                <w:sz w:val="1"/>
                <w:szCs w:val="1"/>
                <w:color w:val="auto"/>
              </w:rPr>
            </w:pPr>
          </w:p>
        </w:tc>
      </w:tr>
      <w:tr>
        <w:trPr>
          <w:trHeight w:val="201"/>
        </w:trPr>
        <w:tc>
          <w:tcPr>
            <w:tcW w:w="5160" w:type="dxa"/>
            <w:vAlign w:val="bottom"/>
            <w:tcBorders>
              <w:left w:val="single" w:sz="8" w:color="3D85C6"/>
              <w:bottom w:val="single" w:sz="8" w:color="3D85C6"/>
              <w:right w:val="single" w:sz="8" w:color="3D85C6"/>
            </w:tcBorders>
          </w:tcPr>
          <w:p>
            <w:pPr>
              <w:spacing w:after="0"/>
              <w:rPr>
                <w:sz w:val="17"/>
                <w:szCs w:val="17"/>
                <w:color w:val="auto"/>
              </w:rPr>
            </w:pPr>
          </w:p>
        </w:tc>
        <w:tc>
          <w:tcPr>
            <w:tcW w:w="4420" w:type="dxa"/>
            <w:vAlign w:val="bottom"/>
            <w:tcBorders>
              <w:bottom w:val="single" w:sz="8" w:color="3D85C6"/>
              <w:right w:val="single" w:sz="8" w:color="3D85C6"/>
            </w:tcBorders>
          </w:tcPr>
          <w:p>
            <w:pPr>
              <w:ind w:left="320"/>
              <w:spacing w:after="0"/>
              <w:rPr>
                <w:sz w:val="20"/>
                <w:szCs w:val="20"/>
                <w:color w:val="auto"/>
              </w:rPr>
            </w:pPr>
            <w:r>
              <w:rPr>
                <w:rFonts w:ascii="Arial" w:cs="Arial" w:eastAsia="Arial" w:hAnsi="Arial"/>
                <w:sz w:val="17"/>
                <w:szCs w:val="17"/>
                <w:color w:val="auto"/>
              </w:rPr>
              <w:t>Nominating and Governance Committee</w:t>
            </w:r>
          </w:p>
        </w:tc>
        <w:tc>
          <w:tcPr>
            <w:tcW w:w="440" w:type="dxa"/>
            <w:vAlign w:val="bottom"/>
            <w:tcBorders>
              <w:bottom w:val="single" w:sz="8" w:color="3D85C6"/>
            </w:tcBorders>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1"/>
        </w:trPr>
        <w:tc>
          <w:tcPr>
            <w:tcW w:w="5160" w:type="dxa"/>
            <w:vAlign w:val="bottom"/>
            <w:tcBorders>
              <w:left w:val="single" w:sz="8" w:color="3D85C6"/>
              <w:right w:val="single" w:sz="8" w:color="3D85C6"/>
            </w:tcBorders>
          </w:tcPr>
          <w:p>
            <w:pPr>
              <w:ind w:left="180"/>
              <w:spacing w:after="0"/>
              <w:rPr>
                <w:sz w:val="20"/>
                <w:szCs w:val="20"/>
                <w:color w:val="auto"/>
              </w:rPr>
            </w:pPr>
            <w:r>
              <w:rPr>
                <w:rFonts w:ascii="Arial" w:cs="Arial" w:eastAsia="Arial" w:hAnsi="Arial"/>
                <w:sz w:val="17"/>
                <w:szCs w:val="17"/>
                <w:b w:val="1"/>
                <w:bCs w:val="1"/>
                <w:color w:val="auto"/>
              </w:rPr>
              <w:t>Annual Fees for Other</w:t>
            </w:r>
          </w:p>
        </w:tc>
        <w:tc>
          <w:tcPr>
            <w:tcW w:w="4420" w:type="dxa"/>
            <w:vAlign w:val="bottom"/>
            <w:tcBorders>
              <w:bottom w:val="single" w:sz="8" w:color="3D85C6"/>
              <w:right w:val="single" w:sz="8" w:color="3D85C6"/>
            </w:tcBorders>
          </w:tcPr>
          <w:p>
            <w:pPr>
              <w:ind w:left="320"/>
              <w:spacing w:after="0"/>
              <w:rPr>
                <w:sz w:val="20"/>
                <w:szCs w:val="20"/>
                <w:color w:val="auto"/>
              </w:rPr>
            </w:pPr>
            <w:r>
              <w:rPr>
                <w:rFonts w:ascii="Arial" w:cs="Arial" w:eastAsia="Arial" w:hAnsi="Arial"/>
                <w:sz w:val="17"/>
                <w:szCs w:val="17"/>
                <w:color w:val="auto"/>
              </w:rPr>
              <w:t>Audit Committee</w:t>
            </w:r>
          </w:p>
        </w:tc>
        <w:tc>
          <w:tcPr>
            <w:tcW w:w="440" w:type="dxa"/>
            <w:vAlign w:val="bottom"/>
            <w:tcBorders>
              <w:bottom w:val="single" w:sz="8" w:color="3D85C6"/>
            </w:tcBorders>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1"/>
        </w:trPr>
        <w:tc>
          <w:tcPr>
            <w:tcW w:w="5160" w:type="dxa"/>
            <w:vAlign w:val="bottom"/>
            <w:tcBorders>
              <w:left w:val="single" w:sz="8" w:color="3D85C6"/>
              <w:right w:val="single" w:sz="8" w:color="3D85C6"/>
            </w:tcBorders>
          </w:tcPr>
          <w:p>
            <w:pPr>
              <w:ind w:left="180"/>
              <w:spacing w:after="0"/>
              <w:rPr>
                <w:sz w:val="20"/>
                <w:szCs w:val="20"/>
                <w:color w:val="auto"/>
              </w:rPr>
            </w:pPr>
            <w:r>
              <w:rPr>
                <w:rFonts w:ascii="Arial" w:cs="Arial" w:eastAsia="Arial" w:hAnsi="Arial"/>
                <w:sz w:val="17"/>
                <w:szCs w:val="17"/>
                <w:b w:val="1"/>
                <w:bCs w:val="1"/>
                <w:color w:val="auto"/>
              </w:rPr>
              <w:t>Committee Members</w:t>
            </w:r>
          </w:p>
        </w:tc>
        <w:tc>
          <w:tcPr>
            <w:tcW w:w="4420" w:type="dxa"/>
            <w:vAlign w:val="bottom"/>
            <w:tcBorders>
              <w:bottom w:val="single" w:sz="8" w:color="3D85C6"/>
              <w:right w:val="single" w:sz="8" w:color="3D85C6"/>
            </w:tcBorders>
          </w:tcPr>
          <w:p>
            <w:pPr>
              <w:ind w:left="320"/>
              <w:spacing w:after="0"/>
              <w:rPr>
                <w:sz w:val="20"/>
                <w:szCs w:val="20"/>
                <w:color w:val="auto"/>
              </w:rPr>
            </w:pPr>
            <w:r>
              <w:rPr>
                <w:rFonts w:ascii="Arial" w:cs="Arial" w:eastAsia="Arial" w:hAnsi="Arial"/>
                <w:sz w:val="17"/>
                <w:szCs w:val="17"/>
                <w:color w:val="auto"/>
              </w:rPr>
              <w:t>Compensation Committee</w:t>
            </w:r>
          </w:p>
        </w:tc>
        <w:tc>
          <w:tcPr>
            <w:tcW w:w="440" w:type="dxa"/>
            <w:vAlign w:val="bottom"/>
            <w:tcBorders>
              <w:bottom w:val="single" w:sz="8" w:color="3D85C6"/>
            </w:tcBorders>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7,500</w:t>
            </w:r>
          </w:p>
        </w:tc>
        <w:tc>
          <w:tcPr>
            <w:tcW w:w="0" w:type="dxa"/>
            <w:vAlign w:val="bottom"/>
          </w:tcPr>
          <w:p>
            <w:pPr>
              <w:spacing w:after="0"/>
              <w:rPr>
                <w:sz w:val="1"/>
                <w:szCs w:val="1"/>
                <w:color w:val="auto"/>
              </w:rPr>
            </w:pPr>
          </w:p>
        </w:tc>
      </w:tr>
      <w:tr>
        <w:trPr>
          <w:trHeight w:val="201"/>
        </w:trPr>
        <w:tc>
          <w:tcPr>
            <w:tcW w:w="5160" w:type="dxa"/>
            <w:vAlign w:val="bottom"/>
            <w:tcBorders>
              <w:left w:val="single" w:sz="8" w:color="3D85C6"/>
              <w:bottom w:val="single" w:sz="8" w:color="3D85C6"/>
              <w:right w:val="single" w:sz="8" w:color="3D85C6"/>
            </w:tcBorders>
          </w:tcPr>
          <w:p>
            <w:pPr>
              <w:spacing w:after="0"/>
              <w:rPr>
                <w:sz w:val="17"/>
                <w:szCs w:val="17"/>
                <w:color w:val="auto"/>
              </w:rPr>
            </w:pPr>
          </w:p>
        </w:tc>
        <w:tc>
          <w:tcPr>
            <w:tcW w:w="4420" w:type="dxa"/>
            <w:vAlign w:val="bottom"/>
            <w:tcBorders>
              <w:bottom w:val="single" w:sz="8" w:color="3D85C6"/>
              <w:right w:val="single" w:sz="8" w:color="3D85C6"/>
            </w:tcBorders>
          </w:tcPr>
          <w:p>
            <w:pPr>
              <w:ind w:left="320"/>
              <w:spacing w:after="0"/>
              <w:rPr>
                <w:sz w:val="20"/>
                <w:szCs w:val="20"/>
                <w:color w:val="auto"/>
              </w:rPr>
            </w:pPr>
            <w:r>
              <w:rPr>
                <w:rFonts w:ascii="Arial" w:cs="Arial" w:eastAsia="Arial" w:hAnsi="Arial"/>
                <w:sz w:val="17"/>
                <w:szCs w:val="17"/>
                <w:color w:val="auto"/>
              </w:rPr>
              <w:t>Nominating and Governance Committee</w:t>
            </w:r>
          </w:p>
        </w:tc>
        <w:tc>
          <w:tcPr>
            <w:tcW w:w="440" w:type="dxa"/>
            <w:vAlign w:val="bottom"/>
            <w:tcBorders>
              <w:bottom w:val="single" w:sz="8" w:color="3D85C6"/>
            </w:tcBorders>
          </w:tcPr>
          <w:p>
            <w:pPr>
              <w:jc w:val="right"/>
              <w:ind w:right="13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right="20"/>
        <w:spacing w:after="0" w:line="280" w:lineRule="auto"/>
        <w:rPr>
          <w:sz w:val="20"/>
          <w:szCs w:val="20"/>
          <w:color w:val="auto"/>
        </w:rPr>
      </w:pPr>
      <w:r>
        <w:rPr>
          <w:rFonts w:ascii="Arial" w:cs="Arial" w:eastAsia="Arial" w:hAnsi="Arial"/>
          <w:sz w:val="17"/>
          <w:szCs w:val="17"/>
          <w:color w:val="auto"/>
        </w:rPr>
        <w:t>In addition to the retainers and fees noted above, non-employee directors are reimbursed for out-of-town travel and other reasonable out-of-pocket expenses related to attendance at Board and committee meetings.</w:t>
      </w:r>
    </w:p>
    <w:p>
      <w:pPr>
        <w:spacing w:after="0" w:line="12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Under the terms and conditions of the Cohu 2005 Equity Incentive Plan (the “2005 Plan”) and the proposed Cohu 2026 Equity Incentive Plan (the “2026 Plan”), members of the Board may make an annual irrevocable election to defer receipt of all or a portion of their cash-based non-employee director fees (including, as applicable, any annual retainer fee, committee fee and any other compensation payable with respect to their service as a member of the Board). In the event that a director makes such an election, Cohu will grant deferred stock units (“DSUs”) in lieu of cash, with an initial value equal to the deferred cash using the same 20-day average closing price calculation used for other value-based grants, which will be settled at a future date through the issuance of Cohu common stock upon the first to occur of cessation of service as a director for any reason, a change in control of Cohu or a future date selected by the director at the time of deferral. Mr. Caggia elected to defer 100% of his 2025 cash-based non-employee director fees.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Compensation</w:t>
      </w:r>
    </w:p>
    <w:p>
      <w:pPr>
        <w:spacing w:after="0" w:line="194"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Non-employee directors participate in the 2005 Plan that provides for grants of restricted stock units or other forms of equity compensation to non-employee directors, as authorized by the Board. Cohu’s stock ownership guidelines provide that independent and non-employee directors should accumulate, over the three-year period commencing with their appointment or following an increase in the director’s annual cash retainer or a new guideline being approved, a minimum number of shares of Cohu stock with a value equal to three times the director’s annual cash retainer and should not sell any Cohu shares until these ownership guidelines are met and once met subsequent sales, if any, should not reduce their Cohu stock ownership below these minimum guideline amounts.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Equity compensation for non-employee directors during 2025 was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820" w:type="dxa"/>
            <w:vAlign w:val="bottom"/>
            <w:tcBorders>
              <w:top w:val="single" w:sz="8" w:color="3D85C6"/>
              <w:left w:val="single" w:sz="8" w:color="3D85C6"/>
              <w:right w:val="single" w:sz="8" w:color="3D85C6"/>
            </w:tcBorders>
            <w:vMerge w:val="restart"/>
          </w:tcPr>
          <w:p>
            <w:pPr>
              <w:jc w:val="center"/>
              <w:spacing w:after="0"/>
              <w:rPr>
                <w:sz w:val="20"/>
                <w:szCs w:val="20"/>
                <w:color w:val="auto"/>
              </w:rPr>
            </w:pPr>
            <w:r>
              <w:rPr>
                <w:rFonts w:ascii="Arial" w:cs="Arial" w:eastAsia="Arial" w:hAnsi="Arial"/>
                <w:sz w:val="17"/>
                <w:szCs w:val="17"/>
                <w:color w:val="auto"/>
              </w:rPr>
              <w:t>Initial Appointment</w:t>
            </w:r>
          </w:p>
        </w:tc>
        <w:tc>
          <w:tcPr>
            <w:tcW w:w="8440" w:type="dxa"/>
            <w:vAlign w:val="bottom"/>
            <w:tcBorders>
              <w:top w:val="single" w:sz="8" w:color="3D85C6"/>
              <w:right w:val="single" w:sz="8" w:color="3D85C6"/>
            </w:tcBorders>
          </w:tcPr>
          <w:p>
            <w:pPr>
              <w:ind w:left="160"/>
              <w:spacing w:after="0"/>
              <w:rPr>
                <w:sz w:val="20"/>
                <w:szCs w:val="20"/>
                <w:color w:val="auto"/>
              </w:rPr>
            </w:pPr>
            <w:r>
              <w:rPr>
                <w:rFonts w:ascii="Arial" w:cs="Arial" w:eastAsia="Arial" w:hAnsi="Arial"/>
                <w:sz w:val="17"/>
                <w:szCs w:val="17"/>
                <w:color w:val="auto"/>
              </w:rPr>
              <w:t>RSUs with a total value of $167,500, but the total value of such grant is prorated based on the period of</w:t>
            </w:r>
          </w:p>
        </w:tc>
        <w:tc>
          <w:tcPr>
            <w:tcW w:w="0" w:type="dxa"/>
            <w:vAlign w:val="bottom"/>
          </w:tcPr>
          <w:p>
            <w:pPr>
              <w:spacing w:after="0"/>
              <w:rPr>
                <w:sz w:val="1"/>
                <w:szCs w:val="1"/>
                <w:color w:val="auto"/>
              </w:rPr>
            </w:pPr>
          </w:p>
        </w:tc>
      </w:tr>
      <w:tr>
        <w:trPr>
          <w:trHeight w:val="125"/>
        </w:trPr>
        <w:tc>
          <w:tcPr>
            <w:tcW w:w="2820" w:type="dxa"/>
            <w:vAlign w:val="bottom"/>
            <w:tcBorders>
              <w:left w:val="single" w:sz="8" w:color="3D85C6"/>
              <w:right w:val="single" w:sz="8" w:color="3D85C6"/>
            </w:tcBorders>
            <w:vMerge w:val="continue"/>
          </w:tcPr>
          <w:p>
            <w:pPr>
              <w:spacing w:after="0"/>
              <w:rPr>
                <w:sz w:val="10"/>
                <w:szCs w:val="10"/>
                <w:color w:val="auto"/>
              </w:rPr>
            </w:pPr>
          </w:p>
        </w:tc>
        <w:tc>
          <w:tcPr>
            <w:tcW w:w="8440" w:type="dxa"/>
            <w:vAlign w:val="bottom"/>
            <w:tcBorders>
              <w:right w:val="single" w:sz="8" w:color="3D85C6"/>
            </w:tcBorders>
            <w:vMerge w:val="restart"/>
          </w:tcPr>
          <w:p>
            <w:pPr>
              <w:ind w:left="160"/>
              <w:spacing w:after="0"/>
              <w:rPr>
                <w:sz w:val="20"/>
                <w:szCs w:val="20"/>
                <w:color w:val="auto"/>
              </w:rPr>
            </w:pPr>
            <w:r>
              <w:rPr>
                <w:rFonts w:ascii="Arial" w:cs="Arial" w:eastAsia="Arial" w:hAnsi="Arial"/>
                <w:sz w:val="17"/>
                <w:szCs w:val="17"/>
                <w:color w:val="auto"/>
              </w:rPr>
              <w:t>time between appointment as director and the next scheduled director annual equity grant date</w:t>
            </w:r>
          </w:p>
        </w:tc>
        <w:tc>
          <w:tcPr>
            <w:tcW w:w="0" w:type="dxa"/>
            <w:vAlign w:val="bottom"/>
          </w:tcPr>
          <w:p>
            <w:pPr>
              <w:spacing w:after="0"/>
              <w:rPr>
                <w:sz w:val="1"/>
                <w:szCs w:val="1"/>
                <w:color w:val="auto"/>
              </w:rPr>
            </w:pPr>
          </w:p>
        </w:tc>
      </w:tr>
      <w:tr>
        <w:trPr>
          <w:trHeight w:val="103"/>
        </w:trPr>
        <w:tc>
          <w:tcPr>
            <w:tcW w:w="2820" w:type="dxa"/>
            <w:vAlign w:val="bottom"/>
            <w:tcBorders>
              <w:left w:val="single" w:sz="8" w:color="3D85C6"/>
              <w:bottom w:val="single" w:sz="8" w:color="3D85C6"/>
              <w:right w:val="single" w:sz="8" w:color="3D85C6"/>
            </w:tcBorders>
          </w:tcPr>
          <w:p>
            <w:pPr>
              <w:spacing w:after="0"/>
              <w:rPr>
                <w:sz w:val="8"/>
                <w:szCs w:val="8"/>
                <w:color w:val="auto"/>
              </w:rPr>
            </w:pPr>
          </w:p>
        </w:tc>
        <w:tc>
          <w:tcPr>
            <w:tcW w:w="8440" w:type="dxa"/>
            <w:vAlign w:val="bottom"/>
            <w:tcBorders>
              <w:bottom w:val="single" w:sz="8" w:color="3D85C6"/>
              <w:right w:val="single" w:sz="8" w:color="3D85C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820" w:type="dxa"/>
            <w:vAlign w:val="bottom"/>
            <w:tcBorders>
              <w:top w:val="single" w:sz="8" w:color="3D85C6"/>
              <w:left w:val="single" w:sz="8" w:color="3D85C6"/>
              <w:bottom w:val="single" w:sz="8" w:color="3D85C6"/>
              <w:right w:val="single" w:sz="8" w:color="3D85C6"/>
            </w:tcBorders>
            <w:shd w:val="clear" w:color="auto" w:fill="E6E6E6"/>
          </w:tcPr>
          <w:p>
            <w:pPr>
              <w:jc w:val="center"/>
              <w:spacing w:after="0" w:line="172" w:lineRule="exact"/>
              <w:rPr>
                <w:sz w:val="20"/>
                <w:szCs w:val="20"/>
                <w:color w:val="auto"/>
              </w:rPr>
            </w:pPr>
            <w:r>
              <w:rPr>
                <w:rFonts w:ascii="Arial" w:cs="Arial" w:eastAsia="Arial" w:hAnsi="Arial"/>
                <w:sz w:val="17"/>
                <w:szCs w:val="17"/>
                <w:color w:val="auto"/>
              </w:rPr>
              <w:t>Annual Grants</w:t>
            </w:r>
          </w:p>
        </w:tc>
        <w:tc>
          <w:tcPr>
            <w:tcW w:w="8440" w:type="dxa"/>
            <w:vAlign w:val="bottom"/>
            <w:tcBorders>
              <w:top w:val="single" w:sz="8" w:color="E6E6E6"/>
              <w:bottom w:val="single" w:sz="8" w:color="3D85C6"/>
              <w:right w:val="single" w:sz="8" w:color="3D85C6"/>
            </w:tcBorders>
            <w:shd w:val="clear" w:color="auto" w:fill="E6E6E6"/>
          </w:tcPr>
          <w:p>
            <w:pPr>
              <w:ind w:left="160"/>
              <w:spacing w:after="0" w:line="172" w:lineRule="exact"/>
              <w:rPr>
                <w:sz w:val="20"/>
                <w:szCs w:val="20"/>
                <w:color w:val="auto"/>
              </w:rPr>
            </w:pPr>
            <w:r>
              <w:rPr>
                <w:rFonts w:ascii="Arial" w:cs="Arial" w:eastAsia="Arial" w:hAnsi="Arial"/>
                <w:sz w:val="17"/>
                <w:szCs w:val="17"/>
                <w:color w:val="auto"/>
              </w:rPr>
              <w:t>RSUs with a total value of $167,500</w:t>
            </w:r>
          </w:p>
        </w:tc>
        <w:tc>
          <w:tcPr>
            <w:tcW w:w="0" w:type="dxa"/>
            <w:vAlign w:val="bottom"/>
          </w:tcPr>
          <w:p>
            <w:pPr>
              <w:spacing w:after="0"/>
              <w:rPr>
                <w:sz w:val="1"/>
                <w:szCs w:val="1"/>
                <w:color w:val="auto"/>
              </w:rPr>
            </w:pPr>
          </w:p>
        </w:tc>
      </w:tr>
      <w:tr>
        <w:trPr>
          <w:trHeight w:val="396"/>
        </w:trPr>
        <w:tc>
          <w:tcPr>
            <w:tcW w:w="2820" w:type="dxa"/>
            <w:vAlign w:val="bottom"/>
          </w:tcPr>
          <w:p>
            <w:pPr>
              <w:spacing w:after="0"/>
              <w:rPr>
                <w:sz w:val="24"/>
                <w:szCs w:val="24"/>
                <w:color w:val="auto"/>
              </w:rPr>
            </w:pPr>
          </w:p>
        </w:tc>
        <w:tc>
          <w:tcPr>
            <w:tcW w:w="8440" w:type="dxa"/>
            <w:vAlign w:val="bottom"/>
          </w:tcPr>
          <w:p>
            <w:pPr>
              <w:ind w:left="2680"/>
              <w:spacing w:after="0"/>
              <w:rPr>
                <w:sz w:val="20"/>
                <w:szCs w:val="20"/>
                <w:color w:val="auto"/>
              </w:rPr>
            </w:pPr>
            <w:r>
              <w:rPr>
                <w:rFonts w:ascii="Times New Roman" w:cs="Times New Roman" w:eastAsia="Times New Roman" w:hAnsi="Times New Roman"/>
                <w:sz w:val="17"/>
                <w:szCs w:val="17"/>
                <w:color w:val="auto"/>
              </w:rPr>
              <w:t>E-7</w:t>
            </w:r>
          </w:p>
        </w:tc>
        <w:tc>
          <w:tcPr>
            <w:tcW w:w="0" w:type="dxa"/>
            <w:vAlign w:val="bottom"/>
          </w:tcPr>
          <w:p>
            <w:pPr>
              <w:spacing w:after="0"/>
              <w:rPr>
                <w:sz w:val="1"/>
                <w:szCs w:val="1"/>
                <w:color w:val="auto"/>
              </w:rPr>
            </w:pPr>
          </w:p>
        </w:tc>
      </w:tr>
      <w:tr>
        <w:trPr>
          <w:trHeight w:val="110"/>
        </w:trPr>
        <w:tc>
          <w:tcPr>
            <w:tcW w:w="2820" w:type="dxa"/>
            <w:vAlign w:val="bottom"/>
            <w:tcBorders>
              <w:bottom w:val="single" w:sz="8" w:color="auto"/>
            </w:tcBorders>
          </w:tcPr>
          <w:p>
            <w:pPr>
              <w:spacing w:after="0"/>
              <w:rPr>
                <w:sz w:val="9"/>
                <w:szCs w:val="9"/>
                <w:color w:val="auto"/>
              </w:rPr>
            </w:pPr>
          </w:p>
        </w:tc>
        <w:tc>
          <w:tcPr>
            <w:tcW w:w="84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0" w:right="339" w:bottom="1440" w:gutter="0" w:footer="0" w:header="0"/>
        </w:sectPr>
      </w:pPr>
    </w:p>
    <w:bookmarkStart w:id="85" w:name="page86"/>
    <w:bookmarkEnd w:id="85"/>
    <w:p>
      <w:pPr>
        <w:ind w:right="100"/>
        <w:spacing w:after="0" w:line="246" w:lineRule="auto"/>
        <w:rPr>
          <w:sz w:val="20"/>
          <w:szCs w:val="20"/>
          <w:color w:val="auto"/>
        </w:rPr>
      </w:pPr>
      <w:r>
        <w:rPr>
          <w:rFonts w:ascii="Arial" w:cs="Arial" w:eastAsia="Arial" w:hAnsi="Arial"/>
          <w:sz w:val="17"/>
          <w:szCs w:val="17"/>
          <w:color w:val="auto"/>
        </w:rPr>
        <w:t>The number of RSUs granted is calculated by dividing the grant total value by the fair market value of the stock as of the date of grant. For purposes of the 2005 Plan, our Board has deemed “fair market value” as the average closing price of a share of Cohu common stock for the twenty (20) trading days prior to and excluding the relevant grant or award date. Each RSU represents a contingent right to receive one share of Cohu common stock upon vesting. Subject to continued service on the Board, the RSUs granted to non-employee directors upon their initial appointment to the Board will vest in three equal annual installments after the date of grant. The annual RSU awards vest over approximately one year, and shares are issued upon the earlier to occur of the one-year anniversary of the grant date or the next annual meeting of stockholders. RSUs may be accelerated upon a change in control, as defined in the 2005 Plan.</w:t>
      </w:r>
    </w:p>
    <w:p>
      <w:pPr>
        <w:spacing w:after="0" w:line="157" w:lineRule="exact"/>
        <w:rPr>
          <w:sz w:val="20"/>
          <w:szCs w:val="20"/>
          <w:color w:val="auto"/>
        </w:rPr>
      </w:pPr>
    </w:p>
    <w:p>
      <w:pPr>
        <w:ind w:right="760"/>
        <w:spacing w:after="0" w:line="280" w:lineRule="auto"/>
        <w:rPr>
          <w:sz w:val="20"/>
          <w:szCs w:val="20"/>
          <w:color w:val="auto"/>
        </w:rPr>
      </w:pPr>
      <w:r>
        <w:rPr>
          <w:rFonts w:ascii="Arial" w:cs="Arial" w:eastAsia="Arial" w:hAnsi="Arial"/>
          <w:sz w:val="17"/>
          <w:szCs w:val="17"/>
          <w:color w:val="auto"/>
        </w:rPr>
        <w:t>On May, 16, 2025, 10,257 RSUs were awarded to each of Mses. Jorden, Rapp and Richardson and Messrs. Bendush, Bilodeau, Caggia, Donahue, and Mattes.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Medical Benefits</w:t>
      </w:r>
    </w:p>
    <w:p>
      <w:pPr>
        <w:spacing w:after="0" w:line="194"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Mr. Donahue, who is a retired executive officer of Cohu, and his spouse receive medical benefits consisting of reimbursement of health insurance premiums and other medical costs not covered by insurance. These benefits are no longer offered to any current Cohu employees.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2025 Director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on compensation for Cohu’s non-employee directors for fiscal year 2025.</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720" w:type="dxa"/>
            <w:vAlign w:val="bottom"/>
            <w:tcBorders>
              <w:left w:val="single" w:sz="8" w:color="3D85C6"/>
              <w:right w:val="single" w:sz="8" w:color="3D85C6"/>
            </w:tcBorders>
            <w:shd w:val="clear" w:color="auto" w:fill="2D53A6"/>
          </w:tcPr>
          <w:p>
            <w:pPr>
              <w:spacing w:after="0"/>
              <w:rPr>
                <w:sz w:val="16"/>
                <w:szCs w:val="16"/>
                <w:color w:val="auto"/>
              </w:rPr>
            </w:pPr>
          </w:p>
        </w:tc>
        <w:tc>
          <w:tcPr>
            <w:tcW w:w="1820" w:type="dxa"/>
            <w:vAlign w:val="bottom"/>
            <w:tcBorders>
              <w:right w:val="single" w:sz="8" w:color="3D85C6"/>
            </w:tcBorders>
            <w:vMerge w:val="restart"/>
            <w:shd w:val="clear" w:color="auto" w:fill="2D53A6"/>
          </w:tcPr>
          <w:p>
            <w:pPr>
              <w:jc w:val="right"/>
              <w:ind w:right="253"/>
              <w:spacing w:after="0"/>
              <w:rPr>
                <w:sz w:val="20"/>
                <w:szCs w:val="20"/>
                <w:color w:val="auto"/>
              </w:rPr>
            </w:pPr>
            <w:r>
              <w:rPr>
                <w:rFonts w:ascii="Arial" w:cs="Arial" w:eastAsia="Arial" w:hAnsi="Arial"/>
                <w:sz w:val="17"/>
                <w:szCs w:val="17"/>
                <w:b w:val="1"/>
                <w:bCs w:val="1"/>
                <w:color w:val="FFFFFF"/>
              </w:rPr>
              <w:t>Fees Earned or</w:t>
            </w:r>
          </w:p>
        </w:tc>
        <w:tc>
          <w:tcPr>
            <w:tcW w:w="1940" w:type="dxa"/>
            <w:vAlign w:val="bottom"/>
            <w:tcBorders>
              <w:right w:val="single" w:sz="8" w:color="3D85C6"/>
            </w:tcBorders>
            <w:vMerge w:val="restart"/>
            <w:shd w:val="clear" w:color="auto" w:fill="2D53A6"/>
          </w:tcPr>
          <w:p>
            <w:pPr>
              <w:jc w:val="right"/>
              <w:ind w:right="313"/>
              <w:spacing w:after="0"/>
              <w:rPr>
                <w:sz w:val="20"/>
                <w:szCs w:val="20"/>
                <w:color w:val="auto"/>
              </w:rPr>
            </w:pPr>
            <w:r>
              <w:rPr>
                <w:rFonts w:ascii="Arial" w:cs="Arial" w:eastAsia="Arial" w:hAnsi="Arial"/>
                <w:sz w:val="17"/>
                <w:szCs w:val="17"/>
                <w:b w:val="1"/>
                <w:bCs w:val="1"/>
                <w:color w:val="FFFFFF"/>
              </w:rPr>
              <w:t>Stock Awards</w:t>
            </w:r>
          </w:p>
        </w:tc>
        <w:tc>
          <w:tcPr>
            <w:tcW w:w="188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All Other</w:t>
            </w:r>
          </w:p>
        </w:tc>
        <w:tc>
          <w:tcPr>
            <w:tcW w:w="1900" w:type="dxa"/>
            <w:vAlign w:val="bottom"/>
            <w:tcBorders>
              <w:right w:val="single" w:sz="8" w:color="3D85C6"/>
            </w:tcBorders>
            <w:shd w:val="clear" w:color="auto" w:fill="2D53A6"/>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720" w:type="dxa"/>
            <w:vAlign w:val="bottom"/>
            <w:tcBorders>
              <w:left w:val="single" w:sz="8" w:color="3D85C6"/>
              <w:right w:val="single" w:sz="8" w:color="3D85C6"/>
            </w:tcBorders>
            <w:vMerge w:val="restart"/>
            <w:shd w:val="clear" w:color="auto" w:fill="2D53A6"/>
          </w:tcPr>
          <w:p>
            <w:pPr>
              <w:ind w:left="180"/>
              <w:spacing w:after="0"/>
              <w:rPr>
                <w:sz w:val="20"/>
                <w:szCs w:val="20"/>
                <w:color w:val="auto"/>
              </w:rPr>
            </w:pPr>
            <w:r>
              <w:rPr>
                <w:rFonts w:ascii="Arial" w:cs="Arial" w:eastAsia="Arial" w:hAnsi="Arial"/>
                <w:sz w:val="17"/>
                <w:szCs w:val="17"/>
                <w:b w:val="1"/>
                <w:bCs w:val="1"/>
                <w:color w:val="FFFFFF"/>
              </w:rPr>
              <w:t>Name</w:t>
            </w:r>
          </w:p>
        </w:tc>
        <w:tc>
          <w:tcPr>
            <w:tcW w:w="1820" w:type="dxa"/>
            <w:vAlign w:val="bottom"/>
            <w:tcBorders>
              <w:right w:val="single" w:sz="8" w:color="3D85C6"/>
            </w:tcBorders>
            <w:vMerge w:val="continue"/>
            <w:shd w:val="clear" w:color="auto" w:fill="2D53A6"/>
          </w:tcPr>
          <w:p>
            <w:pPr>
              <w:spacing w:after="0"/>
              <w:rPr>
                <w:sz w:val="7"/>
                <w:szCs w:val="7"/>
                <w:color w:val="auto"/>
              </w:rPr>
            </w:pPr>
          </w:p>
        </w:tc>
        <w:tc>
          <w:tcPr>
            <w:tcW w:w="1940" w:type="dxa"/>
            <w:vAlign w:val="bottom"/>
            <w:tcBorders>
              <w:right w:val="single" w:sz="8" w:color="3D85C6"/>
            </w:tcBorders>
            <w:vMerge w:val="continue"/>
            <w:shd w:val="clear" w:color="auto" w:fill="2D53A6"/>
          </w:tcPr>
          <w:p>
            <w:pPr>
              <w:spacing w:after="0"/>
              <w:rPr>
                <w:sz w:val="7"/>
                <w:szCs w:val="7"/>
                <w:color w:val="auto"/>
              </w:rPr>
            </w:pPr>
          </w:p>
        </w:tc>
        <w:tc>
          <w:tcPr>
            <w:tcW w:w="188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Compensation</w:t>
            </w:r>
          </w:p>
        </w:tc>
        <w:tc>
          <w:tcPr>
            <w:tcW w:w="1900" w:type="dxa"/>
            <w:vAlign w:val="bottom"/>
            <w:tcBorders>
              <w:right w:val="single" w:sz="8" w:color="3D85C6"/>
            </w:tcBorders>
            <w:vMerge w:val="restart"/>
            <w:shd w:val="clear" w:color="auto" w:fill="2D53A6"/>
          </w:tcPr>
          <w:p>
            <w:pPr>
              <w:jc w:val="right"/>
              <w:ind w:right="533"/>
              <w:spacing w:after="0"/>
              <w:rPr>
                <w:sz w:val="20"/>
                <w:szCs w:val="20"/>
                <w:color w:val="auto"/>
              </w:rPr>
            </w:pPr>
            <w:r>
              <w:rPr>
                <w:rFonts w:ascii="Arial" w:cs="Arial" w:eastAsia="Arial" w:hAnsi="Arial"/>
                <w:sz w:val="17"/>
                <w:szCs w:val="17"/>
                <w:b w:val="1"/>
                <w:bCs w:val="1"/>
                <w:color w:val="FFFFFF"/>
              </w:rPr>
              <w:t>Total ($)</w:t>
            </w:r>
          </w:p>
        </w:tc>
        <w:tc>
          <w:tcPr>
            <w:tcW w:w="0" w:type="dxa"/>
            <w:vAlign w:val="bottom"/>
          </w:tcPr>
          <w:p>
            <w:pPr>
              <w:spacing w:after="0"/>
              <w:rPr>
                <w:sz w:val="1"/>
                <w:szCs w:val="1"/>
                <w:color w:val="auto"/>
              </w:rPr>
            </w:pPr>
          </w:p>
        </w:tc>
      </w:tr>
      <w:tr>
        <w:trPr>
          <w:trHeight w:val="104"/>
        </w:trPr>
        <w:tc>
          <w:tcPr>
            <w:tcW w:w="3720" w:type="dxa"/>
            <w:vAlign w:val="bottom"/>
            <w:tcBorders>
              <w:left w:val="single" w:sz="8" w:color="3D85C6"/>
              <w:right w:val="single" w:sz="8" w:color="3D85C6"/>
            </w:tcBorders>
            <w:vMerge w:val="continue"/>
            <w:shd w:val="clear" w:color="auto" w:fill="2D53A6"/>
          </w:tcPr>
          <w:p>
            <w:pPr>
              <w:spacing w:after="0"/>
              <w:rPr>
                <w:sz w:val="9"/>
                <w:szCs w:val="9"/>
                <w:color w:val="auto"/>
              </w:rPr>
            </w:pPr>
          </w:p>
        </w:tc>
        <w:tc>
          <w:tcPr>
            <w:tcW w:w="1820" w:type="dxa"/>
            <w:vAlign w:val="bottom"/>
            <w:tcBorders>
              <w:right w:val="single" w:sz="8" w:color="3D85C6"/>
            </w:tcBorders>
            <w:vMerge w:val="restart"/>
            <w:shd w:val="clear" w:color="auto" w:fill="2D53A6"/>
          </w:tcPr>
          <w:p>
            <w:pPr>
              <w:jc w:val="right"/>
              <w:ind w:right="233"/>
              <w:spacing w:after="0"/>
              <w:rPr>
                <w:sz w:val="20"/>
                <w:szCs w:val="20"/>
                <w:color w:val="auto"/>
              </w:rPr>
            </w:pPr>
            <w:r>
              <w:rPr>
                <w:rFonts w:ascii="Arial" w:cs="Arial" w:eastAsia="Arial" w:hAnsi="Arial"/>
                <w:sz w:val="17"/>
                <w:szCs w:val="17"/>
                <w:b w:val="1"/>
                <w:bCs w:val="1"/>
                <w:color w:val="FFFFFF"/>
              </w:rPr>
              <w:t>Paid in Cash ($)</w:t>
            </w:r>
          </w:p>
        </w:tc>
        <w:tc>
          <w:tcPr>
            <w:tcW w:w="1940" w:type="dxa"/>
            <w:vAlign w:val="bottom"/>
            <w:tcBorders>
              <w:right w:val="single" w:sz="8" w:color="3D85C6"/>
            </w:tcBorders>
            <w:vMerge w:val="restart"/>
            <w:shd w:val="clear" w:color="auto" w:fill="2D53A6"/>
          </w:tcPr>
          <w:p>
            <w:pPr>
              <w:jc w:val="right"/>
              <w:ind w:right="693"/>
              <w:spacing w:after="0"/>
              <w:rPr>
                <w:sz w:val="20"/>
                <w:szCs w:val="20"/>
                <w:color w:val="auto"/>
              </w:rPr>
            </w:pPr>
            <w:r>
              <w:rPr>
                <w:rFonts w:ascii="Arial" w:cs="Arial" w:eastAsia="Arial" w:hAnsi="Arial"/>
                <w:sz w:val="17"/>
                <w:szCs w:val="17"/>
                <w:b w:val="1"/>
                <w:bCs w:val="1"/>
                <w:color w:val="FFFFFF"/>
              </w:rPr>
              <w:t>($)</w:t>
            </w:r>
            <w:r>
              <w:rPr>
                <w:rFonts w:ascii="Arial" w:cs="Arial" w:eastAsia="Arial" w:hAnsi="Arial"/>
                <w:sz w:val="14"/>
                <w:szCs w:val="14"/>
                <w:b w:val="1"/>
                <w:bCs w:val="1"/>
                <w:color w:val="FFFFFF"/>
              </w:rPr>
              <w:t>(1)</w:t>
            </w:r>
          </w:p>
        </w:tc>
        <w:tc>
          <w:tcPr>
            <w:tcW w:w="1880" w:type="dxa"/>
            <w:vAlign w:val="bottom"/>
            <w:tcBorders>
              <w:right w:val="single" w:sz="8" w:color="3D85C6"/>
            </w:tcBorders>
            <w:vMerge w:val="continue"/>
            <w:shd w:val="clear" w:color="auto" w:fill="2D53A6"/>
          </w:tcPr>
          <w:p>
            <w:pPr>
              <w:spacing w:after="0"/>
              <w:rPr>
                <w:sz w:val="9"/>
                <w:szCs w:val="9"/>
                <w:color w:val="auto"/>
              </w:rPr>
            </w:pPr>
          </w:p>
        </w:tc>
        <w:tc>
          <w:tcPr>
            <w:tcW w:w="1900" w:type="dxa"/>
            <w:vAlign w:val="bottom"/>
            <w:tcBorders>
              <w:right w:val="single" w:sz="8" w:color="3D85C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720" w:type="dxa"/>
            <w:vAlign w:val="bottom"/>
            <w:tcBorders>
              <w:left w:val="single" w:sz="8" w:color="3D85C6"/>
              <w:right w:val="single" w:sz="8" w:color="3D85C6"/>
            </w:tcBorders>
            <w:shd w:val="clear" w:color="auto" w:fill="2D53A6"/>
          </w:tcPr>
          <w:p>
            <w:pPr>
              <w:spacing w:after="0"/>
              <w:rPr>
                <w:sz w:val="11"/>
                <w:szCs w:val="11"/>
                <w:color w:val="auto"/>
              </w:rPr>
            </w:pPr>
          </w:p>
        </w:tc>
        <w:tc>
          <w:tcPr>
            <w:tcW w:w="1820" w:type="dxa"/>
            <w:vAlign w:val="bottom"/>
            <w:tcBorders>
              <w:right w:val="single" w:sz="8" w:color="3D85C6"/>
            </w:tcBorders>
            <w:vMerge w:val="continue"/>
            <w:shd w:val="clear" w:color="auto" w:fill="2D53A6"/>
          </w:tcPr>
          <w:p>
            <w:pPr>
              <w:spacing w:after="0"/>
              <w:rPr>
                <w:sz w:val="11"/>
                <w:szCs w:val="11"/>
                <w:color w:val="auto"/>
              </w:rPr>
            </w:pPr>
          </w:p>
        </w:tc>
        <w:tc>
          <w:tcPr>
            <w:tcW w:w="1940" w:type="dxa"/>
            <w:vAlign w:val="bottom"/>
            <w:tcBorders>
              <w:right w:val="single" w:sz="8" w:color="3D85C6"/>
            </w:tcBorders>
            <w:vMerge w:val="continue"/>
            <w:shd w:val="clear" w:color="auto" w:fill="2D53A6"/>
          </w:tcPr>
          <w:p>
            <w:pPr>
              <w:spacing w:after="0"/>
              <w:rPr>
                <w:sz w:val="11"/>
                <w:szCs w:val="11"/>
                <w:color w:val="auto"/>
              </w:rPr>
            </w:pPr>
          </w:p>
        </w:tc>
        <w:tc>
          <w:tcPr>
            <w:tcW w:w="188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w:t>
            </w:r>
            <w:r>
              <w:rPr>
                <w:rFonts w:ascii="Arial" w:cs="Arial" w:eastAsia="Arial" w:hAnsi="Arial"/>
                <w:sz w:val="14"/>
                <w:szCs w:val="14"/>
                <w:b w:val="1"/>
                <w:bCs w:val="1"/>
                <w:color w:val="FFFFFF"/>
              </w:rPr>
              <w:t>(2)</w:t>
            </w:r>
          </w:p>
        </w:tc>
        <w:tc>
          <w:tcPr>
            <w:tcW w:w="1900" w:type="dxa"/>
            <w:vAlign w:val="bottom"/>
            <w:tcBorders>
              <w:right w:val="single" w:sz="8" w:color="3D85C6"/>
            </w:tcBorders>
            <w:shd w:val="clear" w:color="auto" w:fill="2D53A6"/>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3720" w:type="dxa"/>
            <w:vAlign w:val="bottom"/>
            <w:tcBorders>
              <w:left w:val="single" w:sz="8" w:color="3D85C6"/>
              <w:right w:val="single" w:sz="8" w:color="3D85C6"/>
            </w:tcBorders>
            <w:shd w:val="clear" w:color="auto" w:fill="2D53A6"/>
          </w:tcPr>
          <w:p>
            <w:pPr>
              <w:spacing w:after="0"/>
              <w:rPr>
                <w:sz w:val="7"/>
                <w:szCs w:val="7"/>
                <w:color w:val="auto"/>
              </w:rPr>
            </w:pPr>
          </w:p>
        </w:tc>
        <w:tc>
          <w:tcPr>
            <w:tcW w:w="1820" w:type="dxa"/>
            <w:vAlign w:val="bottom"/>
            <w:tcBorders>
              <w:right w:val="single" w:sz="8" w:color="3D85C6"/>
            </w:tcBorders>
            <w:shd w:val="clear" w:color="auto" w:fill="2D53A6"/>
          </w:tcPr>
          <w:p>
            <w:pPr>
              <w:spacing w:after="0"/>
              <w:rPr>
                <w:sz w:val="7"/>
                <w:szCs w:val="7"/>
                <w:color w:val="auto"/>
              </w:rPr>
            </w:pPr>
          </w:p>
        </w:tc>
        <w:tc>
          <w:tcPr>
            <w:tcW w:w="1940" w:type="dxa"/>
            <w:vAlign w:val="bottom"/>
            <w:tcBorders>
              <w:right w:val="single" w:sz="8" w:color="3D85C6"/>
            </w:tcBorders>
            <w:shd w:val="clear" w:color="auto" w:fill="2D53A6"/>
          </w:tcPr>
          <w:p>
            <w:pPr>
              <w:spacing w:after="0"/>
              <w:rPr>
                <w:sz w:val="7"/>
                <w:szCs w:val="7"/>
                <w:color w:val="auto"/>
              </w:rPr>
            </w:pPr>
          </w:p>
        </w:tc>
        <w:tc>
          <w:tcPr>
            <w:tcW w:w="1880" w:type="dxa"/>
            <w:vAlign w:val="bottom"/>
            <w:tcBorders>
              <w:right w:val="single" w:sz="8" w:color="3D85C6"/>
            </w:tcBorders>
            <w:vMerge w:val="continue"/>
            <w:shd w:val="clear" w:color="auto" w:fill="2D53A6"/>
          </w:tcPr>
          <w:p>
            <w:pPr>
              <w:spacing w:after="0"/>
              <w:rPr>
                <w:sz w:val="7"/>
                <w:szCs w:val="7"/>
                <w:color w:val="auto"/>
              </w:rPr>
            </w:pPr>
          </w:p>
        </w:tc>
        <w:tc>
          <w:tcPr>
            <w:tcW w:w="1900" w:type="dxa"/>
            <w:vAlign w:val="bottom"/>
            <w:tcBorders>
              <w:right w:val="single" w:sz="8" w:color="3D85C6"/>
            </w:tcBorders>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720" w:type="dxa"/>
            <w:vAlign w:val="bottom"/>
            <w:tcBorders>
              <w:left w:val="single" w:sz="8" w:color="3D85C6"/>
              <w:bottom w:val="single" w:sz="8" w:color="3D85C6"/>
              <w:right w:val="single" w:sz="8" w:color="3D85C6"/>
            </w:tcBorders>
          </w:tcPr>
          <w:p>
            <w:pPr>
              <w:ind w:left="180"/>
              <w:spacing w:after="0"/>
              <w:rPr>
                <w:sz w:val="20"/>
                <w:szCs w:val="20"/>
                <w:color w:val="auto"/>
              </w:rPr>
            </w:pPr>
            <w:r>
              <w:rPr>
                <w:rFonts w:ascii="Arial" w:cs="Arial" w:eastAsia="Arial" w:hAnsi="Arial"/>
                <w:sz w:val="17"/>
                <w:szCs w:val="17"/>
                <w:color w:val="auto"/>
              </w:rPr>
              <w:t>William E. Bendush</w:t>
            </w:r>
          </w:p>
        </w:tc>
        <w:tc>
          <w:tcPr>
            <w:tcW w:w="182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90,000</w:t>
            </w:r>
          </w:p>
        </w:tc>
        <w:tc>
          <w:tcPr>
            <w:tcW w:w="19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182,216</w:t>
            </w:r>
          </w:p>
        </w:tc>
        <w:tc>
          <w:tcPr>
            <w:tcW w:w="1880" w:type="dxa"/>
            <w:vAlign w:val="bottom"/>
            <w:tcBorders>
              <w:bottom w:val="single" w:sz="8" w:color="3D85C6"/>
              <w:right w:val="single" w:sz="8" w:color="3D85C6"/>
            </w:tcBorders>
          </w:tcPr>
          <w:p>
            <w:pPr>
              <w:jc w:val="right"/>
              <w:ind w:right="13"/>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272,216</w:t>
            </w:r>
          </w:p>
        </w:tc>
        <w:tc>
          <w:tcPr>
            <w:tcW w:w="0" w:type="dxa"/>
            <w:vAlign w:val="bottom"/>
          </w:tcPr>
          <w:p>
            <w:pPr>
              <w:spacing w:after="0"/>
              <w:rPr>
                <w:sz w:val="1"/>
                <w:szCs w:val="1"/>
                <w:color w:val="auto"/>
              </w:rPr>
            </w:pPr>
          </w:p>
        </w:tc>
      </w:tr>
      <w:tr>
        <w:trPr>
          <w:trHeight w:val="201"/>
        </w:trPr>
        <w:tc>
          <w:tcPr>
            <w:tcW w:w="3720" w:type="dxa"/>
            <w:vAlign w:val="bottom"/>
            <w:tcBorders>
              <w:left w:val="single" w:sz="8" w:color="3D85C6"/>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 xml:space="preserve">Steven J. Bilodeau </w:t>
            </w:r>
            <w:r>
              <w:rPr>
                <w:rFonts w:ascii="Arial" w:cs="Arial" w:eastAsia="Arial" w:hAnsi="Arial"/>
                <w:sz w:val="14"/>
                <w:szCs w:val="14"/>
                <w:color w:val="auto"/>
              </w:rPr>
              <w:t>(3)</w:t>
            </w:r>
          </w:p>
        </w:tc>
        <w:tc>
          <w:tcPr>
            <w:tcW w:w="182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104,577</w:t>
            </w:r>
          </w:p>
        </w:tc>
        <w:tc>
          <w:tcPr>
            <w:tcW w:w="194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182,216</w:t>
            </w:r>
          </w:p>
        </w:tc>
        <w:tc>
          <w:tcPr>
            <w:tcW w:w="1880" w:type="dxa"/>
            <w:vAlign w:val="bottom"/>
            <w:tcBorders>
              <w:bottom w:val="single" w:sz="8" w:color="3D85C6"/>
              <w:right w:val="single" w:sz="8" w:color="3D85C6"/>
            </w:tcBorders>
            <w:shd w:val="clear" w:color="auto" w:fill="E6E6E6"/>
          </w:tcPr>
          <w:p>
            <w:pPr>
              <w:jc w:val="right"/>
              <w:ind w:right="13"/>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286,793</w:t>
            </w:r>
          </w:p>
        </w:tc>
        <w:tc>
          <w:tcPr>
            <w:tcW w:w="0" w:type="dxa"/>
            <w:vAlign w:val="bottom"/>
          </w:tcPr>
          <w:p>
            <w:pPr>
              <w:spacing w:after="0"/>
              <w:rPr>
                <w:sz w:val="1"/>
                <w:szCs w:val="1"/>
                <w:color w:val="auto"/>
              </w:rPr>
            </w:pPr>
          </w:p>
        </w:tc>
      </w:tr>
      <w:tr>
        <w:trPr>
          <w:trHeight w:val="201"/>
        </w:trPr>
        <w:tc>
          <w:tcPr>
            <w:tcW w:w="3720" w:type="dxa"/>
            <w:vAlign w:val="bottom"/>
            <w:tcBorders>
              <w:left w:val="single" w:sz="8" w:color="3D85C6"/>
              <w:bottom w:val="single" w:sz="8" w:color="3D85C6"/>
              <w:right w:val="single" w:sz="8" w:color="3D85C6"/>
            </w:tcBorders>
          </w:tcPr>
          <w:p>
            <w:pPr>
              <w:ind w:left="180"/>
              <w:spacing w:after="0"/>
              <w:rPr>
                <w:sz w:val="20"/>
                <w:szCs w:val="20"/>
                <w:color w:val="auto"/>
              </w:rPr>
            </w:pPr>
            <w:r>
              <w:rPr>
                <w:rFonts w:ascii="Arial" w:cs="Arial" w:eastAsia="Arial" w:hAnsi="Arial"/>
                <w:sz w:val="17"/>
                <w:szCs w:val="17"/>
                <w:color w:val="auto"/>
              </w:rPr>
              <w:t xml:space="preserve">Andrew M. Caggia </w:t>
            </w:r>
            <w:r>
              <w:rPr>
                <w:rFonts w:ascii="Arial" w:cs="Arial" w:eastAsia="Arial" w:hAnsi="Arial"/>
                <w:sz w:val="14"/>
                <w:szCs w:val="14"/>
                <w:color w:val="auto"/>
              </w:rPr>
              <w:t>(3)</w:t>
            </w:r>
          </w:p>
        </w:tc>
        <w:tc>
          <w:tcPr>
            <w:tcW w:w="182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74,423</w:t>
            </w:r>
          </w:p>
        </w:tc>
        <w:tc>
          <w:tcPr>
            <w:tcW w:w="19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182,216</w:t>
            </w:r>
          </w:p>
        </w:tc>
        <w:tc>
          <w:tcPr>
            <w:tcW w:w="1880" w:type="dxa"/>
            <w:vAlign w:val="bottom"/>
            <w:tcBorders>
              <w:bottom w:val="single" w:sz="8" w:color="3D85C6"/>
              <w:right w:val="single" w:sz="8" w:color="3D85C6"/>
            </w:tcBorders>
          </w:tcPr>
          <w:p>
            <w:pPr>
              <w:jc w:val="right"/>
              <w:ind w:right="13"/>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256,639</w:t>
            </w:r>
          </w:p>
        </w:tc>
        <w:tc>
          <w:tcPr>
            <w:tcW w:w="0" w:type="dxa"/>
            <w:vAlign w:val="bottom"/>
          </w:tcPr>
          <w:p>
            <w:pPr>
              <w:spacing w:after="0"/>
              <w:rPr>
                <w:sz w:val="1"/>
                <w:szCs w:val="1"/>
                <w:color w:val="auto"/>
              </w:rPr>
            </w:pPr>
          </w:p>
        </w:tc>
      </w:tr>
      <w:tr>
        <w:trPr>
          <w:trHeight w:val="201"/>
        </w:trPr>
        <w:tc>
          <w:tcPr>
            <w:tcW w:w="3720" w:type="dxa"/>
            <w:vAlign w:val="bottom"/>
            <w:tcBorders>
              <w:left w:val="single" w:sz="8" w:color="3D85C6"/>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James A. Donahue</w:t>
            </w:r>
          </w:p>
        </w:tc>
        <w:tc>
          <w:tcPr>
            <w:tcW w:w="182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110,000</w:t>
            </w:r>
          </w:p>
        </w:tc>
        <w:tc>
          <w:tcPr>
            <w:tcW w:w="194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182,216</w:t>
            </w:r>
          </w:p>
        </w:tc>
        <w:tc>
          <w:tcPr>
            <w:tcW w:w="1880" w:type="dxa"/>
            <w:vAlign w:val="bottom"/>
            <w:tcBorders>
              <w:bottom w:val="single" w:sz="8" w:color="3D85C6"/>
              <w:right w:val="single" w:sz="8" w:color="3D85C6"/>
            </w:tcBorders>
            <w:shd w:val="clear" w:color="auto" w:fill="E6E6E6"/>
          </w:tcPr>
          <w:p>
            <w:pPr>
              <w:jc w:val="right"/>
              <w:ind w:right="13"/>
              <w:spacing w:after="0"/>
              <w:rPr>
                <w:sz w:val="20"/>
                <w:szCs w:val="20"/>
                <w:color w:val="auto"/>
              </w:rPr>
            </w:pPr>
            <w:r>
              <w:rPr>
                <w:rFonts w:ascii="Arial" w:cs="Arial" w:eastAsia="Arial" w:hAnsi="Arial"/>
                <w:sz w:val="17"/>
                <w:szCs w:val="17"/>
                <w:color w:val="auto"/>
              </w:rPr>
              <w:t>38,800</w:t>
            </w:r>
          </w:p>
        </w:tc>
        <w:tc>
          <w:tcPr>
            <w:tcW w:w="190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331,016</w:t>
            </w:r>
          </w:p>
        </w:tc>
        <w:tc>
          <w:tcPr>
            <w:tcW w:w="0" w:type="dxa"/>
            <w:vAlign w:val="bottom"/>
          </w:tcPr>
          <w:p>
            <w:pPr>
              <w:spacing w:after="0"/>
              <w:rPr>
                <w:sz w:val="1"/>
                <w:szCs w:val="1"/>
                <w:color w:val="auto"/>
              </w:rPr>
            </w:pPr>
          </w:p>
        </w:tc>
      </w:tr>
      <w:tr>
        <w:trPr>
          <w:trHeight w:val="201"/>
        </w:trPr>
        <w:tc>
          <w:tcPr>
            <w:tcW w:w="3720" w:type="dxa"/>
            <w:vAlign w:val="bottom"/>
            <w:tcBorders>
              <w:left w:val="single" w:sz="8" w:color="3D85C6"/>
              <w:bottom w:val="single" w:sz="8" w:color="3D85C6"/>
              <w:right w:val="single" w:sz="8" w:color="3D85C6"/>
            </w:tcBorders>
          </w:tcPr>
          <w:p>
            <w:pPr>
              <w:ind w:left="180"/>
              <w:spacing w:after="0"/>
              <w:rPr>
                <w:sz w:val="20"/>
                <w:szCs w:val="20"/>
                <w:color w:val="auto"/>
              </w:rPr>
            </w:pPr>
            <w:r>
              <w:rPr>
                <w:rFonts w:ascii="Arial" w:cs="Arial" w:eastAsia="Arial" w:hAnsi="Arial"/>
                <w:sz w:val="17"/>
                <w:szCs w:val="17"/>
                <w:color w:val="auto"/>
              </w:rPr>
              <w:t>Yon Y. Jorden</w:t>
            </w:r>
          </w:p>
        </w:tc>
        <w:tc>
          <w:tcPr>
            <w:tcW w:w="182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75,000</w:t>
            </w:r>
          </w:p>
        </w:tc>
        <w:tc>
          <w:tcPr>
            <w:tcW w:w="19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182,216</w:t>
            </w:r>
          </w:p>
        </w:tc>
        <w:tc>
          <w:tcPr>
            <w:tcW w:w="1880" w:type="dxa"/>
            <w:vAlign w:val="bottom"/>
            <w:tcBorders>
              <w:bottom w:val="single" w:sz="8" w:color="3D85C6"/>
              <w:right w:val="single" w:sz="8" w:color="3D85C6"/>
            </w:tcBorders>
          </w:tcPr>
          <w:p>
            <w:pPr>
              <w:jc w:val="right"/>
              <w:ind w:right="13"/>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257,216</w:t>
            </w:r>
          </w:p>
        </w:tc>
        <w:tc>
          <w:tcPr>
            <w:tcW w:w="0" w:type="dxa"/>
            <w:vAlign w:val="bottom"/>
          </w:tcPr>
          <w:p>
            <w:pPr>
              <w:spacing w:after="0"/>
              <w:rPr>
                <w:sz w:val="1"/>
                <w:szCs w:val="1"/>
                <w:color w:val="auto"/>
              </w:rPr>
            </w:pPr>
          </w:p>
        </w:tc>
      </w:tr>
      <w:tr>
        <w:trPr>
          <w:trHeight w:val="201"/>
        </w:trPr>
        <w:tc>
          <w:tcPr>
            <w:tcW w:w="3720" w:type="dxa"/>
            <w:vAlign w:val="bottom"/>
            <w:tcBorders>
              <w:left w:val="single" w:sz="8" w:color="3D85C6"/>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Andreas W. Mattes</w:t>
            </w:r>
          </w:p>
        </w:tc>
        <w:tc>
          <w:tcPr>
            <w:tcW w:w="182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67,500</w:t>
            </w:r>
          </w:p>
        </w:tc>
        <w:tc>
          <w:tcPr>
            <w:tcW w:w="194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182,216</w:t>
            </w:r>
          </w:p>
        </w:tc>
        <w:tc>
          <w:tcPr>
            <w:tcW w:w="1880" w:type="dxa"/>
            <w:vAlign w:val="bottom"/>
            <w:tcBorders>
              <w:bottom w:val="single" w:sz="8" w:color="3D85C6"/>
              <w:right w:val="single" w:sz="8" w:color="3D85C6"/>
            </w:tcBorders>
            <w:shd w:val="clear" w:color="auto" w:fill="E6E6E6"/>
          </w:tcPr>
          <w:p>
            <w:pPr>
              <w:jc w:val="right"/>
              <w:ind w:right="13"/>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249,716</w:t>
            </w:r>
          </w:p>
        </w:tc>
        <w:tc>
          <w:tcPr>
            <w:tcW w:w="0" w:type="dxa"/>
            <w:vAlign w:val="bottom"/>
          </w:tcPr>
          <w:p>
            <w:pPr>
              <w:spacing w:after="0"/>
              <w:rPr>
                <w:sz w:val="1"/>
                <w:szCs w:val="1"/>
                <w:color w:val="auto"/>
              </w:rPr>
            </w:pPr>
          </w:p>
        </w:tc>
      </w:tr>
      <w:tr>
        <w:trPr>
          <w:trHeight w:val="201"/>
        </w:trPr>
        <w:tc>
          <w:tcPr>
            <w:tcW w:w="3720" w:type="dxa"/>
            <w:vAlign w:val="bottom"/>
            <w:tcBorders>
              <w:left w:val="single" w:sz="8" w:color="3D85C6"/>
              <w:bottom w:val="single" w:sz="8" w:color="3D85C6"/>
              <w:right w:val="single" w:sz="8" w:color="3D85C6"/>
            </w:tcBorders>
          </w:tcPr>
          <w:p>
            <w:pPr>
              <w:ind w:left="180"/>
              <w:spacing w:after="0"/>
              <w:rPr>
                <w:sz w:val="20"/>
                <w:szCs w:val="20"/>
                <w:color w:val="auto"/>
              </w:rPr>
            </w:pPr>
            <w:r>
              <w:rPr>
                <w:rFonts w:ascii="Arial" w:cs="Arial" w:eastAsia="Arial" w:hAnsi="Arial"/>
                <w:sz w:val="17"/>
                <w:szCs w:val="17"/>
                <w:color w:val="auto"/>
              </w:rPr>
              <w:t>Karen M. Rapp</w:t>
            </w:r>
          </w:p>
        </w:tc>
        <w:tc>
          <w:tcPr>
            <w:tcW w:w="182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70,000</w:t>
            </w:r>
          </w:p>
        </w:tc>
        <w:tc>
          <w:tcPr>
            <w:tcW w:w="19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182,216</w:t>
            </w:r>
          </w:p>
        </w:tc>
        <w:tc>
          <w:tcPr>
            <w:tcW w:w="1880" w:type="dxa"/>
            <w:vAlign w:val="bottom"/>
            <w:tcBorders>
              <w:bottom w:val="single" w:sz="8" w:color="3D85C6"/>
              <w:right w:val="single" w:sz="8" w:color="3D85C6"/>
            </w:tcBorders>
          </w:tcPr>
          <w:p>
            <w:pPr>
              <w:jc w:val="right"/>
              <w:ind w:right="13"/>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252,216</w:t>
            </w:r>
          </w:p>
        </w:tc>
        <w:tc>
          <w:tcPr>
            <w:tcW w:w="0" w:type="dxa"/>
            <w:vAlign w:val="bottom"/>
          </w:tcPr>
          <w:p>
            <w:pPr>
              <w:spacing w:after="0"/>
              <w:rPr>
                <w:sz w:val="1"/>
                <w:szCs w:val="1"/>
                <w:color w:val="auto"/>
              </w:rPr>
            </w:pPr>
          </w:p>
        </w:tc>
      </w:tr>
      <w:tr>
        <w:trPr>
          <w:trHeight w:val="201"/>
        </w:trPr>
        <w:tc>
          <w:tcPr>
            <w:tcW w:w="3720" w:type="dxa"/>
            <w:vAlign w:val="bottom"/>
            <w:tcBorders>
              <w:left w:val="single" w:sz="8" w:color="3D85C6"/>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 xml:space="preserve">Nina L. Richardson </w:t>
            </w:r>
            <w:r>
              <w:rPr>
                <w:rFonts w:ascii="Arial" w:cs="Arial" w:eastAsia="Arial" w:hAnsi="Arial"/>
                <w:sz w:val="14"/>
                <w:szCs w:val="14"/>
                <w:color w:val="auto"/>
              </w:rPr>
              <w:t>(3)</w:t>
            </w:r>
          </w:p>
        </w:tc>
        <w:tc>
          <w:tcPr>
            <w:tcW w:w="182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67,500</w:t>
            </w:r>
          </w:p>
        </w:tc>
        <w:tc>
          <w:tcPr>
            <w:tcW w:w="194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182,216</w:t>
            </w:r>
          </w:p>
        </w:tc>
        <w:tc>
          <w:tcPr>
            <w:tcW w:w="1880" w:type="dxa"/>
            <w:vAlign w:val="bottom"/>
            <w:tcBorders>
              <w:bottom w:val="single" w:sz="8" w:color="3D85C6"/>
              <w:right w:val="single" w:sz="8" w:color="3D85C6"/>
            </w:tcBorders>
            <w:shd w:val="clear" w:color="auto" w:fill="E6E6E6"/>
          </w:tcPr>
          <w:p>
            <w:pPr>
              <w:jc w:val="right"/>
              <w:ind w:right="13"/>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249,716</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320" w:right="40" w:hanging="316"/>
        <w:spacing w:after="0" w:line="242" w:lineRule="auto"/>
        <w:tabs>
          <w:tab w:leader="none" w:pos="3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amounts shown do not reflect the compensation actually received by the directors. Instead, the amounts above are the grant date fair value for stock awards issued in the form of RSUs granted in fiscal year 2025 calculated in accordance with FASB ASC Topic 718. The assumptions used to calculate the grant date fair value of the stock awards are set forth in Note 6, “Employee Benefit Plans”, included in Part IV, Item 15(a) of Cohu’s Annual Report on Form 10-K for the year ended December 27, 2025, filed with the SEC. The derived grant date fair value for the stock award is recognized, for financial statement purposes, over the number of days of service required for the award to vest in full. As of December 27, 2025, Mses. Jorden, Rapp and Richardson had 10,257, 10,525 and 10,257 unvested RSUs outstanding, respectively, and Messrs. Bendush, Bilodeau, Caggia, Donahue and Mattes each had 10,257 unvested RSUs outstanding.</w:t>
      </w:r>
    </w:p>
    <w:p>
      <w:pPr>
        <w:ind w:left="320" w:right="260" w:hanging="316"/>
        <w:spacing w:after="0" w:line="239" w:lineRule="auto"/>
        <w:tabs>
          <w:tab w:leader="none" w:pos="3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amount shown for Mr. Donahue is for reimbursement of health insurance premiums and other medical costs for him and his spouse not covered by insurance.</w:t>
      </w:r>
    </w:p>
    <w:p>
      <w:pPr>
        <w:ind w:left="320" w:right="160" w:hanging="316"/>
        <w:spacing w:after="0" w:line="246" w:lineRule="auto"/>
        <w:tabs>
          <w:tab w:leader="none" w:pos="320" w:val="left"/>
        </w:tabs>
        <w:numPr>
          <w:ilvl w:val="0"/>
          <w:numId w:val="110"/>
        </w:numPr>
        <w:rPr>
          <w:rFonts w:ascii="Arial" w:cs="Arial" w:eastAsia="Arial" w:hAnsi="Arial"/>
          <w:sz w:val="17"/>
          <w:szCs w:val="17"/>
          <w:b w:val="1"/>
          <w:bCs w:val="1"/>
          <w:color w:val="2D53A6"/>
        </w:rPr>
      </w:pPr>
      <w:r>
        <w:rPr>
          <w:rFonts w:ascii="Arial" w:cs="Arial" w:eastAsia="Arial" w:hAnsi="Arial"/>
          <w:sz w:val="17"/>
          <w:szCs w:val="17"/>
          <w:color w:val="auto"/>
        </w:rPr>
        <w:t>During the year ended December 27, 2025, Mr. Caggia elected to defer his cash director fees. The deferred amounts are credited in the form of DSU awards and ultimately payable in shares of Cohu common stock, if the director ceases to be a director for any reason, upon the occurrence of a change in control of Cohu or at a future date selected at the time of deferral. As of December 27, 2025, Ms. Richardson and Messrs. Bilodeau and Caggia had 11,992, 27,403 and 49,911 DSUs, respectively.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86" w:name="page87"/>
    <w:bookmarkEnd w:id="86"/>
    <w:p>
      <w:pPr>
        <w:spacing w:after="0"/>
        <w:rPr>
          <w:sz w:val="20"/>
          <w:szCs w:val="20"/>
          <w:color w:val="auto"/>
        </w:rPr>
      </w:pPr>
      <w:r>
        <w:rPr>
          <w:rFonts w:ascii="Arial" w:cs="Arial" w:eastAsia="Arial" w:hAnsi="Arial"/>
          <w:sz w:val="21"/>
          <w:szCs w:val="21"/>
          <w:b w:val="1"/>
          <w:bCs w:val="1"/>
          <w:color w:val="2D53A6"/>
        </w:rPr>
        <w:t>Compensation Matters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2D53A6"/>
        </w:rPr>
        <w:t>Executive Compensation and Other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3D85C6"/>
        </w:rPr>
        <w:t>Compensation Discussion and Analysis</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This Compensation Discussion and Analysis (“CD&amp;A”) provides information regarding the 2025 compensation program for our Chief Executive Officer, Chief Financial Officer and our next most highly compensated executive officers of Cohu who were serving at the end of 2025 (there were only four executive officers of Cohu serving at the end of 2025). These individuals were:</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500" w:type="dxa"/>
            <w:vAlign w:val="bottom"/>
            <w:tcBorders>
              <w:top w:val="single" w:sz="8" w:color="3D85C6"/>
              <w:left w:val="single" w:sz="8" w:color="3D85C6"/>
              <w:bottom w:val="single" w:sz="8" w:color="3D85C6"/>
              <w:right w:val="single" w:sz="8" w:color="3D85C6"/>
            </w:tcBorders>
            <w:shd w:val="clear" w:color="auto" w:fill="2D53A6"/>
          </w:tcPr>
          <w:p>
            <w:pPr>
              <w:ind w:left="180"/>
              <w:spacing w:after="0"/>
              <w:rPr>
                <w:sz w:val="20"/>
                <w:szCs w:val="20"/>
                <w:color w:val="auto"/>
              </w:rPr>
            </w:pPr>
            <w:r>
              <w:rPr>
                <w:rFonts w:ascii="Arial" w:cs="Arial" w:eastAsia="Arial" w:hAnsi="Arial"/>
                <w:sz w:val="17"/>
                <w:szCs w:val="17"/>
                <w:b w:val="1"/>
                <w:bCs w:val="1"/>
                <w:color w:val="FFFFFF"/>
              </w:rPr>
              <w:t>Named Executive Officer</w:t>
            </w:r>
          </w:p>
        </w:tc>
        <w:tc>
          <w:tcPr>
            <w:tcW w:w="6740" w:type="dxa"/>
            <w:vAlign w:val="bottom"/>
            <w:tcBorders>
              <w:top w:val="single" w:sz="8" w:color="2D53A6"/>
              <w:bottom w:val="single" w:sz="8" w:color="3D85C6"/>
            </w:tcBorders>
            <w:shd w:val="clear" w:color="auto" w:fill="2D53A6"/>
          </w:tcPr>
          <w:p>
            <w:pPr>
              <w:ind w:left="160"/>
              <w:spacing w:after="0"/>
              <w:rPr>
                <w:sz w:val="20"/>
                <w:szCs w:val="20"/>
                <w:color w:val="auto"/>
              </w:rPr>
            </w:pPr>
            <w:r>
              <w:rPr>
                <w:rFonts w:ascii="Arial" w:cs="Arial" w:eastAsia="Arial" w:hAnsi="Arial"/>
                <w:sz w:val="17"/>
                <w:szCs w:val="17"/>
                <w:b w:val="1"/>
                <w:bCs w:val="1"/>
                <w:color w:val="FFFFFF"/>
              </w:rPr>
              <w:t>Position(s)</w:t>
            </w:r>
          </w:p>
        </w:tc>
      </w:tr>
      <w:tr>
        <w:trPr>
          <w:trHeight w:val="168"/>
        </w:trPr>
        <w:tc>
          <w:tcPr>
            <w:tcW w:w="4500" w:type="dxa"/>
            <w:vAlign w:val="bottom"/>
            <w:tcBorders>
              <w:bottom w:val="single" w:sz="8" w:color="3D85C6"/>
            </w:tcBorders>
          </w:tcPr>
          <w:p>
            <w:pPr>
              <w:ind w:left="180"/>
              <w:spacing w:after="0" w:line="168" w:lineRule="exact"/>
              <w:rPr>
                <w:sz w:val="20"/>
                <w:szCs w:val="20"/>
                <w:color w:val="auto"/>
              </w:rPr>
            </w:pPr>
            <w:r>
              <w:rPr>
                <w:rFonts w:ascii="Arial" w:cs="Arial" w:eastAsia="Arial" w:hAnsi="Arial"/>
                <w:sz w:val="17"/>
                <w:szCs w:val="17"/>
                <w:color w:val="auto"/>
              </w:rPr>
              <w:t>Luis A. Müller</w:t>
            </w:r>
          </w:p>
        </w:tc>
        <w:tc>
          <w:tcPr>
            <w:tcW w:w="6740" w:type="dxa"/>
            <w:vAlign w:val="bottom"/>
            <w:tcBorders>
              <w:bottom w:val="single" w:sz="8" w:color="3D85C6"/>
            </w:tcBorders>
          </w:tcPr>
          <w:p>
            <w:pPr>
              <w:ind w:left="160"/>
              <w:spacing w:after="0" w:line="168" w:lineRule="exact"/>
              <w:rPr>
                <w:sz w:val="20"/>
                <w:szCs w:val="20"/>
                <w:color w:val="auto"/>
              </w:rPr>
            </w:pPr>
            <w:r>
              <w:rPr>
                <w:rFonts w:ascii="Arial" w:cs="Arial" w:eastAsia="Arial" w:hAnsi="Arial"/>
                <w:sz w:val="17"/>
                <w:szCs w:val="17"/>
                <w:color w:val="auto"/>
              </w:rPr>
              <w:t>President and Chief Executive Officer (our “CEO”)</w:t>
            </w:r>
          </w:p>
        </w:tc>
      </w:tr>
      <w:tr>
        <w:trPr>
          <w:trHeight w:val="188"/>
        </w:trPr>
        <w:tc>
          <w:tcPr>
            <w:tcW w:w="4500" w:type="dxa"/>
            <w:vAlign w:val="bottom"/>
            <w:tcBorders>
              <w:left w:val="single" w:sz="8" w:color="E6E6E6"/>
              <w:bottom w:val="single" w:sz="8" w:color="3D85C6"/>
              <w:right w:val="single" w:sz="8" w:color="E6E6E6"/>
            </w:tcBorders>
            <w:shd w:val="clear" w:color="auto" w:fill="E6E6E6"/>
          </w:tcPr>
          <w:p>
            <w:pPr>
              <w:ind w:left="180"/>
              <w:spacing w:after="0" w:line="188" w:lineRule="exact"/>
              <w:rPr>
                <w:sz w:val="20"/>
                <w:szCs w:val="20"/>
                <w:color w:val="auto"/>
              </w:rPr>
            </w:pPr>
            <w:r>
              <w:rPr>
                <w:rFonts w:ascii="Arial" w:cs="Arial" w:eastAsia="Arial" w:hAnsi="Arial"/>
                <w:sz w:val="17"/>
                <w:szCs w:val="17"/>
                <w:color w:val="auto"/>
              </w:rPr>
              <w:t>Jeffrey D. Jones</w:t>
            </w:r>
          </w:p>
        </w:tc>
        <w:tc>
          <w:tcPr>
            <w:tcW w:w="6740" w:type="dxa"/>
            <w:vAlign w:val="bottom"/>
            <w:tcBorders>
              <w:bottom w:val="single" w:sz="8" w:color="3D85C6"/>
            </w:tcBorders>
            <w:shd w:val="clear" w:color="auto" w:fill="E6E6E6"/>
          </w:tcPr>
          <w:p>
            <w:pPr>
              <w:ind w:left="160"/>
              <w:spacing w:after="0" w:line="188" w:lineRule="exact"/>
              <w:rPr>
                <w:sz w:val="20"/>
                <w:szCs w:val="20"/>
                <w:color w:val="auto"/>
              </w:rPr>
            </w:pPr>
            <w:r>
              <w:rPr>
                <w:rFonts w:ascii="Arial" w:cs="Arial" w:eastAsia="Arial" w:hAnsi="Arial"/>
                <w:sz w:val="17"/>
                <w:szCs w:val="17"/>
                <w:color w:val="auto"/>
              </w:rPr>
              <w:t>Senior Vice President Finance and Chief Financial Officer</w:t>
            </w:r>
          </w:p>
        </w:tc>
      </w:tr>
      <w:tr>
        <w:trPr>
          <w:trHeight w:val="188"/>
        </w:trPr>
        <w:tc>
          <w:tcPr>
            <w:tcW w:w="4500" w:type="dxa"/>
            <w:vAlign w:val="bottom"/>
            <w:tcBorders>
              <w:bottom w:val="single" w:sz="8" w:color="3D85C6"/>
            </w:tcBorders>
          </w:tcPr>
          <w:p>
            <w:pPr>
              <w:ind w:left="180"/>
              <w:spacing w:after="0" w:line="188" w:lineRule="exact"/>
              <w:rPr>
                <w:sz w:val="20"/>
                <w:szCs w:val="20"/>
                <w:color w:val="auto"/>
              </w:rPr>
            </w:pPr>
            <w:r>
              <w:rPr>
                <w:rFonts w:ascii="Arial" w:cs="Arial" w:eastAsia="Arial" w:hAnsi="Arial"/>
                <w:sz w:val="17"/>
                <w:szCs w:val="17"/>
                <w:color w:val="auto"/>
              </w:rPr>
              <w:t>Christopher G. Bohrson</w:t>
            </w:r>
          </w:p>
        </w:tc>
        <w:tc>
          <w:tcPr>
            <w:tcW w:w="6740" w:type="dxa"/>
            <w:vAlign w:val="bottom"/>
            <w:tcBorders>
              <w:bottom w:val="single" w:sz="8" w:color="3D85C6"/>
            </w:tcBorders>
          </w:tcPr>
          <w:p>
            <w:pPr>
              <w:ind w:left="160"/>
              <w:spacing w:after="0" w:line="188" w:lineRule="exact"/>
              <w:rPr>
                <w:sz w:val="20"/>
                <w:szCs w:val="20"/>
                <w:color w:val="auto"/>
              </w:rPr>
            </w:pPr>
            <w:r>
              <w:rPr>
                <w:rFonts w:ascii="Arial" w:cs="Arial" w:eastAsia="Arial" w:hAnsi="Arial"/>
                <w:sz w:val="17"/>
                <w:szCs w:val="17"/>
                <w:color w:val="auto"/>
              </w:rPr>
              <w:t>Senior Vice President and Chief Customer Officer</w:t>
            </w:r>
          </w:p>
        </w:tc>
      </w:tr>
      <w:tr>
        <w:trPr>
          <w:trHeight w:val="200"/>
        </w:trPr>
        <w:tc>
          <w:tcPr>
            <w:tcW w:w="4500" w:type="dxa"/>
            <w:vAlign w:val="bottom"/>
          </w:tcPr>
          <w:p>
            <w:pPr>
              <w:ind w:left="180"/>
              <w:spacing w:after="0"/>
              <w:rPr>
                <w:sz w:val="20"/>
                <w:szCs w:val="20"/>
                <w:color w:val="auto"/>
              </w:rPr>
            </w:pPr>
            <w:r>
              <w:rPr>
                <w:rFonts w:ascii="Arial" w:cs="Arial" w:eastAsia="Arial" w:hAnsi="Arial"/>
                <w:sz w:val="17"/>
                <w:szCs w:val="17"/>
                <w:color w:val="auto"/>
              </w:rPr>
              <w:t>Klaus Ilgenfritz</w:t>
            </w:r>
            <w:r>
              <w:rPr>
                <w:rFonts w:ascii="Arial" w:cs="Arial" w:eastAsia="Arial" w:hAnsi="Arial"/>
                <w:sz w:val="14"/>
                <w:szCs w:val="14"/>
                <w:color w:val="auto"/>
              </w:rPr>
              <w:t>(1)</w:t>
            </w:r>
          </w:p>
        </w:tc>
        <w:tc>
          <w:tcPr>
            <w:tcW w:w="6740" w:type="dxa"/>
            <w:vAlign w:val="bottom"/>
          </w:tcPr>
          <w:p>
            <w:pPr>
              <w:ind w:left="160"/>
              <w:spacing w:after="0"/>
              <w:rPr>
                <w:sz w:val="20"/>
                <w:szCs w:val="20"/>
                <w:color w:val="auto"/>
              </w:rPr>
            </w:pPr>
            <w:r>
              <w:rPr>
                <w:rFonts w:ascii="Arial" w:cs="Arial" w:eastAsia="Arial" w:hAnsi="Arial"/>
                <w:sz w:val="17"/>
                <w:szCs w:val="17"/>
                <w:color w:val="auto"/>
              </w:rPr>
              <w:t>Senior Vice President and Chief Product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-667385</wp:posOffset>
            </wp:positionV>
            <wp:extent cx="7137400" cy="6686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7400" cy="6686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(1) Mr. Ilgenfritz became a named executive officer in fiscal 2025 in connection with his promotion to Chief Product Officer in January 2025.</w:t>
      </w:r>
    </w:p>
    <w:p>
      <w:pPr>
        <w:spacing w:after="0" w:line="178"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We refer to our named executive officers collectively in this CD&amp;A and the related compensation tables as our “NEOs”. This CD&amp;A provides an overview of our philosophy and principles that govern our executive compensation program, how we applied those principles in compensating our NEOs for 2025, and how we use our executive compensation program to drive Company performance and alignment with our stockholders. In addition, we explain how and why the Compensation Committee of our Board of Directors, referred to as our “Compensation Committee,” arrived at the specific compensation policies and decisions involving our NEOs during 2025.</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3D85C6"/>
        </w:rPr>
        <w:t>Executive Summary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2025 Business Highlights</w:t>
      </w:r>
    </w:p>
    <w:p>
      <w:pPr>
        <w:spacing w:after="0" w:line="154" w:lineRule="exact"/>
        <w:rPr>
          <w:sz w:val="20"/>
          <w:szCs w:val="20"/>
          <w:color w:val="auto"/>
        </w:rPr>
      </w:pPr>
    </w:p>
    <w:p>
      <w:pPr>
        <w:ind w:right="120"/>
        <w:spacing w:after="0" w:line="211" w:lineRule="exact"/>
        <w:rPr>
          <w:sz w:val="20"/>
          <w:szCs w:val="20"/>
          <w:color w:val="auto"/>
        </w:rPr>
      </w:pPr>
      <w:r>
        <w:rPr>
          <w:rFonts w:ascii="Arial" w:cs="Arial" w:eastAsia="Arial" w:hAnsi="Arial"/>
          <w:sz w:val="17"/>
          <w:szCs w:val="17"/>
          <w:color w:val="auto"/>
        </w:rPr>
        <w:t>Cohu delivered full</w:t>
      </w:r>
      <w:r>
        <w:rPr>
          <w:rFonts w:ascii="MS PGothic" w:cs="MS PGothic" w:eastAsia="MS PGothic" w:hAnsi="MS PGothic"/>
          <w:sz w:val="17"/>
          <w:szCs w:val="17"/>
          <w:color w:val="auto"/>
        </w:rPr>
        <w:t>‑</w:t>
      </w:r>
      <w:r>
        <w:rPr>
          <w:rFonts w:ascii="Arial" w:cs="Arial" w:eastAsia="Arial" w:hAnsi="Arial"/>
          <w:sz w:val="17"/>
          <w:szCs w:val="17"/>
          <w:color w:val="auto"/>
        </w:rPr>
        <w:t>year 2025 revenue of $453.0 million, growing 13% year-over-year, and non</w:t>
      </w:r>
      <w:r>
        <w:rPr>
          <w:rFonts w:ascii="MS PGothic" w:cs="MS PGothic" w:eastAsia="MS PGothic" w:hAnsi="MS PGothic"/>
          <w:sz w:val="17"/>
          <w:szCs w:val="17"/>
          <w:color w:val="auto"/>
        </w:rPr>
        <w:t>‑</w:t>
      </w:r>
      <w:r>
        <w:rPr>
          <w:rFonts w:ascii="Arial" w:cs="Arial" w:eastAsia="Arial" w:hAnsi="Arial"/>
          <w:sz w:val="17"/>
          <w:szCs w:val="17"/>
          <w:color w:val="auto"/>
        </w:rPr>
        <w:t>GAAP adjusted pre</w:t>
      </w:r>
      <w:r>
        <w:rPr>
          <w:rFonts w:ascii="MS PGothic" w:cs="MS PGothic" w:eastAsia="MS PGothic" w:hAnsi="MS PGothic"/>
          <w:sz w:val="17"/>
          <w:szCs w:val="17"/>
          <w:color w:val="auto"/>
        </w:rPr>
        <w:t>‑</w:t>
      </w:r>
      <w:r>
        <w:rPr>
          <w:rFonts w:ascii="Arial" w:cs="Arial" w:eastAsia="Arial" w:hAnsi="Arial"/>
          <w:sz w:val="17"/>
          <w:szCs w:val="17"/>
          <w:color w:val="auto"/>
        </w:rPr>
        <w:t>tax income of $7.3 million, an improvement over 2024 despite a slower</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expected recovery across our end markets. Results reflect continuing efforts in cost control, stable gross margin and design-win successes in high-performance computing and memory markets. We made important gains in key development projects and launched new products in each of our major business lines. We also completed the acquisition of Tignis, Inc., which will enhance our software solutions offerings with their artificial intelligence process control and analytics-based monitoring platforms. Some key business outcomes:</w:t>
      </w:r>
    </w:p>
    <w:p>
      <w:pPr>
        <w:spacing w:after="0" w:line="354" w:lineRule="exact"/>
        <w:rPr>
          <w:sz w:val="20"/>
          <w:szCs w:val="20"/>
          <w:color w:val="auto"/>
        </w:rPr>
      </w:pPr>
    </w:p>
    <w:p>
      <w:pPr>
        <w:ind w:left="620" w:hanging="304"/>
        <w:spacing w:after="0"/>
        <w:tabs>
          <w:tab w:leader="none" w:pos="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Net sales were $453.0 million, increasing 12.7% from 2024.</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GAAP gross margin was 42.7%, and non-GAAP gross margin was 43.3%.</w:t>
      </w:r>
      <w:r>
        <w:rPr>
          <w:rFonts w:ascii="Arial" w:cs="Arial" w:eastAsia="Arial" w:hAnsi="Arial"/>
          <w:sz w:val="14"/>
          <w:szCs w:val="14"/>
          <w:color w:val="auto"/>
        </w:rPr>
        <w:t>(1)</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GAAP pretax loss of (13.8)% of sales, and non-GAAP pretax income of 1.6%.</w:t>
      </w:r>
      <w:r>
        <w:rPr>
          <w:rFonts w:ascii="Arial" w:cs="Arial" w:eastAsia="Arial" w:hAnsi="Arial"/>
          <w:sz w:val="14"/>
          <w:szCs w:val="14"/>
          <w:color w:val="auto"/>
        </w:rPr>
        <w:t>(1)</w:t>
      </w:r>
      <w:r>
        <w:rPr>
          <w:rFonts w:ascii="Arial" w:cs="Arial" w:eastAsia="Arial" w:hAnsi="Arial"/>
          <w:sz w:val="17"/>
          <w:szCs w:val="17"/>
          <w:color w:val="auto"/>
        </w:rPr>
        <w:t xml:space="preserve"> of sales.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Remained cash-flow positive from operations.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Returned $8.6 million in capital to stockholders in the form of stock buybacks.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Strong net cash position of $3.82 per share at the end of 2025.</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Completed the acquisition of Tignis, Inc. in early 2025.</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Delivered strong operational execution in the face of an extended downcycle in the semiconductor equipment market.</w:t>
      </w:r>
    </w:p>
    <w:p>
      <w:pPr>
        <w:spacing w:after="0" w:line="233" w:lineRule="exact"/>
        <w:rPr>
          <w:rFonts w:ascii="Arial" w:cs="Arial" w:eastAsia="Arial" w:hAnsi="Arial"/>
          <w:sz w:val="17"/>
          <w:szCs w:val="17"/>
          <w:color w:val="auto"/>
        </w:rPr>
      </w:pPr>
    </w:p>
    <w:p>
      <w:pPr>
        <w:ind w:left="260" w:hanging="256"/>
        <w:spacing w:after="0"/>
        <w:tabs>
          <w:tab w:leader="none" w:pos="2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Annex F</w:t>
      </w:r>
      <w:r>
        <w:rPr>
          <w:rFonts w:ascii="Arial" w:cs="Arial" w:eastAsia="Arial" w:hAnsi="Arial"/>
          <w:sz w:val="17"/>
          <w:szCs w:val="17"/>
          <w:color w:val="auto"/>
        </w:rPr>
        <w:t xml:space="preserve"> for GAAP to non-GAAP reconciliations</w:t>
      </w:r>
      <w:r>
        <w:rPr>
          <w:rFonts w:ascii="Arial" w:cs="Arial" w:eastAsia="Arial" w:hAnsi="Arial"/>
          <w:sz w:val="17"/>
          <w:szCs w:val="17"/>
          <w:i w:val="1"/>
          <w:iCs w:val="1"/>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2025 Key Executive Compensation Actions</w:t>
      </w:r>
    </w:p>
    <w:p>
      <w:pPr>
        <w:spacing w:after="0" w:line="194" w:lineRule="exact"/>
        <w:rPr>
          <w:sz w:val="20"/>
          <w:szCs w:val="20"/>
          <w:color w:val="auto"/>
        </w:rPr>
      </w:pPr>
    </w:p>
    <w:p>
      <w:pPr>
        <w:ind w:right="680"/>
        <w:spacing w:after="0" w:line="280" w:lineRule="auto"/>
        <w:rPr>
          <w:sz w:val="20"/>
          <w:szCs w:val="20"/>
          <w:color w:val="auto"/>
        </w:rPr>
      </w:pPr>
      <w:r>
        <w:rPr>
          <w:rFonts w:ascii="Arial" w:cs="Arial" w:eastAsia="Arial" w:hAnsi="Arial"/>
          <w:sz w:val="17"/>
          <w:szCs w:val="17"/>
          <w:color w:val="auto"/>
        </w:rPr>
        <w:t>Consistent with our performance and the compensation objectives established for 2025, the Compensation Committee made the following compensation decisions for our NEOs, including our CEO, for 2025:</w:t>
      </w:r>
    </w:p>
    <w:p>
      <w:pPr>
        <w:spacing w:after="0" w:line="129" w:lineRule="exact"/>
        <w:rPr>
          <w:sz w:val="20"/>
          <w:szCs w:val="20"/>
          <w:color w:val="auto"/>
        </w:rPr>
      </w:pPr>
    </w:p>
    <w:p>
      <w:pPr>
        <w:jc w:val="both"/>
        <w:ind w:left="620" w:right="20" w:hanging="304"/>
        <w:spacing w:after="0" w:line="259" w:lineRule="auto"/>
        <w:tabs>
          <w:tab w:leader="none" w:pos="6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Kept base salaries and target bonus percentages unchanged, except for Mr. Ilgenfritz in connection with his promotion, as no increases for any other NEOs were deemed appropriate following a review of compensation market data and in consideration of the continuing softness in the industry;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87" w:name="page88"/>
    <w:bookmarkEnd w:id="87"/>
    <w:p>
      <w:pPr>
        <w:ind w:left="620" w:hanging="304"/>
        <w:spacing w:after="0"/>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Limited cash bonuses were earned based on 2025 financial results; and</w:t>
      </w:r>
    </w:p>
    <w:p>
      <w:pPr>
        <w:spacing w:after="0" w:line="38" w:lineRule="exact"/>
        <w:rPr>
          <w:rFonts w:ascii="Arial" w:cs="Arial" w:eastAsia="Arial" w:hAnsi="Arial"/>
          <w:sz w:val="17"/>
          <w:szCs w:val="17"/>
          <w:color w:val="auto"/>
        </w:rPr>
      </w:pPr>
    </w:p>
    <w:p>
      <w:pPr>
        <w:ind w:left="620" w:right="220" w:hanging="304"/>
        <w:spacing w:after="0" w:line="259" w:lineRule="auto"/>
        <w:tabs>
          <w:tab w:leader="none" w:pos="6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Granted long-term incentive compensation in the form of time-based vesting restricted stock units (“RSUs”) vesting ratably over a three-year period and performance share units (“PSUs”) to be earned based on our total stockholder return (“TSR”) relative to a pre-selected index for a three-year period from 2025 through 2027.</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 for Performance</w:t>
      </w:r>
    </w:p>
    <w:p>
      <w:pPr>
        <w:spacing w:after="0" w:line="19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Compensation Committee believes that the compensation of our NEOs for 2025 was reasonable and appropriate, was supported by our performance, and carefully balanced both time-based and performance-based compensation elements. The 2025 compensation objectives for our NEOs were established in February and March 2025. The Compensation Committee continued the emphasis on performance-based equity within our long-term incentive program by keeping the proportion of performance-based equity granted to our CEO and other NEOs at 60% of the total target award and the remaining at 40% of the total target award value in time-based equity.</w:t>
      </w:r>
    </w:p>
    <w:p>
      <w:pPr>
        <w:spacing w:after="0" w:line="155"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The following chart illustrates the mix of elements of the target total direct compensation opportunity for our CEO for 2025. The majority of his compensation, 89%, is considered variable and at risk, 59% is paid upon achievement of certain performance metrics, and only 11% of his total target direct compensation is paid as fixed base salary reflecting an increased emphasis on both the at-risk and performance elements of our CEO’s compensation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-14605</wp:posOffset>
            </wp:positionV>
            <wp:extent cx="5775960" cy="3564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75960" cy="356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Further, the compensation of our NEOs over the previous five years demonstrates the alignment between pay and performance. The variable cash compensation earned by our NEOs for each year from 2021 through 2025 varied from 0% to 193% of their target annual cash incentive opportunities based on our financial performance. Specifically:</w:t>
      </w:r>
    </w:p>
    <w:p>
      <w:pPr>
        <w:spacing w:after="0" w:line="147" w:lineRule="exact"/>
        <w:rPr>
          <w:sz w:val="20"/>
          <w:szCs w:val="20"/>
          <w:color w:val="auto"/>
        </w:rPr>
      </w:pPr>
    </w:p>
    <w:p>
      <w:pPr>
        <w:ind w:left="620" w:right="100" w:hanging="304"/>
        <w:spacing w:after="0" w:line="259" w:lineRule="auto"/>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2021 continued to pose COVID-19 pandemic related challenges, yet Cohu still achieved record sales, profitability and order levels resulting in the seventh consecutive year of sales growth. Due to this strong performance, our NEOs, including our CEO, earned 168% of their target annual cash incentive opportunities.</w:t>
      </w:r>
    </w:p>
    <w:p>
      <w:pPr>
        <w:spacing w:after="0" w:line="146" w:lineRule="exact"/>
        <w:rPr>
          <w:rFonts w:ascii="Arial" w:cs="Arial" w:eastAsia="Arial" w:hAnsi="Arial"/>
          <w:sz w:val="17"/>
          <w:szCs w:val="17"/>
          <w:color w:val="auto"/>
        </w:rPr>
      </w:pPr>
    </w:p>
    <w:p>
      <w:pPr>
        <w:ind w:left="620" w:right="40" w:hanging="304"/>
        <w:spacing w:after="0" w:line="259" w:lineRule="auto"/>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2022 continued to present supply chain related challenges, inflationary cost pressures and a softening market, yet Cohu still achieved strong profitability. Due to this robust performance in difficult market conditions, our NEOs, including our CEO, earned 193% of their target annual cash incentive opportunities.</w:t>
      </w:r>
    </w:p>
    <w:p>
      <w:pPr>
        <w:spacing w:after="0" w:line="146" w:lineRule="exact"/>
        <w:rPr>
          <w:rFonts w:ascii="Arial" w:cs="Arial" w:eastAsia="Arial" w:hAnsi="Arial"/>
          <w:sz w:val="17"/>
          <w:szCs w:val="17"/>
          <w:color w:val="auto"/>
        </w:rPr>
      </w:pPr>
    </w:p>
    <w:p>
      <w:pPr>
        <w:ind w:left="620" w:right="40" w:hanging="304"/>
        <w:spacing w:after="0" w:line="259" w:lineRule="auto"/>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2023 marked the beginning of a downturn in the semiconductor industry, but Cohu was able to achieve improved gross margin results and exceeded our model profitability levels. Due to the adept navigation of these challenges, our NEOs, including our CEO, earned 96% of their target annual cash incentive opportunities.</w:t>
      </w:r>
    </w:p>
    <w:p>
      <w:pPr>
        <w:spacing w:after="0" w:line="146" w:lineRule="exact"/>
        <w:rPr>
          <w:rFonts w:ascii="Arial" w:cs="Arial" w:eastAsia="Arial" w:hAnsi="Arial"/>
          <w:sz w:val="17"/>
          <w:szCs w:val="17"/>
          <w:color w:val="auto"/>
        </w:rPr>
      </w:pPr>
    </w:p>
    <w:p>
      <w:pPr>
        <w:ind w:left="620" w:right="540" w:hanging="304"/>
        <w:spacing w:after="0" w:line="280" w:lineRule="auto"/>
        <w:tabs>
          <w:tab w:leader="none" w:pos="6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2024 continued the unprecedented downturn in the semiconductor industry. Cohu did not achieve the targeted goals with respect to revenue growth nor profitability, which resulted in no annual cash incentives being earned by our NEOs, including our CEO.</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88" w:name="page89"/>
    <w:bookmarkEnd w:id="88"/>
    <w:p>
      <w:pPr>
        <w:ind w:left="620" w:right="40" w:hanging="304"/>
        <w:spacing w:after="0" w:line="234" w:lineRule="auto"/>
        <w:tabs>
          <w:tab w:leader="none" w:pos="620" w:val="left"/>
        </w:tabs>
        <w:numPr>
          <w:ilvl w:val="0"/>
          <w:numId w:val="115"/>
        </w:numPr>
        <w:rPr>
          <w:rFonts w:ascii="Times New Roman" w:cs="Times New Roman" w:eastAsia="Times New Roman" w:hAnsi="Times New Roman"/>
          <w:sz w:val="21"/>
          <w:szCs w:val="21"/>
          <w:color w:val="auto"/>
        </w:rPr>
      </w:pPr>
      <w:r>
        <w:rPr>
          <w:rFonts w:ascii="Arial" w:cs="Arial" w:eastAsia="Arial" w:hAnsi="Arial"/>
          <w:sz w:val="17"/>
          <w:szCs w:val="17"/>
          <w:color w:val="auto"/>
        </w:rPr>
        <w:t>2025 showed gradual improvement in the semiconductor industry. With continued focus on rapidly evolving market dynamics, Cohu exceeded the year-over-year sales growth goal but did not achieve the thresholds established for the four-year sales growth or profitability goals. This resulted in 32% of target annual bonuses being earned by our NEOs, including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98360" cy="44062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98360"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Since 2015, the PSU portion of the long-term incentive compensation program has been earned solely on our TSR relative to a pre-selected comparator group of companies. Starting with the 2021 PSU grants, achievement is based on the Cohu TSR relative to the Russell 2000 Index as described in the “Long-Term Incentive Compensation” section that follows. The weighting of these PSUs in relation to time-based RSU grants has also evolved over the years and, commencing with the long-term incentive grants made in March 2023, 60% of each NEO’s total annual equity grant value is awarded in PSUs and 40% awarded in time-based RSUs. For PSU performance periods concluding since 2021, our NEOs have historically earned from a low of 0% of their target PSU awards to a high of 142% of their target PSU awards.</w:t>
      </w:r>
    </w:p>
    <w:p>
      <w:pPr>
        <w:spacing w:after="0" w:line="15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While the past five years indicate that the program effectively rewards our executive officers when we deliver superior performance and appropriately adjusts compensation downward in the case of less-than-superior performance, the Compensation Committee will continue to review the executive compensation program to ensure it reflects the appropriate balance between short-term financial performance and long-term stockholder return. For example, commencing with PSUs granted in March 2021, we eliminated the 25% minimum number of PSUs that were guaranteed to vest, regardless of performance. This formula is described in detail in the section entitled “Long-Term Incentive Compensation” below.</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2025 Executive Compensation Policies and Practices</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goals given the dynamic nature of our business and the market in which we compete for executive talent. The following policies and practices were in effect during 2025:</w:t>
      </w:r>
    </w:p>
    <w:p>
      <w:pPr>
        <w:spacing w:after="0" w:line="152" w:lineRule="exact"/>
        <w:rPr>
          <w:sz w:val="20"/>
          <w:szCs w:val="20"/>
          <w:color w:val="auto"/>
        </w:rPr>
      </w:pPr>
    </w:p>
    <w:p>
      <w:pPr>
        <w:ind w:left="620" w:hanging="304"/>
        <w:spacing w:after="0"/>
        <w:tabs>
          <w:tab w:leader="none" w:pos="620"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Independent Compensation Committee</w:t>
      </w:r>
      <w:r>
        <w:rPr>
          <w:rFonts w:ascii="Arial" w:cs="Arial" w:eastAsia="Arial" w:hAnsi="Arial"/>
          <w:sz w:val="17"/>
          <w:szCs w:val="17"/>
          <w:color w:val="auto"/>
        </w:rPr>
        <w:t>. The Compensation Committee is comprised solely of independent directors.</w:t>
      </w:r>
    </w:p>
    <w:p>
      <w:pPr>
        <w:spacing w:after="0" w:line="43" w:lineRule="exact"/>
        <w:rPr>
          <w:rFonts w:ascii="Arial" w:cs="Arial" w:eastAsia="Arial" w:hAnsi="Arial"/>
          <w:sz w:val="17"/>
          <w:szCs w:val="17"/>
          <w:color w:val="auto"/>
        </w:rPr>
      </w:pPr>
    </w:p>
    <w:p>
      <w:pPr>
        <w:ind w:left="620" w:right="180" w:hanging="304"/>
        <w:spacing w:after="0" w:line="247" w:lineRule="auto"/>
        <w:tabs>
          <w:tab w:leader="none" w:pos="620"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Independent Compensation Committee Advisors</w:t>
      </w:r>
      <w:r>
        <w:rPr>
          <w:rFonts w:ascii="Arial" w:cs="Arial" w:eastAsia="Arial" w:hAnsi="Arial"/>
          <w:sz w:val="17"/>
          <w:szCs w:val="17"/>
          <w:color w:val="auto"/>
        </w:rPr>
        <w:t>. The Compensation Committee engaged its own compensation consultant to assist</w:t>
      </w:r>
      <w:r>
        <w:rPr>
          <w:rFonts w:ascii="Arial" w:cs="Arial" w:eastAsia="Arial" w:hAnsi="Arial"/>
          <w:sz w:val="17"/>
          <w:szCs w:val="17"/>
          <w:b w:val="1"/>
          <w:bCs w:val="1"/>
          <w:color w:val="auto"/>
        </w:rPr>
        <w:t xml:space="preserve"> </w:t>
      </w:r>
      <w:r>
        <w:rPr>
          <w:rFonts w:ascii="Arial" w:cs="Arial" w:eastAsia="Arial" w:hAnsi="Arial"/>
          <w:sz w:val="17"/>
          <w:szCs w:val="17"/>
          <w:color w:val="auto"/>
        </w:rPr>
        <w:t>with its continuous compensation and governance reviews. This consultant performed no other consulting or services for the Company.</w:t>
      </w:r>
    </w:p>
    <w:p>
      <w:pPr>
        <w:ind w:left="620" w:right="60" w:hanging="304"/>
        <w:spacing w:after="0" w:line="260" w:lineRule="auto"/>
        <w:tabs>
          <w:tab w:leader="none" w:pos="620"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 xml:space="preserve">Annual Executive Compensation Review. </w:t>
      </w:r>
      <w:r>
        <w:rPr>
          <w:rFonts w:ascii="Arial" w:cs="Arial" w:eastAsia="Arial" w:hAnsi="Arial"/>
          <w:sz w:val="17"/>
          <w:szCs w:val="17"/>
          <w:color w:val="auto"/>
        </w:rPr>
        <w:t>The Compensation Committee conducts an annual review and approval of our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strategy, including a review of our compensation peer group used for comparative purposes.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89" w:name="page90"/>
    <w:bookmarkEnd w:id="89"/>
    <w:p>
      <w:pPr>
        <w:ind w:left="620" w:right="300" w:hanging="304"/>
        <w:spacing w:after="0" w:line="250" w:lineRule="auto"/>
        <w:tabs>
          <w:tab w:leader="none" w:pos="620"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Annual Compensation-Related Risk Review. </w:t>
      </w:r>
      <w:r>
        <w:rPr>
          <w:rFonts w:ascii="Arial" w:cs="Arial" w:eastAsia="Arial" w:hAnsi="Arial"/>
          <w:sz w:val="17"/>
          <w:szCs w:val="17"/>
          <w:color w:val="auto"/>
        </w:rPr>
        <w:t>The Compensation Committee conducts an annual review of our compensation-related</w:t>
      </w:r>
      <w:r>
        <w:rPr>
          <w:rFonts w:ascii="Arial" w:cs="Arial" w:eastAsia="Arial" w:hAnsi="Arial"/>
          <w:sz w:val="17"/>
          <w:szCs w:val="17"/>
          <w:b w:val="1"/>
          <w:bCs w:val="1"/>
          <w:color w:val="auto"/>
        </w:rPr>
        <w:t xml:space="preserve"> </w:t>
      </w:r>
      <w:r>
        <w:rPr>
          <w:rFonts w:ascii="Arial" w:cs="Arial" w:eastAsia="Arial" w:hAnsi="Arial"/>
          <w:sz w:val="17"/>
          <w:szCs w:val="17"/>
          <w:color w:val="auto"/>
        </w:rPr>
        <w:t>risk profile to ensure that compensation practices are not reasonably likely to have a material adverse effect on Cohu.</w:t>
      </w:r>
    </w:p>
    <w:p>
      <w:pPr>
        <w:ind w:left="620" w:right="680" w:hanging="304"/>
        <w:spacing w:after="0" w:line="239" w:lineRule="auto"/>
        <w:tabs>
          <w:tab w:leader="none" w:pos="620"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Executive Compensation Policies and Practices. </w:t>
      </w:r>
      <w:r>
        <w:rPr>
          <w:rFonts w:ascii="Arial" w:cs="Arial" w:eastAsia="Arial" w:hAnsi="Arial"/>
          <w:sz w:val="17"/>
          <w:szCs w:val="17"/>
          <w:color w:val="auto"/>
        </w:rPr>
        <w:t>Our compensation philosophy and related corporate governance policies and</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are complemented by several specific compensation policies and practices that are designed to align our executive compensation with long-term stockholder interests, including the following:</w:t>
      </w:r>
    </w:p>
    <w:p>
      <w:pPr>
        <w:jc w:val="both"/>
        <w:ind w:left="1260" w:right="320" w:hanging="320"/>
        <w:spacing w:after="0" w:line="239" w:lineRule="auto"/>
        <w:tabs>
          <w:tab w:leader="none" w:pos="1260"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Compensation At-Risk. </w:t>
      </w:r>
      <w:r>
        <w:rPr>
          <w:rFonts w:ascii="Arial" w:cs="Arial" w:eastAsia="Arial" w:hAnsi="Arial"/>
          <w:sz w:val="17"/>
          <w:szCs w:val="17"/>
          <w:color w:val="auto"/>
        </w:rPr>
        <w:t>Our executive compensation program is designed so that a significant portion of compensation is “at</w:t>
      </w:r>
      <w:r>
        <w:rPr>
          <w:rFonts w:ascii="Arial" w:cs="Arial" w:eastAsia="Arial" w:hAnsi="Arial"/>
          <w:sz w:val="17"/>
          <w:szCs w:val="17"/>
          <w:b w:val="1"/>
          <w:bCs w:val="1"/>
          <w:color w:val="auto"/>
        </w:rPr>
        <w:t xml:space="preserve"> </w:t>
      </w:r>
      <w:r>
        <w:rPr>
          <w:rFonts w:ascii="Arial" w:cs="Arial" w:eastAsia="Arial" w:hAnsi="Arial"/>
          <w:sz w:val="17"/>
          <w:szCs w:val="17"/>
          <w:color w:val="auto"/>
        </w:rPr>
        <w:t>risk” based on corporate performance, as well as equity-based to align the interests of our executive officers and stockholders.</w:t>
      </w:r>
    </w:p>
    <w:p>
      <w:pPr>
        <w:ind w:left="1260" w:right="120" w:hanging="320"/>
        <w:spacing w:after="0" w:line="239" w:lineRule="auto"/>
        <w:tabs>
          <w:tab w:leader="none" w:pos="1260"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No Defined Benefit Pension Plans. </w:t>
      </w:r>
      <w:r>
        <w:rPr>
          <w:rFonts w:ascii="Arial" w:cs="Arial" w:eastAsia="Arial" w:hAnsi="Arial"/>
          <w:sz w:val="17"/>
          <w:szCs w:val="17"/>
          <w:color w:val="auto"/>
        </w:rPr>
        <w:t>We do not currently offer, nor do we have plans to provide, defined benefit pension plans or</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arrangements for our executive officers.</w:t>
      </w:r>
    </w:p>
    <w:p>
      <w:pPr>
        <w:ind w:left="1260" w:right="420" w:hanging="320"/>
        <w:spacing w:after="0" w:line="239" w:lineRule="auto"/>
        <w:tabs>
          <w:tab w:leader="none" w:pos="1260"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Limited Perquisites. </w:t>
      </w:r>
      <w:r>
        <w:rPr>
          <w:rFonts w:ascii="Arial" w:cs="Arial" w:eastAsia="Arial" w:hAnsi="Arial"/>
          <w:sz w:val="17"/>
          <w:szCs w:val="17"/>
          <w:color w:val="auto"/>
        </w:rPr>
        <w:t>We provide minimal perquisites and other personal benefits to our executive officers, each of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described below.</w:t>
      </w:r>
    </w:p>
    <w:p>
      <w:pPr>
        <w:ind w:left="1260" w:right="400" w:hanging="320"/>
        <w:spacing w:after="0" w:line="239" w:lineRule="auto"/>
        <w:tabs>
          <w:tab w:leader="none" w:pos="1260"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No Tax Reimbursements. </w:t>
      </w:r>
      <w:r>
        <w:rPr>
          <w:rFonts w:ascii="Arial" w:cs="Arial" w:eastAsia="Arial" w:hAnsi="Arial"/>
          <w:sz w:val="17"/>
          <w:szCs w:val="17"/>
          <w:color w:val="auto"/>
        </w:rPr>
        <w:t>We do not provide any tax or “gross-up” reimbursement payments on any severance or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payments, perquisites or other personal benefits other than immaterial COBRA reimbursements, standard relocation benefits and tax equalization agreements related to expatriate assignments.</w:t>
      </w:r>
    </w:p>
    <w:p>
      <w:pPr>
        <w:ind w:left="1260" w:right="60" w:hanging="320"/>
        <w:spacing w:after="0" w:line="239" w:lineRule="auto"/>
        <w:tabs>
          <w:tab w:leader="none" w:pos="1260"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“Double-Trigger</w:t>
      </w:r>
      <w:r>
        <w:rPr>
          <w:rFonts w:ascii="Arial" w:cs="Arial" w:eastAsia="Arial" w:hAnsi="Arial"/>
          <w:sz w:val="17"/>
          <w:szCs w:val="17"/>
          <w:color w:val="auto"/>
        </w:rPr>
        <w:t>”</w:t>
      </w:r>
      <w:r>
        <w:rPr>
          <w:rFonts w:ascii="Arial" w:cs="Arial" w:eastAsia="Arial" w:hAnsi="Arial"/>
          <w:sz w:val="17"/>
          <w:szCs w:val="17"/>
          <w:b w:val="1"/>
          <w:bCs w:val="1"/>
          <w:color w:val="auto"/>
        </w:rPr>
        <w:t xml:space="preserve"> Change-in-Control Arrangements. </w:t>
      </w:r>
      <w:r>
        <w:rPr>
          <w:rFonts w:ascii="Arial" w:cs="Arial" w:eastAsia="Arial" w:hAnsi="Arial"/>
          <w:sz w:val="17"/>
          <w:szCs w:val="17"/>
          <w:color w:val="auto"/>
        </w:rPr>
        <w:t>All change-in-control cash payments and benefits are based on a “double-trigger” arrangement (that is, they require both a change-in-control plus a qualifying termination of employment before payments and benefits are paid), although the vesting of equity awards will accelerate in full if the awards are not or cannot reasonably be assumed or replaced by an acquiring corporation.</w:t>
      </w:r>
    </w:p>
    <w:p>
      <w:pPr>
        <w:spacing w:after="0" w:line="1" w:lineRule="exact"/>
        <w:rPr>
          <w:rFonts w:ascii="Arial" w:cs="Arial" w:eastAsia="Arial" w:hAnsi="Arial"/>
          <w:sz w:val="17"/>
          <w:szCs w:val="17"/>
          <w:color w:val="auto"/>
        </w:rPr>
      </w:pPr>
    </w:p>
    <w:p>
      <w:pPr>
        <w:ind w:left="1260" w:right="260" w:hanging="320"/>
        <w:spacing w:after="0" w:line="239" w:lineRule="auto"/>
        <w:tabs>
          <w:tab w:leader="none" w:pos="1260"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Performance-Based Incentives. </w:t>
      </w:r>
      <w:r>
        <w:rPr>
          <w:rFonts w:ascii="Arial" w:cs="Arial" w:eastAsia="Arial" w:hAnsi="Arial"/>
          <w:sz w:val="17"/>
          <w:szCs w:val="17"/>
          <w:color w:val="auto"/>
        </w:rPr>
        <w:t>We use performance-based short-term and long-term incentives and do not have common or</w:t>
      </w:r>
      <w:r>
        <w:rPr>
          <w:rFonts w:ascii="Arial" w:cs="Arial" w:eastAsia="Arial" w:hAnsi="Arial"/>
          <w:sz w:val="17"/>
          <w:szCs w:val="17"/>
          <w:b w:val="1"/>
          <w:bCs w:val="1"/>
          <w:color w:val="auto"/>
        </w:rPr>
        <w:t xml:space="preserve"> </w:t>
      </w:r>
      <w:r>
        <w:rPr>
          <w:rFonts w:ascii="Arial" w:cs="Arial" w:eastAsia="Arial" w:hAnsi="Arial"/>
          <w:sz w:val="17"/>
          <w:szCs w:val="17"/>
          <w:color w:val="auto"/>
        </w:rPr>
        <w:t>overlapping metrics between these programs.</w:t>
      </w:r>
    </w:p>
    <w:p>
      <w:pPr>
        <w:ind w:left="1260" w:right="160" w:hanging="320"/>
        <w:spacing w:after="0" w:line="239" w:lineRule="auto"/>
        <w:tabs>
          <w:tab w:leader="none" w:pos="1260"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Recovery of Erroneously Awarded Incentive Compensation. </w:t>
      </w:r>
      <w:r>
        <w:rPr>
          <w:rFonts w:ascii="Arial" w:cs="Arial" w:eastAsia="Arial" w:hAnsi="Arial"/>
          <w:sz w:val="17"/>
          <w:szCs w:val="17"/>
          <w:color w:val="auto"/>
        </w:rPr>
        <w:t>Certain compensation awarded to our executive officers is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recovery by Cohu if our financial results are restated under a policy which complies with the Exchange Act Rule 10D-1 and the corresponding Nasdaq listing standards.</w:t>
      </w:r>
    </w:p>
    <w:p>
      <w:pPr>
        <w:ind w:left="1260" w:right="580" w:hanging="320"/>
        <w:spacing w:after="0" w:line="239" w:lineRule="auto"/>
        <w:tabs>
          <w:tab w:leader="none" w:pos="1260"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Multi-Year Vesting Requirements. </w:t>
      </w:r>
      <w:r>
        <w:rPr>
          <w:rFonts w:ascii="Arial" w:cs="Arial" w:eastAsia="Arial" w:hAnsi="Arial"/>
          <w:sz w:val="17"/>
          <w:szCs w:val="17"/>
          <w:color w:val="auto"/>
        </w:rPr>
        <w:t>The equity awards granted to our executive officer’s vest or are earned over multi-year</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consistent with current market practice and our retention objectives.</w:t>
      </w:r>
    </w:p>
    <w:p>
      <w:pPr>
        <w:ind w:left="1260" w:right="720" w:hanging="320"/>
        <w:spacing w:after="0" w:line="239" w:lineRule="auto"/>
        <w:tabs>
          <w:tab w:leader="none" w:pos="1260"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Stock Option Repricing Prohibited. </w:t>
      </w:r>
      <w:r>
        <w:rPr>
          <w:rFonts w:ascii="Arial" w:cs="Arial" w:eastAsia="Arial" w:hAnsi="Arial"/>
          <w:sz w:val="17"/>
          <w:szCs w:val="17"/>
          <w:color w:val="auto"/>
        </w:rPr>
        <w:t>Our stock incentive plans prohibit the repricing of stock options without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w:t>
      </w:r>
    </w:p>
    <w:p>
      <w:pPr>
        <w:ind w:left="1260" w:right="280" w:hanging="320"/>
        <w:spacing w:after="0" w:line="239" w:lineRule="auto"/>
        <w:tabs>
          <w:tab w:leader="none" w:pos="1260"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Hedging and Pledging Prohibited. </w:t>
      </w:r>
      <w:r>
        <w:rPr>
          <w:rFonts w:ascii="Arial" w:cs="Arial" w:eastAsia="Arial" w:hAnsi="Arial"/>
          <w:sz w:val="17"/>
          <w:szCs w:val="17"/>
          <w:color w:val="auto"/>
        </w:rPr>
        <w:t>We prohibit our employees, including our executive officers and directors, from hedging or</w:t>
      </w:r>
      <w:r>
        <w:rPr>
          <w:rFonts w:ascii="Arial" w:cs="Arial" w:eastAsia="Arial" w:hAnsi="Arial"/>
          <w:sz w:val="17"/>
          <w:szCs w:val="17"/>
          <w:b w:val="1"/>
          <w:bCs w:val="1"/>
          <w:color w:val="auto"/>
        </w:rPr>
        <w:t xml:space="preserve"> </w:t>
      </w:r>
      <w:r>
        <w:rPr>
          <w:rFonts w:ascii="Arial" w:cs="Arial" w:eastAsia="Arial" w:hAnsi="Arial"/>
          <w:sz w:val="17"/>
          <w:szCs w:val="17"/>
          <w:color w:val="auto"/>
        </w:rPr>
        <w:t>pledging any Company securities.</w:t>
      </w:r>
    </w:p>
    <w:p>
      <w:pPr>
        <w:ind w:left="1260" w:right="280" w:hanging="320"/>
        <w:spacing w:after="0" w:line="260" w:lineRule="auto"/>
        <w:tabs>
          <w:tab w:leader="none" w:pos="1260"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Stock Ownership Policy. </w:t>
      </w:r>
      <w:r>
        <w:rPr>
          <w:rFonts w:ascii="Arial" w:cs="Arial" w:eastAsia="Arial" w:hAnsi="Arial"/>
          <w:sz w:val="17"/>
          <w:szCs w:val="17"/>
          <w:color w:val="auto"/>
        </w:rPr>
        <w:t>We maintain a stock ownership policy for our executive officers and directors which requires each of</w:t>
      </w:r>
      <w:r>
        <w:rPr>
          <w:rFonts w:ascii="Arial" w:cs="Arial" w:eastAsia="Arial" w:hAnsi="Arial"/>
          <w:sz w:val="17"/>
          <w:szCs w:val="17"/>
          <w:b w:val="1"/>
          <w:bCs w:val="1"/>
          <w:color w:val="auto"/>
        </w:rPr>
        <w:t xml:space="preserve"> </w:t>
      </w:r>
      <w:r>
        <w:rPr>
          <w:rFonts w:ascii="Arial" w:cs="Arial" w:eastAsia="Arial" w:hAnsi="Arial"/>
          <w:sz w:val="17"/>
          <w:szCs w:val="17"/>
          <w:color w:val="auto"/>
        </w:rPr>
        <w:t>them to beneficially own a specified value of shares of our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2025 Stockholder Advisory Vote on Executive Compensation</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At our 2025 Annual Meeting of Stockholders, we conducted a stockholder advisory vote on the 2024 compensation of our NEOs (commonly known as a “Say-on-Pay” vote). Our stockholders approved, in a non-binding vote, the 2024 compensation of our NEOs, as disclosed in our proxy statement for the 2024 Annual Meeting of Stockholders, with approximately 98.1% of the votes cast in favor of the proposal.</w:t>
      </w:r>
    </w:p>
    <w:p>
      <w:pPr>
        <w:spacing w:after="0" w:line="147" w:lineRule="exact"/>
        <w:rPr>
          <w:sz w:val="20"/>
          <w:szCs w:val="20"/>
          <w:color w:val="auto"/>
        </w:rPr>
      </w:pPr>
    </w:p>
    <w:p>
      <w:pPr>
        <w:jc w:val="both"/>
        <w:ind w:right="220"/>
        <w:spacing w:after="0" w:line="259" w:lineRule="auto"/>
        <w:rPr>
          <w:sz w:val="20"/>
          <w:szCs w:val="20"/>
          <w:color w:val="auto"/>
        </w:rPr>
      </w:pPr>
      <w:r>
        <w:rPr>
          <w:rFonts w:ascii="Arial" w:cs="Arial" w:eastAsia="Arial" w:hAnsi="Arial"/>
          <w:sz w:val="17"/>
          <w:szCs w:val="17"/>
          <w:color w:val="auto"/>
        </w:rPr>
        <w:t>We believe that the outcome of the Say-on-Pay vote reflects our stockholders’ strong support of our executive compensation program. We value the opinions of our stockholders and will continue to consider the outcome of future Say-on-Pay votes, as well as feedback received throughout the year, when making compensation decisions for our executive officers, including our NEOs.</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Based on the results of a previous stockholder advisory vote on the frequency of future stockholder advisory votes regarding the compensation of our NEOs (commonly known as a “Say-When-on-Pay” vote) conducted at our 2023 Annual Meeting of Stockholders, our Board of Directors determined that we will continue to hold our Say-on-Pay votes on an annual basis.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403860</wp:posOffset>
            </wp:positionH>
            <wp:positionV relativeFrom="page">
              <wp:posOffset>369570</wp:posOffset>
            </wp:positionV>
            <wp:extent cx="6609080" cy="31521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6609080" cy="315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right="120" w:hanging="304"/>
        <w:spacing w:after="0" w:line="280" w:lineRule="auto"/>
        <w:tabs>
          <w:tab w:leader="none" w:pos="6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Percentages shown are percentage of votes cast. Abstentions and broker non-votes are not deemed to be votes cast and, therefore, are not included in the tabulation of the voting results in respect to the Say-on-Pay proposals.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Compensation Philosophy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Our executive compensation program is intended to meet three principal objectives:</w:t>
      </w:r>
    </w:p>
    <w:p>
      <w:pPr>
        <w:spacing w:after="0" w:line="15" w:lineRule="exact"/>
        <w:rPr>
          <w:sz w:val="20"/>
          <w:szCs w:val="20"/>
          <w:color w:val="auto"/>
        </w:rPr>
      </w:pPr>
    </w:p>
    <w:p>
      <w:pPr>
        <w:ind w:left="320" w:hanging="316"/>
        <w:spacing w:after="0"/>
        <w:tabs>
          <w:tab w:leader="none" w:pos="3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Attract, reward and retain our executive officers;</w:t>
      </w:r>
    </w:p>
    <w:p>
      <w:pPr>
        <w:ind w:left="320" w:hanging="316"/>
        <w:spacing w:after="0" w:line="211" w:lineRule="auto"/>
        <w:tabs>
          <w:tab w:leader="none" w:pos="320" w:val="left"/>
        </w:tabs>
        <w:numPr>
          <w:ilvl w:val="0"/>
          <w:numId w:val="119"/>
        </w:numPr>
        <w:rPr>
          <w:rFonts w:ascii="Times New Roman" w:cs="Times New Roman" w:eastAsia="Times New Roman" w:hAnsi="Times New Roman"/>
          <w:sz w:val="21"/>
          <w:szCs w:val="21"/>
          <w:color w:val="auto"/>
        </w:rPr>
      </w:pPr>
      <w:r>
        <w:rPr>
          <w:rFonts w:ascii="Arial" w:cs="Arial" w:eastAsia="Arial" w:hAnsi="Arial"/>
          <w:sz w:val="17"/>
          <w:szCs w:val="17"/>
          <w:color w:val="auto"/>
        </w:rPr>
        <w:t>Motivate these individuals to achieve our short-term and long-term corporate goals that enhance stockholder value; and</w:t>
      </w:r>
    </w:p>
    <w:p>
      <w:pPr>
        <w:spacing w:after="0" w:line="21" w:lineRule="exact"/>
        <w:rPr>
          <w:rFonts w:ascii="Times New Roman" w:cs="Times New Roman" w:eastAsia="Times New Roman" w:hAnsi="Times New Roman"/>
          <w:sz w:val="21"/>
          <w:szCs w:val="21"/>
          <w:color w:val="auto"/>
        </w:rPr>
      </w:pPr>
    </w:p>
    <w:p>
      <w:pPr>
        <w:ind w:left="320" w:hanging="316"/>
        <w:spacing w:after="0" w:line="211" w:lineRule="auto"/>
        <w:tabs>
          <w:tab w:leader="none" w:pos="320" w:val="left"/>
        </w:tabs>
        <w:numPr>
          <w:ilvl w:val="0"/>
          <w:numId w:val="119"/>
        </w:numPr>
        <w:rPr>
          <w:rFonts w:ascii="Times New Roman" w:cs="Times New Roman" w:eastAsia="Times New Roman" w:hAnsi="Times New Roman"/>
          <w:sz w:val="21"/>
          <w:szCs w:val="21"/>
          <w:color w:val="auto"/>
        </w:rPr>
      </w:pPr>
      <w:r>
        <w:rPr>
          <w:rFonts w:ascii="Arial" w:cs="Arial" w:eastAsia="Arial" w:hAnsi="Arial"/>
          <w:sz w:val="17"/>
          <w:szCs w:val="17"/>
          <w:color w:val="auto"/>
        </w:rPr>
        <w:t>Support our core values and culture by promoting internal equity and external competitiveness.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To meet these objectives, we have adopted the following overarching policies:</w:t>
      </w:r>
    </w:p>
    <w:p>
      <w:pPr>
        <w:spacing w:after="0" w:line="13" w:lineRule="exact"/>
        <w:rPr>
          <w:sz w:val="20"/>
          <w:szCs w:val="20"/>
          <w:color w:val="auto"/>
        </w:rPr>
      </w:pPr>
    </w:p>
    <w:p>
      <w:pPr>
        <w:ind w:left="620" w:right="40" w:hanging="304"/>
        <w:spacing w:after="0" w:line="215" w:lineRule="auto"/>
        <w:tabs>
          <w:tab w:leader="none" w:pos="620" w:val="left"/>
        </w:tabs>
        <w:numPr>
          <w:ilvl w:val="0"/>
          <w:numId w:val="120"/>
        </w:numPr>
        <w:rPr>
          <w:rFonts w:ascii="Times New Roman" w:cs="Times New Roman" w:eastAsia="Times New Roman" w:hAnsi="Times New Roman"/>
          <w:sz w:val="21"/>
          <w:szCs w:val="21"/>
          <w:color w:val="auto"/>
        </w:rPr>
      </w:pPr>
      <w:r>
        <w:rPr>
          <w:rFonts w:ascii="Arial" w:cs="Arial" w:eastAsia="Arial" w:hAnsi="Arial"/>
          <w:sz w:val="17"/>
          <w:szCs w:val="17"/>
          <w:color w:val="auto"/>
        </w:rPr>
        <w:t>We pay compensation that is competitive with the practices of other leading semiconductor equipment and similar technology companies; and</w:t>
      </w:r>
    </w:p>
    <w:p>
      <w:pPr>
        <w:ind w:left="620" w:hanging="304"/>
        <w:spacing w:after="0" w:line="211" w:lineRule="auto"/>
        <w:tabs>
          <w:tab w:leader="none" w:pos="620" w:val="left"/>
        </w:tabs>
        <w:numPr>
          <w:ilvl w:val="0"/>
          <w:numId w:val="120"/>
        </w:numPr>
        <w:rPr>
          <w:rFonts w:ascii="Times New Roman" w:cs="Times New Roman" w:eastAsia="Times New Roman" w:hAnsi="Times New Roman"/>
          <w:sz w:val="21"/>
          <w:szCs w:val="21"/>
          <w:color w:val="auto"/>
        </w:rPr>
      </w:pPr>
      <w:r>
        <w:rPr>
          <w:rFonts w:ascii="Arial" w:cs="Arial" w:eastAsia="Arial" w:hAnsi="Arial"/>
          <w:sz w:val="17"/>
          <w:szCs w:val="17"/>
          <w:color w:val="auto"/>
        </w:rPr>
        <w:t>We pay for performance by:</w:t>
      </w:r>
    </w:p>
    <w:p>
      <w:pPr>
        <w:spacing w:after="0" w:line="21" w:lineRule="exact"/>
        <w:rPr>
          <w:rFonts w:ascii="Times New Roman" w:cs="Times New Roman" w:eastAsia="Times New Roman" w:hAnsi="Times New Roman"/>
          <w:sz w:val="21"/>
          <w:szCs w:val="21"/>
          <w:color w:val="auto"/>
        </w:rPr>
      </w:pPr>
    </w:p>
    <w:p>
      <w:pPr>
        <w:ind w:left="1260" w:right="600" w:hanging="320"/>
        <w:spacing w:after="0" w:line="239" w:lineRule="auto"/>
        <w:tabs>
          <w:tab w:leader="none" w:pos="126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Providing a short-term incentive compensation opportunity paid in cash that is based on challenging financial performance objectives for our executive officers; and</w:t>
      </w:r>
    </w:p>
    <w:p>
      <w:pPr>
        <w:ind w:left="1260" w:right="220" w:hanging="320"/>
        <w:spacing w:after="0" w:line="249" w:lineRule="auto"/>
        <w:tabs>
          <w:tab w:leader="none" w:pos="126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Providing long-term incentive compensation opportunities in the form of a combination of RSU awards and PSU awards, that enable us to motivate and retain those executive officers with the leadership abilities necessary to create sustainable long-term value for our stockholders.</w:t>
      </w:r>
    </w:p>
    <w:p>
      <w:pPr>
        <w:spacing w:after="0" w:line="15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These policies guide the Compensation Committee in determining the proper allocation between current cash compensation and short-term and long-term incentive compensation. Other considerations include our business objectives, our fiduciary and corporate responsibilities (including internal equity considerations and affordability), competitive practices and trends, and applicable regulatory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Compensation-Setting Process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Role of the Compensation Committee</w:t>
      </w:r>
    </w:p>
    <w:p>
      <w:pPr>
        <w:spacing w:after="0" w:line="19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executive compensation program is designed and overseen by the Compensation Committee, which is comprised entirely of independent directors, as determined in accordance with the rules of the SEC and the listing standards of the Nasdaq. The Compensation Committee conducts an annual review of our executive compensation strategy to ensure that it is appropriately aligned with our short-term business plan and long-term strategy. The Compensation Committee also reviews market trends and changes in competitive compensation practices, as described in further detail below. Based on its review and assessment, the Compensation Committee from time to time recommends changes in our executive compensation program.</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1" w:name="page92"/>
    <w:bookmarkEnd w:id="91"/>
    <w:p>
      <w:pPr>
        <w:spacing w:after="0" w:line="249" w:lineRule="auto"/>
        <w:rPr>
          <w:sz w:val="20"/>
          <w:szCs w:val="20"/>
          <w:color w:val="auto"/>
        </w:rPr>
      </w:pPr>
      <w:r>
        <w:rPr>
          <w:rFonts w:ascii="Arial" w:cs="Arial" w:eastAsia="Arial" w:hAnsi="Arial"/>
          <w:sz w:val="17"/>
          <w:szCs w:val="17"/>
          <w:color w:val="auto"/>
        </w:rPr>
        <w:t>The Compensation Committee reviews our executive compensation program on an annual basis, including each of the elements of compensation provided under the program (other than deferred compensation and Section 401(k) benefits, which are reviewed from time to time to ensure that benefit levels remain competitive). In determining the overall compensation arrangements for our executive officers, including our NEOs, as well as the level of each specific element of compensation, the Compensation Committee takes into consideration a number of factors, including the following:</w:t>
      </w:r>
    </w:p>
    <w:p>
      <w:pPr>
        <w:spacing w:after="0" w:line="155" w:lineRule="exact"/>
        <w:rPr>
          <w:sz w:val="20"/>
          <w:szCs w:val="20"/>
          <w:color w:val="auto"/>
        </w:rPr>
      </w:pPr>
    </w:p>
    <w:p>
      <w:pPr>
        <w:ind w:left="620" w:hanging="304"/>
        <w:spacing w:after="0"/>
        <w:tabs>
          <w:tab w:leader="none" w:pos="6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recommendations of our CEO (except with respect to his own compensation) as described below.</w:t>
      </w:r>
    </w:p>
    <w:p>
      <w:pPr>
        <w:spacing w:after="0" w:line="33" w:lineRule="exact"/>
        <w:rPr>
          <w:rFonts w:ascii="Arial" w:cs="Arial" w:eastAsia="Arial" w:hAnsi="Arial"/>
          <w:sz w:val="17"/>
          <w:szCs w:val="17"/>
          <w:color w:val="auto"/>
        </w:rPr>
      </w:pPr>
    </w:p>
    <w:p>
      <w:pPr>
        <w:ind w:left="620" w:hanging="304"/>
        <w:spacing w:after="0" w:line="232" w:lineRule="auto"/>
        <w:tabs>
          <w:tab w:leader="none" w:pos="620" w:val="left"/>
        </w:tabs>
        <w:numPr>
          <w:ilvl w:val="0"/>
          <w:numId w:val="121"/>
        </w:numPr>
        <w:rPr>
          <w:rFonts w:ascii="Times New Roman" w:cs="Times New Roman" w:eastAsia="Times New Roman" w:hAnsi="Times New Roman"/>
          <w:sz w:val="21"/>
          <w:szCs w:val="21"/>
          <w:color w:val="auto"/>
        </w:rPr>
      </w:pPr>
      <w:r>
        <w:rPr>
          <w:rFonts w:ascii="Arial" w:cs="Arial" w:eastAsia="Arial" w:hAnsi="Arial"/>
          <w:sz w:val="17"/>
          <w:szCs w:val="17"/>
          <w:color w:val="auto"/>
        </w:rPr>
        <w:t>Our corporate revenue and profitability growth and other elements of financial performance.</w:t>
      </w:r>
    </w:p>
    <w:p>
      <w:pPr>
        <w:spacing w:after="0" w:line="21" w:lineRule="exact"/>
        <w:rPr>
          <w:rFonts w:ascii="Times New Roman" w:cs="Times New Roman" w:eastAsia="Times New Roman" w:hAnsi="Times New Roman"/>
          <w:sz w:val="21"/>
          <w:szCs w:val="21"/>
          <w:color w:val="auto"/>
        </w:rPr>
      </w:pPr>
    </w:p>
    <w:p>
      <w:pPr>
        <w:ind w:left="620" w:hanging="304"/>
        <w:spacing w:after="0" w:line="211" w:lineRule="auto"/>
        <w:tabs>
          <w:tab w:leader="none" w:pos="620" w:val="left"/>
        </w:tabs>
        <w:numPr>
          <w:ilvl w:val="0"/>
          <w:numId w:val="121"/>
        </w:numPr>
        <w:rPr>
          <w:rFonts w:ascii="Times New Roman" w:cs="Times New Roman" w:eastAsia="Times New Roman" w:hAnsi="Times New Roman"/>
          <w:sz w:val="21"/>
          <w:szCs w:val="21"/>
          <w:color w:val="auto"/>
        </w:rPr>
      </w:pPr>
      <w:r>
        <w:rPr>
          <w:rFonts w:ascii="Arial" w:cs="Arial" w:eastAsia="Arial" w:hAnsi="Arial"/>
          <w:sz w:val="17"/>
          <w:szCs w:val="17"/>
          <w:color w:val="auto"/>
        </w:rPr>
        <w:t>The individual performance of each executive officer, including his or her achievement of management objectives.</w:t>
      </w:r>
    </w:p>
    <w:p>
      <w:pPr>
        <w:spacing w:after="0" w:line="21" w:lineRule="exact"/>
        <w:rPr>
          <w:rFonts w:ascii="Times New Roman" w:cs="Times New Roman" w:eastAsia="Times New Roman" w:hAnsi="Times New Roman"/>
          <w:sz w:val="21"/>
          <w:szCs w:val="21"/>
          <w:color w:val="auto"/>
        </w:rPr>
      </w:pPr>
    </w:p>
    <w:p>
      <w:pPr>
        <w:ind w:left="620" w:hanging="304"/>
        <w:spacing w:after="0" w:line="211" w:lineRule="auto"/>
        <w:tabs>
          <w:tab w:leader="none" w:pos="620" w:val="left"/>
        </w:tabs>
        <w:numPr>
          <w:ilvl w:val="0"/>
          <w:numId w:val="121"/>
        </w:numPr>
        <w:rPr>
          <w:rFonts w:ascii="Times New Roman" w:cs="Times New Roman" w:eastAsia="Times New Roman" w:hAnsi="Times New Roman"/>
          <w:sz w:val="21"/>
          <w:szCs w:val="21"/>
          <w:color w:val="auto"/>
        </w:rPr>
      </w:pPr>
      <w:r>
        <w:rPr>
          <w:rFonts w:ascii="Arial" w:cs="Arial" w:eastAsia="Arial" w:hAnsi="Arial"/>
          <w:sz w:val="17"/>
          <w:szCs w:val="17"/>
          <w:color w:val="auto"/>
        </w:rPr>
        <w:t>A review of the relevant competitive market data, as described below.</w:t>
      </w:r>
    </w:p>
    <w:p>
      <w:pPr>
        <w:spacing w:after="0" w:line="21" w:lineRule="exact"/>
        <w:rPr>
          <w:rFonts w:ascii="Times New Roman" w:cs="Times New Roman" w:eastAsia="Times New Roman" w:hAnsi="Times New Roman"/>
          <w:sz w:val="21"/>
          <w:szCs w:val="21"/>
          <w:color w:val="auto"/>
        </w:rPr>
      </w:pPr>
    </w:p>
    <w:p>
      <w:pPr>
        <w:ind w:left="620" w:hanging="304"/>
        <w:spacing w:after="0" w:line="211" w:lineRule="auto"/>
        <w:tabs>
          <w:tab w:leader="none" w:pos="620" w:val="left"/>
        </w:tabs>
        <w:numPr>
          <w:ilvl w:val="0"/>
          <w:numId w:val="121"/>
        </w:numPr>
        <w:rPr>
          <w:rFonts w:ascii="Times New Roman" w:cs="Times New Roman" w:eastAsia="Times New Roman" w:hAnsi="Times New Roman"/>
          <w:sz w:val="21"/>
          <w:szCs w:val="21"/>
          <w:color w:val="auto"/>
        </w:rPr>
      </w:pPr>
      <w:r>
        <w:rPr>
          <w:rFonts w:ascii="Arial" w:cs="Arial" w:eastAsia="Arial" w:hAnsi="Arial"/>
          <w:sz w:val="17"/>
          <w:szCs w:val="17"/>
          <w:color w:val="auto"/>
        </w:rPr>
        <w:t>The skill set, prior experience, and tenure of the executive officer.</w:t>
      </w:r>
    </w:p>
    <w:p>
      <w:pPr>
        <w:spacing w:after="0" w:line="21" w:lineRule="exact"/>
        <w:rPr>
          <w:rFonts w:ascii="Times New Roman" w:cs="Times New Roman" w:eastAsia="Times New Roman" w:hAnsi="Times New Roman"/>
          <w:sz w:val="21"/>
          <w:szCs w:val="21"/>
          <w:color w:val="auto"/>
        </w:rPr>
      </w:pPr>
    </w:p>
    <w:p>
      <w:pPr>
        <w:ind w:left="620" w:hanging="304"/>
        <w:spacing w:after="0" w:line="211" w:lineRule="auto"/>
        <w:tabs>
          <w:tab w:leader="none" w:pos="620" w:val="left"/>
        </w:tabs>
        <w:numPr>
          <w:ilvl w:val="0"/>
          <w:numId w:val="121"/>
        </w:numPr>
        <w:rPr>
          <w:rFonts w:ascii="Times New Roman" w:cs="Times New Roman" w:eastAsia="Times New Roman" w:hAnsi="Times New Roman"/>
          <w:sz w:val="21"/>
          <w:szCs w:val="21"/>
          <w:color w:val="auto"/>
        </w:rPr>
      </w:pPr>
      <w:r>
        <w:rPr>
          <w:rFonts w:ascii="Arial" w:cs="Arial" w:eastAsia="Arial" w:hAnsi="Arial"/>
          <w:sz w:val="17"/>
          <w:szCs w:val="17"/>
          <w:color w:val="auto"/>
        </w:rPr>
        <w:t>The role and responsibilities of the executive officer.</w:t>
      </w:r>
    </w:p>
    <w:p>
      <w:pPr>
        <w:spacing w:after="0" w:line="21" w:lineRule="exact"/>
        <w:rPr>
          <w:rFonts w:ascii="Times New Roman" w:cs="Times New Roman" w:eastAsia="Times New Roman" w:hAnsi="Times New Roman"/>
          <w:sz w:val="21"/>
          <w:szCs w:val="21"/>
          <w:color w:val="auto"/>
        </w:rPr>
      </w:pPr>
    </w:p>
    <w:p>
      <w:pPr>
        <w:ind w:left="620" w:hanging="304"/>
        <w:spacing w:after="0" w:line="211" w:lineRule="auto"/>
        <w:tabs>
          <w:tab w:leader="none" w:pos="620" w:val="left"/>
        </w:tabs>
        <w:numPr>
          <w:ilvl w:val="0"/>
          <w:numId w:val="121"/>
        </w:numPr>
        <w:rPr>
          <w:rFonts w:ascii="Times New Roman" w:cs="Times New Roman" w:eastAsia="Times New Roman" w:hAnsi="Times New Roman"/>
          <w:sz w:val="21"/>
          <w:szCs w:val="21"/>
          <w:color w:val="auto"/>
        </w:rPr>
      </w:pPr>
      <w:r>
        <w:rPr>
          <w:rFonts w:ascii="Arial" w:cs="Arial" w:eastAsia="Arial" w:hAnsi="Arial"/>
          <w:sz w:val="17"/>
          <w:szCs w:val="17"/>
          <w:color w:val="auto"/>
        </w:rPr>
        <w:t>The past and expected future contribution of the executive officer.</w:t>
      </w:r>
    </w:p>
    <w:p>
      <w:pPr>
        <w:spacing w:after="0" w:line="21" w:lineRule="exact"/>
        <w:rPr>
          <w:rFonts w:ascii="Times New Roman" w:cs="Times New Roman" w:eastAsia="Times New Roman" w:hAnsi="Times New Roman"/>
          <w:sz w:val="21"/>
          <w:szCs w:val="21"/>
          <w:color w:val="auto"/>
        </w:rPr>
      </w:pPr>
    </w:p>
    <w:p>
      <w:pPr>
        <w:ind w:left="620" w:hanging="304"/>
        <w:spacing w:after="0" w:line="211" w:lineRule="auto"/>
        <w:tabs>
          <w:tab w:leader="none" w:pos="620" w:val="left"/>
        </w:tabs>
        <w:numPr>
          <w:ilvl w:val="0"/>
          <w:numId w:val="121"/>
        </w:numPr>
        <w:rPr>
          <w:rFonts w:ascii="Times New Roman" w:cs="Times New Roman" w:eastAsia="Times New Roman" w:hAnsi="Times New Roman"/>
          <w:sz w:val="21"/>
          <w:szCs w:val="21"/>
          <w:color w:val="auto"/>
        </w:rPr>
      </w:pPr>
      <w:r>
        <w:rPr>
          <w:rFonts w:ascii="Arial" w:cs="Arial" w:eastAsia="Arial" w:hAnsi="Arial"/>
          <w:sz w:val="17"/>
          <w:szCs w:val="17"/>
          <w:color w:val="auto"/>
        </w:rPr>
        <w:t>Internal pay consistency for similar positions or skill levels within Cohu.</w:t>
      </w:r>
    </w:p>
    <w:p>
      <w:pPr>
        <w:spacing w:after="0" w:line="21" w:lineRule="exact"/>
        <w:rPr>
          <w:rFonts w:ascii="Times New Roman" w:cs="Times New Roman" w:eastAsia="Times New Roman" w:hAnsi="Times New Roman"/>
          <w:sz w:val="21"/>
          <w:szCs w:val="21"/>
          <w:color w:val="auto"/>
        </w:rPr>
      </w:pPr>
    </w:p>
    <w:p>
      <w:pPr>
        <w:ind w:left="620" w:hanging="304"/>
        <w:spacing w:after="0" w:line="211" w:lineRule="auto"/>
        <w:tabs>
          <w:tab w:leader="none" w:pos="620" w:val="left"/>
        </w:tabs>
        <w:numPr>
          <w:ilvl w:val="0"/>
          <w:numId w:val="121"/>
        </w:numPr>
        <w:rPr>
          <w:rFonts w:ascii="Times New Roman" w:cs="Times New Roman" w:eastAsia="Times New Roman" w:hAnsi="Times New Roman"/>
          <w:sz w:val="21"/>
          <w:szCs w:val="21"/>
          <w:color w:val="auto"/>
        </w:rPr>
      </w:pPr>
      <w:r>
        <w:rPr>
          <w:rFonts w:ascii="Arial" w:cs="Arial" w:eastAsia="Arial" w:hAnsi="Arial"/>
          <w:sz w:val="17"/>
          <w:szCs w:val="17"/>
          <w:color w:val="auto"/>
        </w:rPr>
        <w:t>External factors to attract and retain talent and overall market conditions.</w:t>
      </w:r>
    </w:p>
    <w:p>
      <w:pPr>
        <w:spacing w:after="0" w:line="20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Compensation Committee does not weigh these factors in any predetermined manner, nor does it apply any formulas in developing its compensation recommendations. The members of the Compensation Committee consider all this information in light of their individual experience, knowledge of Cohu, knowledge of the competitive market, knowledge of each executive officer, and business judgment in making these recommendations.</w:t>
      </w:r>
    </w:p>
    <w:p>
      <w:pPr>
        <w:spacing w:after="0" w:line="154" w:lineRule="exact"/>
        <w:rPr>
          <w:sz w:val="20"/>
          <w:szCs w:val="20"/>
          <w:color w:val="auto"/>
        </w:rPr>
      </w:pPr>
    </w:p>
    <w:p>
      <w:pPr>
        <w:ind w:right="440"/>
        <w:spacing w:after="0" w:line="280" w:lineRule="auto"/>
        <w:rPr>
          <w:sz w:val="20"/>
          <w:szCs w:val="20"/>
          <w:color w:val="auto"/>
        </w:rPr>
      </w:pPr>
      <w:r>
        <w:rPr>
          <w:rFonts w:ascii="Arial" w:cs="Arial" w:eastAsia="Arial" w:hAnsi="Arial"/>
          <w:sz w:val="17"/>
          <w:szCs w:val="17"/>
          <w:color w:val="auto"/>
        </w:rPr>
        <w:t xml:space="preserve">The Compensation Committee’s authority, duties, and responsibilities are described in its charter, which is reviewed annually and revised and updated as warranted. The charter is available at the Corporate Governance section of our website </w:t>
      </w:r>
      <w:r>
        <w:rPr>
          <w:rFonts w:ascii="Arial" w:cs="Arial" w:eastAsia="Arial" w:hAnsi="Arial"/>
          <w:sz w:val="17"/>
          <w:szCs w:val="17"/>
          <w:u w:val="single" w:color="auto"/>
          <w:color w:val="auto"/>
        </w:rPr>
        <w:t>www.cohu.com</w:t>
      </w:r>
      <w:r>
        <w:rPr>
          <w:rFonts w:ascii="Arial" w:cs="Arial" w:eastAsia="Arial" w:hAnsi="Arial"/>
          <w:sz w:val="17"/>
          <w:szCs w:val="17"/>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Role of Management</w:t>
      </w:r>
    </w:p>
    <w:p>
      <w:pPr>
        <w:spacing w:after="0" w:line="194"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On occasion, the Compensation Committee meets with our CEO and our Chief Human Resources Officer to obtain information and recommendations with respect to our executive compensation program, policies, and practices, as well as the compensation arrangements of our executive officers. In 2025, the Compensation Committee met with Dr. Müller, our CEO, who made recommendations to the Compensation Committee on the base salary, target annual cash incentive award opportunities, and long-term incentive compensation for our executive officers, including our NEOs (except with respect to his own compensation). In formulating these recommendations, our CEO used, among other things, competitive market data, an internal equity analysis and individual performance factors.</w:t>
      </w:r>
    </w:p>
    <w:p>
      <w:pPr>
        <w:spacing w:after="0" w:line="157" w:lineRule="exact"/>
        <w:rPr>
          <w:sz w:val="20"/>
          <w:szCs w:val="20"/>
          <w:color w:val="auto"/>
        </w:rPr>
      </w:pPr>
    </w:p>
    <w:p>
      <w:pPr>
        <w:jc w:val="both"/>
        <w:ind w:right="380"/>
        <w:spacing w:after="0" w:line="259" w:lineRule="auto"/>
        <w:rPr>
          <w:sz w:val="20"/>
          <w:szCs w:val="20"/>
          <w:color w:val="auto"/>
        </w:rPr>
      </w:pPr>
      <w:r>
        <w:rPr>
          <w:rFonts w:ascii="Arial" w:cs="Arial" w:eastAsia="Arial" w:hAnsi="Arial"/>
          <w:sz w:val="17"/>
          <w:szCs w:val="17"/>
          <w:color w:val="auto"/>
        </w:rPr>
        <w:t>The Compensation Committee considers, but is not bound by and does not always accept, these recommendations with respect to executive compensation. In recent years, the Compensation Committee has modified several of our CEO’s compensation proposals and regularly seeks input from its compensation consultant or data from other independent sources prior to making its decisions.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2025, our CEO attended some of the Compensation Committee’s meetings, but the Compensation Committee also held executive sessions not attended by any members of management. The Compensation Committee held discussions and made its decisions with respect to our CEO’s compensation without him present.</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Compensation Committee has the ultimate authority to make decisions with respect to the compensation of our executive officers, including our NEOs, but may, if it chooses, delegate any of its responsibilities to subcommittees. The Compensation Committee has authorized our CEO to make base salary adjustments and short-term cash incentive award decisions for all employees other than our NEOs or other executive officers.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Role of Compensation Consultant</w:t>
      </w:r>
    </w:p>
    <w:p>
      <w:pPr>
        <w:spacing w:after="0" w:line="19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The Compensation Committee has the authority to engage independent advisors to assist in carrying out its responsibilities. The Compensation Committee typically engages Compensia, a national compensation consulting firm, to advise and assist it on various aspects of executive and director compensation, including base salaries, annual and long-term incentive compensation. The Chair of the Compensation Committee reviews and approves all payments to Compensia.</w:t>
      </w:r>
    </w:p>
    <w:p>
      <w:pPr>
        <w:spacing w:after="0" w:line="154"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The Compensation Committee’s practice is to have Compensia prepare a comprehensive executive compensation analysis annually and directors compensation analysis in alternating years. In 2025, Compensia completed and presented only the executive compensation market analysis.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2" w:name="page93"/>
    <w:bookmarkEnd w:id="92"/>
    <w:p>
      <w:pPr>
        <w:ind w:right="20"/>
        <w:spacing w:after="0" w:line="259" w:lineRule="auto"/>
        <w:rPr>
          <w:sz w:val="20"/>
          <w:szCs w:val="20"/>
          <w:color w:val="auto"/>
        </w:rPr>
      </w:pPr>
      <w:r>
        <w:rPr>
          <w:rFonts w:ascii="Arial" w:cs="Arial" w:eastAsia="Arial" w:hAnsi="Arial"/>
          <w:sz w:val="17"/>
          <w:szCs w:val="17"/>
          <w:color w:val="auto"/>
        </w:rPr>
        <w:t>Compensia reports directly to the Compensation Committee. The Compensation Committee may replace Compensia or hire additional advisors at any time. Compensia does not provide any other services to the Company and receives compensation only with respect to the services provided to the Compensation Committee.</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Compensation Committee has considered the independence of Compensia in light of the rules of the SEC and the listing standards of Nasdaq. Based on these rules and standards, the Compensation Committee has concluded that the work performed by Compensia did not raise any conflict of interest.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Competitive Positioning</w:t>
      </w:r>
    </w:p>
    <w:p>
      <w:pPr>
        <w:spacing w:after="0" w:line="194"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In arriving at its compensation decisions for our executive officers, including our NEOs, for 2025, the Compensation Committee considered competitive market data and an analysis prepared by Compensia. In making its decisions, the Compensation Committee evaluates this data and analysis as an important reference point but does not reach its conclusions on a formulaic basis. This analysis was based on a review of the compensation practices of a select group of peer companies which was approved by the Compensation Committee after reviewing data prepared by Compensia and input from management. In selecting companies for the compensation peer group, the Compensation Committee identified companies headquartered in the U.S. in the semiconductor capital equipment, electronic capital equipment and instrumentation sectors that were comparable to us on the basis of 0.4x – 2.5x revenue, 0.25x – 5.0x the Company’s market capitalization, had similar scope of operations, and which the Compensation Committee believed may compete with us for executive talent.</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On September 12, 2024, the Compensation Committee reviewed the compensation peer group noting that the acquisition of National Instruments had been completed and several other peers no longer met the criteria for inclusion. The Compensation Committee engaged with Compensia to conduct an analysis of the current peer group and provide recommendations for any potential adjustments.</w:t>
      </w:r>
    </w:p>
    <w:p>
      <w:pPr>
        <w:spacing w:after="0" w:line="147"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After reviewing the report prepared by Compensia, the Compensation Committee approved the following 23 companies to be used for determining executive compensation levels in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40" w:type="dxa"/>
            <w:vAlign w:val="bottom"/>
            <w:tcBorders>
              <w:top w:val="single" w:sz="8" w:color="auto"/>
            </w:tcBorders>
            <w:shd w:val="clear" w:color="auto" w:fill="E6E6E6"/>
          </w:tcPr>
          <w:p>
            <w:pPr>
              <w:spacing w:after="0"/>
              <w:rPr>
                <w:sz w:val="20"/>
                <w:szCs w:val="20"/>
                <w:color w:val="auto"/>
              </w:rPr>
            </w:pPr>
            <w:r>
              <w:rPr>
                <w:rFonts w:ascii="Arial" w:cs="Arial" w:eastAsia="Arial" w:hAnsi="Arial"/>
                <w:sz w:val="17"/>
                <w:szCs w:val="17"/>
                <w:color w:val="auto"/>
              </w:rPr>
              <w:t>ACM Research</w:t>
            </w:r>
          </w:p>
        </w:tc>
        <w:tc>
          <w:tcPr>
            <w:tcW w:w="2540" w:type="dxa"/>
            <w:vAlign w:val="bottom"/>
            <w:tcBorders>
              <w:top w:val="single" w:sz="8" w:color="auto"/>
            </w:tcBorders>
            <w:shd w:val="clear" w:color="auto" w:fill="E6E6E6"/>
          </w:tcPr>
          <w:p>
            <w:pPr>
              <w:ind w:left="40"/>
              <w:spacing w:after="0"/>
              <w:rPr>
                <w:sz w:val="20"/>
                <w:szCs w:val="20"/>
                <w:color w:val="auto"/>
              </w:rPr>
            </w:pPr>
            <w:r>
              <w:rPr>
                <w:rFonts w:ascii="Arial" w:cs="Arial" w:eastAsia="Arial" w:hAnsi="Arial"/>
                <w:sz w:val="17"/>
                <w:szCs w:val="17"/>
                <w:color w:val="auto"/>
              </w:rPr>
              <w:t>Harmonic</w:t>
            </w:r>
          </w:p>
        </w:tc>
        <w:tc>
          <w:tcPr>
            <w:tcW w:w="2220" w:type="dxa"/>
            <w:vAlign w:val="bottom"/>
            <w:tcBorders>
              <w:top w:val="single" w:sz="8" w:color="auto"/>
            </w:tcBorders>
            <w:shd w:val="clear" w:color="auto" w:fill="E6E6E6"/>
          </w:tcPr>
          <w:p>
            <w:pPr>
              <w:ind w:left="160"/>
              <w:spacing w:after="0"/>
              <w:rPr>
                <w:sz w:val="20"/>
                <w:szCs w:val="20"/>
                <w:color w:val="auto"/>
              </w:rPr>
            </w:pPr>
            <w:r>
              <w:rPr>
                <w:rFonts w:ascii="Arial" w:cs="Arial" w:eastAsia="Arial" w:hAnsi="Arial"/>
                <w:sz w:val="17"/>
                <w:szCs w:val="17"/>
                <w:color w:val="auto"/>
              </w:rPr>
              <w:t>Novanta</w:t>
            </w:r>
          </w:p>
        </w:tc>
        <w:tc>
          <w:tcPr>
            <w:tcW w:w="3280" w:type="dxa"/>
            <w:vAlign w:val="bottom"/>
            <w:tcBorders>
              <w:top w:val="single" w:sz="8" w:color="auto"/>
            </w:tcBorders>
            <w:shd w:val="clear" w:color="auto" w:fill="E6E6E6"/>
          </w:tcPr>
          <w:p>
            <w:pPr>
              <w:ind w:left="600"/>
              <w:spacing w:after="0"/>
              <w:rPr>
                <w:sz w:val="20"/>
                <w:szCs w:val="20"/>
                <w:color w:val="auto"/>
              </w:rPr>
            </w:pPr>
            <w:r>
              <w:rPr>
                <w:rFonts w:ascii="Arial" w:cs="Arial" w:eastAsia="Arial" w:hAnsi="Arial"/>
                <w:sz w:val="17"/>
                <w:szCs w:val="17"/>
                <w:color w:val="auto"/>
              </w:rPr>
              <w:t>Semtech</w:t>
            </w:r>
          </w:p>
        </w:tc>
      </w:tr>
      <w:tr>
        <w:trPr>
          <w:trHeight w:val="195"/>
        </w:trPr>
        <w:tc>
          <w:tcPr>
            <w:tcW w:w="2640" w:type="dxa"/>
            <w:vAlign w:val="bottom"/>
          </w:tcPr>
          <w:p>
            <w:pPr>
              <w:spacing w:after="0"/>
              <w:rPr>
                <w:sz w:val="20"/>
                <w:szCs w:val="20"/>
                <w:color w:val="auto"/>
              </w:rPr>
            </w:pPr>
            <w:r>
              <w:rPr>
                <w:rFonts w:ascii="Arial" w:cs="Arial" w:eastAsia="Arial" w:hAnsi="Arial"/>
                <w:sz w:val="17"/>
                <w:szCs w:val="17"/>
                <w:color w:val="auto"/>
              </w:rPr>
              <w:t>Alpha and Omega Semiconductor</w:t>
            </w:r>
          </w:p>
        </w:tc>
        <w:tc>
          <w:tcPr>
            <w:tcW w:w="2540" w:type="dxa"/>
            <w:vAlign w:val="bottom"/>
          </w:tcPr>
          <w:p>
            <w:pPr>
              <w:ind w:left="40"/>
              <w:spacing w:after="0"/>
              <w:rPr>
                <w:sz w:val="20"/>
                <w:szCs w:val="20"/>
                <w:color w:val="auto"/>
              </w:rPr>
            </w:pPr>
            <w:r>
              <w:rPr>
                <w:rFonts w:ascii="Arial" w:cs="Arial" w:eastAsia="Arial" w:hAnsi="Arial"/>
                <w:sz w:val="17"/>
                <w:szCs w:val="17"/>
                <w:color w:val="auto"/>
              </w:rPr>
              <w:t>Ichor Holdings</w:t>
            </w:r>
          </w:p>
        </w:tc>
        <w:tc>
          <w:tcPr>
            <w:tcW w:w="2220" w:type="dxa"/>
            <w:vAlign w:val="bottom"/>
          </w:tcPr>
          <w:p>
            <w:pPr>
              <w:ind w:left="160"/>
              <w:spacing w:after="0"/>
              <w:rPr>
                <w:sz w:val="20"/>
                <w:szCs w:val="20"/>
                <w:color w:val="auto"/>
              </w:rPr>
            </w:pPr>
            <w:r>
              <w:rPr>
                <w:rFonts w:ascii="Arial" w:cs="Arial" w:eastAsia="Arial" w:hAnsi="Arial"/>
                <w:sz w:val="17"/>
                <w:szCs w:val="17"/>
                <w:color w:val="auto"/>
              </w:rPr>
              <w:t>OSI Systems</w:t>
            </w:r>
          </w:p>
        </w:tc>
        <w:tc>
          <w:tcPr>
            <w:tcW w:w="3280" w:type="dxa"/>
            <w:vAlign w:val="bottom"/>
          </w:tcPr>
          <w:p>
            <w:pPr>
              <w:ind w:left="600"/>
              <w:spacing w:after="0"/>
              <w:rPr>
                <w:sz w:val="20"/>
                <w:szCs w:val="20"/>
                <w:color w:val="auto"/>
              </w:rPr>
            </w:pPr>
            <w:r>
              <w:rPr>
                <w:rFonts w:ascii="Arial" w:cs="Arial" w:eastAsia="Arial" w:hAnsi="Arial"/>
                <w:sz w:val="17"/>
                <w:szCs w:val="17"/>
                <w:color w:val="auto"/>
              </w:rPr>
              <w:t>Silicon Laboratories</w:t>
            </w:r>
          </w:p>
        </w:tc>
      </w:tr>
      <w:tr>
        <w:trPr>
          <w:trHeight w:val="195"/>
        </w:trPr>
        <w:tc>
          <w:tcPr>
            <w:tcW w:w="2640" w:type="dxa"/>
            <w:vAlign w:val="bottom"/>
            <w:shd w:val="clear" w:color="auto" w:fill="E6E6E6"/>
          </w:tcPr>
          <w:p>
            <w:pPr>
              <w:spacing w:after="0"/>
              <w:rPr>
                <w:sz w:val="20"/>
                <w:szCs w:val="20"/>
                <w:color w:val="auto"/>
              </w:rPr>
            </w:pPr>
            <w:r>
              <w:rPr>
                <w:rFonts w:ascii="Arial" w:cs="Arial" w:eastAsia="Arial" w:hAnsi="Arial"/>
                <w:sz w:val="17"/>
                <w:szCs w:val="17"/>
                <w:color w:val="auto"/>
              </w:rPr>
              <w:t>Arlo Technologies</w:t>
            </w:r>
          </w:p>
        </w:tc>
        <w:tc>
          <w:tcPr>
            <w:tcW w:w="2540" w:type="dxa"/>
            <w:vAlign w:val="bottom"/>
            <w:shd w:val="clear" w:color="auto" w:fill="E6E6E6"/>
          </w:tcPr>
          <w:p>
            <w:pPr>
              <w:ind w:left="40"/>
              <w:spacing w:after="0"/>
              <w:rPr>
                <w:sz w:val="20"/>
                <w:szCs w:val="20"/>
                <w:color w:val="auto"/>
              </w:rPr>
            </w:pPr>
            <w:r>
              <w:rPr>
                <w:rFonts w:ascii="Arial" w:cs="Arial" w:eastAsia="Arial" w:hAnsi="Arial"/>
                <w:sz w:val="17"/>
                <w:szCs w:val="17"/>
                <w:color w:val="auto"/>
              </w:rPr>
              <w:t>Indie Semiconductor</w:t>
            </w:r>
          </w:p>
        </w:tc>
        <w:tc>
          <w:tcPr>
            <w:tcW w:w="2220" w:type="dxa"/>
            <w:vAlign w:val="bottom"/>
            <w:shd w:val="clear" w:color="auto" w:fill="E6E6E6"/>
          </w:tcPr>
          <w:p>
            <w:pPr>
              <w:ind w:left="160"/>
              <w:spacing w:after="0"/>
              <w:rPr>
                <w:sz w:val="20"/>
                <w:szCs w:val="20"/>
                <w:color w:val="auto"/>
              </w:rPr>
            </w:pPr>
            <w:r>
              <w:rPr>
                <w:rFonts w:ascii="Arial" w:cs="Arial" w:eastAsia="Arial" w:hAnsi="Arial"/>
                <w:sz w:val="17"/>
                <w:szCs w:val="17"/>
                <w:color w:val="auto"/>
              </w:rPr>
              <w:t>PAR Technologies</w:t>
            </w:r>
          </w:p>
        </w:tc>
        <w:tc>
          <w:tcPr>
            <w:tcW w:w="3280" w:type="dxa"/>
            <w:vAlign w:val="bottom"/>
            <w:shd w:val="clear" w:color="auto" w:fill="E6E6E6"/>
          </w:tcPr>
          <w:p>
            <w:pPr>
              <w:ind w:left="600"/>
              <w:spacing w:after="0"/>
              <w:rPr>
                <w:sz w:val="20"/>
                <w:szCs w:val="20"/>
                <w:color w:val="auto"/>
              </w:rPr>
            </w:pPr>
            <w:r>
              <w:rPr>
                <w:rFonts w:ascii="Arial" w:cs="Arial" w:eastAsia="Arial" w:hAnsi="Arial"/>
                <w:sz w:val="17"/>
                <w:szCs w:val="17"/>
                <w:color w:val="auto"/>
              </w:rPr>
              <w:t>Ultra Clean Holdings</w:t>
            </w:r>
          </w:p>
        </w:tc>
      </w:tr>
      <w:tr>
        <w:trPr>
          <w:trHeight w:val="195"/>
        </w:trPr>
        <w:tc>
          <w:tcPr>
            <w:tcW w:w="2640" w:type="dxa"/>
            <w:vAlign w:val="bottom"/>
          </w:tcPr>
          <w:p>
            <w:pPr>
              <w:spacing w:after="0"/>
              <w:rPr>
                <w:sz w:val="20"/>
                <w:szCs w:val="20"/>
                <w:color w:val="auto"/>
              </w:rPr>
            </w:pPr>
            <w:r>
              <w:rPr>
                <w:rFonts w:ascii="Arial" w:cs="Arial" w:eastAsia="Arial" w:hAnsi="Arial"/>
                <w:sz w:val="17"/>
                <w:szCs w:val="17"/>
                <w:color w:val="auto"/>
              </w:rPr>
              <w:t>Axcelis Technologies</w:t>
            </w:r>
          </w:p>
        </w:tc>
        <w:tc>
          <w:tcPr>
            <w:tcW w:w="2540" w:type="dxa"/>
            <w:vAlign w:val="bottom"/>
          </w:tcPr>
          <w:p>
            <w:pPr>
              <w:ind w:left="40"/>
              <w:spacing w:after="0"/>
              <w:rPr>
                <w:sz w:val="20"/>
                <w:szCs w:val="20"/>
                <w:color w:val="auto"/>
              </w:rPr>
            </w:pPr>
            <w:r>
              <w:rPr>
                <w:rFonts w:ascii="Arial" w:cs="Arial" w:eastAsia="Arial" w:hAnsi="Arial"/>
                <w:sz w:val="17"/>
                <w:szCs w:val="17"/>
                <w:color w:val="auto"/>
              </w:rPr>
              <w:t>Kulicke and Soffa</w:t>
            </w:r>
          </w:p>
        </w:tc>
        <w:tc>
          <w:tcPr>
            <w:tcW w:w="2220" w:type="dxa"/>
            <w:vAlign w:val="bottom"/>
          </w:tcPr>
          <w:p>
            <w:pPr>
              <w:ind w:left="160"/>
              <w:spacing w:after="0"/>
              <w:rPr>
                <w:sz w:val="20"/>
                <w:szCs w:val="20"/>
                <w:color w:val="auto"/>
              </w:rPr>
            </w:pPr>
            <w:r>
              <w:rPr>
                <w:rFonts w:ascii="Arial" w:cs="Arial" w:eastAsia="Arial" w:hAnsi="Arial"/>
                <w:sz w:val="17"/>
                <w:szCs w:val="17"/>
                <w:color w:val="auto"/>
              </w:rPr>
              <w:t>Penguin Solutions</w:t>
            </w:r>
          </w:p>
        </w:tc>
        <w:tc>
          <w:tcPr>
            <w:tcW w:w="3280" w:type="dxa"/>
            <w:vAlign w:val="bottom"/>
          </w:tcPr>
          <w:p>
            <w:pPr>
              <w:ind w:left="600"/>
              <w:spacing w:after="0"/>
              <w:rPr>
                <w:sz w:val="20"/>
                <w:szCs w:val="20"/>
                <w:color w:val="auto"/>
              </w:rPr>
            </w:pPr>
            <w:r>
              <w:rPr>
                <w:rFonts w:ascii="Arial" w:cs="Arial" w:eastAsia="Arial" w:hAnsi="Arial"/>
                <w:sz w:val="17"/>
                <w:szCs w:val="17"/>
                <w:color w:val="auto"/>
              </w:rPr>
              <w:t>Veeco Instruments</w:t>
            </w:r>
          </w:p>
        </w:tc>
      </w:tr>
      <w:tr>
        <w:trPr>
          <w:trHeight w:val="195"/>
        </w:trPr>
        <w:tc>
          <w:tcPr>
            <w:tcW w:w="2640" w:type="dxa"/>
            <w:vAlign w:val="bottom"/>
            <w:shd w:val="clear" w:color="auto" w:fill="E6E6E6"/>
          </w:tcPr>
          <w:p>
            <w:pPr>
              <w:spacing w:after="0"/>
              <w:rPr>
                <w:sz w:val="20"/>
                <w:szCs w:val="20"/>
                <w:color w:val="auto"/>
              </w:rPr>
            </w:pPr>
            <w:r>
              <w:rPr>
                <w:rFonts w:ascii="Arial" w:cs="Arial" w:eastAsia="Arial" w:hAnsi="Arial"/>
                <w:sz w:val="17"/>
                <w:szCs w:val="17"/>
                <w:color w:val="auto"/>
              </w:rPr>
              <w:t>Badger Meter</w:t>
            </w:r>
          </w:p>
        </w:tc>
        <w:tc>
          <w:tcPr>
            <w:tcW w:w="2540" w:type="dxa"/>
            <w:vAlign w:val="bottom"/>
            <w:shd w:val="clear" w:color="auto" w:fill="E6E6E6"/>
          </w:tcPr>
          <w:p>
            <w:pPr>
              <w:ind w:left="40"/>
              <w:spacing w:after="0"/>
              <w:rPr>
                <w:sz w:val="20"/>
                <w:szCs w:val="20"/>
                <w:color w:val="auto"/>
              </w:rPr>
            </w:pPr>
            <w:r>
              <w:rPr>
                <w:rFonts w:ascii="Arial" w:cs="Arial" w:eastAsia="Arial" w:hAnsi="Arial"/>
                <w:sz w:val="17"/>
                <w:szCs w:val="17"/>
                <w:color w:val="auto"/>
              </w:rPr>
              <w:t>MACOM Technology Solutions</w:t>
            </w:r>
          </w:p>
        </w:tc>
        <w:tc>
          <w:tcPr>
            <w:tcW w:w="2220" w:type="dxa"/>
            <w:vAlign w:val="bottom"/>
            <w:shd w:val="clear" w:color="auto" w:fill="E6E6E6"/>
          </w:tcPr>
          <w:p>
            <w:pPr>
              <w:ind w:left="160"/>
              <w:spacing w:after="0"/>
              <w:rPr>
                <w:sz w:val="20"/>
                <w:szCs w:val="20"/>
                <w:color w:val="auto"/>
              </w:rPr>
            </w:pPr>
            <w:r>
              <w:rPr>
                <w:rFonts w:ascii="Arial" w:cs="Arial" w:eastAsia="Arial" w:hAnsi="Arial"/>
                <w:sz w:val="17"/>
                <w:szCs w:val="17"/>
                <w:color w:val="auto"/>
              </w:rPr>
              <w:t>Power Integrations</w:t>
            </w:r>
          </w:p>
        </w:tc>
        <w:tc>
          <w:tcPr>
            <w:tcW w:w="3280" w:type="dxa"/>
            <w:vAlign w:val="bottom"/>
            <w:shd w:val="clear" w:color="auto" w:fill="E6E6E6"/>
          </w:tcPr>
          <w:p>
            <w:pPr>
              <w:ind w:left="600"/>
              <w:spacing w:after="0"/>
              <w:rPr>
                <w:sz w:val="20"/>
                <w:szCs w:val="20"/>
                <w:color w:val="auto"/>
              </w:rPr>
            </w:pPr>
            <w:r>
              <w:rPr>
                <w:rFonts w:ascii="Arial" w:cs="Arial" w:eastAsia="Arial" w:hAnsi="Arial"/>
                <w:sz w:val="17"/>
                <w:szCs w:val="17"/>
                <w:color w:val="auto"/>
              </w:rPr>
              <w:t>Vishay Precision Group</w:t>
            </w:r>
          </w:p>
        </w:tc>
      </w:tr>
      <w:tr>
        <w:trPr>
          <w:trHeight w:val="195"/>
        </w:trPr>
        <w:tc>
          <w:tcPr>
            <w:tcW w:w="2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FormFactor</w:t>
            </w:r>
          </w:p>
        </w:tc>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MaxLinear</w:t>
            </w:r>
          </w:p>
        </w:tc>
        <w:tc>
          <w:tcPr>
            <w:tcW w:w="22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Photronics</w:t>
            </w:r>
          </w:p>
        </w:tc>
        <w:tc>
          <w:tcPr>
            <w:tcW w:w="3280" w:type="dxa"/>
            <w:vAlign w:val="bottom"/>
            <w:tcBorders>
              <w:bottom w:val="single" w:sz="8" w:color="auto"/>
            </w:tcBorders>
          </w:tcPr>
          <w:p>
            <w:pPr>
              <w:spacing w:after="0"/>
              <w:rPr>
                <w:sz w:val="16"/>
                <w:szCs w:val="16"/>
                <w:color w:val="auto"/>
              </w:rPr>
            </w:pPr>
          </w:p>
        </w:tc>
      </w:tr>
    </w:tbl>
    <w:p>
      <w:pPr>
        <w:spacing w:after="0" w:line="178"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Generally, historical data on the compensation practices of the companies in the compensation peer group was gathered by Compensia from publicly available sources, including publicly available databases. Peer company data was gathered with respect to base salary, target annual incentive opportunities, equity awards (including stock options, RSU awards, and PSU awards), and long-term cash-based awards. In addition, similar data was gathered from the Radford McLagan Compensation Database for purposes of providing additional perspective in the case of executive positions where the compensation peer group offered a limited number of relevant data points.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Elements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Our executive compensation program consists of seven principal elements:</w:t>
      </w:r>
    </w:p>
    <w:p>
      <w:pPr>
        <w:spacing w:after="0" w:line="15" w:lineRule="exact"/>
        <w:rPr>
          <w:sz w:val="20"/>
          <w:szCs w:val="20"/>
          <w:color w:val="auto"/>
        </w:rPr>
      </w:pPr>
    </w:p>
    <w:p>
      <w:pPr>
        <w:ind w:left="620" w:hanging="304"/>
        <w:spacing w:after="0"/>
        <w:tabs>
          <w:tab w:leader="none" w:pos="6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22" w:lineRule="exact"/>
        <w:rPr>
          <w:rFonts w:ascii="Arial" w:cs="Arial" w:eastAsia="Arial" w:hAnsi="Arial"/>
          <w:sz w:val="17"/>
          <w:szCs w:val="17"/>
          <w:color w:val="auto"/>
        </w:rPr>
      </w:pPr>
    </w:p>
    <w:p>
      <w:pPr>
        <w:ind w:left="620" w:hanging="304"/>
        <w:spacing w:after="0"/>
        <w:tabs>
          <w:tab w:leader="none" w:pos="6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Short-term incentive compensation opportunities paid in cash;</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Long-term incentive compensation in the form of equity awards;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Deferred compensation benefits;</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Welfare and health benefits, including a Section 401(k) plan;</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Post-employment compensation and retirement equity programs; and</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Limited perquisites and other personal benefits.</w:t>
      </w: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564" w:right="379" w:bottom="1440" w:gutter="0" w:footer="0" w:header="0"/>
        </w:sectPr>
      </w:pPr>
    </w:p>
    <w:bookmarkStart w:id="93" w:name="page94"/>
    <w:bookmarkEnd w:id="93"/>
    <w:p>
      <w:pPr>
        <w:ind w:right="700"/>
        <w:spacing w:after="0" w:line="280" w:lineRule="auto"/>
        <w:rPr>
          <w:sz w:val="20"/>
          <w:szCs w:val="20"/>
          <w:color w:val="auto"/>
        </w:rPr>
      </w:pPr>
      <w:r>
        <w:rPr>
          <w:rFonts w:ascii="Arial" w:cs="Arial" w:eastAsia="Arial" w:hAnsi="Arial"/>
          <w:sz w:val="17"/>
          <w:szCs w:val="17"/>
          <w:color w:val="auto"/>
        </w:rPr>
        <w:t>The Compensation Committee has selected these elements because each is considered necessary, appropriate and when combined, are effective, and will continue to be effective, in achieving our compensation objectives.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Base Salary</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believe that a competitive base salary is a necessary element of our executive compensation program, so that we can attract and retain experienced executive officers. Base salaries for our executive officers are also intended to be competitive with those received by other individuals in similar positions at the companies with which we compete for talent, as well as to be equitable across the management team.</w:t>
      </w:r>
    </w:p>
    <w:p>
      <w:pPr>
        <w:spacing w:after="0" w:line="147"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The Compensation Committee reviews the base salaries of our executive officers, including our NEOs, annually and makes adjustments to base salaries as it determines to be necessary or appropriate.</w:t>
      </w:r>
    </w:p>
    <w:p>
      <w:pPr>
        <w:spacing w:after="0" w:line="129"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On February 6, 2025, the Compensation Committee, after considering the recommendations of our CEO (other than with respect to his own compensation), market salary data, and other factors described above, including the extended downcycle of the semiconductor industry, determined that no salary increases were warranted for the Company’s executive officers, including our NEOs, other than Mr. Ilgenfritz, whose increase reflected his expanded responsibilities in connection with his promotion to Chief Product Officer in January 2025.</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6200" w:type="dxa"/>
            <w:vAlign w:val="bottom"/>
            <w:tcBorders>
              <w:top w:val="single" w:sz="8" w:color="3D85C6"/>
              <w:left w:val="single" w:sz="8" w:color="3D85C6"/>
              <w:right w:val="single" w:sz="8" w:color="3D85C6"/>
            </w:tcBorders>
            <w:vMerge w:val="restart"/>
            <w:shd w:val="clear" w:color="auto" w:fill="2D53A6"/>
          </w:tcPr>
          <w:p>
            <w:pPr>
              <w:ind w:left="180"/>
              <w:spacing w:after="0"/>
              <w:rPr>
                <w:sz w:val="20"/>
                <w:szCs w:val="20"/>
                <w:color w:val="auto"/>
              </w:rPr>
            </w:pPr>
            <w:r>
              <w:rPr>
                <w:rFonts w:ascii="Arial" w:cs="Arial" w:eastAsia="Arial" w:hAnsi="Arial"/>
                <w:sz w:val="17"/>
                <w:szCs w:val="17"/>
                <w:b w:val="1"/>
                <w:bCs w:val="1"/>
                <w:color w:val="FFFFFF"/>
              </w:rPr>
              <w:t>Named Executive Officer</w:t>
            </w:r>
          </w:p>
        </w:tc>
        <w:tc>
          <w:tcPr>
            <w:tcW w:w="280" w:type="dxa"/>
            <w:vAlign w:val="bottom"/>
            <w:tcBorders>
              <w:top w:val="single" w:sz="8" w:color="2D53A6"/>
            </w:tcBorders>
            <w:shd w:val="clear" w:color="auto" w:fill="2D53A6"/>
          </w:tcPr>
          <w:p>
            <w:pPr>
              <w:spacing w:after="0"/>
              <w:rPr>
                <w:sz w:val="16"/>
                <w:szCs w:val="16"/>
                <w:color w:val="auto"/>
              </w:rPr>
            </w:pPr>
          </w:p>
        </w:tc>
        <w:tc>
          <w:tcPr>
            <w:tcW w:w="1400" w:type="dxa"/>
            <w:vAlign w:val="bottom"/>
            <w:tcBorders>
              <w:top w:val="single" w:sz="8" w:color="2D53A6"/>
              <w:right w:val="single" w:sz="8" w:color="3D85C6"/>
            </w:tcBorders>
            <w:shd w:val="clear" w:color="auto" w:fill="2D53A6"/>
          </w:tcPr>
          <w:p>
            <w:pPr>
              <w:jc w:val="right"/>
              <w:ind w:right="553"/>
              <w:spacing w:after="0" w:line="193" w:lineRule="exact"/>
              <w:rPr>
                <w:sz w:val="20"/>
                <w:szCs w:val="20"/>
                <w:color w:val="auto"/>
              </w:rPr>
            </w:pPr>
            <w:r>
              <w:rPr>
                <w:rFonts w:ascii="Arial" w:cs="Arial" w:eastAsia="Arial" w:hAnsi="Arial"/>
                <w:sz w:val="17"/>
                <w:szCs w:val="17"/>
                <w:b w:val="1"/>
                <w:bCs w:val="1"/>
                <w:color w:val="FFFFFF"/>
              </w:rPr>
              <w:t>2024</w:t>
            </w:r>
          </w:p>
        </w:tc>
        <w:tc>
          <w:tcPr>
            <w:tcW w:w="260" w:type="dxa"/>
            <w:vAlign w:val="bottom"/>
            <w:tcBorders>
              <w:top w:val="single" w:sz="8" w:color="2D53A6"/>
            </w:tcBorders>
            <w:shd w:val="clear" w:color="auto" w:fill="2D53A6"/>
          </w:tcPr>
          <w:p>
            <w:pPr>
              <w:spacing w:after="0"/>
              <w:rPr>
                <w:sz w:val="16"/>
                <w:szCs w:val="16"/>
                <w:color w:val="auto"/>
              </w:rPr>
            </w:pPr>
          </w:p>
        </w:tc>
        <w:tc>
          <w:tcPr>
            <w:tcW w:w="1400" w:type="dxa"/>
            <w:vAlign w:val="bottom"/>
            <w:tcBorders>
              <w:top w:val="single" w:sz="8" w:color="2D53A6"/>
              <w:right w:val="single" w:sz="8" w:color="3D85C6"/>
            </w:tcBorders>
            <w:shd w:val="clear" w:color="auto" w:fill="2D53A6"/>
          </w:tcPr>
          <w:p>
            <w:pPr>
              <w:jc w:val="right"/>
              <w:ind w:right="553"/>
              <w:spacing w:after="0" w:line="193" w:lineRule="exact"/>
              <w:rPr>
                <w:sz w:val="20"/>
                <w:szCs w:val="20"/>
                <w:color w:val="auto"/>
              </w:rPr>
            </w:pPr>
            <w:r>
              <w:rPr>
                <w:rFonts w:ascii="Arial" w:cs="Arial" w:eastAsia="Arial" w:hAnsi="Arial"/>
                <w:sz w:val="17"/>
                <w:szCs w:val="17"/>
                <w:b w:val="1"/>
                <w:bCs w:val="1"/>
                <w:color w:val="FFFFFF"/>
              </w:rPr>
              <w:t>2025</w:t>
            </w:r>
          </w:p>
        </w:tc>
        <w:tc>
          <w:tcPr>
            <w:tcW w:w="1720" w:type="dxa"/>
            <w:vAlign w:val="bottom"/>
            <w:tcBorders>
              <w:top w:val="single" w:sz="8" w:color="2D53A6"/>
              <w:right w:val="single" w:sz="8" w:color="3D85C6"/>
            </w:tcBorders>
            <w:shd w:val="clear" w:color="auto" w:fill="2D53A6"/>
          </w:tcPr>
          <w:p>
            <w:pPr>
              <w:jc w:val="right"/>
              <w:ind w:right="353"/>
              <w:spacing w:after="0" w:line="193" w:lineRule="exact"/>
              <w:rPr>
                <w:sz w:val="20"/>
                <w:szCs w:val="20"/>
                <w:color w:val="auto"/>
              </w:rPr>
            </w:pPr>
            <w:r>
              <w:rPr>
                <w:rFonts w:ascii="Arial" w:cs="Arial" w:eastAsia="Arial" w:hAnsi="Arial"/>
                <w:sz w:val="17"/>
                <w:szCs w:val="17"/>
                <w:b w:val="1"/>
                <w:bCs w:val="1"/>
                <w:color w:val="FFFFFF"/>
              </w:rPr>
              <w:t>Percentage</w:t>
            </w:r>
          </w:p>
        </w:tc>
        <w:tc>
          <w:tcPr>
            <w:tcW w:w="0" w:type="dxa"/>
            <w:vAlign w:val="bottom"/>
          </w:tcPr>
          <w:p>
            <w:pPr>
              <w:spacing w:after="0"/>
              <w:rPr>
                <w:sz w:val="1"/>
                <w:szCs w:val="1"/>
                <w:color w:val="auto"/>
              </w:rPr>
            </w:pPr>
          </w:p>
        </w:tc>
      </w:tr>
      <w:tr>
        <w:trPr>
          <w:trHeight w:val="135"/>
        </w:trPr>
        <w:tc>
          <w:tcPr>
            <w:tcW w:w="6200" w:type="dxa"/>
            <w:vAlign w:val="bottom"/>
            <w:tcBorders>
              <w:left w:val="single" w:sz="8" w:color="3D85C6"/>
              <w:right w:val="single" w:sz="8" w:color="3D85C6"/>
            </w:tcBorders>
            <w:vMerge w:val="continue"/>
            <w:shd w:val="clear" w:color="auto" w:fill="2D53A6"/>
          </w:tcPr>
          <w:p>
            <w:pPr>
              <w:spacing w:after="0"/>
              <w:rPr>
                <w:sz w:val="11"/>
                <w:szCs w:val="11"/>
                <w:color w:val="auto"/>
              </w:rPr>
            </w:pPr>
          </w:p>
        </w:tc>
        <w:tc>
          <w:tcPr>
            <w:tcW w:w="280" w:type="dxa"/>
            <w:vAlign w:val="bottom"/>
            <w:shd w:val="clear" w:color="auto" w:fill="2D53A6"/>
          </w:tcPr>
          <w:p>
            <w:pPr>
              <w:spacing w:after="0"/>
              <w:rPr>
                <w:sz w:val="11"/>
                <w:szCs w:val="11"/>
                <w:color w:val="auto"/>
              </w:rPr>
            </w:pPr>
          </w:p>
        </w:tc>
        <w:tc>
          <w:tcPr>
            <w:tcW w:w="1400" w:type="dxa"/>
            <w:vAlign w:val="bottom"/>
            <w:tcBorders>
              <w:right w:val="single" w:sz="8" w:color="3D85C6"/>
            </w:tcBorders>
            <w:vMerge w:val="restart"/>
            <w:shd w:val="clear" w:color="auto" w:fill="2D53A6"/>
          </w:tcPr>
          <w:p>
            <w:pPr>
              <w:jc w:val="right"/>
              <w:ind w:right="253"/>
              <w:spacing w:after="0"/>
              <w:rPr>
                <w:sz w:val="20"/>
                <w:szCs w:val="20"/>
                <w:color w:val="auto"/>
              </w:rPr>
            </w:pPr>
            <w:r>
              <w:rPr>
                <w:rFonts w:ascii="Arial" w:cs="Arial" w:eastAsia="Arial" w:hAnsi="Arial"/>
                <w:sz w:val="17"/>
                <w:szCs w:val="17"/>
                <w:b w:val="1"/>
                <w:bCs w:val="1"/>
                <w:color w:val="FFFFFF"/>
              </w:rPr>
              <w:t>Base Salary</w:t>
            </w:r>
          </w:p>
        </w:tc>
        <w:tc>
          <w:tcPr>
            <w:tcW w:w="260" w:type="dxa"/>
            <w:vAlign w:val="bottom"/>
            <w:shd w:val="clear" w:color="auto" w:fill="2D53A6"/>
          </w:tcPr>
          <w:p>
            <w:pPr>
              <w:spacing w:after="0"/>
              <w:rPr>
                <w:sz w:val="11"/>
                <w:szCs w:val="11"/>
                <w:color w:val="auto"/>
              </w:rPr>
            </w:pPr>
          </w:p>
        </w:tc>
        <w:tc>
          <w:tcPr>
            <w:tcW w:w="1400" w:type="dxa"/>
            <w:vAlign w:val="bottom"/>
            <w:tcBorders>
              <w:right w:val="single" w:sz="8" w:color="3D85C6"/>
            </w:tcBorders>
            <w:vMerge w:val="restart"/>
            <w:shd w:val="clear" w:color="auto" w:fill="2D53A6"/>
          </w:tcPr>
          <w:p>
            <w:pPr>
              <w:jc w:val="right"/>
              <w:ind w:right="253"/>
              <w:spacing w:after="0"/>
              <w:rPr>
                <w:sz w:val="20"/>
                <w:szCs w:val="20"/>
                <w:color w:val="auto"/>
              </w:rPr>
            </w:pPr>
            <w:r>
              <w:rPr>
                <w:rFonts w:ascii="Arial" w:cs="Arial" w:eastAsia="Arial" w:hAnsi="Arial"/>
                <w:sz w:val="17"/>
                <w:szCs w:val="17"/>
                <w:b w:val="1"/>
                <w:bCs w:val="1"/>
                <w:color w:val="FFFFFF"/>
              </w:rPr>
              <w:t>Base Salary</w:t>
            </w:r>
          </w:p>
        </w:tc>
        <w:tc>
          <w:tcPr>
            <w:tcW w:w="1720" w:type="dxa"/>
            <w:vAlign w:val="bottom"/>
            <w:tcBorders>
              <w:right w:val="single" w:sz="8" w:color="3D85C6"/>
            </w:tcBorders>
            <w:vMerge w:val="restart"/>
            <w:shd w:val="clear" w:color="auto" w:fill="2D53A6"/>
          </w:tcPr>
          <w:p>
            <w:pPr>
              <w:jc w:val="right"/>
              <w:ind w:right="493"/>
              <w:spacing w:after="0"/>
              <w:rPr>
                <w:sz w:val="20"/>
                <w:szCs w:val="20"/>
                <w:color w:val="auto"/>
              </w:rPr>
            </w:pPr>
            <w:r>
              <w:rPr>
                <w:rFonts w:ascii="Arial" w:cs="Arial" w:eastAsia="Arial" w:hAnsi="Arial"/>
                <w:sz w:val="17"/>
                <w:szCs w:val="17"/>
                <w:b w:val="1"/>
                <w:bCs w:val="1"/>
                <w:color w:val="FFFFFF"/>
              </w:rPr>
              <w:t>Change</w:t>
            </w:r>
          </w:p>
        </w:tc>
        <w:tc>
          <w:tcPr>
            <w:tcW w:w="0" w:type="dxa"/>
            <w:vAlign w:val="bottom"/>
          </w:tcPr>
          <w:p>
            <w:pPr>
              <w:spacing w:after="0"/>
              <w:rPr>
                <w:sz w:val="1"/>
                <w:szCs w:val="1"/>
                <w:color w:val="auto"/>
              </w:rPr>
            </w:pPr>
          </w:p>
        </w:tc>
      </w:tr>
      <w:tr>
        <w:trPr>
          <w:trHeight w:val="99"/>
        </w:trPr>
        <w:tc>
          <w:tcPr>
            <w:tcW w:w="6200" w:type="dxa"/>
            <w:vAlign w:val="bottom"/>
            <w:tcBorders>
              <w:left w:val="single" w:sz="8" w:color="3D85C6"/>
              <w:bottom w:val="single" w:sz="8" w:color="3D85C6"/>
              <w:right w:val="single" w:sz="8" w:color="3D85C6"/>
            </w:tcBorders>
            <w:shd w:val="clear" w:color="auto" w:fill="2D53A6"/>
          </w:tcPr>
          <w:p>
            <w:pPr>
              <w:spacing w:after="0"/>
              <w:rPr>
                <w:sz w:val="8"/>
                <w:szCs w:val="8"/>
                <w:color w:val="auto"/>
              </w:rPr>
            </w:pPr>
          </w:p>
        </w:tc>
        <w:tc>
          <w:tcPr>
            <w:tcW w:w="280" w:type="dxa"/>
            <w:vAlign w:val="bottom"/>
            <w:tcBorders>
              <w:bottom w:val="single" w:sz="8" w:color="3D85C6"/>
            </w:tcBorders>
            <w:shd w:val="clear" w:color="auto" w:fill="2D53A6"/>
          </w:tcPr>
          <w:p>
            <w:pPr>
              <w:spacing w:after="0"/>
              <w:rPr>
                <w:sz w:val="8"/>
                <w:szCs w:val="8"/>
                <w:color w:val="auto"/>
              </w:rPr>
            </w:pPr>
          </w:p>
        </w:tc>
        <w:tc>
          <w:tcPr>
            <w:tcW w:w="1400" w:type="dxa"/>
            <w:vAlign w:val="bottom"/>
            <w:tcBorders>
              <w:bottom w:val="single" w:sz="8" w:color="3D85C6"/>
              <w:right w:val="single" w:sz="8" w:color="3D85C6"/>
            </w:tcBorders>
            <w:vMerge w:val="continue"/>
            <w:shd w:val="clear" w:color="auto" w:fill="2D53A6"/>
          </w:tcPr>
          <w:p>
            <w:pPr>
              <w:spacing w:after="0"/>
              <w:rPr>
                <w:sz w:val="8"/>
                <w:szCs w:val="8"/>
                <w:color w:val="auto"/>
              </w:rPr>
            </w:pPr>
          </w:p>
        </w:tc>
        <w:tc>
          <w:tcPr>
            <w:tcW w:w="260" w:type="dxa"/>
            <w:vAlign w:val="bottom"/>
            <w:tcBorders>
              <w:bottom w:val="single" w:sz="8" w:color="3D85C6"/>
            </w:tcBorders>
            <w:shd w:val="clear" w:color="auto" w:fill="2D53A6"/>
          </w:tcPr>
          <w:p>
            <w:pPr>
              <w:spacing w:after="0"/>
              <w:rPr>
                <w:sz w:val="8"/>
                <w:szCs w:val="8"/>
                <w:color w:val="auto"/>
              </w:rPr>
            </w:pPr>
          </w:p>
        </w:tc>
        <w:tc>
          <w:tcPr>
            <w:tcW w:w="1400" w:type="dxa"/>
            <w:vAlign w:val="bottom"/>
            <w:tcBorders>
              <w:bottom w:val="single" w:sz="8" w:color="3D85C6"/>
              <w:right w:val="single" w:sz="8" w:color="3D85C6"/>
            </w:tcBorders>
            <w:vMerge w:val="continue"/>
            <w:shd w:val="clear" w:color="auto" w:fill="2D53A6"/>
          </w:tcPr>
          <w:p>
            <w:pPr>
              <w:spacing w:after="0"/>
              <w:rPr>
                <w:sz w:val="8"/>
                <w:szCs w:val="8"/>
                <w:color w:val="auto"/>
              </w:rPr>
            </w:pPr>
          </w:p>
        </w:tc>
        <w:tc>
          <w:tcPr>
            <w:tcW w:w="1720" w:type="dxa"/>
            <w:vAlign w:val="bottom"/>
            <w:tcBorders>
              <w:bottom w:val="single" w:sz="8" w:color="3D85C6"/>
              <w:right w:val="single" w:sz="8" w:color="3D85C6"/>
            </w:tcBorders>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6200" w:type="dxa"/>
            <w:vAlign w:val="bottom"/>
            <w:tcBorders>
              <w:left w:val="single" w:sz="8" w:color="3D85C6"/>
              <w:bottom w:val="single" w:sz="8" w:color="3D85C6"/>
              <w:right w:val="single" w:sz="8" w:color="3D85C6"/>
            </w:tcBorders>
          </w:tcPr>
          <w:p>
            <w:pPr>
              <w:ind w:left="180"/>
              <w:spacing w:after="0" w:line="181" w:lineRule="exact"/>
              <w:rPr>
                <w:sz w:val="20"/>
                <w:szCs w:val="20"/>
                <w:color w:val="auto"/>
              </w:rPr>
            </w:pPr>
            <w:r>
              <w:rPr>
                <w:rFonts w:ascii="Arial" w:cs="Arial" w:eastAsia="Arial" w:hAnsi="Arial"/>
                <w:sz w:val="17"/>
                <w:szCs w:val="17"/>
                <w:color w:val="auto"/>
              </w:rPr>
              <w:t>Luis A. Müller</w:t>
            </w:r>
          </w:p>
        </w:tc>
        <w:tc>
          <w:tcPr>
            <w:tcW w:w="280" w:type="dxa"/>
            <w:vAlign w:val="bottom"/>
            <w:tcBorders>
              <w:bottom w:val="single" w:sz="8" w:color="3D85C6"/>
            </w:tcBorders>
          </w:tcPr>
          <w:p>
            <w:pPr>
              <w:jc w:val="right"/>
              <w:spacing w:after="0" w:line="181" w:lineRule="exact"/>
              <w:rPr>
                <w:sz w:val="20"/>
                <w:szCs w:val="20"/>
                <w:color w:val="auto"/>
              </w:rPr>
            </w:pPr>
            <w:r>
              <w:rPr>
                <w:rFonts w:ascii="Arial" w:cs="Arial" w:eastAsia="Arial" w:hAnsi="Arial"/>
                <w:sz w:val="17"/>
                <w:szCs w:val="17"/>
                <w:color w:val="auto"/>
              </w:rPr>
              <w:t>$</w:t>
            </w:r>
          </w:p>
        </w:tc>
        <w:tc>
          <w:tcPr>
            <w:tcW w:w="1400" w:type="dxa"/>
            <w:vAlign w:val="bottom"/>
            <w:tcBorders>
              <w:bottom w:val="single" w:sz="8" w:color="3D85C6"/>
              <w:right w:val="single" w:sz="8" w:color="3D85C6"/>
            </w:tcBorders>
          </w:tcPr>
          <w:p>
            <w:pPr>
              <w:jc w:val="right"/>
              <w:ind w:right="13"/>
              <w:spacing w:after="0" w:line="181" w:lineRule="exact"/>
              <w:rPr>
                <w:sz w:val="20"/>
                <w:szCs w:val="20"/>
                <w:color w:val="auto"/>
              </w:rPr>
            </w:pPr>
            <w:r>
              <w:rPr>
                <w:rFonts w:ascii="Arial" w:cs="Arial" w:eastAsia="Arial" w:hAnsi="Arial"/>
                <w:sz w:val="17"/>
                <w:szCs w:val="17"/>
                <w:color w:val="auto"/>
              </w:rPr>
              <w:t>715,000</w:t>
            </w:r>
          </w:p>
        </w:tc>
        <w:tc>
          <w:tcPr>
            <w:tcW w:w="260" w:type="dxa"/>
            <w:vAlign w:val="bottom"/>
            <w:tcBorders>
              <w:bottom w:val="single" w:sz="8" w:color="3D85C6"/>
            </w:tcBorders>
          </w:tcPr>
          <w:p>
            <w:pPr>
              <w:jc w:val="right"/>
              <w:spacing w:after="0" w:line="181" w:lineRule="exact"/>
              <w:rPr>
                <w:sz w:val="20"/>
                <w:szCs w:val="20"/>
                <w:color w:val="auto"/>
              </w:rPr>
            </w:pPr>
            <w:r>
              <w:rPr>
                <w:rFonts w:ascii="Arial" w:cs="Arial" w:eastAsia="Arial" w:hAnsi="Arial"/>
                <w:sz w:val="17"/>
                <w:szCs w:val="17"/>
                <w:color w:val="auto"/>
              </w:rPr>
              <w:t>$</w:t>
            </w:r>
          </w:p>
        </w:tc>
        <w:tc>
          <w:tcPr>
            <w:tcW w:w="1400" w:type="dxa"/>
            <w:vAlign w:val="bottom"/>
            <w:tcBorders>
              <w:bottom w:val="single" w:sz="8" w:color="3D85C6"/>
              <w:right w:val="single" w:sz="8" w:color="3D85C6"/>
            </w:tcBorders>
          </w:tcPr>
          <w:p>
            <w:pPr>
              <w:jc w:val="right"/>
              <w:ind w:right="33"/>
              <w:spacing w:after="0" w:line="181" w:lineRule="exact"/>
              <w:rPr>
                <w:sz w:val="20"/>
                <w:szCs w:val="20"/>
                <w:color w:val="auto"/>
              </w:rPr>
            </w:pPr>
            <w:r>
              <w:rPr>
                <w:rFonts w:ascii="Arial" w:cs="Arial" w:eastAsia="Arial" w:hAnsi="Arial"/>
                <w:sz w:val="17"/>
                <w:szCs w:val="17"/>
                <w:color w:val="auto"/>
              </w:rPr>
              <w:t>715,000</w:t>
            </w:r>
          </w:p>
        </w:tc>
        <w:tc>
          <w:tcPr>
            <w:tcW w:w="1720" w:type="dxa"/>
            <w:vAlign w:val="bottom"/>
            <w:tcBorders>
              <w:bottom w:val="single" w:sz="8" w:color="3D85C6"/>
              <w:right w:val="single" w:sz="8" w:color="3D85C6"/>
            </w:tcBorders>
          </w:tcPr>
          <w:p>
            <w:pPr>
              <w:jc w:val="right"/>
              <w:spacing w:after="0" w:line="181" w:lineRule="exact"/>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1"/>
        </w:trPr>
        <w:tc>
          <w:tcPr>
            <w:tcW w:w="6200" w:type="dxa"/>
            <w:vAlign w:val="bottom"/>
            <w:tcBorders>
              <w:left w:val="single" w:sz="8" w:color="3D85C6"/>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Jeffrey D. Jones</w:t>
            </w:r>
          </w:p>
        </w:tc>
        <w:tc>
          <w:tcPr>
            <w:tcW w:w="280" w:type="dxa"/>
            <w:vAlign w:val="bottom"/>
            <w:tcBorders>
              <w:bottom w:val="single" w:sz="8" w:color="3D85C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3D85C6"/>
              <w:right w:val="single" w:sz="8" w:color="3D85C6"/>
            </w:tcBorders>
            <w:shd w:val="clear" w:color="auto" w:fill="E6E6E6"/>
          </w:tcPr>
          <w:p>
            <w:pPr>
              <w:jc w:val="right"/>
              <w:ind w:right="13"/>
              <w:spacing w:after="0"/>
              <w:rPr>
                <w:sz w:val="20"/>
                <w:szCs w:val="20"/>
                <w:color w:val="auto"/>
              </w:rPr>
            </w:pPr>
            <w:r>
              <w:rPr>
                <w:rFonts w:ascii="Arial" w:cs="Arial" w:eastAsia="Arial" w:hAnsi="Arial"/>
                <w:sz w:val="17"/>
                <w:szCs w:val="17"/>
                <w:color w:val="auto"/>
              </w:rPr>
              <w:t>455,000</w:t>
            </w:r>
          </w:p>
        </w:tc>
        <w:tc>
          <w:tcPr>
            <w:tcW w:w="260" w:type="dxa"/>
            <w:vAlign w:val="bottom"/>
            <w:tcBorders>
              <w:bottom w:val="single" w:sz="8" w:color="3D85C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455,000</w:t>
            </w:r>
          </w:p>
        </w:tc>
        <w:tc>
          <w:tcPr>
            <w:tcW w:w="1720" w:type="dxa"/>
            <w:vAlign w:val="bottom"/>
            <w:tcBorders>
              <w:bottom w:val="single" w:sz="8" w:color="3D85C6"/>
              <w:right w:val="single" w:sz="8" w:color="3D85C6"/>
            </w:tcBorders>
            <w:shd w:val="clear" w:color="auto" w:fill="E6E6E6"/>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1"/>
        </w:trPr>
        <w:tc>
          <w:tcPr>
            <w:tcW w:w="6200" w:type="dxa"/>
            <w:vAlign w:val="bottom"/>
            <w:tcBorders>
              <w:left w:val="single" w:sz="8" w:color="3D85C6"/>
              <w:bottom w:val="single" w:sz="8" w:color="3D85C6"/>
              <w:right w:val="single" w:sz="8" w:color="3D85C6"/>
            </w:tcBorders>
          </w:tcPr>
          <w:p>
            <w:pPr>
              <w:ind w:left="180"/>
              <w:spacing w:after="0"/>
              <w:rPr>
                <w:sz w:val="20"/>
                <w:szCs w:val="20"/>
                <w:color w:val="auto"/>
              </w:rPr>
            </w:pPr>
            <w:r>
              <w:rPr>
                <w:rFonts w:ascii="Arial" w:cs="Arial" w:eastAsia="Arial" w:hAnsi="Arial"/>
                <w:sz w:val="17"/>
                <w:szCs w:val="17"/>
                <w:color w:val="auto"/>
              </w:rPr>
              <w:t>Christopher G. Bohrson</w:t>
            </w:r>
          </w:p>
        </w:tc>
        <w:tc>
          <w:tcPr>
            <w:tcW w:w="280" w:type="dxa"/>
            <w:vAlign w:val="bottom"/>
            <w:tcBorders>
              <w:bottom w:val="single" w:sz="8" w:color="3D85C6"/>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3D85C6"/>
              <w:right w:val="single" w:sz="8" w:color="3D85C6"/>
            </w:tcBorders>
          </w:tcPr>
          <w:p>
            <w:pPr>
              <w:jc w:val="right"/>
              <w:ind w:right="13"/>
              <w:spacing w:after="0"/>
              <w:rPr>
                <w:sz w:val="20"/>
                <w:szCs w:val="20"/>
                <w:color w:val="auto"/>
              </w:rPr>
            </w:pPr>
            <w:r>
              <w:rPr>
                <w:rFonts w:ascii="Arial" w:cs="Arial" w:eastAsia="Arial" w:hAnsi="Arial"/>
                <w:sz w:val="17"/>
                <w:szCs w:val="17"/>
                <w:color w:val="auto"/>
              </w:rPr>
              <w:t>425,000</w:t>
            </w:r>
          </w:p>
        </w:tc>
        <w:tc>
          <w:tcPr>
            <w:tcW w:w="260" w:type="dxa"/>
            <w:vAlign w:val="bottom"/>
            <w:tcBorders>
              <w:bottom w:val="single" w:sz="8" w:color="3D85C6"/>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425,000</w:t>
            </w:r>
          </w:p>
        </w:tc>
        <w:tc>
          <w:tcPr>
            <w:tcW w:w="1720" w:type="dxa"/>
            <w:vAlign w:val="bottom"/>
            <w:tcBorders>
              <w:bottom w:val="single" w:sz="8" w:color="3D85C6"/>
              <w:right w:val="single" w:sz="8" w:color="3D85C6"/>
            </w:tcBorders>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1"/>
        </w:trPr>
        <w:tc>
          <w:tcPr>
            <w:tcW w:w="6200" w:type="dxa"/>
            <w:vAlign w:val="bottom"/>
            <w:tcBorders>
              <w:left w:val="single" w:sz="8" w:color="3D85C6"/>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Klaus Ilgenfritz</w:t>
            </w:r>
            <w:r>
              <w:rPr>
                <w:rFonts w:ascii="Arial" w:cs="Arial" w:eastAsia="Arial" w:hAnsi="Arial"/>
                <w:sz w:val="14"/>
                <w:szCs w:val="14"/>
                <w:color w:val="auto"/>
              </w:rPr>
              <w:t>(1)</w:t>
            </w:r>
          </w:p>
        </w:tc>
        <w:tc>
          <w:tcPr>
            <w:tcW w:w="280" w:type="dxa"/>
            <w:vAlign w:val="bottom"/>
            <w:tcBorders>
              <w:bottom w:val="single" w:sz="8" w:color="3D85C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3D85C6"/>
              <w:right w:val="single" w:sz="8" w:color="3D85C6"/>
            </w:tcBorders>
            <w:shd w:val="clear" w:color="auto" w:fill="E6E6E6"/>
          </w:tcPr>
          <w:p>
            <w:pPr>
              <w:jc w:val="right"/>
              <w:ind w:right="13"/>
              <w:spacing w:after="0"/>
              <w:rPr>
                <w:sz w:val="20"/>
                <w:szCs w:val="20"/>
                <w:color w:val="auto"/>
              </w:rPr>
            </w:pPr>
            <w:r>
              <w:rPr>
                <w:rFonts w:ascii="Arial" w:cs="Arial" w:eastAsia="Arial" w:hAnsi="Arial"/>
                <w:sz w:val="17"/>
                <w:szCs w:val="17"/>
                <w:color w:val="auto"/>
              </w:rPr>
              <w:t>377,770</w:t>
            </w:r>
          </w:p>
        </w:tc>
        <w:tc>
          <w:tcPr>
            <w:tcW w:w="260" w:type="dxa"/>
            <w:vAlign w:val="bottom"/>
            <w:tcBorders>
              <w:bottom w:val="single" w:sz="8" w:color="3D85C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423,993</w:t>
            </w:r>
          </w:p>
        </w:tc>
        <w:tc>
          <w:tcPr>
            <w:tcW w:w="1720" w:type="dxa"/>
            <w:vAlign w:val="bottom"/>
            <w:tcBorders>
              <w:bottom w:val="single" w:sz="8" w:color="3D85C6"/>
              <w:right w:val="single" w:sz="8" w:color="3D85C6"/>
            </w:tcBorders>
            <w:shd w:val="clear" w:color="auto" w:fill="E6E6E6"/>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bl>
    <w:p>
      <w:pPr>
        <w:jc w:val="both"/>
        <w:ind w:left="160" w:right="120"/>
        <w:spacing w:after="0" w:line="257" w:lineRule="auto"/>
        <w:tabs>
          <w:tab w:leader="none" w:pos="381"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Ilgenfritz became an executive officer in fiscal 2025. He is paid in Euros and the base salaries above have been converted to U.S. Dollars as required by SEC rules. The salary change percentage was applied to his base salary in Euros and the year-over-year change in U.S. Dollars as reflected above is impacted by the currency exchange rates in effect at the time of the change.</w:t>
      </w:r>
    </w:p>
    <w:p>
      <w:pPr>
        <w:spacing w:after="0" w:line="172"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On February 5, 2026, the Compensation Committee, after considering the recommendations of Dr. Müller (other than with respect to his own base salary), an analysis of competitive market salary data prepared by the Compensation Committee’s compensation consultant, and other factors described above, including improving business conditions and that fact that, except for Mr. Ilgenfritz, executive officer base salaries were last adjusted in February 2023,, determined that the base salaries for our executive officers, including our NEOs in 2026 would be as follows: Dr. Müller, $ 745,000; Mr. Jones, $485,000; Mr. Bohrson, $440,000; and Mr. Ilgenfritz $446,716 (converted from Euros). These salary rates were effective on the next administratively practicable payroll date following Compensation Committee approval.</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Short-Term Incentive Plan</w:t>
      </w:r>
    </w:p>
    <w:p>
      <w:pPr>
        <w:spacing w:after="0" w:line="194"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Each year the Compensation Committee approves an annual short-term incentive plan for our executive officers, including our NEOs, to encourage and award their achievement of our financial and operational objectives as set forth in our annual operating plan. Under this short-term incentive plan, the Compensation Committee establishes an incentive formula that is applied to the actual level of achievement for each of the pre-selected performance measures. The incentive formula is based on the anticipated difficulty and relative importance of achieving the target level for each respective performance measure. Accordingly, the actual incentives paid, if any, for any given year will vary depending on our actual performance.</w:t>
      </w:r>
    </w:p>
    <w:p>
      <w:pPr>
        <w:spacing w:after="0" w:line="359"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To support our retention objectives, typically the short-term incentive plan provides that an executive officer must be an employee when the incentives for the year are paid. The short-term incentive plan provides that the Compensation Committee has the discretion to decrease, but not increase, any incentives paid under the plan, even if the applicable performance objectives have been achieved. Historically, incentives have been payable in cash unless an executive officer elects to defer all or part of his or her incentive into the Cohu, Inc. Deferred Compensation Plan.</w:t>
      </w:r>
    </w:p>
    <w:p>
      <w:pPr>
        <w:spacing w:after="0" w:line="154"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color w:val="auto"/>
        </w:rPr>
        <w:t>On February 6, 2025, the Compensation Committee adopted the short-term incentive plan for 2025 (the “2025 STI”). The 2025 STI was adopted pursuant to the Cohu 2005 Equity Incentive Plan (the “2005 Plan”).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auto"/>
        </w:rPr>
        <w:t>Target Short-Term Incentive Opportunities</w:t>
      </w:r>
    </w:p>
    <w:p>
      <w:pPr>
        <w:spacing w:after="0" w:line="194"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For purposes of the 2025 STI, our CEO made recommendations to the Compensation Committee with respect to target short-term incentive opportunities (expressed as a percentage of base salary) for each of our executive officers, including our NEOs (except with respect to his own target short-term incentive opportunity). The maximum payout level was 200% of the target award. The target short-term incentive opportunities approved by the Compensation Committee for our NEOs, and the range of potential incentives as a percentage of base salary, the Compensation Committee determined that only the target opportunity percentage for Mr. Ilgenfritz should be increased in connection with his promotion to Chief Product Officer in January 2025, and the percentages for the rest of our executive officers should remain the same, as already competitive to market, leaving the target short-term incentives opportunities for our NEOs as follows:</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6080" w:type="dxa"/>
            <w:vAlign w:val="bottom"/>
            <w:tcBorders>
              <w:top w:val="single" w:sz="8" w:color="3D85C6"/>
              <w:left w:val="single" w:sz="8" w:color="3D85C6"/>
              <w:right w:val="single" w:sz="8" w:color="3D85C6"/>
            </w:tcBorders>
            <w:shd w:val="clear" w:color="auto" w:fill="2D53A6"/>
          </w:tcPr>
          <w:p>
            <w:pPr>
              <w:spacing w:after="0"/>
              <w:rPr>
                <w:sz w:val="16"/>
                <w:szCs w:val="16"/>
                <w:color w:val="auto"/>
              </w:rPr>
            </w:pPr>
          </w:p>
        </w:tc>
        <w:tc>
          <w:tcPr>
            <w:tcW w:w="2540" w:type="dxa"/>
            <w:vAlign w:val="bottom"/>
            <w:tcBorders>
              <w:top w:val="single" w:sz="8" w:color="2D53A6"/>
            </w:tcBorders>
            <w:shd w:val="clear" w:color="auto" w:fill="2D53A6"/>
          </w:tcPr>
          <w:p>
            <w:pPr>
              <w:jc w:val="center"/>
              <w:ind w:left="13"/>
              <w:spacing w:after="0" w:line="193" w:lineRule="exact"/>
              <w:rPr>
                <w:sz w:val="20"/>
                <w:szCs w:val="20"/>
                <w:color w:val="auto"/>
              </w:rPr>
            </w:pPr>
            <w:r>
              <w:rPr>
                <w:rFonts w:ascii="Arial" w:cs="Arial" w:eastAsia="Arial" w:hAnsi="Arial"/>
                <w:sz w:val="17"/>
                <w:szCs w:val="17"/>
                <w:b w:val="1"/>
                <w:bCs w:val="1"/>
                <w:color w:val="FFFFFF"/>
              </w:rPr>
              <w:t>2025 Target Short-Term</w:t>
            </w:r>
          </w:p>
        </w:tc>
        <w:tc>
          <w:tcPr>
            <w:tcW w:w="2620" w:type="dxa"/>
            <w:vAlign w:val="bottom"/>
            <w:tcBorders>
              <w:top w:val="single" w:sz="8" w:color="2D53A6"/>
            </w:tcBorders>
            <w:shd w:val="clear" w:color="auto" w:fill="2D53A6"/>
          </w:tcPr>
          <w:p>
            <w:pPr>
              <w:jc w:val="center"/>
              <w:spacing w:after="0" w:line="193" w:lineRule="exact"/>
              <w:rPr>
                <w:sz w:val="20"/>
                <w:szCs w:val="20"/>
                <w:color w:val="auto"/>
              </w:rPr>
            </w:pPr>
            <w:r>
              <w:rPr>
                <w:rFonts w:ascii="Arial" w:cs="Arial" w:eastAsia="Arial" w:hAnsi="Arial"/>
                <w:sz w:val="17"/>
                <w:szCs w:val="17"/>
                <w:b w:val="1"/>
                <w:bCs w:val="1"/>
                <w:color w:val="FFFFFF"/>
              </w:rPr>
              <w:t>Range of Possible 2025</w:t>
            </w:r>
          </w:p>
        </w:tc>
      </w:tr>
      <w:tr>
        <w:trPr>
          <w:trHeight w:val="195"/>
        </w:trPr>
        <w:tc>
          <w:tcPr>
            <w:tcW w:w="6080" w:type="dxa"/>
            <w:vAlign w:val="bottom"/>
            <w:tcBorders>
              <w:left w:val="single" w:sz="8" w:color="3D85C6"/>
              <w:right w:val="single" w:sz="8" w:color="3D85C6"/>
            </w:tcBorders>
            <w:shd w:val="clear" w:color="auto" w:fill="2D53A6"/>
          </w:tcPr>
          <w:p>
            <w:pPr>
              <w:ind w:left="180"/>
              <w:spacing w:after="0"/>
              <w:rPr>
                <w:sz w:val="20"/>
                <w:szCs w:val="20"/>
                <w:color w:val="auto"/>
              </w:rPr>
            </w:pPr>
            <w:r>
              <w:rPr>
                <w:rFonts w:ascii="Arial" w:cs="Arial" w:eastAsia="Arial" w:hAnsi="Arial"/>
                <w:sz w:val="17"/>
                <w:szCs w:val="17"/>
                <w:b w:val="1"/>
                <w:bCs w:val="1"/>
                <w:color w:val="FFFFFF"/>
              </w:rPr>
              <w:t>Named Executive Officer</w:t>
            </w:r>
          </w:p>
        </w:tc>
        <w:tc>
          <w:tcPr>
            <w:tcW w:w="2540" w:type="dxa"/>
            <w:vAlign w:val="bottom"/>
            <w:shd w:val="clear" w:color="auto" w:fill="2D53A6"/>
          </w:tcPr>
          <w:p>
            <w:pPr>
              <w:jc w:val="center"/>
              <w:spacing w:after="0"/>
              <w:rPr>
                <w:sz w:val="20"/>
                <w:szCs w:val="20"/>
                <w:color w:val="auto"/>
              </w:rPr>
            </w:pPr>
            <w:r>
              <w:rPr>
                <w:rFonts w:ascii="Arial" w:cs="Arial" w:eastAsia="Arial" w:hAnsi="Arial"/>
                <w:sz w:val="17"/>
                <w:szCs w:val="17"/>
                <w:b w:val="1"/>
                <w:bCs w:val="1"/>
                <w:color w:val="FFFFFF"/>
              </w:rPr>
              <w:t>Incentive</w:t>
            </w:r>
          </w:p>
        </w:tc>
        <w:tc>
          <w:tcPr>
            <w:tcW w:w="2620" w:type="dxa"/>
            <w:vAlign w:val="bottom"/>
            <w:shd w:val="clear" w:color="auto" w:fill="2D53A6"/>
          </w:tcPr>
          <w:p>
            <w:pPr>
              <w:jc w:val="center"/>
              <w:spacing w:after="0"/>
              <w:rPr>
                <w:sz w:val="20"/>
                <w:szCs w:val="20"/>
                <w:color w:val="auto"/>
              </w:rPr>
            </w:pPr>
            <w:r>
              <w:rPr>
                <w:rFonts w:ascii="Arial" w:cs="Arial" w:eastAsia="Arial" w:hAnsi="Arial"/>
                <w:sz w:val="17"/>
                <w:szCs w:val="17"/>
                <w:b w:val="1"/>
                <w:bCs w:val="1"/>
                <w:color w:val="FFFFFF"/>
              </w:rPr>
              <w:t>Short-Term Incentive as</w:t>
            </w:r>
          </w:p>
        </w:tc>
      </w:tr>
      <w:tr>
        <w:trPr>
          <w:trHeight w:val="234"/>
        </w:trPr>
        <w:tc>
          <w:tcPr>
            <w:tcW w:w="6080" w:type="dxa"/>
            <w:vAlign w:val="bottom"/>
            <w:tcBorders>
              <w:left w:val="single" w:sz="8" w:color="3D85C6"/>
              <w:bottom w:val="single" w:sz="8" w:color="3D85C6"/>
              <w:right w:val="single" w:sz="8" w:color="3D85C6"/>
            </w:tcBorders>
            <w:shd w:val="clear" w:color="auto" w:fill="2D53A6"/>
          </w:tcPr>
          <w:p>
            <w:pPr>
              <w:spacing w:after="0"/>
              <w:rPr>
                <w:sz w:val="20"/>
                <w:szCs w:val="20"/>
                <w:color w:val="auto"/>
              </w:rPr>
            </w:pPr>
          </w:p>
        </w:tc>
        <w:tc>
          <w:tcPr>
            <w:tcW w:w="2540" w:type="dxa"/>
            <w:vAlign w:val="bottom"/>
            <w:tcBorders>
              <w:bottom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Opportunity</w:t>
            </w:r>
          </w:p>
        </w:tc>
        <w:tc>
          <w:tcPr>
            <w:tcW w:w="2620" w:type="dxa"/>
            <w:vAlign w:val="bottom"/>
            <w:tcBorders>
              <w:bottom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Percentage of Base Salary</w:t>
            </w:r>
          </w:p>
        </w:tc>
      </w:tr>
      <w:tr>
        <w:trPr>
          <w:trHeight w:val="181"/>
        </w:trPr>
        <w:tc>
          <w:tcPr>
            <w:tcW w:w="6080" w:type="dxa"/>
            <w:vAlign w:val="bottom"/>
            <w:tcBorders>
              <w:bottom w:val="single" w:sz="8" w:color="3D85C6"/>
            </w:tcBorders>
          </w:tcPr>
          <w:p>
            <w:pPr>
              <w:ind w:left="180"/>
              <w:spacing w:after="0" w:line="181" w:lineRule="exact"/>
              <w:rPr>
                <w:sz w:val="20"/>
                <w:szCs w:val="20"/>
                <w:color w:val="auto"/>
              </w:rPr>
            </w:pPr>
            <w:r>
              <w:rPr>
                <w:rFonts w:ascii="Arial" w:cs="Arial" w:eastAsia="Arial" w:hAnsi="Arial"/>
                <w:sz w:val="17"/>
                <w:szCs w:val="17"/>
                <w:color w:val="auto"/>
              </w:rPr>
              <w:t>Luis A. Müller</w:t>
            </w:r>
          </w:p>
        </w:tc>
        <w:tc>
          <w:tcPr>
            <w:tcW w:w="2540" w:type="dxa"/>
            <w:vAlign w:val="bottom"/>
            <w:tcBorders>
              <w:bottom w:val="single" w:sz="8" w:color="3D85C6"/>
            </w:tcBorders>
          </w:tcPr>
          <w:p>
            <w:pPr>
              <w:jc w:val="center"/>
              <w:ind w:left="113"/>
              <w:spacing w:after="0" w:line="181" w:lineRule="exact"/>
              <w:rPr>
                <w:sz w:val="20"/>
                <w:szCs w:val="20"/>
                <w:color w:val="auto"/>
              </w:rPr>
            </w:pPr>
            <w:r>
              <w:rPr>
                <w:rFonts w:ascii="Arial" w:cs="Arial" w:eastAsia="Arial" w:hAnsi="Arial"/>
                <w:sz w:val="17"/>
                <w:szCs w:val="17"/>
                <w:color w:val="auto"/>
                <w:w w:val="96"/>
              </w:rPr>
              <w:t>110%</w:t>
            </w:r>
          </w:p>
        </w:tc>
        <w:tc>
          <w:tcPr>
            <w:tcW w:w="2620" w:type="dxa"/>
            <w:vAlign w:val="bottom"/>
            <w:tcBorders>
              <w:bottom w:val="single" w:sz="8" w:color="3D85C6"/>
            </w:tcBorders>
          </w:tcPr>
          <w:p>
            <w:pPr>
              <w:jc w:val="right"/>
              <w:ind w:right="713"/>
              <w:spacing w:after="0" w:line="181" w:lineRule="exact"/>
              <w:rPr>
                <w:sz w:val="20"/>
                <w:szCs w:val="20"/>
                <w:color w:val="auto"/>
              </w:rPr>
            </w:pPr>
            <w:r>
              <w:rPr>
                <w:rFonts w:ascii="Arial" w:cs="Arial" w:eastAsia="Arial" w:hAnsi="Arial"/>
                <w:sz w:val="17"/>
                <w:szCs w:val="17"/>
                <w:color w:val="auto"/>
              </w:rPr>
              <w:t>0% - 220%</w:t>
            </w:r>
          </w:p>
        </w:tc>
      </w:tr>
      <w:tr>
        <w:trPr>
          <w:trHeight w:val="201"/>
        </w:trPr>
        <w:tc>
          <w:tcPr>
            <w:tcW w:w="6080" w:type="dxa"/>
            <w:vAlign w:val="bottom"/>
            <w:tcBorders>
              <w:left w:val="single" w:sz="8" w:color="E6E6E6"/>
              <w:bottom w:val="single" w:sz="8" w:color="3D85C6"/>
              <w:right w:val="single" w:sz="8" w:color="E6E6E6"/>
            </w:tcBorders>
            <w:shd w:val="clear" w:color="auto" w:fill="E6E6E6"/>
          </w:tcPr>
          <w:p>
            <w:pPr>
              <w:ind w:left="180"/>
              <w:spacing w:after="0"/>
              <w:rPr>
                <w:sz w:val="20"/>
                <w:szCs w:val="20"/>
                <w:color w:val="auto"/>
              </w:rPr>
            </w:pPr>
            <w:r>
              <w:rPr>
                <w:rFonts w:ascii="Arial" w:cs="Arial" w:eastAsia="Arial" w:hAnsi="Arial"/>
                <w:sz w:val="17"/>
                <w:szCs w:val="17"/>
                <w:color w:val="auto"/>
              </w:rPr>
              <w:t>Jeffrey D. Jones</w:t>
            </w:r>
          </w:p>
        </w:tc>
        <w:tc>
          <w:tcPr>
            <w:tcW w:w="2540" w:type="dxa"/>
            <w:vAlign w:val="bottom"/>
            <w:tcBorders>
              <w:bottom w:val="single" w:sz="8" w:color="3D85C6"/>
            </w:tcBorders>
            <w:shd w:val="clear" w:color="auto" w:fill="E6E6E6"/>
          </w:tcPr>
          <w:p>
            <w:pPr>
              <w:jc w:val="center"/>
              <w:ind w:left="113"/>
              <w:spacing w:after="0"/>
              <w:rPr>
                <w:sz w:val="20"/>
                <w:szCs w:val="20"/>
                <w:color w:val="auto"/>
              </w:rPr>
            </w:pPr>
            <w:r>
              <w:rPr>
                <w:rFonts w:ascii="Arial" w:cs="Arial" w:eastAsia="Arial" w:hAnsi="Arial"/>
                <w:sz w:val="17"/>
                <w:szCs w:val="17"/>
                <w:color w:val="auto"/>
                <w:w w:val="99"/>
              </w:rPr>
              <w:t>75%</w:t>
            </w:r>
          </w:p>
        </w:tc>
        <w:tc>
          <w:tcPr>
            <w:tcW w:w="2620" w:type="dxa"/>
            <w:vAlign w:val="bottom"/>
            <w:tcBorders>
              <w:bottom w:val="single" w:sz="8" w:color="3D85C6"/>
            </w:tcBorders>
            <w:shd w:val="clear" w:color="auto" w:fill="E6E6E6"/>
          </w:tcPr>
          <w:p>
            <w:pPr>
              <w:jc w:val="right"/>
              <w:ind w:right="713"/>
              <w:spacing w:after="0"/>
              <w:rPr>
                <w:sz w:val="20"/>
                <w:szCs w:val="20"/>
                <w:color w:val="auto"/>
              </w:rPr>
            </w:pPr>
            <w:r>
              <w:rPr>
                <w:rFonts w:ascii="Arial" w:cs="Arial" w:eastAsia="Arial" w:hAnsi="Arial"/>
                <w:sz w:val="17"/>
                <w:szCs w:val="17"/>
                <w:color w:val="auto"/>
              </w:rPr>
              <w:t>0% - 150%</w:t>
            </w:r>
          </w:p>
        </w:tc>
      </w:tr>
      <w:tr>
        <w:trPr>
          <w:trHeight w:val="201"/>
        </w:trPr>
        <w:tc>
          <w:tcPr>
            <w:tcW w:w="6080" w:type="dxa"/>
            <w:vAlign w:val="bottom"/>
            <w:tcBorders>
              <w:bottom w:val="single" w:sz="8" w:color="3D85C6"/>
            </w:tcBorders>
          </w:tcPr>
          <w:p>
            <w:pPr>
              <w:ind w:left="180"/>
              <w:spacing w:after="0"/>
              <w:rPr>
                <w:sz w:val="20"/>
                <w:szCs w:val="20"/>
                <w:color w:val="auto"/>
              </w:rPr>
            </w:pPr>
            <w:r>
              <w:rPr>
                <w:rFonts w:ascii="Arial" w:cs="Arial" w:eastAsia="Arial" w:hAnsi="Arial"/>
                <w:sz w:val="17"/>
                <w:szCs w:val="17"/>
                <w:color w:val="auto"/>
              </w:rPr>
              <w:t>Christopher G. Bohrson</w:t>
            </w:r>
          </w:p>
        </w:tc>
        <w:tc>
          <w:tcPr>
            <w:tcW w:w="2540" w:type="dxa"/>
            <w:vAlign w:val="bottom"/>
            <w:tcBorders>
              <w:bottom w:val="single" w:sz="8" w:color="3D85C6"/>
            </w:tcBorders>
          </w:tcPr>
          <w:p>
            <w:pPr>
              <w:jc w:val="center"/>
              <w:ind w:left="113"/>
              <w:spacing w:after="0"/>
              <w:rPr>
                <w:sz w:val="20"/>
                <w:szCs w:val="20"/>
                <w:color w:val="auto"/>
              </w:rPr>
            </w:pPr>
            <w:r>
              <w:rPr>
                <w:rFonts w:ascii="Arial" w:cs="Arial" w:eastAsia="Arial" w:hAnsi="Arial"/>
                <w:sz w:val="17"/>
                <w:szCs w:val="17"/>
                <w:color w:val="auto"/>
                <w:w w:val="99"/>
              </w:rPr>
              <w:t>75%</w:t>
            </w:r>
          </w:p>
        </w:tc>
        <w:tc>
          <w:tcPr>
            <w:tcW w:w="2620" w:type="dxa"/>
            <w:vAlign w:val="bottom"/>
            <w:tcBorders>
              <w:bottom w:val="single" w:sz="8" w:color="3D85C6"/>
            </w:tcBorders>
          </w:tcPr>
          <w:p>
            <w:pPr>
              <w:jc w:val="right"/>
              <w:ind w:right="713"/>
              <w:spacing w:after="0"/>
              <w:rPr>
                <w:sz w:val="20"/>
                <w:szCs w:val="20"/>
                <w:color w:val="auto"/>
              </w:rPr>
            </w:pPr>
            <w:r>
              <w:rPr>
                <w:rFonts w:ascii="Arial" w:cs="Arial" w:eastAsia="Arial" w:hAnsi="Arial"/>
                <w:sz w:val="17"/>
                <w:szCs w:val="17"/>
                <w:color w:val="auto"/>
              </w:rPr>
              <w:t>0% - 150%</w:t>
            </w:r>
          </w:p>
        </w:tc>
      </w:tr>
      <w:tr>
        <w:trPr>
          <w:trHeight w:val="207"/>
        </w:trPr>
        <w:tc>
          <w:tcPr>
            <w:tcW w:w="6080" w:type="dxa"/>
            <w:vAlign w:val="bottom"/>
          </w:tcPr>
          <w:p>
            <w:pPr>
              <w:ind w:left="180"/>
              <w:spacing w:after="0"/>
              <w:rPr>
                <w:sz w:val="20"/>
                <w:szCs w:val="20"/>
                <w:color w:val="auto"/>
              </w:rPr>
            </w:pPr>
            <w:r>
              <w:rPr>
                <w:rFonts w:ascii="Arial" w:cs="Arial" w:eastAsia="Arial" w:hAnsi="Arial"/>
                <w:sz w:val="17"/>
                <w:szCs w:val="17"/>
                <w:color w:val="auto"/>
              </w:rPr>
              <w:t>Klaus Ilgenfritz</w:t>
            </w:r>
            <w:r>
              <w:rPr>
                <w:rFonts w:ascii="Arial" w:cs="Arial" w:eastAsia="Arial" w:hAnsi="Arial"/>
                <w:sz w:val="14"/>
                <w:szCs w:val="14"/>
                <w:color w:val="auto"/>
              </w:rPr>
              <w:t>(1)</w:t>
            </w:r>
          </w:p>
        </w:tc>
        <w:tc>
          <w:tcPr>
            <w:tcW w:w="2540" w:type="dxa"/>
            <w:vAlign w:val="bottom"/>
          </w:tcPr>
          <w:p>
            <w:pPr>
              <w:jc w:val="center"/>
              <w:ind w:left="113"/>
              <w:spacing w:after="0"/>
              <w:rPr>
                <w:sz w:val="20"/>
                <w:szCs w:val="20"/>
                <w:color w:val="auto"/>
              </w:rPr>
            </w:pPr>
            <w:r>
              <w:rPr>
                <w:rFonts w:ascii="Arial" w:cs="Arial" w:eastAsia="Arial" w:hAnsi="Arial"/>
                <w:sz w:val="17"/>
                <w:szCs w:val="17"/>
                <w:color w:val="auto"/>
                <w:w w:val="99"/>
              </w:rPr>
              <w:t>60%</w:t>
            </w:r>
          </w:p>
        </w:tc>
        <w:tc>
          <w:tcPr>
            <w:tcW w:w="2620" w:type="dxa"/>
            <w:vAlign w:val="bottom"/>
          </w:tcPr>
          <w:p>
            <w:pPr>
              <w:jc w:val="right"/>
              <w:ind w:right="713"/>
              <w:spacing w:after="0"/>
              <w:rPr>
                <w:sz w:val="20"/>
                <w:szCs w:val="20"/>
                <w:color w:val="auto"/>
              </w:rPr>
            </w:pPr>
            <w:r>
              <w:rPr>
                <w:rFonts w:ascii="Arial" w:cs="Arial" w:eastAsia="Arial" w:hAnsi="Arial"/>
                <w:sz w:val="17"/>
                <w:szCs w:val="17"/>
                <w:color w:val="auto"/>
              </w:rPr>
              <w:t>0% - 120%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-944245</wp:posOffset>
            </wp:positionV>
            <wp:extent cx="7137400" cy="948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7400" cy="948690"/>
                    </a:xfrm>
                    <a:prstGeom prst="rect">
                      <a:avLst/>
                    </a:prstGeom>
                    <a:noFill/>
                  </pic:spPr>
                </pic:pic>
              </a:graphicData>
            </a:graphic>
          </wp:anchor>
        </w:drawing>
      </w:r>
    </w:p>
    <w:p>
      <w:pPr>
        <w:ind w:left="160"/>
        <w:spacing w:after="0"/>
        <w:tabs>
          <w:tab w:leader="none" w:pos="46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Arial" w:cs="Arial" w:eastAsia="Arial" w:hAnsi="Arial"/>
          <w:sz w:val="14"/>
          <w:szCs w:val="14"/>
          <w:color w:val="auto"/>
        </w:rPr>
        <w:t>Prior to his appointment as an executive officer, Mr. Ilgenfritz previously had a 50% target short-term incentive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50165</wp:posOffset>
            </wp:positionV>
            <wp:extent cx="71374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Performance Measures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 2025 STI, the Compensation Committee selected three financial performance measures for our executive officers:</w:t>
      </w:r>
    </w:p>
    <w:p>
      <w:pPr>
        <w:spacing w:after="0" w:line="194" w:lineRule="exact"/>
        <w:rPr>
          <w:sz w:val="20"/>
          <w:szCs w:val="20"/>
          <w:color w:val="auto"/>
        </w:rPr>
      </w:pPr>
    </w:p>
    <w:p>
      <w:pPr>
        <w:ind w:left="620" w:hanging="304"/>
        <w:spacing w:after="0"/>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Sales growth based on a one-year growth target;</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Sales growth based on a four-year rolling sales growth target; and</w:t>
      </w:r>
    </w:p>
    <w:p>
      <w:pPr>
        <w:spacing w:after="0" w:line="38" w:lineRule="exact"/>
        <w:rPr>
          <w:rFonts w:ascii="Arial" w:cs="Arial" w:eastAsia="Arial" w:hAnsi="Arial"/>
          <w:sz w:val="17"/>
          <w:szCs w:val="17"/>
          <w:color w:val="auto"/>
        </w:rPr>
      </w:pPr>
    </w:p>
    <w:p>
      <w:pPr>
        <w:ind w:left="620" w:hanging="304"/>
        <w:spacing w:after="0"/>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Profitability based on a non-GAAP pre-tax income target.</w:t>
      </w:r>
    </w:p>
    <w:p>
      <w:pPr>
        <w:spacing w:after="0" w:line="233"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 xml:space="preserve">The Compensation Committee added the one-year sales growth metric to increase the focus of capturing revenue opportunities as the semiconductor industry emerges from an extended downturn. We selected these three performance measures because we continue to believe sales growth reflects the overall market acceptance of our products and non-GAAP pre-tax income reflects how effectively the business was managed during the year. A reconciliation of GAAP to non-GAAP pre-tax income used for the 2025 STI is included as </w:t>
      </w:r>
      <w:r>
        <w:rPr>
          <w:rFonts w:ascii="Arial" w:cs="Arial" w:eastAsia="Arial" w:hAnsi="Arial"/>
          <w:sz w:val="17"/>
          <w:szCs w:val="17"/>
          <w:b w:val="1"/>
          <w:bCs w:val="1"/>
          <w:color w:val="auto"/>
        </w:rPr>
        <w:t>Appendix A</w:t>
      </w:r>
      <w:r>
        <w:rPr>
          <w:rFonts w:ascii="Arial" w:cs="Arial" w:eastAsia="Arial" w:hAnsi="Arial"/>
          <w:sz w:val="17"/>
          <w:szCs w:val="17"/>
          <w:color w:val="auto"/>
        </w:rPr>
        <w:t xml:space="preserve"> to this proxy statement.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weighting of these corporate performance measures for purposes of the 2025 STI for each NEO were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4780" w:type="dxa"/>
            <w:vAlign w:val="bottom"/>
            <w:tcBorders>
              <w:top w:val="single" w:sz="8" w:color="3D85C6"/>
              <w:left w:val="single" w:sz="8" w:color="3D85C6"/>
            </w:tcBorders>
            <w:shd w:val="clear" w:color="auto" w:fill="2D53A6"/>
          </w:tcPr>
          <w:p>
            <w:pPr>
              <w:spacing w:after="0"/>
              <w:rPr>
                <w:sz w:val="16"/>
                <w:szCs w:val="16"/>
                <w:color w:val="auto"/>
              </w:rPr>
            </w:pPr>
          </w:p>
        </w:tc>
        <w:tc>
          <w:tcPr>
            <w:tcW w:w="1440" w:type="dxa"/>
            <w:vAlign w:val="bottom"/>
            <w:tcBorders>
              <w:top w:val="single" w:sz="8" w:color="3D85C6"/>
              <w:right w:val="single" w:sz="8" w:color="3D85C6"/>
            </w:tcBorders>
            <w:shd w:val="clear" w:color="auto" w:fill="2D53A6"/>
          </w:tcPr>
          <w:p>
            <w:pPr>
              <w:spacing w:after="0"/>
              <w:rPr>
                <w:sz w:val="16"/>
                <w:szCs w:val="16"/>
                <w:color w:val="auto"/>
              </w:rPr>
            </w:pPr>
          </w:p>
        </w:tc>
        <w:tc>
          <w:tcPr>
            <w:tcW w:w="1680" w:type="dxa"/>
            <w:vAlign w:val="bottom"/>
            <w:tcBorders>
              <w:top w:val="single" w:sz="8" w:color="2D53A6"/>
              <w:right w:val="single" w:sz="8" w:color="3D85C6"/>
            </w:tcBorders>
            <w:shd w:val="clear" w:color="auto" w:fill="2D53A6"/>
          </w:tcPr>
          <w:p>
            <w:pPr>
              <w:spacing w:after="0"/>
              <w:rPr>
                <w:sz w:val="16"/>
                <w:szCs w:val="16"/>
                <w:color w:val="auto"/>
              </w:rPr>
            </w:pPr>
          </w:p>
        </w:tc>
        <w:tc>
          <w:tcPr>
            <w:tcW w:w="1700" w:type="dxa"/>
            <w:vAlign w:val="bottom"/>
            <w:tcBorders>
              <w:top w:val="single" w:sz="8" w:color="2D53A6"/>
              <w:right w:val="single" w:sz="8" w:color="3D85C6"/>
            </w:tcBorders>
            <w:shd w:val="clear" w:color="auto" w:fill="2D53A6"/>
          </w:tcPr>
          <w:p>
            <w:pPr>
              <w:spacing w:after="0"/>
              <w:rPr>
                <w:sz w:val="16"/>
                <w:szCs w:val="16"/>
                <w:color w:val="auto"/>
              </w:rPr>
            </w:pPr>
          </w:p>
        </w:tc>
        <w:tc>
          <w:tcPr>
            <w:tcW w:w="1660" w:type="dxa"/>
            <w:vAlign w:val="bottom"/>
            <w:tcBorders>
              <w:top w:val="single" w:sz="8" w:color="2D53A6"/>
              <w:right w:val="single" w:sz="8" w:color="3D85C6"/>
            </w:tcBorders>
            <w:shd w:val="clear" w:color="auto" w:fill="2D53A6"/>
          </w:tcPr>
          <w:p>
            <w:pPr>
              <w:ind w:left="180"/>
              <w:spacing w:after="0" w:line="193" w:lineRule="exact"/>
              <w:rPr>
                <w:sz w:val="20"/>
                <w:szCs w:val="20"/>
                <w:color w:val="auto"/>
              </w:rPr>
            </w:pPr>
            <w:r>
              <w:rPr>
                <w:rFonts w:ascii="Arial" w:cs="Arial" w:eastAsia="Arial" w:hAnsi="Arial"/>
                <w:sz w:val="17"/>
                <w:szCs w:val="17"/>
                <w:b w:val="1"/>
                <w:bCs w:val="1"/>
                <w:color w:val="FFFFFF"/>
              </w:rPr>
              <w:t>Non-GAAP Pre-</w:t>
            </w:r>
          </w:p>
        </w:tc>
      </w:tr>
      <w:tr>
        <w:trPr>
          <w:trHeight w:val="195"/>
        </w:trPr>
        <w:tc>
          <w:tcPr>
            <w:tcW w:w="4780" w:type="dxa"/>
            <w:vAlign w:val="bottom"/>
            <w:tcBorders>
              <w:left w:val="single" w:sz="8" w:color="3D85C6"/>
            </w:tcBorders>
            <w:shd w:val="clear" w:color="auto" w:fill="2D53A6"/>
          </w:tcPr>
          <w:p>
            <w:pPr>
              <w:ind w:left="2080"/>
              <w:spacing w:after="0"/>
              <w:rPr>
                <w:sz w:val="20"/>
                <w:szCs w:val="20"/>
                <w:color w:val="auto"/>
              </w:rPr>
            </w:pPr>
            <w:r>
              <w:rPr>
                <w:rFonts w:ascii="Arial" w:cs="Arial" w:eastAsia="Arial" w:hAnsi="Arial"/>
                <w:sz w:val="17"/>
                <w:szCs w:val="17"/>
                <w:b w:val="1"/>
                <w:bCs w:val="1"/>
                <w:color w:val="FFFFFF"/>
              </w:rPr>
              <w:t>Named Executive Officer</w:t>
            </w:r>
          </w:p>
        </w:tc>
        <w:tc>
          <w:tcPr>
            <w:tcW w:w="1440" w:type="dxa"/>
            <w:vAlign w:val="bottom"/>
            <w:tcBorders>
              <w:right w:val="single" w:sz="8" w:color="3D85C6"/>
            </w:tcBorders>
            <w:shd w:val="clear" w:color="auto" w:fill="2D53A6"/>
          </w:tcPr>
          <w:p>
            <w:pPr>
              <w:spacing w:after="0"/>
              <w:rPr>
                <w:sz w:val="16"/>
                <w:szCs w:val="16"/>
                <w:color w:val="auto"/>
              </w:rPr>
            </w:pPr>
          </w:p>
        </w:tc>
        <w:tc>
          <w:tcPr>
            <w:tcW w:w="1680" w:type="dxa"/>
            <w:vAlign w:val="bottom"/>
            <w:tcBorders>
              <w:right w:val="single" w:sz="8" w:color="3D85C6"/>
            </w:tcBorders>
            <w:shd w:val="clear" w:color="auto" w:fill="2D53A6"/>
          </w:tcPr>
          <w:p>
            <w:pPr>
              <w:jc w:val="right"/>
              <w:ind w:right="253"/>
              <w:spacing w:after="0"/>
              <w:rPr>
                <w:sz w:val="20"/>
                <w:szCs w:val="20"/>
                <w:color w:val="auto"/>
              </w:rPr>
            </w:pPr>
            <w:r>
              <w:rPr>
                <w:rFonts w:ascii="Arial" w:cs="Arial" w:eastAsia="Arial" w:hAnsi="Arial"/>
                <w:sz w:val="17"/>
                <w:szCs w:val="17"/>
                <w:b w:val="1"/>
                <w:bCs w:val="1"/>
                <w:color w:val="FFFFFF"/>
              </w:rPr>
              <w:t>1-Year Sales</w:t>
            </w:r>
          </w:p>
        </w:tc>
        <w:tc>
          <w:tcPr>
            <w:tcW w:w="1700" w:type="dxa"/>
            <w:vAlign w:val="bottom"/>
            <w:tcBorders>
              <w:right w:val="single" w:sz="8" w:color="3D85C6"/>
            </w:tcBorders>
            <w:shd w:val="clear" w:color="auto" w:fill="2D53A6"/>
          </w:tcPr>
          <w:p>
            <w:pPr>
              <w:jc w:val="right"/>
              <w:ind w:right="253"/>
              <w:spacing w:after="0"/>
              <w:rPr>
                <w:sz w:val="20"/>
                <w:szCs w:val="20"/>
                <w:color w:val="auto"/>
              </w:rPr>
            </w:pPr>
            <w:r>
              <w:rPr>
                <w:rFonts w:ascii="Arial" w:cs="Arial" w:eastAsia="Arial" w:hAnsi="Arial"/>
                <w:sz w:val="17"/>
                <w:szCs w:val="17"/>
                <w:b w:val="1"/>
                <w:bCs w:val="1"/>
                <w:color w:val="FFFFFF"/>
              </w:rPr>
              <w:t>4-Year Sales</w:t>
            </w:r>
          </w:p>
        </w:tc>
        <w:tc>
          <w:tcPr>
            <w:tcW w:w="1660" w:type="dxa"/>
            <w:vAlign w:val="bottom"/>
            <w:tcBorders>
              <w:right w:val="single" w:sz="8" w:color="3D85C6"/>
            </w:tcBorders>
            <w:shd w:val="clear" w:color="auto" w:fill="2D53A6"/>
          </w:tcPr>
          <w:p>
            <w:pPr>
              <w:ind w:left="700"/>
              <w:spacing w:after="0"/>
              <w:rPr>
                <w:sz w:val="20"/>
                <w:szCs w:val="20"/>
                <w:color w:val="auto"/>
              </w:rPr>
            </w:pPr>
            <w:r>
              <w:rPr>
                <w:rFonts w:ascii="Arial" w:cs="Arial" w:eastAsia="Arial" w:hAnsi="Arial"/>
                <w:sz w:val="17"/>
                <w:szCs w:val="17"/>
                <w:b w:val="1"/>
                <w:bCs w:val="1"/>
                <w:color w:val="FFFFFF"/>
              </w:rPr>
              <w:t>tax</w:t>
            </w:r>
          </w:p>
        </w:tc>
      </w:tr>
      <w:tr>
        <w:trPr>
          <w:trHeight w:val="234"/>
        </w:trPr>
        <w:tc>
          <w:tcPr>
            <w:tcW w:w="4780" w:type="dxa"/>
            <w:vAlign w:val="bottom"/>
            <w:tcBorders>
              <w:left w:val="single" w:sz="8" w:color="3D85C6"/>
              <w:bottom w:val="single" w:sz="8" w:color="3D85C6"/>
            </w:tcBorders>
            <w:shd w:val="clear" w:color="auto" w:fill="2D53A6"/>
          </w:tcPr>
          <w:p>
            <w:pPr>
              <w:spacing w:after="0"/>
              <w:rPr>
                <w:sz w:val="20"/>
                <w:szCs w:val="20"/>
                <w:color w:val="auto"/>
              </w:rPr>
            </w:pPr>
          </w:p>
        </w:tc>
        <w:tc>
          <w:tcPr>
            <w:tcW w:w="1440" w:type="dxa"/>
            <w:vAlign w:val="bottom"/>
            <w:tcBorders>
              <w:bottom w:val="single" w:sz="8" w:color="3D85C6"/>
              <w:right w:val="single" w:sz="8" w:color="3D85C6"/>
            </w:tcBorders>
            <w:shd w:val="clear" w:color="auto" w:fill="2D53A6"/>
          </w:tcPr>
          <w:p>
            <w:pPr>
              <w:spacing w:after="0"/>
              <w:rPr>
                <w:sz w:val="20"/>
                <w:szCs w:val="20"/>
                <w:color w:val="auto"/>
              </w:rPr>
            </w:pPr>
          </w:p>
        </w:tc>
        <w:tc>
          <w:tcPr>
            <w:tcW w:w="1680" w:type="dxa"/>
            <w:vAlign w:val="bottom"/>
            <w:tcBorders>
              <w:bottom w:val="single" w:sz="8" w:color="3D85C6"/>
              <w:right w:val="single" w:sz="8" w:color="3D85C6"/>
            </w:tcBorders>
            <w:shd w:val="clear" w:color="auto" w:fill="2D53A6"/>
          </w:tcPr>
          <w:p>
            <w:pPr>
              <w:jc w:val="right"/>
              <w:ind w:right="473"/>
              <w:spacing w:after="0"/>
              <w:rPr>
                <w:sz w:val="20"/>
                <w:szCs w:val="20"/>
                <w:color w:val="auto"/>
              </w:rPr>
            </w:pPr>
            <w:r>
              <w:rPr>
                <w:rFonts w:ascii="Arial" w:cs="Arial" w:eastAsia="Arial" w:hAnsi="Arial"/>
                <w:sz w:val="17"/>
                <w:szCs w:val="17"/>
                <w:b w:val="1"/>
                <w:bCs w:val="1"/>
                <w:color w:val="FFFFFF"/>
              </w:rPr>
              <w:t>Growth</w:t>
            </w:r>
          </w:p>
        </w:tc>
        <w:tc>
          <w:tcPr>
            <w:tcW w:w="1700" w:type="dxa"/>
            <w:vAlign w:val="bottom"/>
            <w:tcBorders>
              <w:bottom w:val="single" w:sz="8" w:color="3D85C6"/>
              <w:right w:val="single" w:sz="8" w:color="3D85C6"/>
            </w:tcBorders>
            <w:shd w:val="clear" w:color="auto" w:fill="2D53A6"/>
          </w:tcPr>
          <w:p>
            <w:pPr>
              <w:jc w:val="right"/>
              <w:ind w:right="473"/>
              <w:spacing w:after="0"/>
              <w:rPr>
                <w:sz w:val="20"/>
                <w:szCs w:val="20"/>
                <w:color w:val="auto"/>
              </w:rPr>
            </w:pPr>
            <w:r>
              <w:rPr>
                <w:rFonts w:ascii="Arial" w:cs="Arial" w:eastAsia="Arial" w:hAnsi="Arial"/>
                <w:sz w:val="17"/>
                <w:szCs w:val="17"/>
                <w:b w:val="1"/>
                <w:bCs w:val="1"/>
                <w:color w:val="FFFFFF"/>
              </w:rPr>
              <w:t>Growth</w:t>
            </w:r>
          </w:p>
        </w:tc>
        <w:tc>
          <w:tcPr>
            <w:tcW w:w="1660" w:type="dxa"/>
            <w:vAlign w:val="bottom"/>
            <w:tcBorders>
              <w:bottom w:val="single" w:sz="8" w:color="3D85C6"/>
              <w:right w:val="single" w:sz="8" w:color="3D85C6"/>
            </w:tcBorders>
            <w:shd w:val="clear" w:color="auto" w:fill="2D53A6"/>
          </w:tcPr>
          <w:p>
            <w:pPr>
              <w:ind w:left="520"/>
              <w:spacing w:after="0"/>
              <w:rPr>
                <w:sz w:val="20"/>
                <w:szCs w:val="20"/>
                <w:color w:val="auto"/>
              </w:rPr>
            </w:pPr>
            <w:r>
              <w:rPr>
                <w:rFonts w:ascii="Arial" w:cs="Arial" w:eastAsia="Arial" w:hAnsi="Arial"/>
                <w:sz w:val="17"/>
                <w:szCs w:val="17"/>
                <w:b w:val="1"/>
                <w:bCs w:val="1"/>
                <w:color w:val="FFFFFF"/>
              </w:rPr>
              <w:t>Income</w:t>
            </w:r>
          </w:p>
        </w:tc>
      </w:tr>
      <w:tr>
        <w:trPr>
          <w:trHeight w:val="181"/>
        </w:trPr>
        <w:tc>
          <w:tcPr>
            <w:tcW w:w="4780" w:type="dxa"/>
            <w:vAlign w:val="bottom"/>
            <w:tcBorders>
              <w:left w:val="single" w:sz="8" w:color="3D85C6"/>
              <w:bottom w:val="single" w:sz="8" w:color="3D85C6"/>
            </w:tcBorders>
          </w:tcPr>
          <w:p>
            <w:pPr>
              <w:ind w:left="180"/>
              <w:spacing w:after="0" w:line="181" w:lineRule="exact"/>
              <w:rPr>
                <w:sz w:val="20"/>
                <w:szCs w:val="20"/>
                <w:color w:val="auto"/>
              </w:rPr>
            </w:pPr>
            <w:r>
              <w:rPr>
                <w:rFonts w:ascii="Arial" w:cs="Arial" w:eastAsia="Arial" w:hAnsi="Arial"/>
                <w:sz w:val="17"/>
                <w:szCs w:val="17"/>
                <w:color w:val="auto"/>
              </w:rPr>
              <w:t>Luis A. Müller</w:t>
            </w:r>
          </w:p>
        </w:tc>
        <w:tc>
          <w:tcPr>
            <w:tcW w:w="1440" w:type="dxa"/>
            <w:vAlign w:val="bottom"/>
            <w:tcBorders>
              <w:bottom w:val="single" w:sz="8" w:color="3D85C6"/>
              <w:right w:val="single" w:sz="8" w:color="3D85C6"/>
            </w:tcBorders>
          </w:tcPr>
          <w:p>
            <w:pPr>
              <w:spacing w:after="0"/>
              <w:rPr>
                <w:sz w:val="15"/>
                <w:szCs w:val="15"/>
                <w:color w:val="auto"/>
              </w:rPr>
            </w:pPr>
          </w:p>
        </w:tc>
        <w:tc>
          <w:tcPr>
            <w:tcW w:w="1680" w:type="dxa"/>
            <w:vAlign w:val="bottom"/>
            <w:tcBorders>
              <w:bottom w:val="single" w:sz="8" w:color="3D85C6"/>
              <w:right w:val="single" w:sz="8" w:color="3D85C6"/>
            </w:tcBorders>
          </w:tcPr>
          <w:p>
            <w:pPr>
              <w:jc w:val="right"/>
              <w:ind w:right="533"/>
              <w:spacing w:after="0" w:line="181" w:lineRule="exact"/>
              <w:rPr>
                <w:sz w:val="20"/>
                <w:szCs w:val="20"/>
                <w:color w:val="auto"/>
              </w:rPr>
            </w:pPr>
            <w:r>
              <w:rPr>
                <w:rFonts w:ascii="Arial" w:cs="Arial" w:eastAsia="Arial" w:hAnsi="Arial"/>
                <w:sz w:val="17"/>
                <w:szCs w:val="17"/>
                <w:color w:val="auto"/>
              </w:rPr>
              <w:t>25%</w:t>
            </w:r>
          </w:p>
        </w:tc>
        <w:tc>
          <w:tcPr>
            <w:tcW w:w="1700" w:type="dxa"/>
            <w:vAlign w:val="bottom"/>
            <w:tcBorders>
              <w:bottom w:val="single" w:sz="8" w:color="3D85C6"/>
              <w:right w:val="single" w:sz="8" w:color="3D85C6"/>
            </w:tcBorders>
          </w:tcPr>
          <w:p>
            <w:pPr>
              <w:jc w:val="right"/>
              <w:ind w:right="533"/>
              <w:spacing w:after="0" w:line="181" w:lineRule="exact"/>
              <w:rPr>
                <w:sz w:val="20"/>
                <w:szCs w:val="20"/>
                <w:color w:val="auto"/>
              </w:rPr>
            </w:pPr>
            <w:r>
              <w:rPr>
                <w:rFonts w:ascii="Arial" w:cs="Arial" w:eastAsia="Arial" w:hAnsi="Arial"/>
                <w:sz w:val="17"/>
                <w:szCs w:val="17"/>
                <w:color w:val="auto"/>
              </w:rPr>
              <w:t>25%</w:t>
            </w:r>
          </w:p>
        </w:tc>
        <w:tc>
          <w:tcPr>
            <w:tcW w:w="1660" w:type="dxa"/>
            <w:vAlign w:val="bottom"/>
            <w:tcBorders>
              <w:bottom w:val="single" w:sz="8" w:color="3D85C6"/>
              <w:right w:val="single" w:sz="8" w:color="3D85C6"/>
            </w:tcBorders>
          </w:tcPr>
          <w:p>
            <w:pPr>
              <w:ind w:left="700"/>
              <w:spacing w:after="0" w:line="181" w:lineRule="exact"/>
              <w:rPr>
                <w:sz w:val="20"/>
                <w:szCs w:val="20"/>
                <w:color w:val="auto"/>
              </w:rPr>
            </w:pPr>
            <w:r>
              <w:rPr>
                <w:rFonts w:ascii="Arial" w:cs="Arial" w:eastAsia="Arial" w:hAnsi="Arial"/>
                <w:sz w:val="17"/>
                <w:szCs w:val="17"/>
                <w:color w:val="auto"/>
              </w:rPr>
              <w:t>50%</w:t>
            </w:r>
          </w:p>
        </w:tc>
      </w:tr>
      <w:tr>
        <w:trPr>
          <w:trHeight w:val="201"/>
        </w:trPr>
        <w:tc>
          <w:tcPr>
            <w:tcW w:w="4780" w:type="dxa"/>
            <w:vAlign w:val="bottom"/>
            <w:tcBorders>
              <w:left w:val="single" w:sz="8" w:color="3D85C6"/>
              <w:bottom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Jeffrey D. Jones</w:t>
            </w:r>
          </w:p>
        </w:tc>
        <w:tc>
          <w:tcPr>
            <w:tcW w:w="1440" w:type="dxa"/>
            <w:vAlign w:val="bottom"/>
            <w:tcBorders>
              <w:bottom w:val="single" w:sz="8" w:color="3D85C6"/>
              <w:right w:val="single" w:sz="8" w:color="3D85C6"/>
            </w:tcBorders>
            <w:shd w:val="clear" w:color="auto" w:fill="E6E6E6"/>
          </w:tcPr>
          <w:p>
            <w:pPr>
              <w:spacing w:after="0"/>
              <w:rPr>
                <w:sz w:val="17"/>
                <w:szCs w:val="17"/>
                <w:color w:val="auto"/>
              </w:rPr>
            </w:pPr>
          </w:p>
        </w:tc>
        <w:tc>
          <w:tcPr>
            <w:tcW w:w="1680" w:type="dxa"/>
            <w:vAlign w:val="bottom"/>
            <w:tcBorders>
              <w:bottom w:val="single" w:sz="8" w:color="3D85C6"/>
              <w:right w:val="single" w:sz="8" w:color="3D85C6"/>
            </w:tcBorders>
            <w:shd w:val="clear" w:color="auto" w:fill="E6E6E6"/>
          </w:tcPr>
          <w:p>
            <w:pPr>
              <w:jc w:val="right"/>
              <w:ind w:right="533"/>
              <w:spacing w:after="0"/>
              <w:rPr>
                <w:sz w:val="20"/>
                <w:szCs w:val="20"/>
                <w:color w:val="auto"/>
              </w:rPr>
            </w:pPr>
            <w:r>
              <w:rPr>
                <w:rFonts w:ascii="Arial" w:cs="Arial" w:eastAsia="Arial" w:hAnsi="Arial"/>
                <w:sz w:val="17"/>
                <w:szCs w:val="17"/>
                <w:color w:val="auto"/>
              </w:rPr>
              <w:t>25%</w:t>
            </w:r>
          </w:p>
        </w:tc>
        <w:tc>
          <w:tcPr>
            <w:tcW w:w="1700" w:type="dxa"/>
            <w:vAlign w:val="bottom"/>
            <w:tcBorders>
              <w:bottom w:val="single" w:sz="8" w:color="3D85C6"/>
              <w:right w:val="single" w:sz="8" w:color="3D85C6"/>
            </w:tcBorders>
            <w:shd w:val="clear" w:color="auto" w:fill="E6E6E6"/>
          </w:tcPr>
          <w:p>
            <w:pPr>
              <w:jc w:val="right"/>
              <w:ind w:right="533"/>
              <w:spacing w:after="0"/>
              <w:rPr>
                <w:sz w:val="20"/>
                <w:szCs w:val="20"/>
                <w:color w:val="auto"/>
              </w:rPr>
            </w:pPr>
            <w:r>
              <w:rPr>
                <w:rFonts w:ascii="Arial" w:cs="Arial" w:eastAsia="Arial" w:hAnsi="Arial"/>
                <w:sz w:val="17"/>
                <w:szCs w:val="17"/>
                <w:color w:val="auto"/>
              </w:rPr>
              <w:t>25%</w:t>
            </w:r>
          </w:p>
        </w:tc>
        <w:tc>
          <w:tcPr>
            <w:tcW w:w="1660" w:type="dxa"/>
            <w:vAlign w:val="bottom"/>
            <w:tcBorders>
              <w:bottom w:val="single" w:sz="8" w:color="3D85C6"/>
              <w:right w:val="single" w:sz="8" w:color="3D85C6"/>
            </w:tcBorders>
            <w:shd w:val="clear" w:color="auto" w:fill="E6E6E6"/>
          </w:tcPr>
          <w:p>
            <w:pPr>
              <w:ind w:left="700"/>
              <w:spacing w:after="0"/>
              <w:rPr>
                <w:sz w:val="20"/>
                <w:szCs w:val="20"/>
                <w:color w:val="auto"/>
              </w:rPr>
            </w:pPr>
            <w:r>
              <w:rPr>
                <w:rFonts w:ascii="Arial" w:cs="Arial" w:eastAsia="Arial" w:hAnsi="Arial"/>
                <w:sz w:val="17"/>
                <w:szCs w:val="17"/>
                <w:color w:val="auto"/>
              </w:rPr>
              <w:t>50%</w:t>
            </w:r>
          </w:p>
        </w:tc>
      </w:tr>
      <w:tr>
        <w:trPr>
          <w:trHeight w:val="201"/>
        </w:trPr>
        <w:tc>
          <w:tcPr>
            <w:tcW w:w="4780" w:type="dxa"/>
            <w:vAlign w:val="bottom"/>
            <w:tcBorders>
              <w:left w:val="single" w:sz="8" w:color="3D85C6"/>
              <w:bottom w:val="single" w:sz="8" w:color="3D85C6"/>
            </w:tcBorders>
          </w:tcPr>
          <w:p>
            <w:pPr>
              <w:ind w:left="180"/>
              <w:spacing w:after="0"/>
              <w:rPr>
                <w:sz w:val="20"/>
                <w:szCs w:val="20"/>
                <w:color w:val="auto"/>
              </w:rPr>
            </w:pPr>
            <w:r>
              <w:rPr>
                <w:rFonts w:ascii="Arial" w:cs="Arial" w:eastAsia="Arial" w:hAnsi="Arial"/>
                <w:sz w:val="17"/>
                <w:szCs w:val="17"/>
                <w:color w:val="auto"/>
              </w:rPr>
              <w:t>Christopher G. Bohrson</w:t>
            </w:r>
          </w:p>
        </w:tc>
        <w:tc>
          <w:tcPr>
            <w:tcW w:w="1440" w:type="dxa"/>
            <w:vAlign w:val="bottom"/>
            <w:tcBorders>
              <w:bottom w:val="single" w:sz="8" w:color="3D85C6"/>
              <w:right w:val="single" w:sz="8" w:color="3D85C6"/>
            </w:tcBorders>
          </w:tcPr>
          <w:p>
            <w:pPr>
              <w:spacing w:after="0"/>
              <w:rPr>
                <w:sz w:val="17"/>
                <w:szCs w:val="17"/>
                <w:color w:val="auto"/>
              </w:rPr>
            </w:pPr>
          </w:p>
        </w:tc>
        <w:tc>
          <w:tcPr>
            <w:tcW w:w="1680" w:type="dxa"/>
            <w:vAlign w:val="bottom"/>
            <w:tcBorders>
              <w:bottom w:val="single" w:sz="8" w:color="3D85C6"/>
              <w:right w:val="single" w:sz="8" w:color="3D85C6"/>
            </w:tcBorders>
          </w:tcPr>
          <w:p>
            <w:pPr>
              <w:jc w:val="right"/>
              <w:ind w:right="533"/>
              <w:spacing w:after="0"/>
              <w:rPr>
                <w:sz w:val="20"/>
                <w:szCs w:val="20"/>
                <w:color w:val="auto"/>
              </w:rPr>
            </w:pPr>
            <w:r>
              <w:rPr>
                <w:rFonts w:ascii="Arial" w:cs="Arial" w:eastAsia="Arial" w:hAnsi="Arial"/>
                <w:sz w:val="17"/>
                <w:szCs w:val="17"/>
                <w:color w:val="auto"/>
              </w:rPr>
              <w:t>25%</w:t>
            </w:r>
          </w:p>
        </w:tc>
        <w:tc>
          <w:tcPr>
            <w:tcW w:w="1700" w:type="dxa"/>
            <w:vAlign w:val="bottom"/>
            <w:tcBorders>
              <w:bottom w:val="single" w:sz="8" w:color="3D85C6"/>
              <w:right w:val="single" w:sz="8" w:color="3D85C6"/>
            </w:tcBorders>
          </w:tcPr>
          <w:p>
            <w:pPr>
              <w:jc w:val="right"/>
              <w:ind w:right="533"/>
              <w:spacing w:after="0"/>
              <w:rPr>
                <w:sz w:val="20"/>
                <w:szCs w:val="20"/>
                <w:color w:val="auto"/>
              </w:rPr>
            </w:pPr>
            <w:r>
              <w:rPr>
                <w:rFonts w:ascii="Arial" w:cs="Arial" w:eastAsia="Arial" w:hAnsi="Arial"/>
                <w:sz w:val="17"/>
                <w:szCs w:val="17"/>
                <w:color w:val="auto"/>
              </w:rPr>
              <w:t>25%</w:t>
            </w:r>
          </w:p>
        </w:tc>
        <w:tc>
          <w:tcPr>
            <w:tcW w:w="1660" w:type="dxa"/>
            <w:vAlign w:val="bottom"/>
            <w:tcBorders>
              <w:bottom w:val="single" w:sz="8" w:color="3D85C6"/>
              <w:right w:val="single" w:sz="8" w:color="3D85C6"/>
            </w:tcBorders>
          </w:tcPr>
          <w:p>
            <w:pPr>
              <w:ind w:left="700"/>
              <w:spacing w:after="0"/>
              <w:rPr>
                <w:sz w:val="20"/>
                <w:szCs w:val="20"/>
                <w:color w:val="auto"/>
              </w:rPr>
            </w:pPr>
            <w:r>
              <w:rPr>
                <w:rFonts w:ascii="Arial" w:cs="Arial" w:eastAsia="Arial" w:hAnsi="Arial"/>
                <w:sz w:val="17"/>
                <w:szCs w:val="17"/>
                <w:color w:val="auto"/>
              </w:rPr>
              <w:t>50%</w:t>
            </w:r>
          </w:p>
        </w:tc>
      </w:tr>
      <w:tr>
        <w:trPr>
          <w:trHeight w:val="201"/>
        </w:trPr>
        <w:tc>
          <w:tcPr>
            <w:tcW w:w="4780" w:type="dxa"/>
            <w:vAlign w:val="bottom"/>
            <w:tcBorders>
              <w:left w:val="single" w:sz="8" w:color="3D85C6"/>
              <w:bottom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Klaus Ilgenfritz</w:t>
            </w:r>
          </w:p>
        </w:tc>
        <w:tc>
          <w:tcPr>
            <w:tcW w:w="1440" w:type="dxa"/>
            <w:vAlign w:val="bottom"/>
            <w:tcBorders>
              <w:bottom w:val="single" w:sz="8" w:color="3D85C6"/>
              <w:right w:val="single" w:sz="8" w:color="3D85C6"/>
            </w:tcBorders>
            <w:shd w:val="clear" w:color="auto" w:fill="E6E6E6"/>
          </w:tcPr>
          <w:p>
            <w:pPr>
              <w:spacing w:after="0"/>
              <w:rPr>
                <w:sz w:val="17"/>
                <w:szCs w:val="17"/>
                <w:color w:val="auto"/>
              </w:rPr>
            </w:pPr>
          </w:p>
        </w:tc>
        <w:tc>
          <w:tcPr>
            <w:tcW w:w="1680" w:type="dxa"/>
            <w:vAlign w:val="bottom"/>
            <w:tcBorders>
              <w:bottom w:val="single" w:sz="8" w:color="3D85C6"/>
              <w:right w:val="single" w:sz="8" w:color="3D85C6"/>
            </w:tcBorders>
            <w:shd w:val="clear" w:color="auto" w:fill="E6E6E6"/>
          </w:tcPr>
          <w:p>
            <w:pPr>
              <w:jc w:val="right"/>
              <w:ind w:right="533"/>
              <w:spacing w:after="0"/>
              <w:rPr>
                <w:sz w:val="20"/>
                <w:szCs w:val="20"/>
                <w:color w:val="auto"/>
              </w:rPr>
            </w:pPr>
            <w:r>
              <w:rPr>
                <w:rFonts w:ascii="Arial" w:cs="Arial" w:eastAsia="Arial" w:hAnsi="Arial"/>
                <w:sz w:val="17"/>
                <w:szCs w:val="17"/>
                <w:color w:val="auto"/>
              </w:rPr>
              <w:t>25%</w:t>
            </w:r>
          </w:p>
        </w:tc>
        <w:tc>
          <w:tcPr>
            <w:tcW w:w="1700" w:type="dxa"/>
            <w:vAlign w:val="bottom"/>
            <w:tcBorders>
              <w:bottom w:val="single" w:sz="8" w:color="3D85C6"/>
              <w:right w:val="single" w:sz="8" w:color="3D85C6"/>
            </w:tcBorders>
            <w:shd w:val="clear" w:color="auto" w:fill="E6E6E6"/>
          </w:tcPr>
          <w:p>
            <w:pPr>
              <w:jc w:val="right"/>
              <w:ind w:right="533"/>
              <w:spacing w:after="0"/>
              <w:rPr>
                <w:sz w:val="20"/>
                <w:szCs w:val="20"/>
                <w:color w:val="auto"/>
              </w:rPr>
            </w:pPr>
            <w:r>
              <w:rPr>
                <w:rFonts w:ascii="Arial" w:cs="Arial" w:eastAsia="Arial" w:hAnsi="Arial"/>
                <w:sz w:val="17"/>
                <w:szCs w:val="17"/>
                <w:color w:val="auto"/>
              </w:rPr>
              <w:t>25%</w:t>
            </w:r>
          </w:p>
        </w:tc>
        <w:tc>
          <w:tcPr>
            <w:tcW w:w="1660" w:type="dxa"/>
            <w:vAlign w:val="bottom"/>
            <w:tcBorders>
              <w:bottom w:val="single" w:sz="8" w:color="3D85C6"/>
              <w:right w:val="single" w:sz="8" w:color="3D85C6"/>
            </w:tcBorders>
            <w:shd w:val="clear" w:color="auto" w:fill="E6E6E6"/>
          </w:tcPr>
          <w:p>
            <w:pPr>
              <w:ind w:left="700"/>
              <w:spacing w:after="0"/>
              <w:rPr>
                <w:sz w:val="20"/>
                <w:szCs w:val="20"/>
                <w:color w:val="auto"/>
              </w:rPr>
            </w:pPr>
            <w:r>
              <w:rPr>
                <w:rFonts w:ascii="Arial" w:cs="Arial" w:eastAsia="Arial" w:hAnsi="Arial"/>
                <w:sz w:val="17"/>
                <w:szCs w:val="17"/>
                <w:color w:val="auto"/>
              </w:rPr>
              <w:t>50%</w:t>
            </w:r>
          </w:p>
        </w:tc>
      </w:tr>
      <w:tr>
        <w:trPr>
          <w:trHeight w:val="396"/>
        </w:trPr>
        <w:tc>
          <w:tcPr>
            <w:tcW w:w="4780" w:type="dxa"/>
            <w:vAlign w:val="bottom"/>
          </w:tcPr>
          <w:p>
            <w:pPr>
              <w:spacing w:after="0"/>
              <w:rPr>
                <w:sz w:val="24"/>
                <w:szCs w:val="24"/>
                <w:color w:val="auto"/>
              </w:rPr>
            </w:pPr>
          </w:p>
        </w:tc>
        <w:tc>
          <w:tcPr>
            <w:tcW w:w="3120" w:type="dxa"/>
            <w:vAlign w:val="bottom"/>
            <w:gridSpan w:val="2"/>
          </w:tcPr>
          <w:p>
            <w:pPr>
              <w:jc w:val="right"/>
              <w:ind w:right="2013"/>
              <w:spacing w:after="0"/>
              <w:rPr>
                <w:sz w:val="20"/>
                <w:szCs w:val="20"/>
                <w:color w:val="auto"/>
              </w:rPr>
            </w:pPr>
            <w:r>
              <w:rPr>
                <w:rFonts w:ascii="Times New Roman" w:cs="Times New Roman" w:eastAsia="Times New Roman" w:hAnsi="Times New Roman"/>
                <w:sz w:val="17"/>
                <w:szCs w:val="17"/>
                <w:color w:val="auto"/>
              </w:rPr>
              <w:t>E-17</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0"/>
        </w:trPr>
        <w:tc>
          <w:tcPr>
            <w:tcW w:w="47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65" w:right="339" w:bottom="1440" w:gutter="0" w:footer="0" w:header="0"/>
        </w:sectPr>
      </w:pPr>
    </w:p>
    <w:bookmarkStart w:id="95" w:name="page96"/>
    <w:bookmarkEnd w:id="95"/>
    <w:p>
      <w:pPr>
        <w:ind w:right="40"/>
        <w:spacing w:after="0" w:line="280" w:lineRule="auto"/>
        <w:rPr>
          <w:sz w:val="20"/>
          <w:szCs w:val="20"/>
          <w:color w:val="auto"/>
        </w:rPr>
      </w:pPr>
      <w:r>
        <w:rPr>
          <w:rFonts w:ascii="Arial" w:cs="Arial" w:eastAsia="Arial" w:hAnsi="Arial"/>
          <w:sz w:val="17"/>
          <w:szCs w:val="17"/>
          <w:color w:val="auto"/>
        </w:rPr>
        <w:t>For the 2025 STI plan, the Compensation Committee determined to increase the combined weighting of the two Sales Growth metrics weighting to 50% to continue to incentivize the delivery of sales growth during an extended soft market and to reallocate the profitability weighting to 50%.</w:t>
      </w:r>
    </w:p>
    <w:p>
      <w:pPr>
        <w:spacing w:after="0" w:line="129"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performance measures and their respective weightings were aligned among the executive officers to reflect their shared responsibilities for delivering the targeted performance. The Compensation Committee determined that using our consolidated results for sales and non-GAAP pre-tax income were appropriate for all executive officers given their responsibilities for the overall success of our business. Applicable threshold, target and maximum performance goals as a percentage of attainment of the applicable performance measure as well as the payout levels earned were unchanged from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137400" cy="11303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7400" cy="1130300"/>
                    </a:xfrm>
                    <a:prstGeom prst="rect">
                      <a:avLst/>
                    </a:prstGeom>
                    <a:noFill/>
                  </pic:spPr>
                </pic:pic>
              </a:graphicData>
            </a:graphic>
          </wp:anchor>
        </w:drawing>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FFFFFF"/>
        </w:rPr>
        <w:t>2025 STI Performance Measure Targets and Achievement Scale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20" w:type="dxa"/>
            <w:vAlign w:val="bottom"/>
            <w:tcBorders>
              <w:top w:val="single" w:sz="8" w:color="3D85C6"/>
              <w:bottom w:val="single" w:sz="8" w:color="3D85C6"/>
              <w:right w:val="single" w:sz="8" w:color="3D85C6"/>
            </w:tcBorders>
          </w:tcPr>
          <w:p>
            <w:pPr>
              <w:spacing w:after="0"/>
              <w:rPr>
                <w:sz w:val="17"/>
                <w:szCs w:val="17"/>
                <w:color w:val="auto"/>
              </w:rPr>
            </w:pPr>
          </w:p>
        </w:tc>
        <w:tc>
          <w:tcPr>
            <w:tcW w:w="1580" w:type="dxa"/>
            <w:vAlign w:val="bottom"/>
            <w:tcBorders>
              <w:top w:val="single" w:sz="8" w:color="3D85C6"/>
              <w:bottom w:val="single" w:sz="8" w:color="3D85C6"/>
              <w:right w:val="single" w:sz="8" w:color="3D85C6"/>
            </w:tcBorders>
          </w:tcPr>
          <w:p>
            <w:pPr>
              <w:ind w:left="300"/>
              <w:spacing w:after="0"/>
              <w:rPr>
                <w:sz w:val="20"/>
                <w:szCs w:val="20"/>
                <w:color w:val="auto"/>
              </w:rPr>
            </w:pPr>
            <w:r>
              <w:rPr>
                <w:rFonts w:ascii="Arial" w:cs="Arial" w:eastAsia="Arial" w:hAnsi="Arial"/>
                <w:sz w:val="17"/>
                <w:szCs w:val="17"/>
                <w:b w:val="1"/>
                <w:bCs w:val="1"/>
                <w:color w:val="auto"/>
              </w:rPr>
              <w:t>Threshold</w:t>
            </w:r>
          </w:p>
        </w:tc>
        <w:tc>
          <w:tcPr>
            <w:tcW w:w="1700" w:type="dxa"/>
            <w:vAlign w:val="bottom"/>
            <w:tcBorders>
              <w:top w:val="single" w:sz="8" w:color="3D85C6"/>
              <w:bottom w:val="single" w:sz="8" w:color="3D85C6"/>
              <w:right w:val="single" w:sz="8" w:color="3D85C6"/>
            </w:tcBorders>
          </w:tcPr>
          <w:p>
            <w:pPr>
              <w:ind w:left="580"/>
              <w:spacing w:after="0"/>
              <w:rPr>
                <w:sz w:val="20"/>
                <w:szCs w:val="20"/>
                <w:color w:val="auto"/>
              </w:rPr>
            </w:pPr>
            <w:r>
              <w:rPr>
                <w:rFonts w:ascii="Arial" w:cs="Arial" w:eastAsia="Arial" w:hAnsi="Arial"/>
                <w:sz w:val="17"/>
                <w:szCs w:val="17"/>
                <w:b w:val="1"/>
                <w:bCs w:val="1"/>
                <w:color w:val="auto"/>
              </w:rPr>
              <w:t>Target</w:t>
            </w:r>
          </w:p>
        </w:tc>
        <w:tc>
          <w:tcPr>
            <w:tcW w:w="1640" w:type="dxa"/>
            <w:vAlign w:val="bottom"/>
            <w:tcBorders>
              <w:top w:val="single" w:sz="8" w:color="3D85C6"/>
              <w:bottom w:val="single" w:sz="8" w:color="3D85C6"/>
            </w:tcBorders>
          </w:tcPr>
          <w:p>
            <w:pPr>
              <w:ind w:left="420"/>
              <w:spacing w:after="0"/>
              <w:rPr>
                <w:sz w:val="20"/>
                <w:szCs w:val="20"/>
                <w:color w:val="auto"/>
              </w:rPr>
            </w:pPr>
            <w:r>
              <w:rPr>
                <w:rFonts w:ascii="Arial" w:cs="Arial" w:eastAsia="Arial" w:hAnsi="Arial"/>
                <w:sz w:val="17"/>
                <w:szCs w:val="17"/>
                <w:b w:val="1"/>
                <w:bCs w:val="1"/>
                <w:color w:val="auto"/>
              </w:rPr>
              <w:t>Maximum</w:t>
            </w:r>
          </w:p>
        </w:tc>
      </w:tr>
      <w:tr>
        <w:trPr>
          <w:trHeight w:val="201"/>
        </w:trPr>
        <w:tc>
          <w:tcPr>
            <w:tcW w:w="6320" w:type="dxa"/>
            <w:vAlign w:val="bottom"/>
            <w:tcBorders>
              <w:bottom w:val="single" w:sz="8" w:color="3D85C6"/>
              <w:right w:val="single" w:sz="8" w:color="3D85C6"/>
            </w:tcBorders>
          </w:tcPr>
          <w:p>
            <w:pPr>
              <w:ind w:left="180"/>
              <w:spacing w:after="0"/>
              <w:rPr>
                <w:sz w:val="20"/>
                <w:szCs w:val="20"/>
                <w:color w:val="auto"/>
              </w:rPr>
            </w:pPr>
            <w:r>
              <w:rPr>
                <w:rFonts w:ascii="Arial" w:cs="Arial" w:eastAsia="Arial" w:hAnsi="Arial"/>
                <w:sz w:val="17"/>
                <w:szCs w:val="17"/>
                <w:b w:val="1"/>
                <w:bCs w:val="1"/>
                <w:color w:val="auto"/>
              </w:rPr>
              <w:t>Performance to 1-Year Sales Growth</w:t>
            </w:r>
          </w:p>
        </w:tc>
        <w:tc>
          <w:tcPr>
            <w:tcW w:w="1580" w:type="dxa"/>
            <w:vAlign w:val="bottom"/>
            <w:tcBorders>
              <w:bottom w:val="single" w:sz="8" w:color="3D85C6"/>
              <w:right w:val="single" w:sz="8" w:color="3D85C6"/>
            </w:tcBorders>
          </w:tcPr>
          <w:p>
            <w:pPr>
              <w:jc w:val="center"/>
              <w:spacing w:after="0"/>
              <w:rPr>
                <w:sz w:val="20"/>
                <w:szCs w:val="20"/>
                <w:color w:val="auto"/>
              </w:rPr>
            </w:pPr>
            <w:r>
              <w:rPr>
                <w:rFonts w:ascii="Arial" w:cs="Arial" w:eastAsia="Arial" w:hAnsi="Arial"/>
                <w:sz w:val="17"/>
                <w:szCs w:val="17"/>
                <w:b w:val="1"/>
                <w:bCs w:val="1"/>
                <w:color w:val="auto"/>
                <w:w w:val="97"/>
              </w:rPr>
              <w:t>0%</w:t>
            </w:r>
          </w:p>
        </w:tc>
        <w:tc>
          <w:tcPr>
            <w:tcW w:w="1700" w:type="dxa"/>
            <w:vAlign w:val="bottom"/>
            <w:tcBorders>
              <w:bottom w:val="single" w:sz="8" w:color="3D85C6"/>
              <w:right w:val="single" w:sz="8" w:color="3D85C6"/>
            </w:tcBorders>
          </w:tcPr>
          <w:p>
            <w:pPr>
              <w:jc w:val="center"/>
              <w:ind w:left="13"/>
              <w:spacing w:after="0"/>
              <w:rPr>
                <w:sz w:val="20"/>
                <w:szCs w:val="20"/>
                <w:color w:val="auto"/>
              </w:rPr>
            </w:pPr>
            <w:r>
              <w:rPr>
                <w:rFonts w:ascii="Arial" w:cs="Arial" w:eastAsia="Arial" w:hAnsi="Arial"/>
                <w:sz w:val="17"/>
                <w:szCs w:val="17"/>
                <w:b w:val="1"/>
                <w:bCs w:val="1"/>
                <w:color w:val="auto"/>
              </w:rPr>
              <w:t>10%</w:t>
            </w:r>
          </w:p>
        </w:tc>
        <w:tc>
          <w:tcPr>
            <w:tcW w:w="1640" w:type="dxa"/>
            <w:vAlign w:val="bottom"/>
            <w:tcBorders>
              <w:bottom w:val="single" w:sz="8" w:color="3D85C6"/>
            </w:tcBorders>
          </w:tcPr>
          <w:p>
            <w:pPr>
              <w:jc w:val="center"/>
              <w:ind w:left="13"/>
              <w:spacing w:after="0"/>
              <w:rPr>
                <w:sz w:val="20"/>
                <w:szCs w:val="20"/>
                <w:color w:val="auto"/>
              </w:rPr>
            </w:pPr>
            <w:r>
              <w:rPr>
                <w:rFonts w:ascii="Arial" w:cs="Arial" w:eastAsia="Arial" w:hAnsi="Arial"/>
                <w:sz w:val="17"/>
                <w:szCs w:val="17"/>
                <w:b w:val="1"/>
                <w:bCs w:val="1"/>
                <w:color w:val="auto"/>
              </w:rPr>
              <w:t>&gt; 20%</w:t>
            </w:r>
          </w:p>
        </w:tc>
      </w:tr>
      <w:tr>
        <w:trPr>
          <w:trHeight w:val="201"/>
        </w:trPr>
        <w:tc>
          <w:tcPr>
            <w:tcW w:w="6320" w:type="dxa"/>
            <w:vAlign w:val="bottom"/>
            <w:tcBorders>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Payout Level Earned</w:t>
            </w:r>
          </w:p>
        </w:tc>
        <w:tc>
          <w:tcPr>
            <w:tcW w:w="1580" w:type="dxa"/>
            <w:vAlign w:val="bottom"/>
            <w:tcBorders>
              <w:bottom w:val="single" w:sz="8" w:color="3D85C6"/>
              <w:right w:val="single" w:sz="8" w:color="3D85C6"/>
            </w:tcBorders>
            <w:shd w:val="clear" w:color="auto" w:fill="E6E6E6"/>
          </w:tcPr>
          <w:p>
            <w:pPr>
              <w:jc w:val="center"/>
              <w:spacing w:after="0"/>
              <w:rPr>
                <w:sz w:val="20"/>
                <w:szCs w:val="20"/>
                <w:color w:val="auto"/>
              </w:rPr>
            </w:pPr>
            <w:r>
              <w:rPr>
                <w:rFonts w:ascii="Arial" w:cs="Arial" w:eastAsia="Arial" w:hAnsi="Arial"/>
                <w:sz w:val="17"/>
                <w:szCs w:val="17"/>
                <w:color w:val="auto"/>
                <w:w w:val="98"/>
              </w:rPr>
              <w:t>None</w:t>
            </w:r>
          </w:p>
        </w:tc>
        <w:tc>
          <w:tcPr>
            <w:tcW w:w="1700" w:type="dxa"/>
            <w:vAlign w:val="bottom"/>
            <w:tcBorders>
              <w:bottom w:val="single" w:sz="8" w:color="3D85C6"/>
              <w:right w:val="single" w:sz="8" w:color="3D85C6"/>
            </w:tcBorders>
            <w:shd w:val="clear" w:color="auto" w:fill="E6E6E6"/>
          </w:tcPr>
          <w:p>
            <w:pPr>
              <w:jc w:val="center"/>
              <w:ind w:left="13"/>
              <w:spacing w:after="0"/>
              <w:rPr>
                <w:sz w:val="20"/>
                <w:szCs w:val="20"/>
                <w:color w:val="auto"/>
              </w:rPr>
            </w:pPr>
            <w:r>
              <w:rPr>
                <w:rFonts w:ascii="Arial" w:cs="Arial" w:eastAsia="Arial" w:hAnsi="Arial"/>
                <w:sz w:val="17"/>
                <w:szCs w:val="17"/>
                <w:color w:val="auto"/>
              </w:rPr>
              <w:t>100</w:t>
            </w:r>
            <w:r>
              <w:rPr>
                <w:rFonts w:ascii="Arial" w:cs="Arial" w:eastAsia="Arial" w:hAnsi="Arial"/>
                <w:sz w:val="17"/>
                <w:szCs w:val="17"/>
                <w:b w:val="1"/>
                <w:bCs w:val="1"/>
                <w:color w:val="auto"/>
              </w:rPr>
              <w:t>%</w:t>
            </w:r>
          </w:p>
        </w:tc>
        <w:tc>
          <w:tcPr>
            <w:tcW w:w="1640" w:type="dxa"/>
            <w:vAlign w:val="bottom"/>
            <w:tcBorders>
              <w:bottom w:val="single" w:sz="8" w:color="3D85C6"/>
            </w:tcBorders>
            <w:shd w:val="clear" w:color="auto" w:fill="E6E6E6"/>
          </w:tcPr>
          <w:p>
            <w:pPr>
              <w:jc w:val="center"/>
              <w:ind w:left="13"/>
              <w:spacing w:after="0"/>
              <w:rPr>
                <w:sz w:val="20"/>
                <w:szCs w:val="20"/>
                <w:color w:val="auto"/>
              </w:rPr>
            </w:pPr>
            <w:r>
              <w:rPr>
                <w:rFonts w:ascii="Arial" w:cs="Arial" w:eastAsia="Arial" w:hAnsi="Arial"/>
                <w:sz w:val="17"/>
                <w:szCs w:val="17"/>
                <w:color w:val="auto"/>
              </w:rPr>
              <w:t>200</w:t>
            </w:r>
            <w:r>
              <w:rPr>
                <w:rFonts w:ascii="Arial" w:cs="Arial" w:eastAsia="Arial" w:hAnsi="Arial"/>
                <w:sz w:val="17"/>
                <w:szCs w:val="17"/>
                <w:b w:val="1"/>
                <w:bCs w:val="1"/>
                <w:color w:val="auto"/>
              </w:rPr>
              <w:t>%</w:t>
            </w:r>
          </w:p>
        </w:tc>
      </w:tr>
      <w:tr>
        <w:trPr>
          <w:trHeight w:val="201"/>
        </w:trPr>
        <w:tc>
          <w:tcPr>
            <w:tcW w:w="6320" w:type="dxa"/>
            <w:vAlign w:val="bottom"/>
            <w:tcBorders>
              <w:bottom w:val="single" w:sz="8" w:color="3D85C6"/>
              <w:right w:val="single" w:sz="8" w:color="3D85C6"/>
            </w:tcBorders>
          </w:tcPr>
          <w:p>
            <w:pPr>
              <w:ind w:left="180"/>
              <w:spacing w:after="0"/>
              <w:rPr>
                <w:sz w:val="20"/>
                <w:szCs w:val="20"/>
                <w:color w:val="auto"/>
              </w:rPr>
            </w:pPr>
            <w:r>
              <w:rPr>
                <w:rFonts w:ascii="Arial" w:cs="Arial" w:eastAsia="Arial" w:hAnsi="Arial"/>
                <w:sz w:val="17"/>
                <w:szCs w:val="17"/>
                <w:b w:val="1"/>
                <w:bCs w:val="1"/>
                <w:color w:val="auto"/>
              </w:rPr>
              <w:t>Performance to 4-Year Rolling Sales Growth</w:t>
            </w:r>
          </w:p>
        </w:tc>
        <w:tc>
          <w:tcPr>
            <w:tcW w:w="1580" w:type="dxa"/>
            <w:vAlign w:val="bottom"/>
            <w:tcBorders>
              <w:bottom w:val="single" w:sz="8" w:color="3D85C6"/>
              <w:right w:val="single" w:sz="8" w:color="3D85C6"/>
            </w:tcBorders>
          </w:tcPr>
          <w:p>
            <w:pPr>
              <w:jc w:val="center"/>
              <w:spacing w:after="0"/>
              <w:rPr>
                <w:sz w:val="20"/>
                <w:szCs w:val="20"/>
                <w:color w:val="auto"/>
              </w:rPr>
            </w:pPr>
            <w:r>
              <w:rPr>
                <w:rFonts w:ascii="Arial" w:cs="Arial" w:eastAsia="Arial" w:hAnsi="Arial"/>
                <w:sz w:val="17"/>
                <w:szCs w:val="17"/>
                <w:b w:val="1"/>
                <w:bCs w:val="1"/>
                <w:color w:val="auto"/>
                <w:w w:val="97"/>
              </w:rPr>
              <w:t>0%</w:t>
            </w:r>
          </w:p>
        </w:tc>
        <w:tc>
          <w:tcPr>
            <w:tcW w:w="1700" w:type="dxa"/>
            <w:vAlign w:val="bottom"/>
            <w:tcBorders>
              <w:bottom w:val="single" w:sz="8" w:color="3D85C6"/>
              <w:right w:val="single" w:sz="8" w:color="3D85C6"/>
            </w:tcBorders>
          </w:tcPr>
          <w:p>
            <w:pPr>
              <w:jc w:val="center"/>
              <w:ind w:left="13"/>
              <w:spacing w:after="0"/>
              <w:rPr>
                <w:sz w:val="20"/>
                <w:szCs w:val="20"/>
                <w:color w:val="auto"/>
              </w:rPr>
            </w:pPr>
            <w:r>
              <w:rPr>
                <w:rFonts w:ascii="Arial" w:cs="Arial" w:eastAsia="Arial" w:hAnsi="Arial"/>
                <w:sz w:val="17"/>
                <w:szCs w:val="17"/>
                <w:b w:val="1"/>
                <w:bCs w:val="1"/>
                <w:color w:val="auto"/>
                <w:w w:val="97"/>
              </w:rPr>
              <w:t>5%</w:t>
            </w:r>
          </w:p>
        </w:tc>
        <w:tc>
          <w:tcPr>
            <w:tcW w:w="1640" w:type="dxa"/>
            <w:vAlign w:val="bottom"/>
            <w:tcBorders>
              <w:bottom w:val="single" w:sz="8" w:color="3D85C6"/>
            </w:tcBorders>
          </w:tcPr>
          <w:p>
            <w:pPr>
              <w:jc w:val="center"/>
              <w:ind w:left="13"/>
              <w:spacing w:after="0"/>
              <w:rPr>
                <w:sz w:val="20"/>
                <w:szCs w:val="20"/>
                <w:color w:val="auto"/>
              </w:rPr>
            </w:pPr>
            <w:r>
              <w:rPr>
                <w:rFonts w:ascii="Arial" w:cs="Arial" w:eastAsia="Arial" w:hAnsi="Arial"/>
                <w:sz w:val="17"/>
                <w:szCs w:val="17"/>
                <w:b w:val="1"/>
                <w:bCs w:val="1"/>
                <w:color w:val="auto"/>
              </w:rPr>
              <w:t>&gt; 10%</w:t>
            </w:r>
          </w:p>
        </w:tc>
      </w:tr>
      <w:tr>
        <w:trPr>
          <w:trHeight w:val="201"/>
        </w:trPr>
        <w:tc>
          <w:tcPr>
            <w:tcW w:w="6320" w:type="dxa"/>
            <w:vAlign w:val="bottom"/>
            <w:tcBorders>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Payout Level Earned</w:t>
            </w:r>
          </w:p>
        </w:tc>
        <w:tc>
          <w:tcPr>
            <w:tcW w:w="1580" w:type="dxa"/>
            <w:vAlign w:val="bottom"/>
            <w:tcBorders>
              <w:bottom w:val="single" w:sz="8" w:color="3D85C6"/>
              <w:right w:val="single" w:sz="8" w:color="3D85C6"/>
            </w:tcBorders>
            <w:shd w:val="clear" w:color="auto" w:fill="E6E6E6"/>
          </w:tcPr>
          <w:p>
            <w:pPr>
              <w:jc w:val="center"/>
              <w:spacing w:after="0"/>
              <w:rPr>
                <w:sz w:val="20"/>
                <w:szCs w:val="20"/>
                <w:color w:val="auto"/>
              </w:rPr>
            </w:pPr>
            <w:r>
              <w:rPr>
                <w:rFonts w:ascii="Arial" w:cs="Arial" w:eastAsia="Arial" w:hAnsi="Arial"/>
                <w:sz w:val="17"/>
                <w:szCs w:val="17"/>
                <w:color w:val="auto"/>
                <w:w w:val="98"/>
              </w:rPr>
              <w:t>None</w:t>
            </w:r>
          </w:p>
        </w:tc>
        <w:tc>
          <w:tcPr>
            <w:tcW w:w="1700" w:type="dxa"/>
            <w:vAlign w:val="bottom"/>
            <w:tcBorders>
              <w:bottom w:val="single" w:sz="8" w:color="3D85C6"/>
              <w:right w:val="single" w:sz="8" w:color="3D85C6"/>
            </w:tcBorders>
            <w:shd w:val="clear" w:color="auto" w:fill="E6E6E6"/>
          </w:tcPr>
          <w:p>
            <w:pPr>
              <w:jc w:val="center"/>
              <w:ind w:left="13"/>
              <w:spacing w:after="0"/>
              <w:rPr>
                <w:sz w:val="20"/>
                <w:szCs w:val="20"/>
                <w:color w:val="auto"/>
              </w:rPr>
            </w:pPr>
            <w:r>
              <w:rPr>
                <w:rFonts w:ascii="Arial" w:cs="Arial" w:eastAsia="Arial" w:hAnsi="Arial"/>
                <w:sz w:val="17"/>
                <w:szCs w:val="17"/>
                <w:color w:val="auto"/>
              </w:rPr>
              <w:t>100</w:t>
            </w:r>
            <w:r>
              <w:rPr>
                <w:rFonts w:ascii="Arial" w:cs="Arial" w:eastAsia="Arial" w:hAnsi="Arial"/>
                <w:sz w:val="17"/>
                <w:szCs w:val="17"/>
                <w:b w:val="1"/>
                <w:bCs w:val="1"/>
                <w:color w:val="auto"/>
              </w:rPr>
              <w:t>%</w:t>
            </w:r>
          </w:p>
        </w:tc>
        <w:tc>
          <w:tcPr>
            <w:tcW w:w="1640" w:type="dxa"/>
            <w:vAlign w:val="bottom"/>
            <w:tcBorders>
              <w:bottom w:val="single" w:sz="8" w:color="3D85C6"/>
            </w:tcBorders>
            <w:shd w:val="clear" w:color="auto" w:fill="E6E6E6"/>
          </w:tcPr>
          <w:p>
            <w:pPr>
              <w:jc w:val="center"/>
              <w:ind w:left="13"/>
              <w:spacing w:after="0"/>
              <w:rPr>
                <w:sz w:val="20"/>
                <w:szCs w:val="20"/>
                <w:color w:val="auto"/>
              </w:rPr>
            </w:pPr>
            <w:r>
              <w:rPr>
                <w:rFonts w:ascii="Arial" w:cs="Arial" w:eastAsia="Arial" w:hAnsi="Arial"/>
                <w:sz w:val="17"/>
                <w:szCs w:val="17"/>
                <w:color w:val="auto"/>
              </w:rPr>
              <w:t>200</w:t>
            </w:r>
            <w:r>
              <w:rPr>
                <w:rFonts w:ascii="Arial" w:cs="Arial" w:eastAsia="Arial" w:hAnsi="Arial"/>
                <w:sz w:val="17"/>
                <w:szCs w:val="17"/>
                <w:b w:val="1"/>
                <w:bCs w:val="1"/>
                <w:color w:val="auto"/>
              </w:rPr>
              <w:t>%</w:t>
            </w:r>
          </w:p>
        </w:tc>
      </w:tr>
      <w:tr>
        <w:trPr>
          <w:trHeight w:val="201"/>
        </w:trPr>
        <w:tc>
          <w:tcPr>
            <w:tcW w:w="6320" w:type="dxa"/>
            <w:vAlign w:val="bottom"/>
            <w:tcBorders>
              <w:bottom w:val="single" w:sz="8" w:color="3D85C6"/>
              <w:right w:val="single" w:sz="8" w:color="3D85C6"/>
            </w:tcBorders>
          </w:tcPr>
          <w:p>
            <w:pPr>
              <w:ind w:left="180"/>
              <w:spacing w:after="0"/>
              <w:rPr>
                <w:sz w:val="20"/>
                <w:szCs w:val="20"/>
                <w:color w:val="auto"/>
              </w:rPr>
            </w:pPr>
            <w:r>
              <w:rPr>
                <w:rFonts w:ascii="Arial" w:cs="Arial" w:eastAsia="Arial" w:hAnsi="Arial"/>
                <w:sz w:val="17"/>
                <w:szCs w:val="17"/>
                <w:b w:val="1"/>
                <w:bCs w:val="1"/>
                <w:color w:val="auto"/>
              </w:rPr>
              <w:t>Performance to Non-GAAP Pre-tax Income</w:t>
            </w:r>
          </w:p>
        </w:tc>
        <w:tc>
          <w:tcPr>
            <w:tcW w:w="1580" w:type="dxa"/>
            <w:vAlign w:val="bottom"/>
            <w:tcBorders>
              <w:bottom w:val="single" w:sz="8" w:color="3D85C6"/>
              <w:right w:val="single" w:sz="8" w:color="3D85C6"/>
            </w:tcBorders>
          </w:tcPr>
          <w:p>
            <w:pPr>
              <w:jc w:val="center"/>
              <w:spacing w:after="0"/>
              <w:rPr>
                <w:sz w:val="20"/>
                <w:szCs w:val="20"/>
                <w:color w:val="auto"/>
              </w:rPr>
            </w:pPr>
            <w:r>
              <w:rPr>
                <w:rFonts w:ascii="Arial" w:cs="Arial" w:eastAsia="Arial" w:hAnsi="Arial"/>
                <w:sz w:val="17"/>
                <w:szCs w:val="17"/>
                <w:b w:val="1"/>
                <w:bCs w:val="1"/>
                <w:color w:val="auto"/>
              </w:rPr>
              <w:t>&lt; 5%</w:t>
            </w:r>
          </w:p>
        </w:tc>
        <w:tc>
          <w:tcPr>
            <w:tcW w:w="1700" w:type="dxa"/>
            <w:vAlign w:val="bottom"/>
            <w:tcBorders>
              <w:bottom w:val="single" w:sz="8" w:color="3D85C6"/>
              <w:right w:val="single" w:sz="8" w:color="3D85C6"/>
            </w:tcBorders>
          </w:tcPr>
          <w:p>
            <w:pPr>
              <w:jc w:val="center"/>
              <w:ind w:left="13"/>
              <w:spacing w:after="0"/>
              <w:rPr>
                <w:sz w:val="20"/>
                <w:szCs w:val="20"/>
                <w:color w:val="auto"/>
              </w:rPr>
            </w:pPr>
            <w:r>
              <w:rPr>
                <w:rFonts w:ascii="Arial" w:cs="Arial" w:eastAsia="Arial" w:hAnsi="Arial"/>
                <w:sz w:val="17"/>
                <w:szCs w:val="17"/>
                <w:b w:val="1"/>
                <w:bCs w:val="1"/>
                <w:color w:val="auto"/>
              </w:rPr>
              <w:t>15%</w:t>
            </w:r>
          </w:p>
        </w:tc>
        <w:tc>
          <w:tcPr>
            <w:tcW w:w="1640" w:type="dxa"/>
            <w:vAlign w:val="bottom"/>
            <w:tcBorders>
              <w:bottom w:val="single" w:sz="8" w:color="3D85C6"/>
            </w:tcBorders>
          </w:tcPr>
          <w:p>
            <w:pPr>
              <w:jc w:val="center"/>
              <w:ind w:left="33"/>
              <w:spacing w:after="0"/>
              <w:rPr>
                <w:sz w:val="20"/>
                <w:szCs w:val="20"/>
                <w:color w:val="auto"/>
              </w:rPr>
            </w:pPr>
            <w:r>
              <w:rPr>
                <w:rFonts w:ascii="Arial" w:cs="Arial" w:eastAsia="Arial" w:hAnsi="Arial"/>
                <w:sz w:val="17"/>
                <w:szCs w:val="17"/>
                <w:b w:val="1"/>
                <w:bCs w:val="1"/>
                <w:color w:val="auto"/>
              </w:rPr>
              <w:t>&gt; 22.5%</w:t>
            </w:r>
          </w:p>
        </w:tc>
      </w:tr>
      <w:tr>
        <w:trPr>
          <w:trHeight w:val="201"/>
        </w:trPr>
        <w:tc>
          <w:tcPr>
            <w:tcW w:w="6320" w:type="dxa"/>
            <w:vAlign w:val="bottom"/>
            <w:tcBorders>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Payout Level Earned</w:t>
            </w:r>
          </w:p>
        </w:tc>
        <w:tc>
          <w:tcPr>
            <w:tcW w:w="1580" w:type="dxa"/>
            <w:vAlign w:val="bottom"/>
            <w:tcBorders>
              <w:bottom w:val="single" w:sz="8" w:color="3D85C6"/>
              <w:right w:val="single" w:sz="8" w:color="3D85C6"/>
            </w:tcBorders>
            <w:shd w:val="clear" w:color="auto" w:fill="E6E6E6"/>
          </w:tcPr>
          <w:p>
            <w:pPr>
              <w:jc w:val="center"/>
              <w:spacing w:after="0"/>
              <w:rPr>
                <w:sz w:val="20"/>
                <w:szCs w:val="20"/>
                <w:color w:val="auto"/>
              </w:rPr>
            </w:pPr>
            <w:r>
              <w:rPr>
                <w:rFonts w:ascii="Arial" w:cs="Arial" w:eastAsia="Arial" w:hAnsi="Arial"/>
                <w:sz w:val="17"/>
                <w:szCs w:val="17"/>
                <w:color w:val="auto"/>
                <w:w w:val="98"/>
              </w:rPr>
              <w:t>None</w:t>
            </w:r>
          </w:p>
        </w:tc>
        <w:tc>
          <w:tcPr>
            <w:tcW w:w="1700" w:type="dxa"/>
            <w:vAlign w:val="bottom"/>
            <w:tcBorders>
              <w:bottom w:val="single" w:sz="8" w:color="3D85C6"/>
              <w:right w:val="single" w:sz="8" w:color="3D85C6"/>
            </w:tcBorders>
            <w:shd w:val="clear" w:color="auto" w:fill="E6E6E6"/>
          </w:tcPr>
          <w:p>
            <w:pPr>
              <w:jc w:val="center"/>
              <w:ind w:left="13"/>
              <w:spacing w:after="0"/>
              <w:rPr>
                <w:sz w:val="20"/>
                <w:szCs w:val="20"/>
                <w:color w:val="auto"/>
              </w:rPr>
            </w:pPr>
            <w:r>
              <w:rPr>
                <w:rFonts w:ascii="Arial" w:cs="Arial" w:eastAsia="Arial" w:hAnsi="Arial"/>
                <w:sz w:val="17"/>
                <w:szCs w:val="17"/>
                <w:color w:val="auto"/>
              </w:rPr>
              <w:t>100</w:t>
            </w:r>
            <w:r>
              <w:rPr>
                <w:rFonts w:ascii="Arial" w:cs="Arial" w:eastAsia="Arial" w:hAnsi="Arial"/>
                <w:sz w:val="17"/>
                <w:szCs w:val="17"/>
                <w:b w:val="1"/>
                <w:bCs w:val="1"/>
                <w:color w:val="auto"/>
              </w:rPr>
              <w:t>%</w:t>
            </w:r>
          </w:p>
        </w:tc>
        <w:tc>
          <w:tcPr>
            <w:tcW w:w="1640" w:type="dxa"/>
            <w:vAlign w:val="bottom"/>
            <w:tcBorders>
              <w:bottom w:val="single" w:sz="8" w:color="3D85C6"/>
            </w:tcBorders>
            <w:shd w:val="clear" w:color="auto" w:fill="E6E6E6"/>
          </w:tcPr>
          <w:p>
            <w:pPr>
              <w:jc w:val="center"/>
              <w:ind w:left="13"/>
              <w:spacing w:after="0"/>
              <w:rPr>
                <w:sz w:val="20"/>
                <w:szCs w:val="20"/>
                <w:color w:val="auto"/>
              </w:rPr>
            </w:pPr>
            <w:r>
              <w:rPr>
                <w:rFonts w:ascii="Arial" w:cs="Arial" w:eastAsia="Arial" w:hAnsi="Arial"/>
                <w:sz w:val="17"/>
                <w:szCs w:val="17"/>
                <w:color w:val="auto"/>
              </w:rPr>
              <w:t>200</w:t>
            </w:r>
            <w:r>
              <w:rPr>
                <w:rFonts w:ascii="Arial" w:cs="Arial" w:eastAsia="Arial" w:hAnsi="Arial"/>
                <w:sz w:val="17"/>
                <w:szCs w:val="17"/>
                <w:b w:val="1"/>
                <w:bCs w:val="1"/>
                <w:color w:val="auto"/>
              </w:rPr>
              <w:t>%</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Performance Measure Target Levels</w:t>
      </w:r>
    </w:p>
    <w:p>
      <w:pPr>
        <w:spacing w:after="0" w:line="194"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With respect to the target levels for sales growth, the Compensation Committee believed that, at the time the target level for each performance measure was set, these target levels would be challenging and difficult, but achievable under normal business conditions with significant effort and skill, and strong execution. For 2025, the Compensation Committee expected that these target levels would be difficult to achieve because they would require delivery of results in uncertain market conditions (including the extended market downturn and inflationary pressure on costs), adroitly executing our business strategy, the development and acceptance by customers of new products, and successful entry into certain new markets in a highly competitive and volatile environment.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Annual Short-Term Incentive Plan Decisions</w:t>
      </w:r>
    </w:p>
    <w:p>
      <w:pPr>
        <w:spacing w:after="0" w:line="194"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color w:val="auto"/>
        </w:rPr>
        <w:t>Following the end of 2025, the Compensation Committee compared our actual financial performance to the target performance levels established for the year and applied the incentive formula under the 2025 STI to our actual performance and determined to payout at a level of 31.8% for each of our NEOs.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t>The applicable actual financial performance attained and resulting payout levels for our NEOs for 2025 were as follows:</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FFFFFF"/>
        </w:rPr>
        <w:t>Actual Achievement of 2025 STI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7400" cy="14605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7400" cy="1460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3160" w:type="dxa"/>
            <w:vAlign w:val="bottom"/>
            <w:tcBorders>
              <w:top w:val="single" w:sz="8" w:color="3D85C6"/>
              <w:bottom w:val="single" w:sz="8" w:color="3D85C6"/>
            </w:tcBorders>
          </w:tcPr>
          <w:p>
            <w:pPr>
              <w:spacing w:after="0"/>
              <w:rPr>
                <w:sz w:val="16"/>
                <w:szCs w:val="16"/>
                <w:color w:val="auto"/>
              </w:rPr>
            </w:pPr>
          </w:p>
        </w:tc>
        <w:tc>
          <w:tcPr>
            <w:tcW w:w="2700" w:type="dxa"/>
            <w:vAlign w:val="bottom"/>
            <w:tcBorders>
              <w:top w:val="single" w:sz="8" w:color="3D85C6"/>
              <w:bottom w:val="single" w:sz="8" w:color="3D85C6"/>
              <w:right w:val="single" w:sz="8" w:color="3D85C6"/>
            </w:tcBorders>
          </w:tcPr>
          <w:p>
            <w:pPr>
              <w:spacing w:after="0"/>
              <w:rPr>
                <w:sz w:val="16"/>
                <w:szCs w:val="16"/>
                <w:color w:val="auto"/>
              </w:rPr>
            </w:pPr>
          </w:p>
        </w:tc>
        <w:tc>
          <w:tcPr>
            <w:tcW w:w="140" w:type="dxa"/>
            <w:vAlign w:val="bottom"/>
            <w:tcBorders>
              <w:top w:val="single" w:sz="8" w:color="3D85C6"/>
              <w:bottom w:val="single" w:sz="8" w:color="3D85C6"/>
            </w:tcBorders>
          </w:tcPr>
          <w:p>
            <w:pPr>
              <w:spacing w:after="0"/>
              <w:rPr>
                <w:sz w:val="16"/>
                <w:szCs w:val="16"/>
                <w:color w:val="auto"/>
              </w:rPr>
            </w:pPr>
          </w:p>
        </w:tc>
        <w:tc>
          <w:tcPr>
            <w:tcW w:w="1220" w:type="dxa"/>
            <w:vAlign w:val="bottom"/>
            <w:tcBorders>
              <w:top w:val="single" w:sz="8" w:color="3D85C6"/>
              <w:bottom w:val="single" w:sz="8" w:color="3D85C6"/>
              <w:right w:val="single" w:sz="8" w:color="3D85C6"/>
            </w:tcBorders>
          </w:tcPr>
          <w:p>
            <w:pPr>
              <w:jc w:val="center"/>
              <w:ind w:right="73"/>
              <w:spacing w:after="0" w:line="188" w:lineRule="exact"/>
              <w:rPr>
                <w:sz w:val="20"/>
                <w:szCs w:val="20"/>
                <w:color w:val="auto"/>
              </w:rPr>
            </w:pPr>
            <w:r>
              <w:rPr>
                <w:rFonts w:ascii="Arial" w:cs="Arial" w:eastAsia="Arial" w:hAnsi="Arial"/>
                <w:sz w:val="17"/>
                <w:szCs w:val="17"/>
                <w:b w:val="1"/>
                <w:bCs w:val="1"/>
                <w:color w:val="auto"/>
                <w:w w:val="99"/>
              </w:rPr>
              <w:t>Dr. Müller</w:t>
            </w:r>
          </w:p>
        </w:tc>
        <w:tc>
          <w:tcPr>
            <w:tcW w:w="100" w:type="dxa"/>
            <w:vAlign w:val="bottom"/>
            <w:tcBorders>
              <w:top w:val="single" w:sz="8" w:color="3D85C6"/>
              <w:bottom w:val="single" w:sz="8" w:color="3D85C6"/>
            </w:tcBorders>
          </w:tcPr>
          <w:p>
            <w:pPr>
              <w:spacing w:after="0"/>
              <w:rPr>
                <w:sz w:val="16"/>
                <w:szCs w:val="16"/>
                <w:color w:val="auto"/>
              </w:rPr>
            </w:pPr>
          </w:p>
        </w:tc>
        <w:tc>
          <w:tcPr>
            <w:tcW w:w="1260" w:type="dxa"/>
            <w:vAlign w:val="bottom"/>
            <w:tcBorders>
              <w:top w:val="single" w:sz="8" w:color="3D85C6"/>
              <w:bottom w:val="single" w:sz="8" w:color="3D85C6"/>
              <w:right w:val="single" w:sz="8" w:color="3D85C6"/>
            </w:tcBorders>
          </w:tcPr>
          <w:p>
            <w:pPr>
              <w:jc w:val="right"/>
              <w:ind w:right="193"/>
              <w:spacing w:after="0" w:line="188" w:lineRule="exact"/>
              <w:rPr>
                <w:sz w:val="20"/>
                <w:szCs w:val="20"/>
                <w:color w:val="auto"/>
              </w:rPr>
            </w:pPr>
            <w:r>
              <w:rPr>
                <w:rFonts w:ascii="Arial" w:cs="Arial" w:eastAsia="Arial" w:hAnsi="Arial"/>
                <w:sz w:val="17"/>
                <w:szCs w:val="17"/>
                <w:b w:val="1"/>
                <w:bCs w:val="1"/>
                <w:color w:val="auto"/>
              </w:rPr>
              <w:t>Mr. Jones</w:t>
            </w:r>
          </w:p>
        </w:tc>
        <w:tc>
          <w:tcPr>
            <w:tcW w:w="40" w:type="dxa"/>
            <w:vAlign w:val="bottom"/>
            <w:tcBorders>
              <w:top w:val="single" w:sz="8" w:color="3D85C6"/>
              <w:bottom w:val="single" w:sz="8" w:color="3D85C6"/>
            </w:tcBorders>
          </w:tcPr>
          <w:p>
            <w:pPr>
              <w:spacing w:after="0"/>
              <w:rPr>
                <w:sz w:val="16"/>
                <w:szCs w:val="16"/>
                <w:color w:val="auto"/>
              </w:rPr>
            </w:pPr>
          </w:p>
        </w:tc>
        <w:tc>
          <w:tcPr>
            <w:tcW w:w="1320" w:type="dxa"/>
            <w:vAlign w:val="bottom"/>
            <w:tcBorders>
              <w:top w:val="single" w:sz="8" w:color="3D85C6"/>
              <w:bottom w:val="single" w:sz="8" w:color="3D85C6"/>
              <w:right w:val="single" w:sz="8" w:color="3D85C6"/>
            </w:tcBorders>
          </w:tcPr>
          <w:p>
            <w:pPr>
              <w:jc w:val="right"/>
              <w:ind w:right="93"/>
              <w:spacing w:after="0" w:line="188" w:lineRule="exact"/>
              <w:rPr>
                <w:sz w:val="20"/>
                <w:szCs w:val="20"/>
                <w:color w:val="auto"/>
              </w:rPr>
            </w:pPr>
            <w:r>
              <w:rPr>
                <w:rFonts w:ascii="Arial" w:cs="Arial" w:eastAsia="Arial" w:hAnsi="Arial"/>
                <w:sz w:val="17"/>
                <w:szCs w:val="17"/>
                <w:b w:val="1"/>
                <w:bCs w:val="1"/>
                <w:color w:val="auto"/>
              </w:rPr>
              <w:t>Mr. Bohrson</w:t>
            </w:r>
          </w:p>
        </w:tc>
        <w:tc>
          <w:tcPr>
            <w:tcW w:w="1300" w:type="dxa"/>
            <w:vAlign w:val="bottom"/>
            <w:tcBorders>
              <w:top w:val="single" w:sz="8" w:color="3D85C6"/>
              <w:bottom w:val="single" w:sz="8" w:color="3D85C6"/>
            </w:tcBorders>
          </w:tcPr>
          <w:p>
            <w:pPr>
              <w:jc w:val="right"/>
              <w:ind w:right="53"/>
              <w:spacing w:after="0" w:line="188" w:lineRule="exact"/>
              <w:rPr>
                <w:sz w:val="20"/>
                <w:szCs w:val="20"/>
                <w:color w:val="auto"/>
              </w:rPr>
            </w:pPr>
            <w:r>
              <w:rPr>
                <w:rFonts w:ascii="Arial" w:cs="Arial" w:eastAsia="Arial" w:hAnsi="Arial"/>
                <w:sz w:val="17"/>
                <w:szCs w:val="17"/>
                <w:b w:val="1"/>
                <w:bCs w:val="1"/>
                <w:color w:val="auto"/>
              </w:rPr>
              <w:t>Mr. Ilgenfritz</w:t>
            </w:r>
          </w:p>
        </w:tc>
      </w:tr>
      <w:tr>
        <w:trPr>
          <w:trHeight w:val="188"/>
        </w:trPr>
        <w:tc>
          <w:tcPr>
            <w:tcW w:w="3160" w:type="dxa"/>
            <w:vAlign w:val="bottom"/>
            <w:tcBorders>
              <w:bottom w:val="single" w:sz="8" w:color="3D85C6"/>
            </w:tcBorders>
          </w:tcPr>
          <w:p>
            <w:pPr>
              <w:ind w:left="180"/>
              <w:spacing w:after="0" w:line="188" w:lineRule="exact"/>
              <w:rPr>
                <w:sz w:val="20"/>
                <w:szCs w:val="20"/>
                <w:color w:val="auto"/>
              </w:rPr>
            </w:pPr>
            <w:r>
              <w:rPr>
                <w:rFonts w:ascii="Arial" w:cs="Arial" w:eastAsia="Arial" w:hAnsi="Arial"/>
                <w:sz w:val="17"/>
                <w:szCs w:val="17"/>
                <w:color w:val="auto"/>
              </w:rPr>
              <w:t>1-Year Sales Growth</w:t>
            </w:r>
            <w:r>
              <w:rPr>
                <w:rFonts w:ascii="Arial" w:cs="Arial" w:eastAsia="Arial" w:hAnsi="Arial"/>
                <w:sz w:val="14"/>
                <w:szCs w:val="14"/>
                <w:color w:val="auto"/>
              </w:rPr>
              <w:t>(1)</w:t>
            </w:r>
          </w:p>
        </w:tc>
        <w:tc>
          <w:tcPr>
            <w:tcW w:w="2700" w:type="dxa"/>
            <w:vAlign w:val="bottom"/>
            <w:tcBorders>
              <w:bottom w:val="single" w:sz="8" w:color="3D85C6"/>
              <w:right w:val="single" w:sz="8" w:color="3D85C6"/>
            </w:tcBorders>
          </w:tcPr>
          <w:p>
            <w:pPr>
              <w:spacing w:after="0"/>
              <w:rPr>
                <w:sz w:val="16"/>
                <w:szCs w:val="16"/>
                <w:color w:val="auto"/>
              </w:rPr>
            </w:pPr>
          </w:p>
        </w:tc>
        <w:tc>
          <w:tcPr>
            <w:tcW w:w="1360" w:type="dxa"/>
            <w:vAlign w:val="bottom"/>
            <w:tcBorders>
              <w:bottom w:val="single" w:sz="8" w:color="3D85C6"/>
              <w:right w:val="single" w:sz="8" w:color="3D85C6"/>
            </w:tcBorders>
            <w:gridSpan w:val="2"/>
          </w:tcPr>
          <w:p>
            <w:pPr>
              <w:jc w:val="center"/>
              <w:ind w:left="13"/>
              <w:spacing w:after="0" w:line="188" w:lineRule="exact"/>
              <w:rPr>
                <w:sz w:val="20"/>
                <w:szCs w:val="20"/>
                <w:color w:val="auto"/>
              </w:rPr>
            </w:pPr>
            <w:r>
              <w:rPr>
                <w:rFonts w:ascii="Arial" w:cs="Arial" w:eastAsia="Arial" w:hAnsi="Arial"/>
                <w:sz w:val="17"/>
                <w:szCs w:val="17"/>
                <w:color w:val="auto"/>
              </w:rPr>
              <w:t>12.7%</w:t>
            </w:r>
          </w:p>
        </w:tc>
        <w:tc>
          <w:tcPr>
            <w:tcW w:w="1360" w:type="dxa"/>
            <w:vAlign w:val="bottom"/>
            <w:tcBorders>
              <w:bottom w:val="single" w:sz="8" w:color="3D85C6"/>
              <w:right w:val="single" w:sz="8" w:color="3D85C6"/>
            </w:tcBorders>
            <w:gridSpan w:val="2"/>
          </w:tcPr>
          <w:p>
            <w:pPr>
              <w:jc w:val="center"/>
              <w:ind w:left="33"/>
              <w:spacing w:after="0" w:line="188" w:lineRule="exact"/>
              <w:rPr>
                <w:sz w:val="20"/>
                <w:szCs w:val="20"/>
                <w:color w:val="auto"/>
              </w:rPr>
            </w:pPr>
            <w:r>
              <w:rPr>
                <w:rFonts w:ascii="Arial" w:cs="Arial" w:eastAsia="Arial" w:hAnsi="Arial"/>
                <w:sz w:val="17"/>
                <w:szCs w:val="17"/>
                <w:color w:val="auto"/>
                <w:w w:val="99"/>
              </w:rPr>
              <w:t>12.7%</w:t>
            </w:r>
          </w:p>
        </w:tc>
        <w:tc>
          <w:tcPr>
            <w:tcW w:w="1360" w:type="dxa"/>
            <w:vAlign w:val="bottom"/>
            <w:tcBorders>
              <w:bottom w:val="single" w:sz="8" w:color="3D85C6"/>
              <w:right w:val="single" w:sz="8" w:color="3D85C6"/>
            </w:tcBorders>
            <w:gridSpan w:val="2"/>
          </w:tcPr>
          <w:p>
            <w:pPr>
              <w:jc w:val="center"/>
              <w:ind w:left="33"/>
              <w:spacing w:after="0" w:line="188" w:lineRule="exact"/>
              <w:rPr>
                <w:sz w:val="20"/>
                <w:szCs w:val="20"/>
                <w:color w:val="auto"/>
              </w:rPr>
            </w:pPr>
            <w:r>
              <w:rPr>
                <w:rFonts w:ascii="Arial" w:cs="Arial" w:eastAsia="Arial" w:hAnsi="Arial"/>
                <w:sz w:val="17"/>
                <w:szCs w:val="17"/>
                <w:color w:val="auto"/>
                <w:w w:val="99"/>
              </w:rPr>
              <w:t>12.7%</w:t>
            </w:r>
          </w:p>
        </w:tc>
        <w:tc>
          <w:tcPr>
            <w:tcW w:w="1300" w:type="dxa"/>
            <w:vAlign w:val="bottom"/>
            <w:tcBorders>
              <w:bottom w:val="single" w:sz="8" w:color="3D85C6"/>
            </w:tcBorders>
          </w:tcPr>
          <w:p>
            <w:pPr>
              <w:jc w:val="center"/>
              <w:ind w:left="13"/>
              <w:spacing w:after="0" w:line="188" w:lineRule="exact"/>
              <w:rPr>
                <w:sz w:val="20"/>
                <w:szCs w:val="20"/>
                <w:color w:val="auto"/>
              </w:rPr>
            </w:pPr>
            <w:r>
              <w:rPr>
                <w:rFonts w:ascii="Arial" w:cs="Arial" w:eastAsia="Arial" w:hAnsi="Arial"/>
                <w:sz w:val="17"/>
                <w:szCs w:val="17"/>
                <w:color w:val="auto"/>
                <w:w w:val="99"/>
              </w:rPr>
              <w:t>12.7%</w:t>
            </w:r>
          </w:p>
        </w:tc>
      </w:tr>
      <w:tr>
        <w:trPr>
          <w:trHeight w:val="188"/>
        </w:trPr>
        <w:tc>
          <w:tcPr>
            <w:tcW w:w="3160" w:type="dxa"/>
            <w:vAlign w:val="bottom"/>
            <w:tcBorders>
              <w:bottom w:val="single" w:sz="8" w:color="3D85C6"/>
            </w:tcBorders>
          </w:tcPr>
          <w:p>
            <w:pPr>
              <w:ind w:left="180"/>
              <w:spacing w:after="0" w:line="188" w:lineRule="exact"/>
              <w:rPr>
                <w:sz w:val="20"/>
                <w:szCs w:val="20"/>
                <w:color w:val="auto"/>
              </w:rPr>
            </w:pPr>
            <w:r>
              <w:rPr>
                <w:rFonts w:ascii="Arial" w:cs="Arial" w:eastAsia="Arial" w:hAnsi="Arial"/>
                <w:sz w:val="17"/>
                <w:szCs w:val="17"/>
                <w:color w:val="auto"/>
              </w:rPr>
              <w:t>Goal Payout %</w:t>
            </w:r>
            <w:r>
              <w:rPr>
                <w:rFonts w:ascii="Arial" w:cs="Arial" w:eastAsia="Arial" w:hAnsi="Arial"/>
                <w:sz w:val="14"/>
                <w:szCs w:val="14"/>
                <w:color w:val="auto"/>
              </w:rPr>
              <w:t>(2)</w:t>
            </w:r>
          </w:p>
        </w:tc>
        <w:tc>
          <w:tcPr>
            <w:tcW w:w="2700" w:type="dxa"/>
            <w:vAlign w:val="bottom"/>
            <w:tcBorders>
              <w:bottom w:val="single" w:sz="8" w:color="3D85C6"/>
              <w:right w:val="single" w:sz="8" w:color="3D85C6"/>
            </w:tcBorders>
          </w:tcPr>
          <w:p>
            <w:pPr>
              <w:spacing w:after="0"/>
              <w:rPr>
                <w:sz w:val="16"/>
                <w:szCs w:val="16"/>
                <w:color w:val="auto"/>
              </w:rPr>
            </w:pPr>
          </w:p>
        </w:tc>
        <w:tc>
          <w:tcPr>
            <w:tcW w:w="1360" w:type="dxa"/>
            <w:vAlign w:val="bottom"/>
            <w:tcBorders>
              <w:bottom w:val="single" w:sz="8" w:color="3D85C6"/>
              <w:right w:val="single" w:sz="8" w:color="3D85C6"/>
            </w:tcBorders>
            <w:gridSpan w:val="2"/>
          </w:tcPr>
          <w:p>
            <w:pPr>
              <w:jc w:val="center"/>
              <w:ind w:left="13"/>
              <w:spacing w:after="0" w:line="188" w:lineRule="exact"/>
              <w:rPr>
                <w:sz w:val="20"/>
                <w:szCs w:val="20"/>
                <w:color w:val="auto"/>
              </w:rPr>
            </w:pPr>
            <w:r>
              <w:rPr>
                <w:rFonts w:ascii="Arial" w:cs="Arial" w:eastAsia="Arial" w:hAnsi="Arial"/>
                <w:sz w:val="17"/>
                <w:szCs w:val="17"/>
                <w:color w:val="auto"/>
              </w:rPr>
              <w:t>127.3%</w:t>
            </w:r>
          </w:p>
        </w:tc>
        <w:tc>
          <w:tcPr>
            <w:tcW w:w="1360" w:type="dxa"/>
            <w:vAlign w:val="bottom"/>
            <w:tcBorders>
              <w:bottom w:val="single" w:sz="8" w:color="3D85C6"/>
              <w:right w:val="single" w:sz="8" w:color="3D85C6"/>
            </w:tcBorders>
            <w:gridSpan w:val="2"/>
          </w:tcPr>
          <w:p>
            <w:pPr>
              <w:jc w:val="center"/>
              <w:ind w:left="33"/>
              <w:spacing w:after="0" w:line="188" w:lineRule="exact"/>
              <w:rPr>
                <w:sz w:val="20"/>
                <w:szCs w:val="20"/>
                <w:color w:val="auto"/>
              </w:rPr>
            </w:pPr>
            <w:r>
              <w:rPr>
                <w:rFonts w:ascii="Arial" w:cs="Arial" w:eastAsia="Arial" w:hAnsi="Arial"/>
                <w:sz w:val="17"/>
                <w:szCs w:val="17"/>
                <w:color w:val="auto"/>
              </w:rPr>
              <w:t>127.3%</w:t>
            </w:r>
          </w:p>
        </w:tc>
        <w:tc>
          <w:tcPr>
            <w:tcW w:w="1360" w:type="dxa"/>
            <w:vAlign w:val="bottom"/>
            <w:tcBorders>
              <w:bottom w:val="single" w:sz="8" w:color="3D85C6"/>
              <w:right w:val="single" w:sz="8" w:color="3D85C6"/>
            </w:tcBorders>
            <w:gridSpan w:val="2"/>
          </w:tcPr>
          <w:p>
            <w:pPr>
              <w:jc w:val="center"/>
              <w:ind w:left="33"/>
              <w:spacing w:after="0" w:line="188" w:lineRule="exact"/>
              <w:rPr>
                <w:sz w:val="20"/>
                <w:szCs w:val="20"/>
                <w:color w:val="auto"/>
              </w:rPr>
            </w:pPr>
            <w:r>
              <w:rPr>
                <w:rFonts w:ascii="Arial" w:cs="Arial" w:eastAsia="Arial" w:hAnsi="Arial"/>
                <w:sz w:val="17"/>
                <w:szCs w:val="17"/>
                <w:color w:val="auto"/>
              </w:rPr>
              <w:t>127.3%</w:t>
            </w:r>
          </w:p>
        </w:tc>
        <w:tc>
          <w:tcPr>
            <w:tcW w:w="1300" w:type="dxa"/>
            <w:vAlign w:val="bottom"/>
            <w:tcBorders>
              <w:bottom w:val="single" w:sz="8" w:color="3D85C6"/>
            </w:tcBorders>
          </w:tcPr>
          <w:p>
            <w:pPr>
              <w:jc w:val="center"/>
              <w:ind w:left="13"/>
              <w:spacing w:after="0" w:line="188" w:lineRule="exact"/>
              <w:rPr>
                <w:sz w:val="20"/>
                <w:szCs w:val="20"/>
                <w:color w:val="auto"/>
              </w:rPr>
            </w:pPr>
            <w:r>
              <w:rPr>
                <w:rFonts w:ascii="Arial" w:cs="Arial" w:eastAsia="Arial" w:hAnsi="Arial"/>
                <w:sz w:val="17"/>
                <w:szCs w:val="17"/>
                <w:color w:val="auto"/>
              </w:rPr>
              <w:t>127.3%</w:t>
            </w:r>
          </w:p>
        </w:tc>
      </w:tr>
      <w:tr>
        <w:trPr>
          <w:trHeight w:val="188"/>
        </w:trPr>
        <w:tc>
          <w:tcPr>
            <w:tcW w:w="3160" w:type="dxa"/>
            <w:vAlign w:val="bottom"/>
            <w:tcBorders>
              <w:bottom w:val="single" w:sz="8" w:color="3D85C6"/>
            </w:tcBorders>
          </w:tcPr>
          <w:p>
            <w:pPr>
              <w:ind w:left="180"/>
              <w:spacing w:after="0" w:line="188" w:lineRule="exact"/>
              <w:rPr>
                <w:sz w:val="20"/>
                <w:szCs w:val="20"/>
                <w:color w:val="auto"/>
              </w:rPr>
            </w:pPr>
            <w:r>
              <w:rPr>
                <w:rFonts w:ascii="Arial" w:cs="Arial" w:eastAsia="Arial" w:hAnsi="Arial"/>
                <w:sz w:val="17"/>
                <w:szCs w:val="17"/>
                <w:color w:val="auto"/>
              </w:rPr>
              <w:t>4-year Rolling Sales Growth</w:t>
            </w:r>
            <w:r>
              <w:rPr>
                <w:rFonts w:ascii="Arial" w:cs="Arial" w:eastAsia="Arial" w:hAnsi="Arial"/>
                <w:sz w:val="14"/>
                <w:szCs w:val="14"/>
                <w:color w:val="auto"/>
              </w:rPr>
              <w:t>(3)</w:t>
            </w:r>
          </w:p>
        </w:tc>
        <w:tc>
          <w:tcPr>
            <w:tcW w:w="2700" w:type="dxa"/>
            <w:vAlign w:val="bottom"/>
            <w:tcBorders>
              <w:bottom w:val="single" w:sz="8" w:color="3D85C6"/>
              <w:right w:val="single" w:sz="8" w:color="3D85C6"/>
            </w:tcBorders>
          </w:tcPr>
          <w:p>
            <w:pPr>
              <w:spacing w:after="0"/>
              <w:rPr>
                <w:sz w:val="16"/>
                <w:szCs w:val="16"/>
                <w:color w:val="auto"/>
              </w:rPr>
            </w:pPr>
          </w:p>
        </w:tc>
        <w:tc>
          <w:tcPr>
            <w:tcW w:w="1360" w:type="dxa"/>
            <w:vAlign w:val="bottom"/>
            <w:tcBorders>
              <w:bottom w:val="single" w:sz="8" w:color="3D85C6"/>
              <w:right w:val="single" w:sz="8" w:color="3D85C6"/>
            </w:tcBorders>
            <w:gridSpan w:val="2"/>
          </w:tcPr>
          <w:p>
            <w:pPr>
              <w:jc w:val="center"/>
              <w:ind w:left="13"/>
              <w:spacing w:after="0" w:line="188" w:lineRule="exact"/>
              <w:rPr>
                <w:sz w:val="20"/>
                <w:szCs w:val="20"/>
                <w:color w:val="auto"/>
              </w:rPr>
            </w:pPr>
            <w:r>
              <w:rPr>
                <w:rFonts w:ascii="Arial" w:cs="Arial" w:eastAsia="Arial" w:hAnsi="Arial"/>
                <w:sz w:val="17"/>
                <w:szCs w:val="17"/>
                <w:color w:val="auto"/>
              </w:rPr>
              <w:t>(15.9)%</w:t>
            </w:r>
          </w:p>
        </w:tc>
        <w:tc>
          <w:tcPr>
            <w:tcW w:w="1360" w:type="dxa"/>
            <w:vAlign w:val="bottom"/>
            <w:tcBorders>
              <w:bottom w:val="single" w:sz="8" w:color="3D85C6"/>
              <w:right w:val="single" w:sz="8" w:color="3D85C6"/>
            </w:tcBorders>
            <w:gridSpan w:val="2"/>
          </w:tcPr>
          <w:p>
            <w:pPr>
              <w:jc w:val="center"/>
              <w:ind w:left="33"/>
              <w:spacing w:after="0" w:line="188" w:lineRule="exact"/>
              <w:rPr>
                <w:sz w:val="20"/>
                <w:szCs w:val="20"/>
                <w:color w:val="auto"/>
              </w:rPr>
            </w:pPr>
            <w:r>
              <w:rPr>
                <w:rFonts w:ascii="Arial" w:cs="Arial" w:eastAsia="Arial" w:hAnsi="Arial"/>
                <w:sz w:val="17"/>
                <w:szCs w:val="17"/>
                <w:color w:val="auto"/>
              </w:rPr>
              <w:t>(15.9)%</w:t>
            </w:r>
          </w:p>
        </w:tc>
        <w:tc>
          <w:tcPr>
            <w:tcW w:w="1360" w:type="dxa"/>
            <w:vAlign w:val="bottom"/>
            <w:tcBorders>
              <w:bottom w:val="single" w:sz="8" w:color="3D85C6"/>
              <w:right w:val="single" w:sz="8" w:color="3D85C6"/>
            </w:tcBorders>
            <w:gridSpan w:val="2"/>
          </w:tcPr>
          <w:p>
            <w:pPr>
              <w:jc w:val="center"/>
              <w:ind w:left="33"/>
              <w:spacing w:after="0" w:line="188" w:lineRule="exact"/>
              <w:rPr>
                <w:sz w:val="20"/>
                <w:szCs w:val="20"/>
                <w:color w:val="auto"/>
              </w:rPr>
            </w:pPr>
            <w:r>
              <w:rPr>
                <w:rFonts w:ascii="Arial" w:cs="Arial" w:eastAsia="Arial" w:hAnsi="Arial"/>
                <w:sz w:val="17"/>
                <w:szCs w:val="17"/>
                <w:color w:val="auto"/>
              </w:rPr>
              <w:t>(15.9)%</w:t>
            </w:r>
          </w:p>
        </w:tc>
        <w:tc>
          <w:tcPr>
            <w:tcW w:w="1300" w:type="dxa"/>
            <w:vAlign w:val="bottom"/>
            <w:tcBorders>
              <w:bottom w:val="single" w:sz="8" w:color="3D85C6"/>
            </w:tcBorders>
          </w:tcPr>
          <w:p>
            <w:pPr>
              <w:jc w:val="center"/>
              <w:ind w:left="13"/>
              <w:spacing w:after="0" w:line="188" w:lineRule="exact"/>
              <w:rPr>
                <w:sz w:val="20"/>
                <w:szCs w:val="20"/>
                <w:color w:val="auto"/>
              </w:rPr>
            </w:pPr>
            <w:r>
              <w:rPr>
                <w:rFonts w:ascii="Arial" w:cs="Arial" w:eastAsia="Arial" w:hAnsi="Arial"/>
                <w:sz w:val="17"/>
                <w:szCs w:val="17"/>
                <w:color w:val="auto"/>
              </w:rPr>
              <w:t>(15.9)%</w:t>
            </w:r>
          </w:p>
        </w:tc>
      </w:tr>
      <w:tr>
        <w:trPr>
          <w:trHeight w:val="188"/>
        </w:trPr>
        <w:tc>
          <w:tcPr>
            <w:tcW w:w="3160" w:type="dxa"/>
            <w:vAlign w:val="bottom"/>
            <w:tcBorders>
              <w:bottom w:val="single" w:sz="8" w:color="3D85C6"/>
            </w:tcBorders>
          </w:tcPr>
          <w:p>
            <w:pPr>
              <w:ind w:left="180"/>
              <w:spacing w:after="0" w:line="188" w:lineRule="exact"/>
              <w:rPr>
                <w:sz w:val="20"/>
                <w:szCs w:val="20"/>
                <w:color w:val="auto"/>
              </w:rPr>
            </w:pPr>
            <w:r>
              <w:rPr>
                <w:rFonts w:ascii="Arial" w:cs="Arial" w:eastAsia="Arial" w:hAnsi="Arial"/>
                <w:sz w:val="17"/>
                <w:szCs w:val="17"/>
                <w:color w:val="auto"/>
              </w:rPr>
              <w:t>Goal Payout %</w:t>
            </w:r>
            <w:r>
              <w:rPr>
                <w:rFonts w:ascii="Arial" w:cs="Arial" w:eastAsia="Arial" w:hAnsi="Arial"/>
                <w:sz w:val="14"/>
                <w:szCs w:val="14"/>
                <w:color w:val="auto"/>
              </w:rPr>
              <w:t>(4)</w:t>
            </w:r>
          </w:p>
        </w:tc>
        <w:tc>
          <w:tcPr>
            <w:tcW w:w="2700" w:type="dxa"/>
            <w:vAlign w:val="bottom"/>
            <w:tcBorders>
              <w:bottom w:val="single" w:sz="8" w:color="3D85C6"/>
              <w:right w:val="single" w:sz="8" w:color="3D85C6"/>
            </w:tcBorders>
          </w:tcPr>
          <w:p>
            <w:pPr>
              <w:spacing w:after="0"/>
              <w:rPr>
                <w:sz w:val="16"/>
                <w:szCs w:val="16"/>
                <w:color w:val="auto"/>
              </w:rPr>
            </w:pPr>
          </w:p>
        </w:tc>
        <w:tc>
          <w:tcPr>
            <w:tcW w:w="1360" w:type="dxa"/>
            <w:vAlign w:val="bottom"/>
            <w:tcBorders>
              <w:bottom w:val="single" w:sz="8" w:color="3D85C6"/>
              <w:right w:val="single" w:sz="8" w:color="3D85C6"/>
            </w:tcBorders>
            <w:gridSpan w:val="2"/>
          </w:tcPr>
          <w:p>
            <w:pPr>
              <w:jc w:val="center"/>
              <w:ind w:left="13"/>
              <w:spacing w:after="0" w:line="188" w:lineRule="exact"/>
              <w:rPr>
                <w:sz w:val="20"/>
                <w:szCs w:val="20"/>
                <w:color w:val="auto"/>
              </w:rPr>
            </w:pPr>
            <w:r>
              <w:rPr>
                <w:rFonts w:ascii="Arial" w:cs="Arial" w:eastAsia="Arial" w:hAnsi="Arial"/>
                <w:sz w:val="17"/>
                <w:szCs w:val="17"/>
                <w:color w:val="auto"/>
                <w:w w:val="97"/>
              </w:rPr>
              <w:t>0.0%</w:t>
            </w:r>
          </w:p>
        </w:tc>
        <w:tc>
          <w:tcPr>
            <w:tcW w:w="1360" w:type="dxa"/>
            <w:vAlign w:val="bottom"/>
            <w:tcBorders>
              <w:bottom w:val="single" w:sz="8" w:color="3D85C6"/>
              <w:right w:val="single" w:sz="8" w:color="3D85C6"/>
            </w:tcBorders>
            <w:gridSpan w:val="2"/>
          </w:tcPr>
          <w:p>
            <w:pPr>
              <w:jc w:val="center"/>
              <w:ind w:left="33"/>
              <w:spacing w:after="0" w:line="188" w:lineRule="exact"/>
              <w:rPr>
                <w:sz w:val="20"/>
                <w:szCs w:val="20"/>
                <w:color w:val="auto"/>
              </w:rPr>
            </w:pPr>
            <w:r>
              <w:rPr>
                <w:rFonts w:ascii="Arial" w:cs="Arial" w:eastAsia="Arial" w:hAnsi="Arial"/>
                <w:sz w:val="17"/>
                <w:szCs w:val="17"/>
                <w:color w:val="auto"/>
              </w:rPr>
              <w:t>0.0%</w:t>
            </w:r>
          </w:p>
        </w:tc>
        <w:tc>
          <w:tcPr>
            <w:tcW w:w="1360" w:type="dxa"/>
            <w:vAlign w:val="bottom"/>
            <w:tcBorders>
              <w:bottom w:val="single" w:sz="8" w:color="3D85C6"/>
              <w:right w:val="single" w:sz="8" w:color="3D85C6"/>
            </w:tcBorders>
            <w:gridSpan w:val="2"/>
          </w:tcPr>
          <w:p>
            <w:pPr>
              <w:jc w:val="center"/>
              <w:ind w:left="33"/>
              <w:spacing w:after="0" w:line="188" w:lineRule="exact"/>
              <w:rPr>
                <w:sz w:val="20"/>
                <w:szCs w:val="20"/>
                <w:color w:val="auto"/>
              </w:rPr>
            </w:pPr>
            <w:r>
              <w:rPr>
                <w:rFonts w:ascii="Arial" w:cs="Arial" w:eastAsia="Arial" w:hAnsi="Arial"/>
                <w:sz w:val="17"/>
                <w:szCs w:val="17"/>
                <w:color w:val="auto"/>
              </w:rPr>
              <w:t>0.0%</w:t>
            </w:r>
          </w:p>
        </w:tc>
        <w:tc>
          <w:tcPr>
            <w:tcW w:w="1300" w:type="dxa"/>
            <w:vAlign w:val="bottom"/>
            <w:tcBorders>
              <w:bottom w:val="single" w:sz="8" w:color="3D85C6"/>
            </w:tcBorders>
          </w:tcPr>
          <w:p>
            <w:pPr>
              <w:jc w:val="center"/>
              <w:ind w:left="13"/>
              <w:spacing w:after="0" w:line="188" w:lineRule="exact"/>
              <w:rPr>
                <w:sz w:val="20"/>
                <w:szCs w:val="20"/>
                <w:color w:val="auto"/>
              </w:rPr>
            </w:pPr>
            <w:r>
              <w:rPr>
                <w:rFonts w:ascii="Arial" w:cs="Arial" w:eastAsia="Arial" w:hAnsi="Arial"/>
                <w:sz w:val="17"/>
                <w:szCs w:val="17"/>
                <w:color w:val="auto"/>
              </w:rPr>
              <w:t>0.0%</w:t>
            </w:r>
          </w:p>
        </w:tc>
      </w:tr>
      <w:tr>
        <w:trPr>
          <w:trHeight w:val="188"/>
        </w:trPr>
        <w:tc>
          <w:tcPr>
            <w:tcW w:w="3160" w:type="dxa"/>
            <w:vAlign w:val="bottom"/>
            <w:tcBorders>
              <w:bottom w:val="single" w:sz="8" w:color="3D85C6"/>
            </w:tcBorders>
          </w:tcPr>
          <w:p>
            <w:pPr>
              <w:ind w:left="180"/>
              <w:spacing w:after="0" w:line="188" w:lineRule="exact"/>
              <w:rPr>
                <w:sz w:val="20"/>
                <w:szCs w:val="20"/>
                <w:color w:val="auto"/>
              </w:rPr>
            </w:pPr>
            <w:r>
              <w:rPr>
                <w:rFonts w:ascii="Arial" w:cs="Arial" w:eastAsia="Arial" w:hAnsi="Arial"/>
                <w:sz w:val="17"/>
                <w:szCs w:val="17"/>
                <w:color w:val="auto"/>
              </w:rPr>
              <w:t>Non-GAAP Pre-tax Income</w:t>
            </w:r>
            <w:r>
              <w:rPr>
                <w:rFonts w:ascii="Arial" w:cs="Arial" w:eastAsia="Arial" w:hAnsi="Arial"/>
                <w:sz w:val="14"/>
                <w:szCs w:val="14"/>
                <w:color w:val="auto"/>
              </w:rPr>
              <w:t>(5)</w:t>
            </w:r>
          </w:p>
        </w:tc>
        <w:tc>
          <w:tcPr>
            <w:tcW w:w="2700" w:type="dxa"/>
            <w:vAlign w:val="bottom"/>
            <w:tcBorders>
              <w:bottom w:val="single" w:sz="8" w:color="3D85C6"/>
              <w:right w:val="single" w:sz="8" w:color="3D85C6"/>
            </w:tcBorders>
          </w:tcPr>
          <w:p>
            <w:pPr>
              <w:spacing w:after="0"/>
              <w:rPr>
                <w:sz w:val="16"/>
                <w:szCs w:val="16"/>
                <w:color w:val="auto"/>
              </w:rPr>
            </w:pPr>
          </w:p>
        </w:tc>
        <w:tc>
          <w:tcPr>
            <w:tcW w:w="1360" w:type="dxa"/>
            <w:vAlign w:val="bottom"/>
            <w:tcBorders>
              <w:bottom w:val="single" w:sz="8" w:color="3D85C6"/>
              <w:right w:val="single" w:sz="8" w:color="3D85C6"/>
            </w:tcBorders>
            <w:gridSpan w:val="2"/>
          </w:tcPr>
          <w:p>
            <w:pPr>
              <w:jc w:val="center"/>
              <w:ind w:left="13"/>
              <w:spacing w:after="0" w:line="188" w:lineRule="exact"/>
              <w:rPr>
                <w:sz w:val="20"/>
                <w:szCs w:val="20"/>
                <w:color w:val="auto"/>
              </w:rPr>
            </w:pPr>
            <w:r>
              <w:rPr>
                <w:rFonts w:ascii="Arial" w:cs="Arial" w:eastAsia="Arial" w:hAnsi="Arial"/>
                <w:sz w:val="17"/>
                <w:szCs w:val="17"/>
                <w:color w:val="auto"/>
                <w:w w:val="97"/>
              </w:rPr>
              <w:t>1.6%</w:t>
            </w:r>
          </w:p>
        </w:tc>
        <w:tc>
          <w:tcPr>
            <w:tcW w:w="1360" w:type="dxa"/>
            <w:vAlign w:val="bottom"/>
            <w:tcBorders>
              <w:bottom w:val="single" w:sz="8" w:color="3D85C6"/>
              <w:right w:val="single" w:sz="8" w:color="3D85C6"/>
            </w:tcBorders>
            <w:gridSpan w:val="2"/>
          </w:tcPr>
          <w:p>
            <w:pPr>
              <w:jc w:val="center"/>
              <w:ind w:left="33"/>
              <w:spacing w:after="0" w:line="188" w:lineRule="exact"/>
              <w:rPr>
                <w:sz w:val="20"/>
                <w:szCs w:val="20"/>
                <w:color w:val="auto"/>
              </w:rPr>
            </w:pPr>
            <w:r>
              <w:rPr>
                <w:rFonts w:ascii="Arial" w:cs="Arial" w:eastAsia="Arial" w:hAnsi="Arial"/>
                <w:sz w:val="17"/>
                <w:szCs w:val="17"/>
                <w:color w:val="auto"/>
              </w:rPr>
              <w:t>1.6%</w:t>
            </w:r>
          </w:p>
        </w:tc>
        <w:tc>
          <w:tcPr>
            <w:tcW w:w="1360" w:type="dxa"/>
            <w:vAlign w:val="bottom"/>
            <w:tcBorders>
              <w:bottom w:val="single" w:sz="8" w:color="3D85C6"/>
              <w:right w:val="single" w:sz="8" w:color="3D85C6"/>
            </w:tcBorders>
            <w:gridSpan w:val="2"/>
          </w:tcPr>
          <w:p>
            <w:pPr>
              <w:jc w:val="center"/>
              <w:ind w:left="33"/>
              <w:spacing w:after="0" w:line="188" w:lineRule="exact"/>
              <w:rPr>
                <w:sz w:val="20"/>
                <w:szCs w:val="20"/>
                <w:color w:val="auto"/>
              </w:rPr>
            </w:pPr>
            <w:r>
              <w:rPr>
                <w:rFonts w:ascii="Arial" w:cs="Arial" w:eastAsia="Arial" w:hAnsi="Arial"/>
                <w:sz w:val="17"/>
                <w:szCs w:val="17"/>
                <w:color w:val="auto"/>
              </w:rPr>
              <w:t>1.6%</w:t>
            </w:r>
          </w:p>
        </w:tc>
        <w:tc>
          <w:tcPr>
            <w:tcW w:w="1300" w:type="dxa"/>
            <w:vAlign w:val="bottom"/>
            <w:tcBorders>
              <w:bottom w:val="single" w:sz="8" w:color="3D85C6"/>
            </w:tcBorders>
          </w:tcPr>
          <w:p>
            <w:pPr>
              <w:jc w:val="center"/>
              <w:ind w:left="13"/>
              <w:spacing w:after="0" w:line="188" w:lineRule="exact"/>
              <w:rPr>
                <w:sz w:val="20"/>
                <w:szCs w:val="20"/>
                <w:color w:val="auto"/>
              </w:rPr>
            </w:pPr>
            <w:r>
              <w:rPr>
                <w:rFonts w:ascii="Arial" w:cs="Arial" w:eastAsia="Arial" w:hAnsi="Arial"/>
                <w:sz w:val="17"/>
                <w:szCs w:val="17"/>
                <w:color w:val="auto"/>
              </w:rPr>
              <w:t>1.6%</w:t>
            </w:r>
          </w:p>
        </w:tc>
      </w:tr>
      <w:tr>
        <w:trPr>
          <w:trHeight w:val="188"/>
        </w:trPr>
        <w:tc>
          <w:tcPr>
            <w:tcW w:w="3160" w:type="dxa"/>
            <w:vAlign w:val="bottom"/>
            <w:tcBorders>
              <w:bottom w:val="single" w:sz="8" w:color="3D85C6"/>
            </w:tcBorders>
          </w:tcPr>
          <w:p>
            <w:pPr>
              <w:ind w:left="180"/>
              <w:spacing w:after="0" w:line="188" w:lineRule="exact"/>
              <w:rPr>
                <w:sz w:val="20"/>
                <w:szCs w:val="20"/>
                <w:color w:val="auto"/>
              </w:rPr>
            </w:pPr>
            <w:r>
              <w:rPr>
                <w:rFonts w:ascii="Arial" w:cs="Arial" w:eastAsia="Arial" w:hAnsi="Arial"/>
                <w:sz w:val="17"/>
                <w:szCs w:val="17"/>
                <w:color w:val="auto"/>
              </w:rPr>
              <w:t>Goal Payout %</w:t>
            </w:r>
            <w:r>
              <w:rPr>
                <w:rFonts w:ascii="Arial" w:cs="Arial" w:eastAsia="Arial" w:hAnsi="Arial"/>
                <w:sz w:val="14"/>
                <w:szCs w:val="14"/>
                <w:color w:val="auto"/>
              </w:rPr>
              <w:t>(6)</w:t>
            </w:r>
          </w:p>
        </w:tc>
        <w:tc>
          <w:tcPr>
            <w:tcW w:w="2700" w:type="dxa"/>
            <w:vAlign w:val="bottom"/>
            <w:tcBorders>
              <w:bottom w:val="single" w:sz="8" w:color="3D85C6"/>
              <w:right w:val="single" w:sz="8" w:color="3D85C6"/>
            </w:tcBorders>
          </w:tcPr>
          <w:p>
            <w:pPr>
              <w:spacing w:after="0"/>
              <w:rPr>
                <w:sz w:val="16"/>
                <w:szCs w:val="16"/>
                <w:color w:val="auto"/>
              </w:rPr>
            </w:pPr>
          </w:p>
        </w:tc>
        <w:tc>
          <w:tcPr>
            <w:tcW w:w="1360" w:type="dxa"/>
            <w:vAlign w:val="bottom"/>
            <w:tcBorders>
              <w:bottom w:val="single" w:sz="8" w:color="3D85C6"/>
              <w:right w:val="single" w:sz="8" w:color="3D85C6"/>
            </w:tcBorders>
            <w:gridSpan w:val="2"/>
          </w:tcPr>
          <w:p>
            <w:pPr>
              <w:jc w:val="center"/>
              <w:ind w:left="13"/>
              <w:spacing w:after="0" w:line="188" w:lineRule="exact"/>
              <w:rPr>
                <w:sz w:val="20"/>
                <w:szCs w:val="20"/>
                <w:color w:val="auto"/>
              </w:rPr>
            </w:pPr>
            <w:r>
              <w:rPr>
                <w:rFonts w:ascii="Arial" w:cs="Arial" w:eastAsia="Arial" w:hAnsi="Arial"/>
                <w:sz w:val="17"/>
                <w:szCs w:val="17"/>
                <w:color w:val="auto"/>
                <w:w w:val="97"/>
              </w:rPr>
              <w:t>0.0%</w:t>
            </w:r>
          </w:p>
        </w:tc>
        <w:tc>
          <w:tcPr>
            <w:tcW w:w="1360" w:type="dxa"/>
            <w:vAlign w:val="bottom"/>
            <w:tcBorders>
              <w:bottom w:val="single" w:sz="8" w:color="3D85C6"/>
              <w:right w:val="single" w:sz="8" w:color="3D85C6"/>
            </w:tcBorders>
            <w:gridSpan w:val="2"/>
          </w:tcPr>
          <w:p>
            <w:pPr>
              <w:jc w:val="center"/>
              <w:ind w:left="33"/>
              <w:spacing w:after="0" w:line="188" w:lineRule="exact"/>
              <w:rPr>
                <w:sz w:val="20"/>
                <w:szCs w:val="20"/>
                <w:color w:val="auto"/>
              </w:rPr>
            </w:pPr>
            <w:r>
              <w:rPr>
                <w:rFonts w:ascii="Arial" w:cs="Arial" w:eastAsia="Arial" w:hAnsi="Arial"/>
                <w:sz w:val="17"/>
                <w:szCs w:val="17"/>
                <w:color w:val="auto"/>
              </w:rPr>
              <w:t>0.0%</w:t>
            </w:r>
          </w:p>
        </w:tc>
        <w:tc>
          <w:tcPr>
            <w:tcW w:w="1360" w:type="dxa"/>
            <w:vAlign w:val="bottom"/>
            <w:tcBorders>
              <w:bottom w:val="single" w:sz="8" w:color="3D85C6"/>
              <w:right w:val="single" w:sz="8" w:color="3D85C6"/>
            </w:tcBorders>
            <w:gridSpan w:val="2"/>
          </w:tcPr>
          <w:p>
            <w:pPr>
              <w:jc w:val="center"/>
              <w:ind w:left="33"/>
              <w:spacing w:after="0" w:line="188" w:lineRule="exact"/>
              <w:rPr>
                <w:sz w:val="20"/>
                <w:szCs w:val="20"/>
                <w:color w:val="auto"/>
              </w:rPr>
            </w:pPr>
            <w:r>
              <w:rPr>
                <w:rFonts w:ascii="Arial" w:cs="Arial" w:eastAsia="Arial" w:hAnsi="Arial"/>
                <w:sz w:val="17"/>
                <w:szCs w:val="17"/>
                <w:color w:val="auto"/>
              </w:rPr>
              <w:t>0.0%</w:t>
            </w:r>
          </w:p>
        </w:tc>
        <w:tc>
          <w:tcPr>
            <w:tcW w:w="1300" w:type="dxa"/>
            <w:vAlign w:val="bottom"/>
            <w:tcBorders>
              <w:bottom w:val="single" w:sz="8" w:color="3D85C6"/>
            </w:tcBorders>
          </w:tcPr>
          <w:p>
            <w:pPr>
              <w:jc w:val="center"/>
              <w:ind w:left="13"/>
              <w:spacing w:after="0" w:line="188" w:lineRule="exact"/>
              <w:rPr>
                <w:sz w:val="20"/>
                <w:szCs w:val="20"/>
                <w:color w:val="auto"/>
              </w:rPr>
            </w:pPr>
            <w:r>
              <w:rPr>
                <w:rFonts w:ascii="Arial" w:cs="Arial" w:eastAsia="Arial" w:hAnsi="Arial"/>
                <w:sz w:val="17"/>
                <w:szCs w:val="17"/>
                <w:color w:val="auto"/>
              </w:rPr>
              <w:t>0.0%</w:t>
            </w:r>
          </w:p>
        </w:tc>
      </w:tr>
      <w:tr>
        <w:trPr>
          <w:trHeight w:val="188"/>
        </w:trPr>
        <w:tc>
          <w:tcPr>
            <w:tcW w:w="3160" w:type="dxa"/>
            <w:vAlign w:val="bottom"/>
            <w:tcBorders>
              <w:bottom w:val="single" w:sz="8" w:color="3D85C6"/>
            </w:tcBorders>
            <w:shd w:val="clear" w:color="auto" w:fill="E6E6E6"/>
          </w:tcPr>
          <w:p>
            <w:pPr>
              <w:spacing w:after="0"/>
              <w:rPr>
                <w:sz w:val="16"/>
                <w:szCs w:val="16"/>
                <w:color w:val="auto"/>
              </w:rPr>
            </w:pPr>
          </w:p>
        </w:tc>
        <w:tc>
          <w:tcPr>
            <w:tcW w:w="2700" w:type="dxa"/>
            <w:vAlign w:val="bottom"/>
            <w:tcBorders>
              <w:bottom w:val="single" w:sz="8" w:color="3D85C6"/>
              <w:right w:val="single" w:sz="8" w:color="E6E6E6"/>
            </w:tcBorders>
            <w:shd w:val="clear" w:color="auto" w:fill="E6E6E6"/>
          </w:tcPr>
          <w:p>
            <w:pPr>
              <w:ind w:left="160"/>
              <w:spacing w:after="0" w:line="188" w:lineRule="exact"/>
              <w:rPr>
                <w:sz w:val="20"/>
                <w:szCs w:val="20"/>
                <w:color w:val="auto"/>
              </w:rPr>
            </w:pPr>
            <w:r>
              <w:rPr>
                <w:rFonts w:ascii="Arial" w:cs="Arial" w:eastAsia="Arial" w:hAnsi="Arial"/>
                <w:sz w:val="17"/>
                <w:szCs w:val="17"/>
                <w:b w:val="1"/>
                <w:bCs w:val="1"/>
                <w:color w:val="auto"/>
              </w:rPr>
              <w:t>Actual Amount of Fiscal Year</w:t>
            </w:r>
          </w:p>
        </w:tc>
        <w:tc>
          <w:tcPr>
            <w:tcW w:w="2720" w:type="dxa"/>
            <w:vAlign w:val="bottom"/>
            <w:tcBorders>
              <w:bottom w:val="single" w:sz="8" w:color="3D85C6"/>
              <w:right w:val="single" w:sz="8" w:color="E6E6E6"/>
            </w:tcBorders>
            <w:gridSpan w:val="4"/>
            <w:shd w:val="clear" w:color="auto" w:fill="E6E6E6"/>
          </w:tcPr>
          <w:p>
            <w:pPr>
              <w:jc w:val="right"/>
              <w:ind w:right="653"/>
              <w:spacing w:after="0" w:line="188" w:lineRule="exact"/>
              <w:rPr>
                <w:sz w:val="20"/>
                <w:szCs w:val="20"/>
                <w:color w:val="auto"/>
              </w:rPr>
            </w:pPr>
            <w:r>
              <w:rPr>
                <w:rFonts w:ascii="Arial" w:cs="Arial" w:eastAsia="Arial" w:hAnsi="Arial"/>
                <w:sz w:val="17"/>
                <w:szCs w:val="17"/>
                <w:b w:val="1"/>
                <w:bCs w:val="1"/>
                <w:color w:val="auto"/>
                <w:w w:val="96"/>
              </w:rPr>
              <w:t>2025 STI Cash Incentives</w:t>
            </w:r>
          </w:p>
        </w:tc>
        <w:tc>
          <w:tcPr>
            <w:tcW w:w="40" w:type="dxa"/>
            <w:vAlign w:val="bottom"/>
            <w:tcBorders>
              <w:bottom w:val="single" w:sz="8" w:color="3D85C6"/>
              <w:right w:val="single" w:sz="8" w:color="E6E6E6"/>
            </w:tcBorders>
            <w:shd w:val="clear" w:color="auto" w:fill="E6E6E6"/>
          </w:tcPr>
          <w:p>
            <w:pPr>
              <w:spacing w:after="0"/>
              <w:rPr>
                <w:sz w:val="16"/>
                <w:szCs w:val="16"/>
                <w:color w:val="auto"/>
              </w:rPr>
            </w:pPr>
          </w:p>
        </w:tc>
        <w:tc>
          <w:tcPr>
            <w:tcW w:w="1320" w:type="dxa"/>
            <w:vAlign w:val="bottom"/>
            <w:tcBorders>
              <w:bottom w:val="single" w:sz="8" w:color="3D85C6"/>
              <w:right w:val="single" w:sz="8" w:color="E6E6E6"/>
            </w:tcBorders>
            <w:shd w:val="clear" w:color="auto" w:fill="E6E6E6"/>
          </w:tcPr>
          <w:p>
            <w:pPr>
              <w:spacing w:after="0"/>
              <w:rPr>
                <w:sz w:val="16"/>
                <w:szCs w:val="16"/>
                <w:color w:val="auto"/>
              </w:rPr>
            </w:pPr>
          </w:p>
        </w:tc>
        <w:tc>
          <w:tcPr>
            <w:tcW w:w="1300" w:type="dxa"/>
            <w:vAlign w:val="bottom"/>
            <w:tcBorders>
              <w:bottom w:val="single" w:sz="8" w:color="3D85C6"/>
            </w:tcBorders>
            <w:shd w:val="clear" w:color="auto" w:fill="E6E6E6"/>
          </w:tcPr>
          <w:p>
            <w:pPr>
              <w:spacing w:after="0"/>
              <w:rPr>
                <w:sz w:val="16"/>
                <w:szCs w:val="16"/>
                <w:color w:val="auto"/>
              </w:rPr>
            </w:pPr>
          </w:p>
        </w:tc>
      </w:tr>
      <w:tr>
        <w:trPr>
          <w:trHeight w:val="188"/>
        </w:trPr>
        <w:tc>
          <w:tcPr>
            <w:tcW w:w="3160" w:type="dxa"/>
            <w:vAlign w:val="bottom"/>
            <w:tcBorders>
              <w:bottom w:val="single" w:sz="8" w:color="3D85C6"/>
            </w:tcBorders>
          </w:tcPr>
          <w:p>
            <w:pPr>
              <w:ind w:left="180"/>
              <w:spacing w:after="0" w:line="188" w:lineRule="exact"/>
              <w:rPr>
                <w:sz w:val="20"/>
                <w:szCs w:val="20"/>
                <w:color w:val="auto"/>
              </w:rPr>
            </w:pPr>
            <w:r>
              <w:rPr>
                <w:rFonts w:ascii="Arial" w:cs="Arial" w:eastAsia="Arial" w:hAnsi="Arial"/>
                <w:sz w:val="17"/>
                <w:szCs w:val="17"/>
                <w:color w:val="auto"/>
              </w:rPr>
              <w:t>Non-Equity Incentive Award Payable</w:t>
            </w:r>
          </w:p>
        </w:tc>
        <w:tc>
          <w:tcPr>
            <w:tcW w:w="2840" w:type="dxa"/>
            <w:vAlign w:val="bottom"/>
            <w:tcBorders>
              <w:bottom w:val="single" w:sz="8" w:color="3D85C6"/>
              <w:right w:val="single" w:sz="8" w:color="3D85C6"/>
            </w:tcBorders>
            <w:gridSpan w:val="2"/>
          </w:tcPr>
          <w:p>
            <w:pPr>
              <w:spacing w:after="0"/>
              <w:rPr>
                <w:sz w:val="16"/>
                <w:szCs w:val="16"/>
                <w:color w:val="auto"/>
              </w:rPr>
            </w:pPr>
          </w:p>
        </w:tc>
        <w:tc>
          <w:tcPr>
            <w:tcW w:w="1220" w:type="dxa"/>
            <w:vAlign w:val="bottom"/>
            <w:tcBorders>
              <w:bottom w:val="single" w:sz="8" w:color="3D85C6"/>
            </w:tcBorders>
          </w:tcPr>
          <w:p>
            <w:pPr>
              <w:jc w:val="right"/>
              <w:ind w:right="113"/>
              <w:spacing w:after="0" w:line="188" w:lineRule="exact"/>
              <w:rPr>
                <w:sz w:val="20"/>
                <w:szCs w:val="20"/>
                <w:color w:val="auto"/>
              </w:rPr>
            </w:pPr>
            <w:r>
              <w:rPr>
                <w:rFonts w:ascii="Arial" w:cs="Arial" w:eastAsia="Arial" w:hAnsi="Arial"/>
                <w:sz w:val="17"/>
                <w:szCs w:val="17"/>
                <w:color w:val="auto"/>
              </w:rPr>
              <w:t>$  250,345</w:t>
            </w:r>
          </w:p>
        </w:tc>
        <w:tc>
          <w:tcPr>
            <w:tcW w:w="100" w:type="dxa"/>
            <w:vAlign w:val="bottom"/>
            <w:tcBorders>
              <w:bottom w:val="single" w:sz="8" w:color="3D85C6"/>
              <w:right w:val="single" w:sz="8" w:color="3D85C6"/>
            </w:tcBorders>
          </w:tcPr>
          <w:p>
            <w:pPr>
              <w:spacing w:after="0"/>
              <w:rPr>
                <w:sz w:val="16"/>
                <w:szCs w:val="16"/>
                <w:color w:val="auto"/>
              </w:rPr>
            </w:pPr>
          </w:p>
        </w:tc>
        <w:tc>
          <w:tcPr>
            <w:tcW w:w="1260" w:type="dxa"/>
            <w:vAlign w:val="bottom"/>
            <w:tcBorders>
              <w:bottom w:val="single" w:sz="8" w:color="3D85C6"/>
            </w:tcBorders>
          </w:tcPr>
          <w:p>
            <w:pPr>
              <w:jc w:val="right"/>
              <w:ind w:right="173"/>
              <w:spacing w:after="0" w:line="188" w:lineRule="exact"/>
              <w:rPr>
                <w:sz w:val="20"/>
                <w:szCs w:val="20"/>
                <w:color w:val="auto"/>
              </w:rPr>
            </w:pPr>
            <w:r>
              <w:rPr>
                <w:rFonts w:ascii="Arial" w:cs="Arial" w:eastAsia="Arial" w:hAnsi="Arial"/>
                <w:sz w:val="17"/>
                <w:szCs w:val="17"/>
                <w:color w:val="auto"/>
              </w:rPr>
              <w:t>$  108,621</w:t>
            </w:r>
          </w:p>
        </w:tc>
        <w:tc>
          <w:tcPr>
            <w:tcW w:w="40" w:type="dxa"/>
            <w:vAlign w:val="bottom"/>
            <w:tcBorders>
              <w:bottom w:val="single" w:sz="8" w:color="3D85C6"/>
              <w:right w:val="single" w:sz="8" w:color="3D85C6"/>
            </w:tcBorders>
          </w:tcPr>
          <w:p>
            <w:pPr>
              <w:spacing w:after="0"/>
              <w:rPr>
                <w:sz w:val="16"/>
                <w:szCs w:val="16"/>
                <w:color w:val="auto"/>
              </w:rPr>
            </w:pPr>
          </w:p>
        </w:tc>
        <w:tc>
          <w:tcPr>
            <w:tcW w:w="1320" w:type="dxa"/>
            <w:vAlign w:val="bottom"/>
            <w:tcBorders>
              <w:bottom w:val="single" w:sz="8" w:color="3D85C6"/>
              <w:right w:val="single" w:sz="8" w:color="3D85C6"/>
            </w:tcBorders>
          </w:tcPr>
          <w:p>
            <w:pPr>
              <w:jc w:val="right"/>
              <w:ind w:right="213"/>
              <w:spacing w:after="0" w:line="188" w:lineRule="exact"/>
              <w:rPr>
                <w:sz w:val="20"/>
                <w:szCs w:val="20"/>
                <w:color w:val="auto"/>
              </w:rPr>
            </w:pPr>
            <w:r>
              <w:rPr>
                <w:rFonts w:ascii="Arial" w:cs="Arial" w:eastAsia="Arial" w:hAnsi="Arial"/>
                <w:sz w:val="17"/>
                <w:szCs w:val="17"/>
                <w:color w:val="auto"/>
              </w:rPr>
              <w:t>$  101,459</w:t>
            </w:r>
          </w:p>
        </w:tc>
        <w:tc>
          <w:tcPr>
            <w:tcW w:w="1300" w:type="dxa"/>
            <w:vAlign w:val="bottom"/>
            <w:tcBorders>
              <w:bottom w:val="single" w:sz="8" w:color="3D85C6"/>
            </w:tcBorders>
          </w:tcPr>
          <w:p>
            <w:pPr>
              <w:jc w:val="right"/>
              <w:ind w:right="253"/>
              <w:spacing w:after="0" w:line="188" w:lineRule="exact"/>
              <w:rPr>
                <w:sz w:val="20"/>
                <w:szCs w:val="20"/>
                <w:color w:val="auto"/>
              </w:rPr>
            </w:pPr>
            <w:r>
              <w:rPr>
                <w:rFonts w:ascii="Arial" w:cs="Arial" w:eastAsia="Arial" w:hAnsi="Arial"/>
                <w:sz w:val="17"/>
                <w:szCs w:val="17"/>
                <w:color w:val="auto"/>
              </w:rPr>
              <w:t>$   80,975</w:t>
            </w:r>
          </w:p>
        </w:tc>
      </w:tr>
      <w:tr>
        <w:trPr>
          <w:trHeight w:val="188"/>
        </w:trPr>
        <w:tc>
          <w:tcPr>
            <w:tcW w:w="3160" w:type="dxa"/>
            <w:vAlign w:val="bottom"/>
            <w:tcBorders>
              <w:bottom w:val="single" w:sz="8" w:color="3D85C6"/>
            </w:tcBorders>
          </w:tcPr>
          <w:p>
            <w:pPr>
              <w:ind w:left="180"/>
              <w:spacing w:after="0" w:line="188" w:lineRule="exact"/>
              <w:rPr>
                <w:sz w:val="20"/>
                <w:szCs w:val="20"/>
                <w:color w:val="auto"/>
              </w:rPr>
            </w:pPr>
            <w:r>
              <w:rPr>
                <w:rFonts w:ascii="Arial" w:cs="Arial" w:eastAsia="Arial" w:hAnsi="Arial"/>
                <w:sz w:val="17"/>
                <w:szCs w:val="17"/>
                <w:color w:val="auto"/>
              </w:rPr>
              <w:t>% Targeted Award Amount</w:t>
            </w:r>
          </w:p>
        </w:tc>
        <w:tc>
          <w:tcPr>
            <w:tcW w:w="2840" w:type="dxa"/>
            <w:vAlign w:val="bottom"/>
            <w:tcBorders>
              <w:bottom w:val="single" w:sz="8" w:color="3D85C6"/>
              <w:right w:val="single" w:sz="8" w:color="3D85C6"/>
            </w:tcBorders>
            <w:gridSpan w:val="2"/>
          </w:tcPr>
          <w:p>
            <w:pPr>
              <w:spacing w:after="0"/>
              <w:rPr>
                <w:sz w:val="16"/>
                <w:szCs w:val="16"/>
                <w:color w:val="auto"/>
              </w:rPr>
            </w:pPr>
          </w:p>
        </w:tc>
        <w:tc>
          <w:tcPr>
            <w:tcW w:w="1220" w:type="dxa"/>
            <w:vAlign w:val="bottom"/>
            <w:tcBorders>
              <w:bottom w:val="single" w:sz="8" w:color="3D85C6"/>
            </w:tcBorders>
          </w:tcPr>
          <w:p>
            <w:pPr>
              <w:jc w:val="right"/>
              <w:ind w:right="193"/>
              <w:spacing w:after="0" w:line="188" w:lineRule="exact"/>
              <w:rPr>
                <w:sz w:val="20"/>
                <w:szCs w:val="20"/>
                <w:color w:val="auto"/>
              </w:rPr>
            </w:pPr>
            <w:r>
              <w:rPr>
                <w:rFonts w:ascii="Arial" w:cs="Arial" w:eastAsia="Arial" w:hAnsi="Arial"/>
                <w:sz w:val="17"/>
                <w:szCs w:val="17"/>
                <w:color w:val="auto"/>
              </w:rPr>
              <w:t>31.8%</w:t>
            </w:r>
          </w:p>
        </w:tc>
        <w:tc>
          <w:tcPr>
            <w:tcW w:w="100" w:type="dxa"/>
            <w:vAlign w:val="bottom"/>
            <w:tcBorders>
              <w:bottom w:val="single" w:sz="8" w:color="3D85C6"/>
              <w:right w:val="single" w:sz="8" w:color="3D85C6"/>
            </w:tcBorders>
          </w:tcPr>
          <w:p>
            <w:pPr>
              <w:spacing w:after="0"/>
              <w:rPr>
                <w:sz w:val="16"/>
                <w:szCs w:val="16"/>
                <w:color w:val="auto"/>
              </w:rPr>
            </w:pPr>
          </w:p>
        </w:tc>
        <w:tc>
          <w:tcPr>
            <w:tcW w:w="1260" w:type="dxa"/>
            <w:vAlign w:val="bottom"/>
            <w:tcBorders>
              <w:bottom w:val="single" w:sz="8" w:color="3D85C6"/>
            </w:tcBorders>
          </w:tcPr>
          <w:p>
            <w:pPr>
              <w:jc w:val="right"/>
              <w:ind w:right="233"/>
              <w:spacing w:after="0" w:line="188" w:lineRule="exact"/>
              <w:rPr>
                <w:sz w:val="20"/>
                <w:szCs w:val="20"/>
                <w:color w:val="auto"/>
              </w:rPr>
            </w:pPr>
            <w:r>
              <w:rPr>
                <w:rFonts w:ascii="Arial" w:cs="Arial" w:eastAsia="Arial" w:hAnsi="Arial"/>
                <w:sz w:val="17"/>
                <w:szCs w:val="17"/>
                <w:color w:val="auto"/>
              </w:rPr>
              <w:t>31.8%</w:t>
            </w:r>
          </w:p>
        </w:tc>
        <w:tc>
          <w:tcPr>
            <w:tcW w:w="40" w:type="dxa"/>
            <w:vAlign w:val="bottom"/>
            <w:tcBorders>
              <w:bottom w:val="single" w:sz="8" w:color="3D85C6"/>
              <w:right w:val="single" w:sz="8" w:color="3D85C6"/>
            </w:tcBorders>
          </w:tcPr>
          <w:p>
            <w:pPr>
              <w:spacing w:after="0"/>
              <w:rPr>
                <w:sz w:val="16"/>
                <w:szCs w:val="16"/>
                <w:color w:val="auto"/>
              </w:rPr>
            </w:pPr>
          </w:p>
        </w:tc>
        <w:tc>
          <w:tcPr>
            <w:tcW w:w="1320" w:type="dxa"/>
            <w:vAlign w:val="bottom"/>
            <w:tcBorders>
              <w:bottom w:val="single" w:sz="8" w:color="3D85C6"/>
              <w:right w:val="single" w:sz="8" w:color="3D85C6"/>
            </w:tcBorders>
          </w:tcPr>
          <w:p>
            <w:pPr>
              <w:jc w:val="center"/>
              <w:ind w:left="13"/>
              <w:spacing w:after="0" w:line="188" w:lineRule="exact"/>
              <w:rPr>
                <w:sz w:val="20"/>
                <w:szCs w:val="20"/>
                <w:color w:val="auto"/>
              </w:rPr>
            </w:pPr>
            <w:r>
              <w:rPr>
                <w:rFonts w:ascii="Arial" w:cs="Arial" w:eastAsia="Arial" w:hAnsi="Arial"/>
                <w:sz w:val="17"/>
                <w:szCs w:val="17"/>
                <w:color w:val="auto"/>
              </w:rPr>
              <w:t>31.8%</w:t>
            </w:r>
          </w:p>
        </w:tc>
        <w:tc>
          <w:tcPr>
            <w:tcW w:w="1300" w:type="dxa"/>
            <w:vAlign w:val="bottom"/>
            <w:tcBorders>
              <w:bottom w:val="single" w:sz="8" w:color="3D85C6"/>
            </w:tcBorders>
          </w:tcPr>
          <w:p>
            <w:pPr>
              <w:jc w:val="center"/>
              <w:ind w:left="13"/>
              <w:spacing w:after="0" w:line="188" w:lineRule="exact"/>
              <w:rPr>
                <w:sz w:val="20"/>
                <w:szCs w:val="20"/>
                <w:color w:val="auto"/>
              </w:rPr>
            </w:pPr>
            <w:r>
              <w:rPr>
                <w:rFonts w:ascii="Arial" w:cs="Arial" w:eastAsia="Arial" w:hAnsi="Arial"/>
                <w:sz w:val="17"/>
                <w:szCs w:val="17"/>
                <w:color w:val="auto"/>
                <w:w w:val="99"/>
              </w:rPr>
              <w:t>31.8%</w:t>
            </w:r>
          </w:p>
        </w:tc>
      </w:tr>
    </w:tbl>
    <w:p>
      <w:pPr>
        <w:ind w:left="320" w:hanging="316"/>
        <w:spacing w:after="0"/>
        <w:tabs>
          <w:tab w:leader="none" w:pos="3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2025 1-year sales growth rate of 12.7% is calculated as the result of 2025 net sales (in thousands) of $452,956 divided by net sales results from 2024 of $401,779.</w:t>
      </w:r>
    </w:p>
    <w:p>
      <w:pPr>
        <w:ind w:left="320" w:hanging="316"/>
        <w:spacing w:after="0" w:line="232" w:lineRule="auto"/>
        <w:tabs>
          <w:tab w:leader="none" w:pos="3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1-year sales growth result is weighted at 25% of the total 2025 STI target award amount.</w:t>
      </w:r>
    </w:p>
    <w:p>
      <w:pPr>
        <w:ind w:left="320" w:hanging="316"/>
        <w:spacing w:after="0"/>
        <w:tabs>
          <w:tab w:leader="none" w:pos="32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2025 4-year rolling sales growth rate of (15.9)% is calculated as follows: the result of the sum of each year’s net sales from 2022 through 2025 (in thousands: $812,775, $636,322,</w:t>
      </w:r>
    </w:p>
    <w:p>
      <w:pPr>
        <w:spacing w:after="0" w:line="6" w:lineRule="exact"/>
        <w:rPr>
          <w:rFonts w:ascii="Arial" w:cs="Arial" w:eastAsia="Arial" w:hAnsi="Arial"/>
          <w:sz w:val="13"/>
          <w:szCs w:val="13"/>
          <w:color w:val="auto"/>
        </w:rPr>
      </w:pPr>
    </w:p>
    <w:p>
      <w:pPr>
        <w:ind w:left="320" w:right="160"/>
        <w:spacing w:after="0" w:line="232" w:lineRule="auto"/>
        <w:rPr>
          <w:rFonts w:ascii="Arial" w:cs="Arial" w:eastAsia="Arial" w:hAnsi="Arial"/>
          <w:sz w:val="13"/>
          <w:szCs w:val="13"/>
          <w:color w:val="auto"/>
        </w:rPr>
      </w:pPr>
      <w:r>
        <w:rPr>
          <w:rFonts w:ascii="Arial" w:cs="Arial" w:eastAsia="Arial" w:hAnsi="Arial"/>
          <w:sz w:val="14"/>
          <w:szCs w:val="14"/>
          <w:color w:val="auto"/>
        </w:rPr>
        <w:t>$401,779, and $452,956 respectively), less the sum of each year’s net sales from 2021 through 2024 (in thousands: $887,214, $812,775, $636,322 and $401,779 respectively), divided by the sum of each year’s net sales from 2021 through 2024.</w:t>
      </w:r>
    </w:p>
    <w:p>
      <w:pPr>
        <w:ind w:left="320" w:hanging="316"/>
        <w:spacing w:after="0" w:line="232" w:lineRule="auto"/>
        <w:tabs>
          <w:tab w:leader="none" w:pos="3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4-year rolling sales growth result is weighted at 25% of the total 2025 STI target award amount</w:t>
      </w:r>
    </w:p>
    <w:p>
      <w:pPr>
        <w:ind w:left="320" w:right="120" w:hanging="316"/>
        <w:spacing w:after="0" w:line="232" w:lineRule="auto"/>
        <w:tabs>
          <w:tab w:leader="none" w:pos="3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2025 GAAP pre-tax loss was $62,407 (in thousands) which is (13.8)% of net sales of $452,956 (in thousands). 2025 non-GAAP pre-tax income was $7,333 (in thousands) which is 1.6% of net sales. A reconciliation of GAAP to non-GAAP pre-tax income is included in Appendix A to this proxy statement.</w:t>
      </w:r>
    </w:p>
    <w:p>
      <w:pPr>
        <w:ind w:left="320" w:hanging="316"/>
        <w:spacing w:after="0"/>
        <w:tabs>
          <w:tab w:leader="none" w:pos="32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Non-GAAP pretax income result is weighted at 50% of the total 2025 STI target award amount.</w:t>
      </w:r>
    </w:p>
    <w:p>
      <w:pPr>
        <w:spacing w:after="0" w:line="168" w:lineRule="exact"/>
        <w:rPr>
          <w:sz w:val="20"/>
          <w:szCs w:val="20"/>
          <w:color w:val="auto"/>
        </w:rPr>
      </w:pPr>
    </w:p>
    <w:p>
      <w:pPr>
        <w:jc w:val="both"/>
        <w:ind w:right="80"/>
        <w:spacing w:after="0" w:line="259" w:lineRule="auto"/>
        <w:rPr>
          <w:sz w:val="20"/>
          <w:szCs w:val="20"/>
          <w:color w:val="auto"/>
        </w:rPr>
      </w:pPr>
      <w:r>
        <w:rPr>
          <w:rFonts w:ascii="Arial" w:cs="Arial" w:eastAsia="Arial" w:hAnsi="Arial"/>
          <w:sz w:val="17"/>
          <w:szCs w:val="17"/>
          <w:color w:val="auto"/>
        </w:rPr>
        <w:t>On February 5, 2026, the Compensation Committee, reviewed and approved the short-term incentive plan for 2026 (the “2026 STI”). For the 2026 STI, we increased the weighting of the one-year sales growth rate metric to 45% and rebalanced the four-year rolling sales growth metric to 5% of the total 2025 STI incentive opportunity. The remaining 50% of the incentive opportunity will continue to be based on non-GAAP pre-tax income.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Incentive Compensation</w:t>
      </w:r>
    </w:p>
    <w:p>
      <w:pPr>
        <w:spacing w:after="0" w:line="194"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We provide long-term incentive compensation in the form of equity awards to our executive officers, including our NEOs. These awards are intended to align the interests of our executive officers with those of our stockholders by creating an incentive for them to maximize long-term stockholder value. They are also designed to encourage our executive officers to remain employed with us in a very competitive labor market. The Compensation Committee regularly monitors the environment in which we operate and revises our long-term incentive compensation arrangements as it determines to be necessary and appropriate to help meet our business objectives, including increasing long-term stockholder value.</w:t>
      </w:r>
    </w:p>
    <w:p>
      <w:pPr>
        <w:spacing w:after="0" w:line="359"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Generally, in determining the size of the equity awards granted to our executive officers, including our NEOs, the Compensation Committee takes into consideration the recommendations of our CEO (except with respect to his own equity awards), an analysis of competitive market data prepared by its compensation consultant (with particular reference to the median of the competitive market), the potential GAAP accounting expense associated with the proposed awards (as compared to the companies in the compensation peer group), and the other factors described above. The Compensation Committee also considers the dilutive effect of our long-term incentive compensation practices, and the overall impact that these equity awards, as well as awards to other employees, will have on stockholder value. Further, the Compensation Committee has the discretion to determine whether awards in any given year will be made in the form of RSU awards, PSU awards, other awards or a combination thereof.</w:t>
      </w:r>
    </w:p>
    <w:p>
      <w:pPr>
        <w:spacing w:after="0" w:line="158"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As described in more detail in “Potential Payments Upon Termination or Change in Control” below, our 2025 RSU and PSU awards granted to our executive officers are eligible to potentially accelerate vesting upon certain qualified terminations of employment or a change in control. We believe providing these potential vesting acceleration benefits help us compete for and retain executive talent and maximize stockholder value because it provides our executives appropriate incentives to cooperate in negotiating a transaction involving a potential change in control of Cohu, including a potential change in control in which they believe they may lose their jobs or where their equity awards will not be assumed or continued.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7" w:name="page98"/>
    <w:bookmarkEnd w:id="97"/>
    <w:p>
      <w:pPr>
        <w:ind w:right="20"/>
        <w:spacing w:after="0" w:line="246" w:lineRule="auto"/>
        <w:rPr>
          <w:sz w:val="20"/>
          <w:szCs w:val="20"/>
          <w:color w:val="auto"/>
        </w:rPr>
      </w:pPr>
      <w:r>
        <w:rPr>
          <w:rFonts w:ascii="Arial" w:cs="Arial" w:eastAsia="Arial" w:hAnsi="Arial"/>
          <w:sz w:val="17"/>
          <w:szCs w:val="17"/>
          <w:color w:val="auto"/>
        </w:rPr>
        <w:t>The terms of the stock award agreements for RSUs granted through 2024 provide that in the event of a change in control, the RSUs will accelerate vesting and be settled at the time of the change in control. The terms of the award agreements for RSUs granted to our NEOs beginning in 2025 provide that such vesting acceleration will only occur should the acquiring corporation not assume or substitute for the RSUs in the change in control. The terms of the award agreements for PSUs granted through 2024 provide that in the event of a change in control, the PSUs will accelerate vesting and be settled at the time of the change in control. The terms of the award agreements for PSUs granted to our NEOs beginning in 2025, which cannot reasonably be assumed or substituted, provide for vesting acceleration upon a change in control at the greater of the target level or the level of performance attained through the change in control.</w:t>
      </w:r>
    </w:p>
    <w:p>
      <w:pPr>
        <w:spacing w:after="0" w:line="15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On March 11, 2025, consistent with the grant timing in prior years, the Compensation Committee, based on the factors described above, as well as considering market trends with alignment of individual responsibilities, contributions and performance, approved the grant of RSU awards and PSU awards to our executive officers, including our NEOs at the levels set forth in the table below. The Compensation Committee also determined that to continue the emphasis on performance-based compensation, the weighting of PSU awards would remain at 60% of the total annual equity awards and the weighting of RSU awards would remain at 40% of the total annual equity awards.</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6200" w:type="dxa"/>
            <w:vAlign w:val="bottom"/>
            <w:tcBorders>
              <w:top w:val="single" w:sz="8" w:color="3D85C6"/>
              <w:left w:val="single" w:sz="8" w:color="3D85C6"/>
              <w:right w:val="single" w:sz="8" w:color="3D85C6"/>
            </w:tcBorders>
            <w:shd w:val="clear" w:color="auto" w:fill="2D53A6"/>
          </w:tcPr>
          <w:p>
            <w:pPr>
              <w:spacing w:after="0"/>
              <w:rPr>
                <w:sz w:val="16"/>
                <w:szCs w:val="16"/>
                <w:color w:val="auto"/>
              </w:rPr>
            </w:pPr>
          </w:p>
        </w:tc>
        <w:tc>
          <w:tcPr>
            <w:tcW w:w="1700" w:type="dxa"/>
            <w:vAlign w:val="bottom"/>
            <w:tcBorders>
              <w:top w:val="single" w:sz="8" w:color="2D53A6"/>
              <w:right w:val="single" w:sz="8" w:color="3D85C6"/>
            </w:tcBorders>
            <w:shd w:val="clear" w:color="auto" w:fill="2D53A6"/>
          </w:tcPr>
          <w:p>
            <w:pPr>
              <w:jc w:val="center"/>
              <w:spacing w:after="0" w:line="193" w:lineRule="exact"/>
              <w:rPr>
                <w:sz w:val="20"/>
                <w:szCs w:val="20"/>
                <w:color w:val="auto"/>
              </w:rPr>
            </w:pPr>
            <w:r>
              <w:rPr>
                <w:rFonts w:ascii="Arial" w:cs="Arial" w:eastAsia="Arial" w:hAnsi="Arial"/>
                <w:sz w:val="17"/>
                <w:szCs w:val="17"/>
                <w:b w:val="1"/>
                <w:bCs w:val="1"/>
                <w:color w:val="FFFFFF"/>
              </w:rPr>
              <w:t>Number of</w:t>
            </w:r>
          </w:p>
        </w:tc>
        <w:tc>
          <w:tcPr>
            <w:tcW w:w="1700" w:type="dxa"/>
            <w:vAlign w:val="bottom"/>
            <w:tcBorders>
              <w:top w:val="single" w:sz="8" w:color="2D53A6"/>
              <w:right w:val="single" w:sz="8" w:color="3D85C6"/>
            </w:tcBorders>
            <w:shd w:val="clear" w:color="auto" w:fill="2D53A6"/>
          </w:tcPr>
          <w:p>
            <w:pPr>
              <w:jc w:val="center"/>
              <w:spacing w:after="0" w:line="193" w:lineRule="exact"/>
              <w:rPr>
                <w:sz w:val="20"/>
                <w:szCs w:val="20"/>
                <w:color w:val="auto"/>
              </w:rPr>
            </w:pPr>
            <w:r>
              <w:rPr>
                <w:rFonts w:ascii="Arial" w:cs="Arial" w:eastAsia="Arial" w:hAnsi="Arial"/>
                <w:sz w:val="17"/>
                <w:szCs w:val="17"/>
                <w:b w:val="1"/>
                <w:bCs w:val="1"/>
                <w:color w:val="FFFFFF"/>
              </w:rPr>
              <w:t>Number of</w:t>
            </w:r>
          </w:p>
        </w:tc>
        <w:tc>
          <w:tcPr>
            <w:tcW w:w="220" w:type="dxa"/>
            <w:vAlign w:val="bottom"/>
            <w:tcBorders>
              <w:top w:val="single" w:sz="8" w:color="2D53A6"/>
            </w:tcBorders>
            <w:shd w:val="clear" w:color="auto" w:fill="2D53A6"/>
          </w:tcPr>
          <w:p>
            <w:pPr>
              <w:spacing w:after="0"/>
              <w:rPr>
                <w:sz w:val="16"/>
                <w:szCs w:val="16"/>
                <w:color w:val="auto"/>
              </w:rPr>
            </w:pPr>
          </w:p>
        </w:tc>
        <w:tc>
          <w:tcPr>
            <w:tcW w:w="1440" w:type="dxa"/>
            <w:vAlign w:val="bottom"/>
            <w:tcBorders>
              <w:top w:val="single" w:sz="8" w:color="2D53A6"/>
              <w:right w:val="single" w:sz="8" w:color="3D85C6"/>
            </w:tcBorders>
            <w:shd w:val="clear" w:color="auto" w:fill="2D53A6"/>
          </w:tcPr>
          <w:p>
            <w:pPr>
              <w:jc w:val="center"/>
              <w:ind w:right="153"/>
              <w:spacing w:after="0" w:line="193" w:lineRule="exact"/>
              <w:rPr>
                <w:sz w:val="20"/>
                <w:szCs w:val="20"/>
                <w:color w:val="auto"/>
              </w:rPr>
            </w:pPr>
            <w:r>
              <w:rPr>
                <w:rFonts w:ascii="Arial" w:cs="Arial" w:eastAsia="Arial" w:hAnsi="Arial"/>
                <w:sz w:val="17"/>
                <w:szCs w:val="17"/>
                <w:b w:val="1"/>
                <w:bCs w:val="1"/>
                <w:color w:val="FFFFFF"/>
                <w:w w:val="99"/>
              </w:rPr>
              <w:t>Total Face</w:t>
            </w:r>
          </w:p>
        </w:tc>
        <w:tc>
          <w:tcPr>
            <w:tcW w:w="0" w:type="dxa"/>
            <w:vAlign w:val="bottom"/>
          </w:tcPr>
          <w:p>
            <w:pPr>
              <w:spacing w:after="0"/>
              <w:rPr>
                <w:sz w:val="1"/>
                <w:szCs w:val="1"/>
                <w:color w:val="auto"/>
              </w:rPr>
            </w:pPr>
          </w:p>
        </w:tc>
      </w:tr>
      <w:tr>
        <w:trPr>
          <w:trHeight w:val="195"/>
        </w:trPr>
        <w:tc>
          <w:tcPr>
            <w:tcW w:w="6200" w:type="dxa"/>
            <w:vAlign w:val="bottom"/>
            <w:tcBorders>
              <w:left w:val="single" w:sz="8" w:color="3D85C6"/>
              <w:right w:val="single" w:sz="8" w:color="3D85C6"/>
            </w:tcBorders>
            <w:vMerge w:val="restart"/>
            <w:shd w:val="clear" w:color="auto" w:fill="2D53A6"/>
          </w:tcPr>
          <w:p>
            <w:pPr>
              <w:ind w:left="180"/>
              <w:spacing w:after="0"/>
              <w:rPr>
                <w:sz w:val="20"/>
                <w:szCs w:val="20"/>
                <w:color w:val="auto"/>
              </w:rPr>
            </w:pPr>
            <w:r>
              <w:rPr>
                <w:rFonts w:ascii="Arial" w:cs="Arial" w:eastAsia="Arial" w:hAnsi="Arial"/>
                <w:sz w:val="17"/>
                <w:szCs w:val="17"/>
                <w:b w:val="1"/>
                <w:bCs w:val="1"/>
                <w:color w:val="FFFFFF"/>
              </w:rPr>
              <w:t>Named Executive Officer</w:t>
            </w:r>
          </w:p>
        </w:tc>
        <w:tc>
          <w:tcPr>
            <w:tcW w:w="170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Restricted</w:t>
            </w:r>
          </w:p>
        </w:tc>
        <w:tc>
          <w:tcPr>
            <w:tcW w:w="170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Performance</w:t>
            </w:r>
          </w:p>
        </w:tc>
        <w:tc>
          <w:tcPr>
            <w:tcW w:w="220" w:type="dxa"/>
            <w:vAlign w:val="bottom"/>
            <w:shd w:val="clear" w:color="auto" w:fill="2D53A6"/>
          </w:tcPr>
          <w:p>
            <w:pPr>
              <w:spacing w:after="0"/>
              <w:rPr>
                <w:sz w:val="16"/>
                <w:szCs w:val="16"/>
                <w:color w:val="auto"/>
              </w:rPr>
            </w:pPr>
          </w:p>
        </w:tc>
        <w:tc>
          <w:tcPr>
            <w:tcW w:w="1440" w:type="dxa"/>
            <w:vAlign w:val="bottom"/>
            <w:tcBorders>
              <w:right w:val="single" w:sz="8" w:color="3D85C6"/>
            </w:tcBorders>
            <w:shd w:val="clear" w:color="auto" w:fill="2D53A6"/>
          </w:tcPr>
          <w:p>
            <w:pPr>
              <w:jc w:val="center"/>
              <w:ind w:right="153"/>
              <w:spacing w:after="0"/>
              <w:rPr>
                <w:sz w:val="20"/>
                <w:szCs w:val="20"/>
                <w:color w:val="auto"/>
              </w:rPr>
            </w:pPr>
            <w:r>
              <w:rPr>
                <w:rFonts w:ascii="Arial" w:cs="Arial" w:eastAsia="Arial" w:hAnsi="Arial"/>
                <w:sz w:val="17"/>
                <w:szCs w:val="17"/>
                <w:b w:val="1"/>
                <w:bCs w:val="1"/>
                <w:color w:val="FFFFFF"/>
              </w:rPr>
              <w:t>Value of Stock</w:t>
            </w:r>
          </w:p>
        </w:tc>
        <w:tc>
          <w:tcPr>
            <w:tcW w:w="0" w:type="dxa"/>
            <w:vAlign w:val="bottom"/>
          </w:tcPr>
          <w:p>
            <w:pPr>
              <w:spacing w:after="0"/>
              <w:rPr>
                <w:sz w:val="1"/>
                <w:szCs w:val="1"/>
                <w:color w:val="auto"/>
              </w:rPr>
            </w:pPr>
          </w:p>
        </w:tc>
      </w:tr>
      <w:tr>
        <w:trPr>
          <w:trHeight w:val="135"/>
        </w:trPr>
        <w:tc>
          <w:tcPr>
            <w:tcW w:w="6200" w:type="dxa"/>
            <w:vAlign w:val="bottom"/>
            <w:tcBorders>
              <w:left w:val="single" w:sz="8" w:color="3D85C6"/>
              <w:right w:val="single" w:sz="8" w:color="3D85C6"/>
            </w:tcBorders>
            <w:vMerge w:val="continue"/>
            <w:shd w:val="clear" w:color="auto" w:fill="2D53A6"/>
          </w:tcPr>
          <w:p>
            <w:pPr>
              <w:spacing w:after="0"/>
              <w:rPr>
                <w:sz w:val="11"/>
                <w:szCs w:val="11"/>
                <w:color w:val="auto"/>
              </w:rPr>
            </w:pPr>
          </w:p>
        </w:tc>
        <w:tc>
          <w:tcPr>
            <w:tcW w:w="170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Stock Units</w:t>
            </w:r>
          </w:p>
        </w:tc>
        <w:tc>
          <w:tcPr>
            <w:tcW w:w="170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Stock Units</w:t>
            </w:r>
          </w:p>
        </w:tc>
        <w:tc>
          <w:tcPr>
            <w:tcW w:w="220" w:type="dxa"/>
            <w:vAlign w:val="bottom"/>
            <w:shd w:val="clear" w:color="auto" w:fill="2D53A6"/>
          </w:tcPr>
          <w:p>
            <w:pPr>
              <w:spacing w:after="0"/>
              <w:rPr>
                <w:sz w:val="11"/>
                <w:szCs w:val="11"/>
                <w:color w:val="auto"/>
              </w:rPr>
            </w:pPr>
          </w:p>
        </w:tc>
        <w:tc>
          <w:tcPr>
            <w:tcW w:w="1440" w:type="dxa"/>
            <w:vAlign w:val="bottom"/>
            <w:tcBorders>
              <w:right w:val="single" w:sz="8" w:color="3D85C6"/>
            </w:tcBorders>
            <w:vMerge w:val="restart"/>
            <w:shd w:val="clear" w:color="auto" w:fill="2D53A6"/>
          </w:tcPr>
          <w:p>
            <w:pPr>
              <w:jc w:val="center"/>
              <w:ind w:right="153"/>
              <w:spacing w:after="0"/>
              <w:rPr>
                <w:sz w:val="20"/>
                <w:szCs w:val="20"/>
                <w:color w:val="auto"/>
              </w:rPr>
            </w:pPr>
            <w:r>
              <w:rPr>
                <w:rFonts w:ascii="Arial" w:cs="Arial" w:eastAsia="Arial" w:hAnsi="Arial"/>
                <w:sz w:val="17"/>
                <w:szCs w:val="17"/>
                <w:b w:val="1"/>
                <w:bCs w:val="1"/>
                <w:color w:val="FFFFFF"/>
              </w:rPr>
              <w:t>Units at Time</w:t>
            </w:r>
          </w:p>
        </w:tc>
        <w:tc>
          <w:tcPr>
            <w:tcW w:w="0" w:type="dxa"/>
            <w:vAlign w:val="bottom"/>
          </w:tcPr>
          <w:p>
            <w:pPr>
              <w:spacing w:after="0"/>
              <w:rPr>
                <w:sz w:val="1"/>
                <w:szCs w:val="1"/>
                <w:color w:val="auto"/>
              </w:rPr>
            </w:pPr>
          </w:p>
        </w:tc>
      </w:tr>
      <w:tr>
        <w:trPr>
          <w:trHeight w:val="60"/>
        </w:trPr>
        <w:tc>
          <w:tcPr>
            <w:tcW w:w="6200" w:type="dxa"/>
            <w:vAlign w:val="bottom"/>
            <w:tcBorders>
              <w:left w:val="single" w:sz="8" w:color="3D85C6"/>
              <w:right w:val="single" w:sz="8" w:color="3D85C6"/>
            </w:tcBorders>
            <w:shd w:val="clear" w:color="auto" w:fill="2D53A6"/>
          </w:tcPr>
          <w:p>
            <w:pPr>
              <w:spacing w:after="0"/>
              <w:rPr>
                <w:sz w:val="5"/>
                <w:szCs w:val="5"/>
                <w:color w:val="auto"/>
              </w:rPr>
            </w:pPr>
          </w:p>
        </w:tc>
        <w:tc>
          <w:tcPr>
            <w:tcW w:w="1700" w:type="dxa"/>
            <w:vAlign w:val="bottom"/>
            <w:tcBorders>
              <w:right w:val="single" w:sz="8" w:color="3D85C6"/>
            </w:tcBorders>
            <w:vMerge w:val="continue"/>
            <w:shd w:val="clear" w:color="auto" w:fill="2D53A6"/>
          </w:tcPr>
          <w:p>
            <w:pPr>
              <w:spacing w:after="0"/>
              <w:rPr>
                <w:sz w:val="5"/>
                <w:szCs w:val="5"/>
                <w:color w:val="auto"/>
              </w:rPr>
            </w:pPr>
          </w:p>
        </w:tc>
        <w:tc>
          <w:tcPr>
            <w:tcW w:w="1700" w:type="dxa"/>
            <w:vAlign w:val="bottom"/>
            <w:tcBorders>
              <w:right w:val="single" w:sz="8" w:color="3D85C6"/>
            </w:tcBorders>
            <w:vMerge w:val="continue"/>
            <w:shd w:val="clear" w:color="auto" w:fill="2D53A6"/>
          </w:tcPr>
          <w:p>
            <w:pPr>
              <w:spacing w:after="0"/>
              <w:rPr>
                <w:sz w:val="5"/>
                <w:szCs w:val="5"/>
                <w:color w:val="auto"/>
              </w:rPr>
            </w:pPr>
          </w:p>
        </w:tc>
        <w:tc>
          <w:tcPr>
            <w:tcW w:w="220" w:type="dxa"/>
            <w:vAlign w:val="bottom"/>
            <w:shd w:val="clear" w:color="auto" w:fill="2D53A6"/>
          </w:tcPr>
          <w:p>
            <w:pPr>
              <w:spacing w:after="0"/>
              <w:rPr>
                <w:sz w:val="5"/>
                <w:szCs w:val="5"/>
                <w:color w:val="auto"/>
              </w:rPr>
            </w:pPr>
          </w:p>
        </w:tc>
        <w:tc>
          <w:tcPr>
            <w:tcW w:w="1440" w:type="dxa"/>
            <w:vAlign w:val="bottom"/>
            <w:tcBorders>
              <w:right w:val="single" w:sz="8" w:color="3D85C6"/>
            </w:tcBorders>
            <w:vMerge w:val="continue"/>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200" w:type="dxa"/>
            <w:vAlign w:val="bottom"/>
            <w:tcBorders>
              <w:left w:val="single" w:sz="8" w:color="3D85C6"/>
              <w:bottom w:val="single" w:sz="8" w:color="3D85C6"/>
              <w:right w:val="single" w:sz="8" w:color="3D85C6"/>
            </w:tcBorders>
            <w:shd w:val="clear" w:color="auto" w:fill="2D53A6"/>
          </w:tcPr>
          <w:p>
            <w:pPr>
              <w:spacing w:after="0"/>
              <w:rPr>
                <w:sz w:val="20"/>
                <w:szCs w:val="20"/>
                <w:color w:val="auto"/>
              </w:rPr>
            </w:pPr>
          </w:p>
        </w:tc>
        <w:tc>
          <w:tcPr>
            <w:tcW w:w="1700" w:type="dxa"/>
            <w:vAlign w:val="bottom"/>
            <w:tcBorders>
              <w:bottom w:val="single" w:sz="8" w:color="3D85C6"/>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Granted</w:t>
            </w:r>
          </w:p>
        </w:tc>
        <w:tc>
          <w:tcPr>
            <w:tcW w:w="1700" w:type="dxa"/>
            <w:vAlign w:val="bottom"/>
            <w:tcBorders>
              <w:bottom w:val="single" w:sz="8" w:color="3D85C6"/>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 xml:space="preserve">Granted </w:t>
            </w:r>
            <w:r>
              <w:rPr>
                <w:rFonts w:ascii="Arial" w:cs="Arial" w:eastAsia="Arial" w:hAnsi="Arial"/>
                <w:sz w:val="14"/>
                <w:szCs w:val="14"/>
                <w:b w:val="1"/>
                <w:bCs w:val="1"/>
                <w:color w:val="FFFFFF"/>
              </w:rPr>
              <w:t>(1)</w:t>
            </w:r>
          </w:p>
        </w:tc>
        <w:tc>
          <w:tcPr>
            <w:tcW w:w="220" w:type="dxa"/>
            <w:vAlign w:val="bottom"/>
            <w:tcBorders>
              <w:bottom w:val="single" w:sz="8" w:color="3D85C6"/>
            </w:tcBorders>
            <w:shd w:val="clear" w:color="auto" w:fill="2D53A6"/>
          </w:tcPr>
          <w:p>
            <w:pPr>
              <w:spacing w:after="0"/>
              <w:rPr>
                <w:sz w:val="20"/>
                <w:szCs w:val="20"/>
                <w:color w:val="auto"/>
              </w:rPr>
            </w:pPr>
          </w:p>
        </w:tc>
        <w:tc>
          <w:tcPr>
            <w:tcW w:w="1440" w:type="dxa"/>
            <w:vAlign w:val="bottom"/>
            <w:tcBorders>
              <w:bottom w:val="single" w:sz="8" w:color="3D85C6"/>
              <w:right w:val="single" w:sz="8" w:color="3D85C6"/>
            </w:tcBorders>
            <w:shd w:val="clear" w:color="auto" w:fill="2D53A6"/>
          </w:tcPr>
          <w:p>
            <w:pPr>
              <w:jc w:val="center"/>
              <w:ind w:right="153"/>
              <w:spacing w:after="0"/>
              <w:rPr>
                <w:sz w:val="20"/>
                <w:szCs w:val="20"/>
                <w:color w:val="auto"/>
              </w:rPr>
            </w:pPr>
            <w:r>
              <w:rPr>
                <w:rFonts w:ascii="Arial" w:cs="Arial" w:eastAsia="Arial" w:hAnsi="Arial"/>
                <w:sz w:val="17"/>
                <w:szCs w:val="17"/>
                <w:b w:val="1"/>
                <w:bCs w:val="1"/>
                <w:color w:val="FFFFFF"/>
              </w:rPr>
              <w:t xml:space="preserve">of Grant </w:t>
            </w:r>
            <w:r>
              <w:rPr>
                <w:rFonts w:ascii="Arial" w:cs="Arial" w:eastAsia="Arial" w:hAnsi="Arial"/>
                <w:sz w:val="14"/>
                <w:szCs w:val="14"/>
                <w:b w:val="1"/>
                <w:bCs w:val="1"/>
                <w:color w:val="FFFFFF"/>
              </w:rPr>
              <w:t>(2)</w:t>
            </w:r>
          </w:p>
        </w:tc>
        <w:tc>
          <w:tcPr>
            <w:tcW w:w="0" w:type="dxa"/>
            <w:vAlign w:val="bottom"/>
          </w:tcPr>
          <w:p>
            <w:pPr>
              <w:spacing w:after="0"/>
              <w:rPr>
                <w:sz w:val="1"/>
                <w:szCs w:val="1"/>
                <w:color w:val="auto"/>
              </w:rPr>
            </w:pPr>
          </w:p>
        </w:tc>
      </w:tr>
      <w:tr>
        <w:trPr>
          <w:trHeight w:val="181"/>
        </w:trPr>
        <w:tc>
          <w:tcPr>
            <w:tcW w:w="6200" w:type="dxa"/>
            <w:vAlign w:val="bottom"/>
            <w:tcBorders>
              <w:left w:val="single" w:sz="8" w:color="3D85C6"/>
              <w:bottom w:val="single" w:sz="8" w:color="3D85C6"/>
              <w:right w:val="single" w:sz="8" w:color="3D85C6"/>
            </w:tcBorders>
          </w:tcPr>
          <w:p>
            <w:pPr>
              <w:ind w:left="180"/>
              <w:spacing w:after="0" w:line="181" w:lineRule="exact"/>
              <w:rPr>
                <w:sz w:val="20"/>
                <w:szCs w:val="20"/>
                <w:color w:val="auto"/>
              </w:rPr>
            </w:pPr>
            <w:r>
              <w:rPr>
                <w:rFonts w:ascii="Arial" w:cs="Arial" w:eastAsia="Arial" w:hAnsi="Arial"/>
                <w:sz w:val="17"/>
                <w:szCs w:val="17"/>
                <w:color w:val="auto"/>
              </w:rPr>
              <w:t>Luis A. Müller</w:t>
            </w:r>
          </w:p>
        </w:tc>
        <w:tc>
          <w:tcPr>
            <w:tcW w:w="1700" w:type="dxa"/>
            <w:vAlign w:val="bottom"/>
            <w:tcBorders>
              <w:bottom w:val="single" w:sz="8" w:color="3D85C6"/>
              <w:right w:val="single" w:sz="8" w:color="3D85C6"/>
            </w:tcBorders>
          </w:tcPr>
          <w:p>
            <w:pPr>
              <w:jc w:val="right"/>
              <w:ind w:right="33"/>
              <w:spacing w:after="0" w:line="181" w:lineRule="exact"/>
              <w:rPr>
                <w:sz w:val="20"/>
                <w:szCs w:val="20"/>
                <w:color w:val="auto"/>
              </w:rPr>
            </w:pPr>
            <w:r>
              <w:rPr>
                <w:rFonts w:ascii="Arial" w:cs="Arial" w:eastAsia="Arial" w:hAnsi="Arial"/>
                <w:sz w:val="17"/>
                <w:szCs w:val="17"/>
                <w:color w:val="auto"/>
              </w:rPr>
              <w:t>97,067</w:t>
            </w:r>
          </w:p>
        </w:tc>
        <w:tc>
          <w:tcPr>
            <w:tcW w:w="1700" w:type="dxa"/>
            <w:vAlign w:val="bottom"/>
            <w:tcBorders>
              <w:bottom w:val="single" w:sz="8" w:color="3D85C6"/>
              <w:right w:val="single" w:sz="8" w:color="3D85C6"/>
            </w:tcBorders>
          </w:tcPr>
          <w:p>
            <w:pPr>
              <w:jc w:val="right"/>
              <w:ind w:right="33"/>
              <w:spacing w:after="0" w:line="181" w:lineRule="exact"/>
              <w:rPr>
                <w:sz w:val="20"/>
                <w:szCs w:val="20"/>
                <w:color w:val="auto"/>
              </w:rPr>
            </w:pPr>
            <w:r>
              <w:rPr>
                <w:rFonts w:ascii="Arial" w:cs="Arial" w:eastAsia="Arial" w:hAnsi="Arial"/>
                <w:sz w:val="17"/>
                <w:szCs w:val="17"/>
                <w:color w:val="auto"/>
              </w:rPr>
              <w:t>145,601</w:t>
            </w:r>
          </w:p>
        </w:tc>
        <w:tc>
          <w:tcPr>
            <w:tcW w:w="220" w:type="dxa"/>
            <w:vAlign w:val="bottom"/>
            <w:tcBorders>
              <w:bottom w:val="single" w:sz="8" w:color="3D85C6"/>
            </w:tcBorders>
          </w:tcPr>
          <w:p>
            <w:pPr>
              <w:jc w:val="right"/>
              <w:spacing w:after="0" w:line="181"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3D85C6"/>
              <w:right w:val="single" w:sz="8" w:color="3D85C6"/>
            </w:tcBorders>
          </w:tcPr>
          <w:p>
            <w:pPr>
              <w:jc w:val="right"/>
              <w:ind w:right="33"/>
              <w:spacing w:after="0" w:line="181" w:lineRule="exact"/>
              <w:rPr>
                <w:sz w:val="20"/>
                <w:szCs w:val="20"/>
                <w:color w:val="auto"/>
              </w:rPr>
            </w:pPr>
            <w:r>
              <w:rPr>
                <w:rFonts w:ascii="Arial" w:cs="Arial" w:eastAsia="Arial" w:hAnsi="Arial"/>
                <w:sz w:val="17"/>
                <w:szCs w:val="17"/>
                <w:color w:val="auto"/>
              </w:rPr>
              <w:t>4,799,973</w:t>
            </w:r>
          </w:p>
        </w:tc>
        <w:tc>
          <w:tcPr>
            <w:tcW w:w="0" w:type="dxa"/>
            <w:vAlign w:val="bottom"/>
          </w:tcPr>
          <w:p>
            <w:pPr>
              <w:spacing w:after="0"/>
              <w:rPr>
                <w:sz w:val="1"/>
                <w:szCs w:val="1"/>
                <w:color w:val="auto"/>
              </w:rPr>
            </w:pPr>
          </w:p>
        </w:tc>
      </w:tr>
      <w:tr>
        <w:trPr>
          <w:trHeight w:val="201"/>
        </w:trPr>
        <w:tc>
          <w:tcPr>
            <w:tcW w:w="6200" w:type="dxa"/>
            <w:vAlign w:val="bottom"/>
            <w:tcBorders>
              <w:left w:val="single" w:sz="8" w:color="3D85C6"/>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Jeffrey D. Jones</w:t>
            </w:r>
          </w:p>
        </w:tc>
        <w:tc>
          <w:tcPr>
            <w:tcW w:w="170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30,333</w:t>
            </w:r>
          </w:p>
        </w:tc>
        <w:tc>
          <w:tcPr>
            <w:tcW w:w="170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45,500</w:t>
            </w:r>
          </w:p>
        </w:tc>
        <w:tc>
          <w:tcPr>
            <w:tcW w:w="220" w:type="dxa"/>
            <w:vAlign w:val="bottom"/>
            <w:tcBorders>
              <w:bottom w:val="single" w:sz="8" w:color="3D85C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1,499,977</w:t>
            </w:r>
          </w:p>
        </w:tc>
        <w:tc>
          <w:tcPr>
            <w:tcW w:w="0" w:type="dxa"/>
            <w:vAlign w:val="bottom"/>
          </w:tcPr>
          <w:p>
            <w:pPr>
              <w:spacing w:after="0"/>
              <w:rPr>
                <w:sz w:val="1"/>
                <w:szCs w:val="1"/>
                <w:color w:val="auto"/>
              </w:rPr>
            </w:pPr>
          </w:p>
        </w:tc>
      </w:tr>
      <w:tr>
        <w:trPr>
          <w:trHeight w:val="201"/>
        </w:trPr>
        <w:tc>
          <w:tcPr>
            <w:tcW w:w="6200" w:type="dxa"/>
            <w:vAlign w:val="bottom"/>
            <w:tcBorders>
              <w:left w:val="single" w:sz="8" w:color="3D85C6"/>
              <w:bottom w:val="single" w:sz="8" w:color="3D85C6"/>
              <w:right w:val="single" w:sz="8" w:color="3D85C6"/>
            </w:tcBorders>
          </w:tcPr>
          <w:p>
            <w:pPr>
              <w:ind w:left="180"/>
              <w:spacing w:after="0"/>
              <w:rPr>
                <w:sz w:val="20"/>
                <w:szCs w:val="20"/>
                <w:color w:val="auto"/>
              </w:rPr>
            </w:pPr>
            <w:r>
              <w:rPr>
                <w:rFonts w:ascii="Arial" w:cs="Arial" w:eastAsia="Arial" w:hAnsi="Arial"/>
                <w:sz w:val="17"/>
                <w:szCs w:val="17"/>
                <w:color w:val="auto"/>
              </w:rPr>
              <w:t>Christopher G. Bohrson</w:t>
            </w:r>
          </w:p>
        </w:tc>
        <w:tc>
          <w:tcPr>
            <w:tcW w:w="170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22,244</w:t>
            </w:r>
          </w:p>
        </w:tc>
        <w:tc>
          <w:tcPr>
            <w:tcW w:w="170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33,367</w:t>
            </w:r>
          </w:p>
        </w:tc>
        <w:tc>
          <w:tcPr>
            <w:tcW w:w="220" w:type="dxa"/>
            <w:vAlign w:val="bottom"/>
            <w:tcBorders>
              <w:bottom w:val="single" w:sz="8" w:color="3D85C6"/>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1,099,986</w:t>
            </w:r>
          </w:p>
        </w:tc>
        <w:tc>
          <w:tcPr>
            <w:tcW w:w="0" w:type="dxa"/>
            <w:vAlign w:val="bottom"/>
          </w:tcPr>
          <w:p>
            <w:pPr>
              <w:spacing w:after="0"/>
              <w:rPr>
                <w:sz w:val="1"/>
                <w:szCs w:val="1"/>
                <w:color w:val="auto"/>
              </w:rPr>
            </w:pPr>
          </w:p>
        </w:tc>
      </w:tr>
      <w:tr>
        <w:trPr>
          <w:trHeight w:val="201"/>
        </w:trPr>
        <w:tc>
          <w:tcPr>
            <w:tcW w:w="6200" w:type="dxa"/>
            <w:vAlign w:val="bottom"/>
            <w:tcBorders>
              <w:left w:val="single" w:sz="8" w:color="3D85C6"/>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Klaus Ilgenfritz</w:t>
            </w:r>
          </w:p>
        </w:tc>
        <w:tc>
          <w:tcPr>
            <w:tcW w:w="170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15,166</w:t>
            </w:r>
          </w:p>
        </w:tc>
        <w:tc>
          <w:tcPr>
            <w:tcW w:w="170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22,750</w:t>
            </w:r>
          </w:p>
        </w:tc>
        <w:tc>
          <w:tcPr>
            <w:tcW w:w="220" w:type="dxa"/>
            <w:vAlign w:val="bottom"/>
            <w:tcBorders>
              <w:bottom w:val="single" w:sz="8" w:color="3D85C6"/>
            </w:tcBorders>
            <w:shd w:val="clear" w:color="auto" w:fill="E6E6E6"/>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749,978</w:t>
            </w:r>
          </w:p>
        </w:tc>
        <w:tc>
          <w:tcPr>
            <w:tcW w:w="0" w:type="dxa"/>
            <w:vAlign w:val="bottom"/>
          </w:tcPr>
          <w:p>
            <w:pPr>
              <w:spacing w:after="0"/>
              <w:rPr>
                <w:sz w:val="1"/>
                <w:szCs w:val="1"/>
                <w:color w:val="auto"/>
              </w:rPr>
            </w:pPr>
          </w:p>
        </w:tc>
      </w:tr>
    </w:tbl>
    <w:p>
      <w:pPr>
        <w:ind w:left="320" w:hanging="316"/>
        <w:spacing w:after="0"/>
        <w:tabs>
          <w:tab w:leader="none" w:pos="3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PSUs granted at the target award level.</w:t>
      </w:r>
    </w:p>
    <w:p>
      <w:pPr>
        <w:ind w:left="320" w:right="60" w:hanging="316"/>
        <w:spacing w:after="0" w:line="244" w:lineRule="auto"/>
        <w:tabs>
          <w:tab w:leader="none" w:pos="3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20-day average closing price of COHU common stock preceding the grant date of March 11, 2025 was $19.78. The amounts shown above are the grant date target face value for stock awards issued in the form of RSUs and PSUs granted in 2025 as calculated based on the $19.78 average closing price.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 Awards</w:t>
      </w:r>
    </w:p>
    <w:p>
      <w:pPr>
        <w:spacing w:after="0" w:line="194"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Consistent with our other employee equity awards, the RSU awards granted to our executive officers in 2025 vest ratably over three years on each anniversary of the date of the grant.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Stock Unit Awards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2025 PSU Awards</w:t>
      </w:r>
    </w:p>
    <w:p>
      <w:pPr>
        <w:spacing w:after="0" w:line="194"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color w:val="auto"/>
        </w:rPr>
        <w:t>In 2025, the Compensation Committee evaluated its historical use of custom peer groups as the Comparator Group for the TSR in PSU awards and determined that continuing to use a broader-based index of companies remained appropriate to assess the performance of Cohu’s TSR. Therefore, the PSU awards granted to our executive officers in March 2025 will be earned based on our TSR as compared to the Russell 2000 Index (“RUT”) measured over a three-year performance period beginning on the first day of our fiscal year 2025, with earned shares vesting fully on the third anniversary of the date of grant. The performance period for the 2025 PSU Awards was set at three years to enhance the long-term focus of the program.</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color w:val="auto"/>
        </w:rPr>
        <w:t>The methodology on how shares of our common stock may be earned under the 2025 PSU Awards is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3940" w:type="dxa"/>
            <w:vAlign w:val="bottom"/>
            <w:tcBorders>
              <w:top w:val="single" w:sz="8" w:color="3D85C6"/>
              <w:left w:val="single" w:sz="8" w:color="3D85C6"/>
              <w:bottom w:val="single" w:sz="8" w:color="3D85C6"/>
              <w:right w:val="single" w:sz="8" w:color="3D85C6"/>
            </w:tcBorders>
            <w:shd w:val="clear" w:color="auto" w:fill="2D53A6"/>
          </w:tcPr>
          <w:p>
            <w:pPr>
              <w:ind w:left="180"/>
              <w:spacing w:after="0"/>
              <w:rPr>
                <w:sz w:val="20"/>
                <w:szCs w:val="20"/>
                <w:color w:val="auto"/>
              </w:rPr>
            </w:pPr>
            <w:r>
              <w:rPr>
                <w:rFonts w:ascii="Arial" w:cs="Arial" w:eastAsia="Arial" w:hAnsi="Arial"/>
                <w:sz w:val="17"/>
                <w:szCs w:val="17"/>
                <w:b w:val="1"/>
                <w:bCs w:val="1"/>
                <w:color w:val="FFFFFF"/>
              </w:rPr>
              <w:t>PSU Award Feature</w:t>
            </w:r>
          </w:p>
        </w:tc>
        <w:tc>
          <w:tcPr>
            <w:tcW w:w="7320" w:type="dxa"/>
            <w:vAlign w:val="bottom"/>
            <w:tcBorders>
              <w:top w:val="single" w:sz="8" w:color="2D53A6"/>
              <w:bottom w:val="single" w:sz="8" w:color="3D85C6"/>
              <w:right w:val="single" w:sz="8" w:color="3D85C6"/>
            </w:tcBorders>
            <w:shd w:val="clear" w:color="auto" w:fill="2D53A6"/>
          </w:tcPr>
          <w:p>
            <w:pPr>
              <w:ind w:left="160"/>
              <w:spacing w:after="0"/>
              <w:rPr>
                <w:sz w:val="20"/>
                <w:szCs w:val="20"/>
                <w:color w:val="auto"/>
              </w:rPr>
            </w:pPr>
            <w:r>
              <w:rPr>
                <w:rFonts w:ascii="Arial" w:cs="Arial" w:eastAsia="Arial" w:hAnsi="Arial"/>
                <w:sz w:val="17"/>
                <w:szCs w:val="17"/>
                <w:b w:val="1"/>
                <w:bCs w:val="1"/>
                <w:color w:val="FFFFFF"/>
              </w:rPr>
              <w:t>Description</w:t>
            </w:r>
          </w:p>
        </w:tc>
        <w:tc>
          <w:tcPr>
            <w:tcW w:w="0" w:type="dxa"/>
            <w:vAlign w:val="bottom"/>
          </w:tcPr>
          <w:p>
            <w:pPr>
              <w:spacing w:after="0"/>
              <w:rPr>
                <w:sz w:val="1"/>
                <w:szCs w:val="1"/>
                <w:color w:val="auto"/>
              </w:rPr>
            </w:pPr>
          </w:p>
        </w:tc>
      </w:tr>
      <w:tr>
        <w:trPr>
          <w:trHeight w:val="168"/>
        </w:trPr>
        <w:tc>
          <w:tcPr>
            <w:tcW w:w="3940" w:type="dxa"/>
            <w:vAlign w:val="bottom"/>
            <w:tcBorders>
              <w:left w:val="single" w:sz="8" w:color="3D85C6"/>
              <w:bottom w:val="single" w:sz="8" w:color="3D85C6"/>
              <w:right w:val="single" w:sz="8" w:color="3D85C6"/>
            </w:tcBorders>
          </w:tcPr>
          <w:p>
            <w:pPr>
              <w:ind w:left="180"/>
              <w:spacing w:after="0" w:line="168" w:lineRule="exact"/>
              <w:rPr>
                <w:sz w:val="20"/>
                <w:szCs w:val="20"/>
                <w:color w:val="auto"/>
              </w:rPr>
            </w:pPr>
            <w:r>
              <w:rPr>
                <w:rFonts w:ascii="Arial" w:cs="Arial" w:eastAsia="Arial" w:hAnsi="Arial"/>
                <w:sz w:val="17"/>
                <w:szCs w:val="17"/>
                <w:color w:val="auto"/>
              </w:rPr>
              <w:t>Performance Period</w:t>
            </w:r>
          </w:p>
        </w:tc>
        <w:tc>
          <w:tcPr>
            <w:tcW w:w="7320" w:type="dxa"/>
            <w:vAlign w:val="bottom"/>
            <w:tcBorders>
              <w:bottom w:val="single" w:sz="8" w:color="3D85C6"/>
              <w:right w:val="single" w:sz="8" w:color="3D85C6"/>
            </w:tcBorders>
          </w:tcPr>
          <w:p>
            <w:pPr>
              <w:ind w:left="160"/>
              <w:spacing w:after="0" w:line="168" w:lineRule="exact"/>
              <w:rPr>
                <w:sz w:val="20"/>
                <w:szCs w:val="20"/>
                <w:color w:val="auto"/>
              </w:rPr>
            </w:pPr>
            <w:r>
              <w:rPr>
                <w:rFonts w:ascii="Arial" w:cs="Arial" w:eastAsia="Arial" w:hAnsi="Arial"/>
                <w:sz w:val="17"/>
                <w:szCs w:val="17"/>
                <w:color w:val="auto"/>
              </w:rPr>
              <w:t>Three fiscal years beginning on the first day of 2025</w:t>
            </w:r>
          </w:p>
        </w:tc>
        <w:tc>
          <w:tcPr>
            <w:tcW w:w="0" w:type="dxa"/>
            <w:vAlign w:val="bottom"/>
          </w:tcPr>
          <w:p>
            <w:pPr>
              <w:spacing w:after="0"/>
              <w:rPr>
                <w:sz w:val="1"/>
                <w:szCs w:val="1"/>
                <w:color w:val="auto"/>
              </w:rPr>
            </w:pPr>
          </w:p>
        </w:tc>
      </w:tr>
      <w:tr>
        <w:trPr>
          <w:trHeight w:val="188"/>
        </w:trPr>
        <w:tc>
          <w:tcPr>
            <w:tcW w:w="3940" w:type="dxa"/>
            <w:vAlign w:val="bottom"/>
            <w:tcBorders>
              <w:left w:val="single" w:sz="8" w:color="3D85C6"/>
              <w:bottom w:val="single" w:sz="8" w:color="3D85C6"/>
              <w:right w:val="single" w:sz="8" w:color="3D85C6"/>
            </w:tcBorders>
            <w:shd w:val="clear" w:color="auto" w:fill="E6E6E6"/>
          </w:tcPr>
          <w:p>
            <w:pPr>
              <w:ind w:left="180"/>
              <w:spacing w:after="0" w:line="188" w:lineRule="exact"/>
              <w:rPr>
                <w:sz w:val="20"/>
                <w:szCs w:val="20"/>
                <w:color w:val="auto"/>
              </w:rPr>
            </w:pPr>
            <w:r>
              <w:rPr>
                <w:rFonts w:ascii="Arial" w:cs="Arial" w:eastAsia="Arial" w:hAnsi="Arial"/>
                <w:sz w:val="17"/>
                <w:szCs w:val="17"/>
                <w:color w:val="auto"/>
              </w:rPr>
              <w:t>Performance Measure</w:t>
            </w:r>
          </w:p>
        </w:tc>
        <w:tc>
          <w:tcPr>
            <w:tcW w:w="7320" w:type="dxa"/>
            <w:vAlign w:val="bottom"/>
            <w:tcBorders>
              <w:bottom w:val="single" w:sz="8" w:color="3D85C6"/>
              <w:right w:val="single" w:sz="8" w:color="3D85C6"/>
            </w:tcBorders>
            <w:shd w:val="clear" w:color="auto" w:fill="E6E6E6"/>
          </w:tcPr>
          <w:p>
            <w:pPr>
              <w:ind w:left="160"/>
              <w:spacing w:after="0" w:line="188" w:lineRule="exact"/>
              <w:rPr>
                <w:sz w:val="20"/>
                <w:szCs w:val="20"/>
                <w:color w:val="auto"/>
              </w:rPr>
            </w:pPr>
            <w:r>
              <w:rPr>
                <w:rFonts w:ascii="Arial" w:cs="Arial" w:eastAsia="Arial" w:hAnsi="Arial"/>
                <w:sz w:val="17"/>
                <w:szCs w:val="17"/>
                <w:color w:val="auto"/>
              </w:rPr>
              <w:t>TSR performance relative to the Russell 2000 Index (“RUT”)</w:t>
            </w:r>
          </w:p>
        </w:tc>
        <w:tc>
          <w:tcPr>
            <w:tcW w:w="0" w:type="dxa"/>
            <w:vAlign w:val="bottom"/>
          </w:tcPr>
          <w:p>
            <w:pPr>
              <w:spacing w:after="0"/>
              <w:rPr>
                <w:sz w:val="1"/>
                <w:szCs w:val="1"/>
                <w:color w:val="auto"/>
              </w:rPr>
            </w:pPr>
          </w:p>
        </w:tc>
      </w:tr>
      <w:tr>
        <w:trPr>
          <w:trHeight w:val="188"/>
        </w:trPr>
        <w:tc>
          <w:tcPr>
            <w:tcW w:w="3940" w:type="dxa"/>
            <w:vAlign w:val="bottom"/>
            <w:tcBorders>
              <w:left w:val="single" w:sz="8" w:color="3D85C6"/>
              <w:bottom w:val="single" w:sz="8" w:color="3D85C6"/>
              <w:right w:val="single" w:sz="8" w:color="3D85C6"/>
            </w:tcBorders>
          </w:tcPr>
          <w:p>
            <w:pPr>
              <w:ind w:left="180"/>
              <w:spacing w:after="0" w:line="188" w:lineRule="exact"/>
              <w:rPr>
                <w:sz w:val="20"/>
                <w:szCs w:val="20"/>
                <w:color w:val="auto"/>
              </w:rPr>
            </w:pPr>
            <w:r>
              <w:rPr>
                <w:rFonts w:ascii="Arial" w:cs="Arial" w:eastAsia="Arial" w:hAnsi="Arial"/>
                <w:sz w:val="17"/>
                <w:szCs w:val="17"/>
                <w:color w:val="auto"/>
              </w:rPr>
              <w:t>Performance Scale</w:t>
            </w:r>
          </w:p>
        </w:tc>
        <w:tc>
          <w:tcPr>
            <w:tcW w:w="7320" w:type="dxa"/>
            <w:vAlign w:val="bottom"/>
            <w:tcBorders>
              <w:bottom w:val="single" w:sz="8" w:color="3D85C6"/>
              <w:right w:val="single" w:sz="8" w:color="3D85C6"/>
            </w:tcBorders>
          </w:tcPr>
          <w:p>
            <w:pPr>
              <w:ind w:left="160"/>
              <w:spacing w:after="0" w:line="188" w:lineRule="exact"/>
              <w:rPr>
                <w:sz w:val="20"/>
                <w:szCs w:val="20"/>
                <w:color w:val="auto"/>
              </w:rPr>
            </w:pPr>
            <w:r>
              <w:rPr>
                <w:rFonts w:ascii="Arial" w:cs="Arial" w:eastAsia="Arial" w:hAnsi="Arial"/>
                <w:sz w:val="17"/>
                <w:szCs w:val="17"/>
                <w:color w:val="auto"/>
              </w:rPr>
              <w:t>2x spread between COHU and RUT measured and added or subtracted from target (100%)</w:t>
            </w:r>
          </w:p>
        </w:tc>
        <w:tc>
          <w:tcPr>
            <w:tcW w:w="0" w:type="dxa"/>
            <w:vAlign w:val="bottom"/>
          </w:tcPr>
          <w:p>
            <w:pPr>
              <w:spacing w:after="0"/>
              <w:rPr>
                <w:sz w:val="1"/>
                <w:szCs w:val="1"/>
                <w:color w:val="auto"/>
              </w:rPr>
            </w:pPr>
          </w:p>
        </w:tc>
      </w:tr>
      <w:tr>
        <w:trPr>
          <w:trHeight w:val="171"/>
        </w:trPr>
        <w:tc>
          <w:tcPr>
            <w:tcW w:w="3940" w:type="dxa"/>
            <w:vAlign w:val="bottom"/>
            <w:tcBorders>
              <w:left w:val="single" w:sz="8" w:color="3D85C6"/>
              <w:right w:val="single" w:sz="8" w:color="3D85C6"/>
            </w:tcBorders>
            <w:shd w:val="clear" w:color="auto" w:fill="E6E6E6"/>
          </w:tcPr>
          <w:p>
            <w:pPr>
              <w:spacing w:after="0"/>
              <w:rPr>
                <w:sz w:val="14"/>
                <w:szCs w:val="14"/>
                <w:color w:val="auto"/>
              </w:rPr>
            </w:pPr>
          </w:p>
        </w:tc>
        <w:tc>
          <w:tcPr>
            <w:tcW w:w="7320" w:type="dxa"/>
            <w:vAlign w:val="bottom"/>
            <w:tcBorders>
              <w:right w:val="single" w:sz="8" w:color="3D85C6"/>
            </w:tcBorders>
            <w:shd w:val="clear" w:color="auto" w:fill="E6E6E6"/>
          </w:tcPr>
          <w:p>
            <w:pPr>
              <w:ind w:left="160"/>
              <w:spacing w:after="0" w:line="172" w:lineRule="exact"/>
              <w:rPr>
                <w:sz w:val="20"/>
                <w:szCs w:val="20"/>
                <w:color w:val="auto"/>
              </w:rPr>
            </w:pPr>
            <w:r>
              <w:rPr>
                <w:rFonts w:ascii="Arial" w:cs="Arial" w:eastAsia="Arial" w:hAnsi="Arial"/>
                <w:sz w:val="17"/>
                <w:szCs w:val="17"/>
                <w:color w:val="auto"/>
              </w:rPr>
              <w:t>Net change in average closing price of COHU and RUT over the 20 trading-day period</w:t>
            </w:r>
          </w:p>
        </w:tc>
        <w:tc>
          <w:tcPr>
            <w:tcW w:w="0" w:type="dxa"/>
            <w:vAlign w:val="bottom"/>
          </w:tcPr>
          <w:p>
            <w:pPr>
              <w:spacing w:after="0"/>
              <w:rPr>
                <w:sz w:val="1"/>
                <w:szCs w:val="1"/>
                <w:color w:val="auto"/>
              </w:rPr>
            </w:pPr>
          </w:p>
        </w:tc>
      </w:tr>
      <w:tr>
        <w:trPr>
          <w:trHeight w:val="195"/>
        </w:trPr>
        <w:tc>
          <w:tcPr>
            <w:tcW w:w="3940" w:type="dxa"/>
            <w:vAlign w:val="bottom"/>
            <w:tcBorders>
              <w:left w:val="single" w:sz="8" w:color="3D85C6"/>
              <w:right w:val="single" w:sz="8" w:color="3D85C6"/>
            </w:tcBorders>
            <w:vMerge w:val="restart"/>
            <w:shd w:val="clear" w:color="auto" w:fill="E6E6E6"/>
          </w:tcPr>
          <w:p>
            <w:pPr>
              <w:ind w:left="180"/>
              <w:spacing w:after="0"/>
              <w:rPr>
                <w:sz w:val="20"/>
                <w:szCs w:val="20"/>
                <w:color w:val="auto"/>
              </w:rPr>
            </w:pPr>
            <w:r>
              <w:rPr>
                <w:rFonts w:ascii="Arial" w:cs="Arial" w:eastAsia="Arial" w:hAnsi="Arial"/>
                <w:sz w:val="17"/>
                <w:szCs w:val="17"/>
                <w:color w:val="auto"/>
              </w:rPr>
              <w:t>Performance Methodology</w:t>
            </w:r>
          </w:p>
        </w:tc>
        <w:tc>
          <w:tcPr>
            <w:tcW w:w="7320" w:type="dxa"/>
            <w:vAlign w:val="bottom"/>
            <w:tcBorders>
              <w:right w:val="single" w:sz="8" w:color="3D85C6"/>
            </w:tcBorders>
            <w:shd w:val="clear" w:color="auto" w:fill="E6E6E6"/>
          </w:tcPr>
          <w:p>
            <w:pPr>
              <w:ind w:left="160"/>
              <w:spacing w:after="0"/>
              <w:rPr>
                <w:sz w:val="20"/>
                <w:szCs w:val="20"/>
                <w:color w:val="auto"/>
              </w:rPr>
            </w:pPr>
            <w:r>
              <w:rPr>
                <w:rFonts w:ascii="Arial" w:cs="Arial" w:eastAsia="Arial" w:hAnsi="Arial"/>
                <w:sz w:val="17"/>
                <w:szCs w:val="17"/>
                <w:color w:val="auto"/>
              </w:rPr>
              <w:t>immediately preceding the beginning and end of the Performance Period. In the event that</w:t>
            </w:r>
          </w:p>
        </w:tc>
        <w:tc>
          <w:tcPr>
            <w:tcW w:w="0" w:type="dxa"/>
            <w:vAlign w:val="bottom"/>
          </w:tcPr>
          <w:p>
            <w:pPr>
              <w:spacing w:after="0"/>
              <w:rPr>
                <w:sz w:val="1"/>
                <w:szCs w:val="1"/>
                <w:color w:val="auto"/>
              </w:rPr>
            </w:pPr>
          </w:p>
        </w:tc>
      </w:tr>
      <w:tr>
        <w:trPr>
          <w:trHeight w:val="125"/>
        </w:trPr>
        <w:tc>
          <w:tcPr>
            <w:tcW w:w="3940" w:type="dxa"/>
            <w:vAlign w:val="bottom"/>
            <w:tcBorders>
              <w:left w:val="single" w:sz="8" w:color="3D85C6"/>
              <w:right w:val="single" w:sz="8" w:color="3D85C6"/>
            </w:tcBorders>
            <w:vMerge w:val="continue"/>
            <w:shd w:val="clear" w:color="auto" w:fill="E6E6E6"/>
          </w:tcPr>
          <w:p>
            <w:pPr>
              <w:spacing w:after="0"/>
              <w:rPr>
                <w:sz w:val="10"/>
                <w:szCs w:val="10"/>
                <w:color w:val="auto"/>
              </w:rPr>
            </w:pPr>
          </w:p>
        </w:tc>
        <w:tc>
          <w:tcPr>
            <w:tcW w:w="7320" w:type="dxa"/>
            <w:vAlign w:val="bottom"/>
            <w:tcBorders>
              <w:right w:val="single" w:sz="8" w:color="3D85C6"/>
            </w:tcBorders>
            <w:vMerge w:val="restart"/>
            <w:shd w:val="clear" w:color="auto" w:fill="E6E6E6"/>
          </w:tcPr>
          <w:p>
            <w:pPr>
              <w:ind w:left="160"/>
              <w:spacing w:after="0"/>
              <w:rPr>
                <w:sz w:val="20"/>
                <w:szCs w:val="20"/>
                <w:color w:val="auto"/>
              </w:rPr>
            </w:pPr>
            <w:r>
              <w:rPr>
                <w:rFonts w:ascii="Arial" w:cs="Arial" w:eastAsia="Arial" w:hAnsi="Arial"/>
                <w:sz w:val="17"/>
                <w:szCs w:val="17"/>
                <w:color w:val="auto"/>
              </w:rPr>
              <w:t>both COHU and RUT TSRs are less than zero, the number of shares earned will not exceed</w:t>
            </w:r>
          </w:p>
        </w:tc>
        <w:tc>
          <w:tcPr>
            <w:tcW w:w="0" w:type="dxa"/>
            <w:vAlign w:val="bottom"/>
          </w:tcPr>
          <w:p>
            <w:pPr>
              <w:spacing w:after="0"/>
              <w:rPr>
                <w:sz w:val="1"/>
                <w:szCs w:val="1"/>
                <w:color w:val="auto"/>
              </w:rPr>
            </w:pPr>
          </w:p>
        </w:tc>
      </w:tr>
      <w:tr>
        <w:trPr>
          <w:trHeight w:val="70"/>
        </w:trPr>
        <w:tc>
          <w:tcPr>
            <w:tcW w:w="3940" w:type="dxa"/>
            <w:vAlign w:val="bottom"/>
            <w:tcBorders>
              <w:left w:val="single" w:sz="8" w:color="3D85C6"/>
              <w:right w:val="single" w:sz="8" w:color="3D85C6"/>
            </w:tcBorders>
            <w:shd w:val="clear" w:color="auto" w:fill="E6E6E6"/>
          </w:tcPr>
          <w:p>
            <w:pPr>
              <w:spacing w:after="0"/>
              <w:rPr>
                <w:sz w:val="6"/>
                <w:szCs w:val="6"/>
                <w:color w:val="auto"/>
              </w:rPr>
            </w:pPr>
          </w:p>
        </w:tc>
        <w:tc>
          <w:tcPr>
            <w:tcW w:w="7320" w:type="dxa"/>
            <w:vAlign w:val="bottom"/>
            <w:tcBorders>
              <w:right w:val="single" w:sz="8" w:color="3D85C6"/>
            </w:tcBorders>
            <w:vMerge w:val="continue"/>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940" w:type="dxa"/>
            <w:vAlign w:val="bottom"/>
            <w:tcBorders>
              <w:left w:val="single" w:sz="8" w:color="3D85C6"/>
              <w:bottom w:val="single" w:sz="8" w:color="3D85C6"/>
              <w:right w:val="single" w:sz="8" w:color="3D85C6"/>
            </w:tcBorders>
            <w:shd w:val="clear" w:color="auto" w:fill="E6E6E6"/>
          </w:tcPr>
          <w:p>
            <w:pPr>
              <w:spacing w:after="0"/>
              <w:rPr>
                <w:sz w:val="18"/>
                <w:szCs w:val="18"/>
                <w:color w:val="auto"/>
              </w:rPr>
            </w:pPr>
          </w:p>
        </w:tc>
        <w:tc>
          <w:tcPr>
            <w:tcW w:w="7320" w:type="dxa"/>
            <w:vAlign w:val="bottom"/>
            <w:tcBorders>
              <w:bottom w:val="single" w:sz="8" w:color="3D85C6"/>
              <w:right w:val="single" w:sz="8" w:color="3D85C6"/>
            </w:tcBorders>
            <w:shd w:val="clear" w:color="auto" w:fill="E6E6E6"/>
          </w:tcPr>
          <w:p>
            <w:pPr>
              <w:ind w:left="160"/>
              <w:spacing w:after="0"/>
              <w:rPr>
                <w:sz w:val="20"/>
                <w:szCs w:val="20"/>
                <w:color w:val="auto"/>
              </w:rPr>
            </w:pPr>
            <w:r>
              <w:rPr>
                <w:rFonts w:ascii="Arial" w:cs="Arial" w:eastAsia="Arial" w:hAnsi="Arial"/>
                <w:sz w:val="17"/>
                <w:szCs w:val="17"/>
                <w:color w:val="auto"/>
              </w:rPr>
              <w:t>100% of target.</w:t>
            </w:r>
          </w:p>
        </w:tc>
        <w:tc>
          <w:tcPr>
            <w:tcW w:w="0" w:type="dxa"/>
            <w:vAlign w:val="bottom"/>
          </w:tcPr>
          <w:p>
            <w:pPr>
              <w:spacing w:after="0"/>
              <w:rPr>
                <w:sz w:val="1"/>
                <w:szCs w:val="1"/>
                <w:color w:val="auto"/>
              </w:rPr>
            </w:pPr>
          </w:p>
        </w:tc>
      </w:tr>
      <w:tr>
        <w:trPr>
          <w:trHeight w:val="188"/>
        </w:trPr>
        <w:tc>
          <w:tcPr>
            <w:tcW w:w="3940" w:type="dxa"/>
            <w:vAlign w:val="bottom"/>
            <w:tcBorders>
              <w:left w:val="single" w:sz="8" w:color="3D85C6"/>
              <w:bottom w:val="single" w:sz="8" w:color="3D85C6"/>
              <w:right w:val="single" w:sz="8" w:color="3D85C6"/>
            </w:tcBorders>
          </w:tcPr>
          <w:p>
            <w:pPr>
              <w:ind w:left="180"/>
              <w:spacing w:after="0" w:line="188" w:lineRule="exact"/>
              <w:rPr>
                <w:sz w:val="20"/>
                <w:szCs w:val="20"/>
                <w:color w:val="auto"/>
              </w:rPr>
            </w:pPr>
            <w:r>
              <w:rPr>
                <w:rFonts w:ascii="Arial" w:cs="Arial" w:eastAsia="Arial" w:hAnsi="Arial"/>
                <w:sz w:val="17"/>
                <w:szCs w:val="17"/>
                <w:color w:val="auto"/>
              </w:rPr>
              <w:t>Range of PSUs Earnable</w:t>
            </w:r>
          </w:p>
        </w:tc>
        <w:tc>
          <w:tcPr>
            <w:tcW w:w="7320" w:type="dxa"/>
            <w:vAlign w:val="bottom"/>
            <w:tcBorders>
              <w:bottom w:val="single" w:sz="8" w:color="3D85C6"/>
              <w:right w:val="single" w:sz="8" w:color="3D85C6"/>
            </w:tcBorders>
          </w:tcPr>
          <w:p>
            <w:pPr>
              <w:ind w:left="160"/>
              <w:spacing w:after="0" w:line="188" w:lineRule="exact"/>
              <w:rPr>
                <w:sz w:val="20"/>
                <w:szCs w:val="20"/>
                <w:color w:val="auto"/>
              </w:rPr>
            </w:pPr>
            <w:r>
              <w:rPr>
                <w:rFonts w:ascii="Arial" w:cs="Arial" w:eastAsia="Arial" w:hAnsi="Arial"/>
                <w:sz w:val="17"/>
                <w:szCs w:val="17"/>
                <w:color w:val="auto"/>
              </w:rPr>
              <w:t>0-200% of number of shares granted</w:t>
            </w:r>
          </w:p>
        </w:tc>
        <w:tc>
          <w:tcPr>
            <w:tcW w:w="0" w:type="dxa"/>
            <w:vAlign w:val="bottom"/>
          </w:tcPr>
          <w:p>
            <w:pPr>
              <w:spacing w:after="0"/>
              <w:rPr>
                <w:sz w:val="1"/>
                <w:szCs w:val="1"/>
                <w:color w:val="auto"/>
              </w:rPr>
            </w:pPr>
          </w:p>
        </w:tc>
      </w:tr>
      <w:tr>
        <w:trPr>
          <w:trHeight w:val="188"/>
        </w:trPr>
        <w:tc>
          <w:tcPr>
            <w:tcW w:w="3940" w:type="dxa"/>
            <w:vAlign w:val="bottom"/>
            <w:tcBorders>
              <w:left w:val="single" w:sz="8" w:color="3D85C6"/>
              <w:bottom w:val="single" w:sz="8" w:color="3D85C6"/>
              <w:right w:val="single" w:sz="8" w:color="3D85C6"/>
            </w:tcBorders>
            <w:shd w:val="clear" w:color="auto" w:fill="E6E6E6"/>
          </w:tcPr>
          <w:p>
            <w:pPr>
              <w:ind w:left="180"/>
              <w:spacing w:after="0" w:line="188" w:lineRule="exact"/>
              <w:rPr>
                <w:sz w:val="20"/>
                <w:szCs w:val="20"/>
                <w:color w:val="auto"/>
              </w:rPr>
            </w:pPr>
            <w:r>
              <w:rPr>
                <w:rFonts w:ascii="Arial" w:cs="Arial" w:eastAsia="Arial" w:hAnsi="Arial"/>
                <w:sz w:val="17"/>
                <w:szCs w:val="17"/>
                <w:color w:val="auto"/>
              </w:rPr>
              <w:t>Vesting Period</w:t>
            </w:r>
          </w:p>
        </w:tc>
        <w:tc>
          <w:tcPr>
            <w:tcW w:w="7320" w:type="dxa"/>
            <w:vAlign w:val="bottom"/>
            <w:tcBorders>
              <w:bottom w:val="single" w:sz="8" w:color="3D85C6"/>
              <w:right w:val="single" w:sz="8" w:color="3D85C6"/>
            </w:tcBorders>
            <w:shd w:val="clear" w:color="auto" w:fill="E6E6E6"/>
          </w:tcPr>
          <w:p>
            <w:pPr>
              <w:ind w:left="160"/>
              <w:spacing w:after="0" w:line="188" w:lineRule="exact"/>
              <w:rPr>
                <w:sz w:val="20"/>
                <w:szCs w:val="20"/>
                <w:color w:val="auto"/>
              </w:rPr>
            </w:pPr>
            <w:r>
              <w:rPr>
                <w:rFonts w:ascii="Arial" w:cs="Arial" w:eastAsia="Arial" w:hAnsi="Arial"/>
                <w:sz w:val="17"/>
                <w:szCs w:val="17"/>
                <w:color w:val="auto"/>
              </w:rPr>
              <w:t>100% on third anniversary of the date of the grant</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2023 PSU Award Results</w:t>
      </w:r>
    </w:p>
    <w:p>
      <w:pPr>
        <w:spacing w:after="0" w:line="19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2023 PSU awards had a three-year performance period after which the number of shares of our common stock earned was determined based on calculating two times the spread between the percentage increase or decrease in the COHU and RUT measured and added or subtracted from the target of 100%. The spread was measured as the net change in average closing market prices of COHU and RUT over the 20 trading-day period immediately preceding both January 1, 2023 (the beginning of the Performance Period) and December 27, 2025 (the end of the Performance Period).</w:t>
      </w:r>
    </w:p>
    <w:p>
      <w:pPr>
        <w:spacing w:after="0" w:line="155" w:lineRule="exact"/>
        <w:rPr>
          <w:sz w:val="20"/>
          <w:szCs w:val="20"/>
          <w:color w:val="auto"/>
        </w:rPr>
      </w:pPr>
    </w:p>
    <w:p>
      <w:pPr>
        <w:jc w:val="both"/>
        <w:ind w:right="260"/>
        <w:spacing w:after="0" w:line="259" w:lineRule="auto"/>
        <w:rPr>
          <w:sz w:val="20"/>
          <w:szCs w:val="20"/>
          <w:color w:val="auto"/>
        </w:rPr>
      </w:pPr>
      <w:r>
        <w:rPr>
          <w:rFonts w:ascii="Arial" w:cs="Arial" w:eastAsia="Arial" w:hAnsi="Arial"/>
          <w:sz w:val="17"/>
          <w:szCs w:val="17"/>
          <w:color w:val="auto"/>
        </w:rPr>
        <w:t>Following the end of 2025, the Compensation Committee compared our actual performance with respect to the RUT and the TSR result for the years 2023 through 2025 which was calculated to be –69.5% and, therefore, the number of shares of our common stock earned under the 2022 PSU awards was 0% of the target number of shares granted to each executive officer.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our common stock earned by our NEOs with respect to their 2023 PSU awards was: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4060" w:type="dxa"/>
            <w:vAlign w:val="bottom"/>
            <w:tcBorders>
              <w:top w:val="single" w:sz="8" w:color="3D85C6"/>
              <w:left w:val="single" w:sz="8" w:color="3D85C6"/>
              <w:right w:val="single" w:sz="8" w:color="3D85C6"/>
            </w:tcBorders>
            <w:shd w:val="clear" w:color="auto" w:fill="2D53A6"/>
          </w:tcPr>
          <w:p>
            <w:pPr>
              <w:spacing w:after="0"/>
              <w:rPr>
                <w:sz w:val="16"/>
                <w:szCs w:val="16"/>
                <w:color w:val="auto"/>
              </w:rPr>
            </w:pPr>
          </w:p>
        </w:tc>
        <w:tc>
          <w:tcPr>
            <w:tcW w:w="1920" w:type="dxa"/>
            <w:vAlign w:val="bottom"/>
            <w:tcBorders>
              <w:top w:val="single" w:sz="8" w:color="2D53A6"/>
            </w:tcBorders>
            <w:vMerge w:val="restart"/>
            <w:shd w:val="clear" w:color="auto" w:fill="2D53A6"/>
          </w:tcPr>
          <w:p>
            <w:pPr>
              <w:jc w:val="center"/>
              <w:ind w:right="13"/>
              <w:spacing w:after="0"/>
              <w:rPr>
                <w:sz w:val="20"/>
                <w:szCs w:val="20"/>
                <w:color w:val="auto"/>
              </w:rPr>
            </w:pPr>
            <w:r>
              <w:rPr>
                <w:rFonts w:ascii="Arial" w:cs="Arial" w:eastAsia="Arial" w:hAnsi="Arial"/>
                <w:sz w:val="17"/>
                <w:szCs w:val="17"/>
                <w:b w:val="1"/>
                <w:bCs w:val="1"/>
                <w:color w:val="FFFFFF"/>
              </w:rPr>
              <w:t>Performance</w:t>
            </w:r>
          </w:p>
        </w:tc>
        <w:tc>
          <w:tcPr>
            <w:tcW w:w="1720" w:type="dxa"/>
            <w:vAlign w:val="bottom"/>
            <w:tcBorders>
              <w:top w:val="single" w:sz="8" w:color="2D53A6"/>
            </w:tcBorders>
            <w:shd w:val="clear" w:color="auto" w:fill="2D53A6"/>
          </w:tcPr>
          <w:p>
            <w:pPr>
              <w:spacing w:after="0"/>
              <w:rPr>
                <w:sz w:val="16"/>
                <w:szCs w:val="16"/>
                <w:color w:val="auto"/>
              </w:rPr>
            </w:pPr>
          </w:p>
        </w:tc>
        <w:tc>
          <w:tcPr>
            <w:tcW w:w="1680" w:type="dxa"/>
            <w:vAlign w:val="bottom"/>
            <w:tcBorders>
              <w:top w:val="single" w:sz="8" w:color="2D53A6"/>
            </w:tcBorders>
            <w:shd w:val="clear" w:color="auto" w:fill="2D53A6"/>
          </w:tcPr>
          <w:p>
            <w:pPr>
              <w:spacing w:after="0"/>
              <w:rPr>
                <w:sz w:val="16"/>
                <w:szCs w:val="16"/>
                <w:color w:val="auto"/>
              </w:rPr>
            </w:pPr>
          </w:p>
        </w:tc>
        <w:tc>
          <w:tcPr>
            <w:tcW w:w="1860" w:type="dxa"/>
            <w:vAlign w:val="bottom"/>
            <w:tcBorders>
              <w:top w:val="single" w:sz="8" w:color="2D53A6"/>
            </w:tcBorders>
            <w:shd w:val="clear" w:color="auto" w:fill="2D53A6"/>
          </w:tcPr>
          <w:p>
            <w:pPr>
              <w:jc w:val="center"/>
              <w:ind w:left="13"/>
              <w:spacing w:after="0" w:line="193" w:lineRule="exact"/>
              <w:rPr>
                <w:sz w:val="20"/>
                <w:szCs w:val="20"/>
                <w:color w:val="auto"/>
              </w:rPr>
            </w:pPr>
            <w:r>
              <w:rPr>
                <w:rFonts w:ascii="Arial" w:cs="Arial" w:eastAsia="Arial" w:hAnsi="Arial"/>
                <w:sz w:val="17"/>
                <w:szCs w:val="17"/>
                <w:b w:val="1"/>
                <w:bCs w:val="1"/>
                <w:color w:val="FFFFFF"/>
              </w:rPr>
              <w:t>Final Shares</w:t>
            </w:r>
          </w:p>
        </w:tc>
        <w:tc>
          <w:tcPr>
            <w:tcW w:w="0" w:type="dxa"/>
            <w:vAlign w:val="bottom"/>
          </w:tcPr>
          <w:p>
            <w:pPr>
              <w:spacing w:after="0"/>
              <w:rPr>
                <w:sz w:val="1"/>
                <w:szCs w:val="1"/>
                <w:color w:val="auto"/>
              </w:rPr>
            </w:pPr>
          </w:p>
        </w:tc>
      </w:tr>
      <w:tr>
        <w:trPr>
          <w:trHeight w:val="91"/>
        </w:trPr>
        <w:tc>
          <w:tcPr>
            <w:tcW w:w="4060" w:type="dxa"/>
            <w:vAlign w:val="bottom"/>
            <w:tcBorders>
              <w:left w:val="single" w:sz="8" w:color="3D85C6"/>
              <w:right w:val="single" w:sz="8" w:color="3D85C6"/>
            </w:tcBorders>
            <w:shd w:val="clear" w:color="auto" w:fill="2D53A6"/>
          </w:tcPr>
          <w:p>
            <w:pPr>
              <w:spacing w:after="0"/>
              <w:rPr>
                <w:sz w:val="7"/>
                <w:szCs w:val="7"/>
                <w:color w:val="auto"/>
              </w:rPr>
            </w:pPr>
          </w:p>
        </w:tc>
        <w:tc>
          <w:tcPr>
            <w:tcW w:w="1920" w:type="dxa"/>
            <w:vAlign w:val="bottom"/>
            <w:vMerge w:val="continue"/>
            <w:shd w:val="clear" w:color="auto" w:fill="2D53A6"/>
          </w:tcPr>
          <w:p>
            <w:pPr>
              <w:spacing w:after="0"/>
              <w:rPr>
                <w:sz w:val="7"/>
                <w:szCs w:val="7"/>
                <w:color w:val="auto"/>
              </w:rPr>
            </w:pPr>
          </w:p>
        </w:tc>
        <w:tc>
          <w:tcPr>
            <w:tcW w:w="1720" w:type="dxa"/>
            <w:vAlign w:val="bottom"/>
            <w:shd w:val="clear" w:color="auto" w:fill="2D53A6"/>
          </w:tcPr>
          <w:p>
            <w:pPr>
              <w:spacing w:after="0"/>
              <w:rPr>
                <w:sz w:val="7"/>
                <w:szCs w:val="7"/>
                <w:color w:val="auto"/>
              </w:rPr>
            </w:pPr>
          </w:p>
        </w:tc>
        <w:tc>
          <w:tcPr>
            <w:tcW w:w="1680" w:type="dxa"/>
            <w:vAlign w:val="bottom"/>
            <w:shd w:val="clear" w:color="auto" w:fill="2D53A6"/>
          </w:tcPr>
          <w:p>
            <w:pPr>
              <w:spacing w:after="0"/>
              <w:rPr>
                <w:sz w:val="7"/>
                <w:szCs w:val="7"/>
                <w:color w:val="auto"/>
              </w:rPr>
            </w:pPr>
          </w:p>
        </w:tc>
        <w:tc>
          <w:tcPr>
            <w:tcW w:w="1860" w:type="dxa"/>
            <w:vAlign w:val="bottom"/>
            <w:vMerge w:val="restart"/>
            <w:shd w:val="clear" w:color="auto" w:fill="2D53A6"/>
          </w:tcPr>
          <w:p>
            <w:pPr>
              <w:jc w:val="center"/>
              <w:ind w:left="13"/>
              <w:spacing w:after="0"/>
              <w:rPr>
                <w:sz w:val="20"/>
                <w:szCs w:val="20"/>
                <w:color w:val="auto"/>
              </w:rPr>
            </w:pPr>
            <w:r>
              <w:rPr>
                <w:rFonts w:ascii="Arial" w:cs="Arial" w:eastAsia="Arial" w:hAnsi="Arial"/>
                <w:sz w:val="17"/>
                <w:szCs w:val="17"/>
                <w:b w:val="1"/>
                <w:bCs w:val="1"/>
                <w:color w:val="FFFFFF"/>
              </w:rPr>
              <w:t>Earned as a</w:t>
            </w:r>
          </w:p>
        </w:tc>
        <w:tc>
          <w:tcPr>
            <w:tcW w:w="0" w:type="dxa"/>
            <w:vAlign w:val="bottom"/>
          </w:tcPr>
          <w:p>
            <w:pPr>
              <w:spacing w:after="0"/>
              <w:rPr>
                <w:sz w:val="1"/>
                <w:szCs w:val="1"/>
                <w:color w:val="auto"/>
              </w:rPr>
            </w:pPr>
          </w:p>
        </w:tc>
      </w:tr>
      <w:tr>
        <w:trPr>
          <w:trHeight w:val="104"/>
        </w:trPr>
        <w:tc>
          <w:tcPr>
            <w:tcW w:w="4060" w:type="dxa"/>
            <w:vAlign w:val="bottom"/>
            <w:tcBorders>
              <w:left w:val="single" w:sz="8" w:color="3D85C6"/>
              <w:right w:val="single" w:sz="8" w:color="3D85C6"/>
            </w:tcBorders>
            <w:shd w:val="clear" w:color="auto" w:fill="2D53A6"/>
          </w:tcPr>
          <w:p>
            <w:pPr>
              <w:spacing w:after="0"/>
              <w:rPr>
                <w:sz w:val="9"/>
                <w:szCs w:val="9"/>
                <w:color w:val="auto"/>
              </w:rPr>
            </w:pPr>
          </w:p>
        </w:tc>
        <w:tc>
          <w:tcPr>
            <w:tcW w:w="1920" w:type="dxa"/>
            <w:vAlign w:val="bottom"/>
            <w:vMerge w:val="restart"/>
            <w:shd w:val="clear" w:color="auto" w:fill="2D53A6"/>
          </w:tcPr>
          <w:p>
            <w:pPr>
              <w:jc w:val="center"/>
              <w:ind w:right="13"/>
              <w:spacing w:after="0"/>
              <w:rPr>
                <w:sz w:val="20"/>
                <w:szCs w:val="20"/>
                <w:color w:val="auto"/>
              </w:rPr>
            </w:pPr>
            <w:r>
              <w:rPr>
                <w:rFonts w:ascii="Arial" w:cs="Arial" w:eastAsia="Arial" w:hAnsi="Arial"/>
                <w:sz w:val="17"/>
                <w:szCs w:val="17"/>
                <w:b w:val="1"/>
                <w:bCs w:val="1"/>
                <w:color w:val="FFFFFF"/>
              </w:rPr>
              <w:t>Stock Unit Award</w:t>
            </w:r>
          </w:p>
        </w:tc>
        <w:tc>
          <w:tcPr>
            <w:tcW w:w="1720" w:type="dxa"/>
            <w:vAlign w:val="bottom"/>
            <w:vMerge w:val="restart"/>
            <w:shd w:val="clear" w:color="auto" w:fill="2D53A6"/>
          </w:tcPr>
          <w:p>
            <w:pPr>
              <w:jc w:val="right"/>
              <w:ind w:right="313"/>
              <w:spacing w:after="0"/>
              <w:rPr>
                <w:sz w:val="20"/>
                <w:szCs w:val="20"/>
                <w:color w:val="auto"/>
              </w:rPr>
            </w:pPr>
            <w:r>
              <w:rPr>
                <w:rFonts w:ascii="Arial" w:cs="Arial" w:eastAsia="Arial" w:hAnsi="Arial"/>
                <w:sz w:val="17"/>
                <w:szCs w:val="17"/>
                <w:b w:val="1"/>
                <w:bCs w:val="1"/>
                <w:color w:val="FFFFFF"/>
              </w:rPr>
              <w:t>2023-25 TSR</w:t>
            </w:r>
          </w:p>
        </w:tc>
        <w:tc>
          <w:tcPr>
            <w:tcW w:w="1680" w:type="dxa"/>
            <w:vAlign w:val="bottom"/>
            <w:vMerge w:val="restart"/>
            <w:shd w:val="clear" w:color="auto" w:fill="2D53A6"/>
          </w:tcPr>
          <w:p>
            <w:pPr>
              <w:jc w:val="right"/>
              <w:ind w:right="193"/>
              <w:spacing w:after="0"/>
              <w:rPr>
                <w:sz w:val="20"/>
                <w:szCs w:val="20"/>
                <w:color w:val="auto"/>
              </w:rPr>
            </w:pPr>
            <w:r>
              <w:rPr>
                <w:rFonts w:ascii="Arial" w:cs="Arial" w:eastAsia="Arial" w:hAnsi="Arial"/>
                <w:sz w:val="17"/>
                <w:szCs w:val="17"/>
                <w:b w:val="1"/>
                <w:bCs w:val="1"/>
                <w:color w:val="FFFFFF"/>
              </w:rPr>
              <w:t>Final Shares</w:t>
            </w:r>
          </w:p>
        </w:tc>
        <w:tc>
          <w:tcPr>
            <w:tcW w:w="18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060" w:type="dxa"/>
            <w:vAlign w:val="bottom"/>
            <w:tcBorders>
              <w:left w:val="single" w:sz="8" w:color="3D85C6"/>
              <w:right w:val="single" w:sz="8" w:color="3D85C6"/>
            </w:tcBorders>
            <w:vMerge w:val="restart"/>
            <w:shd w:val="clear" w:color="auto" w:fill="2D53A6"/>
          </w:tcPr>
          <w:p>
            <w:pPr>
              <w:ind w:left="180"/>
              <w:spacing w:after="0"/>
              <w:rPr>
                <w:sz w:val="20"/>
                <w:szCs w:val="20"/>
                <w:color w:val="auto"/>
              </w:rPr>
            </w:pPr>
            <w:r>
              <w:rPr>
                <w:rFonts w:ascii="Arial" w:cs="Arial" w:eastAsia="Arial" w:hAnsi="Arial"/>
                <w:sz w:val="17"/>
                <w:szCs w:val="17"/>
                <w:b w:val="1"/>
                <w:bCs w:val="1"/>
                <w:color w:val="FFFFFF"/>
              </w:rPr>
              <w:t>Named Executive Officer</w:t>
            </w:r>
          </w:p>
        </w:tc>
        <w:tc>
          <w:tcPr>
            <w:tcW w:w="1920" w:type="dxa"/>
            <w:vAlign w:val="bottom"/>
            <w:vMerge w:val="continue"/>
            <w:shd w:val="clear" w:color="auto" w:fill="2D53A6"/>
          </w:tcPr>
          <w:p>
            <w:pPr>
              <w:spacing w:after="0"/>
              <w:rPr>
                <w:sz w:val="7"/>
                <w:szCs w:val="7"/>
                <w:color w:val="auto"/>
              </w:rPr>
            </w:pPr>
          </w:p>
        </w:tc>
        <w:tc>
          <w:tcPr>
            <w:tcW w:w="1720" w:type="dxa"/>
            <w:vAlign w:val="bottom"/>
            <w:vMerge w:val="continue"/>
            <w:shd w:val="clear" w:color="auto" w:fill="2D53A6"/>
          </w:tcPr>
          <w:p>
            <w:pPr>
              <w:spacing w:after="0"/>
              <w:rPr>
                <w:sz w:val="7"/>
                <w:szCs w:val="7"/>
                <w:color w:val="auto"/>
              </w:rPr>
            </w:pPr>
          </w:p>
        </w:tc>
        <w:tc>
          <w:tcPr>
            <w:tcW w:w="1680" w:type="dxa"/>
            <w:vAlign w:val="bottom"/>
            <w:vMerge w:val="continue"/>
            <w:shd w:val="clear" w:color="auto" w:fill="2D53A6"/>
          </w:tcPr>
          <w:p>
            <w:pPr>
              <w:spacing w:after="0"/>
              <w:rPr>
                <w:sz w:val="7"/>
                <w:szCs w:val="7"/>
                <w:color w:val="auto"/>
              </w:rPr>
            </w:pPr>
          </w:p>
        </w:tc>
        <w:tc>
          <w:tcPr>
            <w:tcW w:w="1860" w:type="dxa"/>
            <w:vAlign w:val="bottom"/>
            <w:vMerge w:val="restart"/>
            <w:shd w:val="clear" w:color="auto" w:fill="2D53A6"/>
          </w:tcPr>
          <w:p>
            <w:pPr>
              <w:jc w:val="center"/>
              <w:ind w:left="13"/>
              <w:spacing w:after="0"/>
              <w:rPr>
                <w:sz w:val="20"/>
                <w:szCs w:val="20"/>
                <w:color w:val="auto"/>
              </w:rPr>
            </w:pPr>
            <w:r>
              <w:rPr>
                <w:rFonts w:ascii="Arial" w:cs="Arial" w:eastAsia="Arial" w:hAnsi="Arial"/>
                <w:sz w:val="17"/>
                <w:szCs w:val="17"/>
                <w:b w:val="1"/>
                <w:bCs w:val="1"/>
                <w:color w:val="FFFFFF"/>
              </w:rPr>
              <w:t>Percentage of</w:t>
            </w:r>
          </w:p>
        </w:tc>
        <w:tc>
          <w:tcPr>
            <w:tcW w:w="0" w:type="dxa"/>
            <w:vAlign w:val="bottom"/>
          </w:tcPr>
          <w:p>
            <w:pPr>
              <w:spacing w:after="0"/>
              <w:rPr>
                <w:sz w:val="1"/>
                <w:szCs w:val="1"/>
                <w:color w:val="auto"/>
              </w:rPr>
            </w:pPr>
          </w:p>
        </w:tc>
      </w:tr>
      <w:tr>
        <w:trPr>
          <w:trHeight w:val="104"/>
        </w:trPr>
        <w:tc>
          <w:tcPr>
            <w:tcW w:w="4060" w:type="dxa"/>
            <w:vAlign w:val="bottom"/>
            <w:tcBorders>
              <w:left w:val="single" w:sz="8" w:color="3D85C6"/>
              <w:right w:val="single" w:sz="8" w:color="3D85C6"/>
            </w:tcBorders>
            <w:vMerge w:val="continue"/>
            <w:shd w:val="clear" w:color="auto" w:fill="2D53A6"/>
          </w:tcPr>
          <w:p>
            <w:pPr>
              <w:spacing w:after="0"/>
              <w:rPr>
                <w:sz w:val="9"/>
                <w:szCs w:val="9"/>
                <w:color w:val="auto"/>
              </w:rPr>
            </w:pPr>
          </w:p>
        </w:tc>
        <w:tc>
          <w:tcPr>
            <w:tcW w:w="1920" w:type="dxa"/>
            <w:vAlign w:val="bottom"/>
            <w:vMerge w:val="restart"/>
            <w:shd w:val="clear" w:color="auto" w:fill="2D53A6"/>
          </w:tcPr>
          <w:p>
            <w:pPr>
              <w:jc w:val="center"/>
              <w:ind w:right="33"/>
              <w:spacing w:after="0"/>
              <w:rPr>
                <w:sz w:val="20"/>
                <w:szCs w:val="20"/>
                <w:color w:val="auto"/>
              </w:rPr>
            </w:pPr>
            <w:r>
              <w:rPr>
                <w:rFonts w:ascii="Arial" w:cs="Arial" w:eastAsia="Arial" w:hAnsi="Arial"/>
                <w:sz w:val="17"/>
                <w:szCs w:val="17"/>
                <w:b w:val="1"/>
                <w:bCs w:val="1"/>
                <w:color w:val="FFFFFF"/>
              </w:rPr>
              <w:t>(Target Number</w:t>
            </w:r>
          </w:p>
        </w:tc>
        <w:tc>
          <w:tcPr>
            <w:tcW w:w="1720" w:type="dxa"/>
            <w:vAlign w:val="bottom"/>
            <w:vMerge w:val="restart"/>
            <w:shd w:val="clear" w:color="auto" w:fill="2D53A6"/>
          </w:tcPr>
          <w:p>
            <w:pPr>
              <w:jc w:val="right"/>
              <w:ind w:right="473"/>
              <w:spacing w:after="0"/>
              <w:rPr>
                <w:sz w:val="20"/>
                <w:szCs w:val="20"/>
                <w:color w:val="auto"/>
              </w:rPr>
            </w:pPr>
            <w:r>
              <w:rPr>
                <w:rFonts w:ascii="Arial" w:cs="Arial" w:eastAsia="Arial" w:hAnsi="Arial"/>
                <w:sz w:val="17"/>
                <w:szCs w:val="17"/>
                <w:b w:val="1"/>
                <w:bCs w:val="1"/>
                <w:color w:val="FFFFFF"/>
              </w:rPr>
              <w:t>Result</w:t>
            </w:r>
            <w:r>
              <w:rPr>
                <w:rFonts w:ascii="Arial" w:cs="Arial" w:eastAsia="Arial" w:hAnsi="Arial"/>
                <w:sz w:val="14"/>
                <w:szCs w:val="14"/>
                <w:b w:val="1"/>
                <w:bCs w:val="1"/>
                <w:color w:val="FFFFFF"/>
              </w:rPr>
              <w:t>(1)</w:t>
            </w:r>
          </w:p>
        </w:tc>
        <w:tc>
          <w:tcPr>
            <w:tcW w:w="1680" w:type="dxa"/>
            <w:vAlign w:val="bottom"/>
            <w:vMerge w:val="restart"/>
            <w:shd w:val="clear" w:color="auto" w:fill="2D53A6"/>
          </w:tcPr>
          <w:p>
            <w:pPr>
              <w:jc w:val="right"/>
              <w:ind w:right="413"/>
              <w:spacing w:after="0"/>
              <w:rPr>
                <w:sz w:val="20"/>
                <w:szCs w:val="20"/>
                <w:color w:val="auto"/>
              </w:rPr>
            </w:pPr>
            <w:r>
              <w:rPr>
                <w:rFonts w:ascii="Arial" w:cs="Arial" w:eastAsia="Arial" w:hAnsi="Arial"/>
                <w:sz w:val="17"/>
                <w:szCs w:val="17"/>
                <w:b w:val="1"/>
                <w:bCs w:val="1"/>
                <w:color w:val="FFFFFF"/>
              </w:rPr>
              <w:t>Earned</w:t>
            </w:r>
          </w:p>
        </w:tc>
        <w:tc>
          <w:tcPr>
            <w:tcW w:w="18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060" w:type="dxa"/>
            <w:vAlign w:val="bottom"/>
            <w:tcBorders>
              <w:left w:val="single" w:sz="8" w:color="3D85C6"/>
              <w:right w:val="single" w:sz="8" w:color="3D85C6"/>
            </w:tcBorders>
            <w:shd w:val="clear" w:color="auto" w:fill="2D53A6"/>
          </w:tcPr>
          <w:p>
            <w:pPr>
              <w:spacing w:after="0"/>
              <w:rPr>
                <w:sz w:val="7"/>
                <w:szCs w:val="7"/>
                <w:color w:val="auto"/>
              </w:rPr>
            </w:pPr>
          </w:p>
        </w:tc>
        <w:tc>
          <w:tcPr>
            <w:tcW w:w="1920" w:type="dxa"/>
            <w:vAlign w:val="bottom"/>
            <w:vMerge w:val="continue"/>
            <w:shd w:val="clear" w:color="auto" w:fill="2D53A6"/>
          </w:tcPr>
          <w:p>
            <w:pPr>
              <w:spacing w:after="0"/>
              <w:rPr>
                <w:sz w:val="7"/>
                <w:szCs w:val="7"/>
                <w:color w:val="auto"/>
              </w:rPr>
            </w:pPr>
          </w:p>
        </w:tc>
        <w:tc>
          <w:tcPr>
            <w:tcW w:w="1720" w:type="dxa"/>
            <w:vAlign w:val="bottom"/>
            <w:vMerge w:val="continue"/>
            <w:shd w:val="clear" w:color="auto" w:fill="2D53A6"/>
          </w:tcPr>
          <w:p>
            <w:pPr>
              <w:spacing w:after="0"/>
              <w:rPr>
                <w:sz w:val="7"/>
                <w:szCs w:val="7"/>
                <w:color w:val="auto"/>
              </w:rPr>
            </w:pPr>
          </w:p>
        </w:tc>
        <w:tc>
          <w:tcPr>
            <w:tcW w:w="1680" w:type="dxa"/>
            <w:vAlign w:val="bottom"/>
            <w:vMerge w:val="continue"/>
            <w:shd w:val="clear" w:color="auto" w:fill="2D53A6"/>
          </w:tcPr>
          <w:p>
            <w:pPr>
              <w:spacing w:after="0"/>
              <w:rPr>
                <w:sz w:val="7"/>
                <w:szCs w:val="7"/>
                <w:color w:val="auto"/>
              </w:rPr>
            </w:pPr>
          </w:p>
        </w:tc>
        <w:tc>
          <w:tcPr>
            <w:tcW w:w="1860" w:type="dxa"/>
            <w:vAlign w:val="bottom"/>
            <w:vMerge w:val="restart"/>
            <w:shd w:val="clear" w:color="auto" w:fill="2D53A6"/>
          </w:tcPr>
          <w:p>
            <w:pPr>
              <w:jc w:val="center"/>
              <w:ind w:left="13"/>
              <w:spacing w:after="0"/>
              <w:rPr>
                <w:sz w:val="20"/>
                <w:szCs w:val="20"/>
                <w:color w:val="auto"/>
              </w:rPr>
            </w:pPr>
            <w:r>
              <w:rPr>
                <w:rFonts w:ascii="Arial" w:cs="Arial" w:eastAsia="Arial" w:hAnsi="Arial"/>
                <w:sz w:val="17"/>
                <w:szCs w:val="17"/>
                <w:b w:val="1"/>
                <w:bCs w:val="1"/>
                <w:color w:val="FFFFFF"/>
              </w:rPr>
              <w:t>Target Number of</w:t>
            </w:r>
          </w:p>
        </w:tc>
        <w:tc>
          <w:tcPr>
            <w:tcW w:w="0" w:type="dxa"/>
            <w:vAlign w:val="bottom"/>
          </w:tcPr>
          <w:p>
            <w:pPr>
              <w:spacing w:after="0"/>
              <w:rPr>
                <w:sz w:val="1"/>
                <w:szCs w:val="1"/>
                <w:color w:val="auto"/>
              </w:rPr>
            </w:pPr>
          </w:p>
        </w:tc>
      </w:tr>
      <w:tr>
        <w:trPr>
          <w:trHeight w:val="104"/>
        </w:trPr>
        <w:tc>
          <w:tcPr>
            <w:tcW w:w="4060" w:type="dxa"/>
            <w:vAlign w:val="bottom"/>
            <w:tcBorders>
              <w:left w:val="single" w:sz="8" w:color="3D85C6"/>
              <w:right w:val="single" w:sz="8" w:color="3D85C6"/>
            </w:tcBorders>
            <w:shd w:val="clear" w:color="auto" w:fill="2D53A6"/>
          </w:tcPr>
          <w:p>
            <w:pPr>
              <w:spacing w:after="0"/>
              <w:rPr>
                <w:sz w:val="9"/>
                <w:szCs w:val="9"/>
                <w:color w:val="auto"/>
              </w:rPr>
            </w:pPr>
          </w:p>
        </w:tc>
        <w:tc>
          <w:tcPr>
            <w:tcW w:w="1920" w:type="dxa"/>
            <w:vAlign w:val="bottom"/>
            <w:vMerge w:val="restart"/>
            <w:shd w:val="clear" w:color="auto" w:fill="2D53A6"/>
          </w:tcPr>
          <w:p>
            <w:pPr>
              <w:jc w:val="center"/>
              <w:ind w:right="13"/>
              <w:spacing w:after="0"/>
              <w:rPr>
                <w:sz w:val="20"/>
                <w:szCs w:val="20"/>
                <w:color w:val="auto"/>
              </w:rPr>
            </w:pPr>
            <w:r>
              <w:rPr>
                <w:rFonts w:ascii="Arial" w:cs="Arial" w:eastAsia="Arial" w:hAnsi="Arial"/>
                <w:sz w:val="17"/>
                <w:szCs w:val="17"/>
                <w:b w:val="1"/>
                <w:bCs w:val="1"/>
                <w:color w:val="FFFFFF"/>
              </w:rPr>
              <w:t>of Shares)</w:t>
            </w:r>
          </w:p>
        </w:tc>
        <w:tc>
          <w:tcPr>
            <w:tcW w:w="1720" w:type="dxa"/>
            <w:vAlign w:val="bottom"/>
            <w:shd w:val="clear" w:color="auto" w:fill="2D53A6"/>
          </w:tcPr>
          <w:p>
            <w:pPr>
              <w:spacing w:after="0"/>
              <w:rPr>
                <w:sz w:val="9"/>
                <w:szCs w:val="9"/>
                <w:color w:val="auto"/>
              </w:rPr>
            </w:pPr>
          </w:p>
        </w:tc>
        <w:tc>
          <w:tcPr>
            <w:tcW w:w="1680" w:type="dxa"/>
            <w:vAlign w:val="bottom"/>
            <w:shd w:val="clear" w:color="auto" w:fill="2D53A6"/>
          </w:tcPr>
          <w:p>
            <w:pPr>
              <w:spacing w:after="0"/>
              <w:rPr>
                <w:sz w:val="9"/>
                <w:szCs w:val="9"/>
                <w:color w:val="auto"/>
              </w:rPr>
            </w:pPr>
          </w:p>
        </w:tc>
        <w:tc>
          <w:tcPr>
            <w:tcW w:w="1860" w:type="dxa"/>
            <w:vAlign w:val="bottom"/>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60" w:type="dxa"/>
            <w:vAlign w:val="bottom"/>
            <w:tcBorders>
              <w:left w:val="single" w:sz="8" w:color="3D85C6"/>
              <w:right w:val="single" w:sz="8" w:color="3D85C6"/>
            </w:tcBorders>
            <w:shd w:val="clear" w:color="auto" w:fill="2D53A6"/>
          </w:tcPr>
          <w:p>
            <w:pPr>
              <w:spacing w:after="0"/>
              <w:rPr>
                <w:sz w:val="11"/>
                <w:szCs w:val="11"/>
                <w:color w:val="auto"/>
              </w:rPr>
            </w:pPr>
          </w:p>
        </w:tc>
        <w:tc>
          <w:tcPr>
            <w:tcW w:w="1920" w:type="dxa"/>
            <w:vAlign w:val="bottom"/>
            <w:vMerge w:val="continue"/>
            <w:shd w:val="clear" w:color="auto" w:fill="2D53A6"/>
          </w:tcPr>
          <w:p>
            <w:pPr>
              <w:spacing w:after="0"/>
              <w:rPr>
                <w:sz w:val="11"/>
                <w:szCs w:val="11"/>
                <w:color w:val="auto"/>
              </w:rPr>
            </w:pPr>
          </w:p>
        </w:tc>
        <w:tc>
          <w:tcPr>
            <w:tcW w:w="1720" w:type="dxa"/>
            <w:vAlign w:val="bottom"/>
            <w:shd w:val="clear" w:color="auto" w:fill="2D53A6"/>
          </w:tcPr>
          <w:p>
            <w:pPr>
              <w:spacing w:after="0"/>
              <w:rPr>
                <w:sz w:val="11"/>
                <w:szCs w:val="11"/>
                <w:color w:val="auto"/>
              </w:rPr>
            </w:pPr>
          </w:p>
        </w:tc>
        <w:tc>
          <w:tcPr>
            <w:tcW w:w="1680" w:type="dxa"/>
            <w:vAlign w:val="bottom"/>
            <w:shd w:val="clear" w:color="auto" w:fill="2D53A6"/>
          </w:tcPr>
          <w:p>
            <w:pPr>
              <w:spacing w:after="0"/>
              <w:rPr>
                <w:sz w:val="11"/>
                <w:szCs w:val="11"/>
                <w:color w:val="auto"/>
              </w:rPr>
            </w:pPr>
          </w:p>
        </w:tc>
        <w:tc>
          <w:tcPr>
            <w:tcW w:w="1860" w:type="dxa"/>
            <w:vAlign w:val="bottom"/>
            <w:vMerge w:val="restart"/>
            <w:shd w:val="clear" w:color="auto" w:fill="2D53A6"/>
          </w:tcPr>
          <w:p>
            <w:pPr>
              <w:jc w:val="center"/>
              <w:ind w:left="13"/>
              <w:spacing w:after="0"/>
              <w:rPr>
                <w:sz w:val="20"/>
                <w:szCs w:val="20"/>
                <w:color w:val="auto"/>
              </w:rPr>
            </w:pPr>
            <w:r>
              <w:rPr>
                <w:rFonts w:ascii="Arial" w:cs="Arial" w:eastAsia="Arial" w:hAnsi="Arial"/>
                <w:sz w:val="17"/>
                <w:szCs w:val="17"/>
                <w:b w:val="1"/>
                <w:bCs w:val="1"/>
                <w:color w:val="FFFFFF"/>
              </w:rPr>
              <w:t>Shares</w:t>
            </w:r>
            <w:r>
              <w:rPr>
                <w:rFonts w:ascii="Arial" w:cs="Arial" w:eastAsia="Arial" w:hAnsi="Arial"/>
                <w:sz w:val="14"/>
                <w:szCs w:val="14"/>
                <w:b w:val="1"/>
                <w:bCs w:val="1"/>
                <w:color w:val="FFFFFF"/>
              </w:rPr>
              <w:t>(2)</w:t>
            </w:r>
          </w:p>
        </w:tc>
        <w:tc>
          <w:tcPr>
            <w:tcW w:w="0" w:type="dxa"/>
            <w:vAlign w:val="bottom"/>
          </w:tcPr>
          <w:p>
            <w:pPr>
              <w:spacing w:after="0"/>
              <w:rPr>
                <w:sz w:val="1"/>
                <w:szCs w:val="1"/>
                <w:color w:val="auto"/>
              </w:rPr>
            </w:pPr>
          </w:p>
        </w:tc>
      </w:tr>
      <w:tr>
        <w:trPr>
          <w:trHeight w:val="99"/>
        </w:trPr>
        <w:tc>
          <w:tcPr>
            <w:tcW w:w="4060" w:type="dxa"/>
            <w:vAlign w:val="bottom"/>
            <w:tcBorders>
              <w:left w:val="single" w:sz="8" w:color="3D85C6"/>
              <w:bottom w:val="single" w:sz="8" w:color="3D85C6"/>
              <w:right w:val="single" w:sz="8" w:color="3D85C6"/>
            </w:tcBorders>
            <w:shd w:val="clear" w:color="auto" w:fill="2D53A6"/>
          </w:tcPr>
          <w:p>
            <w:pPr>
              <w:spacing w:after="0"/>
              <w:rPr>
                <w:sz w:val="8"/>
                <w:szCs w:val="8"/>
                <w:color w:val="auto"/>
              </w:rPr>
            </w:pPr>
          </w:p>
        </w:tc>
        <w:tc>
          <w:tcPr>
            <w:tcW w:w="1920" w:type="dxa"/>
            <w:vAlign w:val="bottom"/>
            <w:tcBorders>
              <w:bottom w:val="single" w:sz="8" w:color="3D85C6"/>
            </w:tcBorders>
            <w:shd w:val="clear" w:color="auto" w:fill="2D53A6"/>
          </w:tcPr>
          <w:p>
            <w:pPr>
              <w:spacing w:after="0"/>
              <w:rPr>
                <w:sz w:val="8"/>
                <w:szCs w:val="8"/>
                <w:color w:val="auto"/>
              </w:rPr>
            </w:pPr>
          </w:p>
        </w:tc>
        <w:tc>
          <w:tcPr>
            <w:tcW w:w="1720" w:type="dxa"/>
            <w:vAlign w:val="bottom"/>
            <w:tcBorders>
              <w:bottom w:val="single" w:sz="8" w:color="3D85C6"/>
            </w:tcBorders>
            <w:shd w:val="clear" w:color="auto" w:fill="2D53A6"/>
          </w:tcPr>
          <w:p>
            <w:pPr>
              <w:spacing w:after="0"/>
              <w:rPr>
                <w:sz w:val="8"/>
                <w:szCs w:val="8"/>
                <w:color w:val="auto"/>
              </w:rPr>
            </w:pPr>
          </w:p>
        </w:tc>
        <w:tc>
          <w:tcPr>
            <w:tcW w:w="1680" w:type="dxa"/>
            <w:vAlign w:val="bottom"/>
            <w:tcBorders>
              <w:bottom w:val="single" w:sz="8" w:color="3D85C6"/>
            </w:tcBorders>
            <w:shd w:val="clear" w:color="auto" w:fill="2D53A6"/>
          </w:tcPr>
          <w:p>
            <w:pPr>
              <w:spacing w:after="0"/>
              <w:rPr>
                <w:sz w:val="8"/>
                <w:szCs w:val="8"/>
                <w:color w:val="auto"/>
              </w:rPr>
            </w:pPr>
          </w:p>
        </w:tc>
        <w:tc>
          <w:tcPr>
            <w:tcW w:w="1860" w:type="dxa"/>
            <w:vAlign w:val="bottom"/>
            <w:tcBorders>
              <w:bottom w:val="single" w:sz="8" w:color="3D85C6"/>
            </w:tcBorders>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4060" w:type="dxa"/>
            <w:vAlign w:val="bottom"/>
            <w:tcBorders>
              <w:bottom w:val="single" w:sz="8" w:color="3D85C6"/>
            </w:tcBorders>
          </w:tcPr>
          <w:p>
            <w:pPr>
              <w:ind w:left="180"/>
              <w:spacing w:after="0" w:line="181" w:lineRule="exact"/>
              <w:rPr>
                <w:sz w:val="20"/>
                <w:szCs w:val="20"/>
                <w:color w:val="auto"/>
              </w:rPr>
            </w:pPr>
            <w:r>
              <w:rPr>
                <w:rFonts w:ascii="Arial" w:cs="Arial" w:eastAsia="Arial" w:hAnsi="Arial"/>
                <w:sz w:val="17"/>
                <w:szCs w:val="17"/>
                <w:color w:val="auto"/>
              </w:rPr>
              <w:t>Luis A. Müller</w:t>
            </w:r>
          </w:p>
        </w:tc>
        <w:tc>
          <w:tcPr>
            <w:tcW w:w="1920" w:type="dxa"/>
            <w:vAlign w:val="bottom"/>
            <w:tcBorders>
              <w:bottom w:val="single" w:sz="8" w:color="3D85C6"/>
            </w:tcBorders>
          </w:tcPr>
          <w:p>
            <w:pPr>
              <w:jc w:val="center"/>
              <w:spacing w:after="0" w:line="181" w:lineRule="exact"/>
              <w:rPr>
                <w:sz w:val="20"/>
                <w:szCs w:val="20"/>
                <w:color w:val="auto"/>
              </w:rPr>
            </w:pPr>
            <w:r>
              <w:rPr>
                <w:rFonts w:ascii="Arial" w:cs="Arial" w:eastAsia="Arial" w:hAnsi="Arial"/>
                <w:sz w:val="17"/>
                <w:szCs w:val="17"/>
                <w:color w:val="auto"/>
              </w:rPr>
              <w:t>66,006</w:t>
            </w:r>
          </w:p>
        </w:tc>
        <w:tc>
          <w:tcPr>
            <w:tcW w:w="1720" w:type="dxa"/>
            <w:vAlign w:val="bottom"/>
            <w:tcBorders>
              <w:bottom w:val="single" w:sz="8" w:color="3D85C6"/>
            </w:tcBorders>
          </w:tcPr>
          <w:p>
            <w:pPr>
              <w:jc w:val="right"/>
              <w:ind w:right="473"/>
              <w:spacing w:after="0" w:line="181" w:lineRule="exact"/>
              <w:rPr>
                <w:sz w:val="20"/>
                <w:szCs w:val="20"/>
                <w:color w:val="auto"/>
              </w:rPr>
            </w:pPr>
            <w:r>
              <w:rPr>
                <w:rFonts w:ascii="Arial" w:cs="Arial" w:eastAsia="Arial" w:hAnsi="Arial"/>
                <w:sz w:val="17"/>
                <w:szCs w:val="17"/>
                <w:color w:val="auto"/>
              </w:rPr>
              <w:t>(69.5)%</w:t>
            </w:r>
          </w:p>
        </w:tc>
        <w:tc>
          <w:tcPr>
            <w:tcW w:w="1680" w:type="dxa"/>
            <w:vAlign w:val="bottom"/>
            <w:tcBorders>
              <w:bottom w:val="single" w:sz="8" w:color="3D85C6"/>
            </w:tcBorders>
          </w:tcPr>
          <w:p>
            <w:pPr>
              <w:jc w:val="right"/>
              <w:ind w:right="593"/>
              <w:spacing w:after="0" w:line="181" w:lineRule="exact"/>
              <w:rPr>
                <w:sz w:val="20"/>
                <w:szCs w:val="20"/>
                <w:color w:val="auto"/>
              </w:rPr>
            </w:pPr>
            <w:r>
              <w:rPr>
                <w:rFonts w:ascii="Arial" w:cs="Arial" w:eastAsia="Arial" w:hAnsi="Arial"/>
                <w:sz w:val="17"/>
                <w:szCs w:val="17"/>
                <w:color w:val="auto"/>
              </w:rPr>
              <w:t>0</w:t>
            </w:r>
          </w:p>
        </w:tc>
        <w:tc>
          <w:tcPr>
            <w:tcW w:w="1860" w:type="dxa"/>
            <w:vAlign w:val="bottom"/>
            <w:tcBorders>
              <w:bottom w:val="single" w:sz="8" w:color="3D85C6"/>
            </w:tcBorders>
          </w:tcPr>
          <w:p>
            <w:pPr>
              <w:jc w:val="right"/>
              <w:ind w:right="553"/>
              <w:spacing w:after="0" w:line="181" w:lineRule="exact"/>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1"/>
        </w:trPr>
        <w:tc>
          <w:tcPr>
            <w:tcW w:w="4060" w:type="dxa"/>
            <w:vAlign w:val="bottom"/>
            <w:tcBorders>
              <w:left w:val="single" w:sz="8" w:color="E6E6E6"/>
              <w:bottom w:val="single" w:sz="8" w:color="3D85C6"/>
              <w:right w:val="single" w:sz="8" w:color="E6E6E6"/>
            </w:tcBorders>
            <w:shd w:val="clear" w:color="auto" w:fill="E6E6E6"/>
          </w:tcPr>
          <w:p>
            <w:pPr>
              <w:ind w:left="180"/>
              <w:spacing w:after="0"/>
              <w:rPr>
                <w:sz w:val="20"/>
                <w:szCs w:val="20"/>
                <w:color w:val="auto"/>
              </w:rPr>
            </w:pPr>
            <w:r>
              <w:rPr>
                <w:rFonts w:ascii="Arial" w:cs="Arial" w:eastAsia="Arial" w:hAnsi="Arial"/>
                <w:sz w:val="17"/>
                <w:szCs w:val="17"/>
                <w:color w:val="auto"/>
              </w:rPr>
              <w:t>Jeffrey D. Jones</w:t>
            </w:r>
          </w:p>
        </w:tc>
        <w:tc>
          <w:tcPr>
            <w:tcW w:w="1920" w:type="dxa"/>
            <w:vAlign w:val="bottom"/>
            <w:tcBorders>
              <w:bottom w:val="single" w:sz="8" w:color="3D85C6"/>
            </w:tcBorders>
            <w:shd w:val="clear" w:color="auto" w:fill="E6E6E6"/>
          </w:tcPr>
          <w:p>
            <w:pPr>
              <w:jc w:val="center"/>
              <w:spacing w:after="0"/>
              <w:rPr>
                <w:sz w:val="20"/>
                <w:szCs w:val="20"/>
                <w:color w:val="auto"/>
              </w:rPr>
            </w:pPr>
            <w:r>
              <w:rPr>
                <w:rFonts w:ascii="Arial" w:cs="Arial" w:eastAsia="Arial" w:hAnsi="Arial"/>
                <w:sz w:val="17"/>
                <w:szCs w:val="17"/>
                <w:color w:val="auto"/>
              </w:rPr>
              <w:t>21,782</w:t>
            </w:r>
          </w:p>
        </w:tc>
        <w:tc>
          <w:tcPr>
            <w:tcW w:w="1720" w:type="dxa"/>
            <w:vAlign w:val="bottom"/>
            <w:tcBorders>
              <w:bottom w:val="single" w:sz="8" w:color="3D85C6"/>
            </w:tcBorders>
            <w:shd w:val="clear" w:color="auto" w:fill="E6E6E6"/>
          </w:tcPr>
          <w:p>
            <w:pPr>
              <w:jc w:val="right"/>
              <w:ind w:right="473"/>
              <w:spacing w:after="0"/>
              <w:rPr>
                <w:sz w:val="20"/>
                <w:szCs w:val="20"/>
                <w:color w:val="auto"/>
              </w:rPr>
            </w:pPr>
            <w:r>
              <w:rPr>
                <w:rFonts w:ascii="Arial" w:cs="Arial" w:eastAsia="Arial" w:hAnsi="Arial"/>
                <w:sz w:val="17"/>
                <w:szCs w:val="17"/>
                <w:color w:val="auto"/>
              </w:rPr>
              <w:t>(69.5)%</w:t>
            </w:r>
          </w:p>
        </w:tc>
        <w:tc>
          <w:tcPr>
            <w:tcW w:w="1680" w:type="dxa"/>
            <w:vAlign w:val="bottom"/>
            <w:tcBorders>
              <w:bottom w:val="single" w:sz="8" w:color="3D85C6"/>
            </w:tcBorders>
            <w:shd w:val="clear" w:color="auto" w:fill="E6E6E6"/>
          </w:tcPr>
          <w:p>
            <w:pPr>
              <w:jc w:val="right"/>
              <w:ind w:right="593"/>
              <w:spacing w:after="0"/>
              <w:rPr>
                <w:sz w:val="20"/>
                <w:szCs w:val="20"/>
                <w:color w:val="auto"/>
              </w:rPr>
            </w:pPr>
            <w:r>
              <w:rPr>
                <w:rFonts w:ascii="Arial" w:cs="Arial" w:eastAsia="Arial" w:hAnsi="Arial"/>
                <w:sz w:val="17"/>
                <w:szCs w:val="17"/>
                <w:color w:val="auto"/>
              </w:rPr>
              <w:t>0</w:t>
            </w:r>
          </w:p>
        </w:tc>
        <w:tc>
          <w:tcPr>
            <w:tcW w:w="1860" w:type="dxa"/>
            <w:vAlign w:val="bottom"/>
            <w:tcBorders>
              <w:bottom w:val="single" w:sz="8" w:color="3D85C6"/>
            </w:tcBorders>
            <w:shd w:val="clear" w:color="auto" w:fill="E6E6E6"/>
          </w:tcPr>
          <w:p>
            <w:pPr>
              <w:jc w:val="right"/>
              <w:ind w:right="553"/>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1"/>
        </w:trPr>
        <w:tc>
          <w:tcPr>
            <w:tcW w:w="4060" w:type="dxa"/>
            <w:vAlign w:val="bottom"/>
            <w:tcBorders>
              <w:bottom w:val="single" w:sz="8" w:color="3D85C6"/>
            </w:tcBorders>
          </w:tcPr>
          <w:p>
            <w:pPr>
              <w:ind w:left="180"/>
              <w:spacing w:after="0"/>
              <w:rPr>
                <w:sz w:val="20"/>
                <w:szCs w:val="20"/>
                <w:color w:val="auto"/>
              </w:rPr>
            </w:pPr>
            <w:r>
              <w:rPr>
                <w:rFonts w:ascii="Arial" w:cs="Arial" w:eastAsia="Arial" w:hAnsi="Arial"/>
                <w:sz w:val="17"/>
                <w:szCs w:val="17"/>
                <w:color w:val="auto"/>
              </w:rPr>
              <w:t>Christopher G. Bohrson</w:t>
            </w:r>
          </w:p>
        </w:tc>
        <w:tc>
          <w:tcPr>
            <w:tcW w:w="1920" w:type="dxa"/>
            <w:vAlign w:val="bottom"/>
            <w:tcBorders>
              <w:bottom w:val="single" w:sz="8" w:color="3D85C6"/>
            </w:tcBorders>
          </w:tcPr>
          <w:p>
            <w:pPr>
              <w:jc w:val="center"/>
              <w:spacing w:after="0"/>
              <w:rPr>
                <w:sz w:val="20"/>
                <w:szCs w:val="20"/>
                <w:color w:val="auto"/>
              </w:rPr>
            </w:pPr>
            <w:r>
              <w:rPr>
                <w:rFonts w:ascii="Arial" w:cs="Arial" w:eastAsia="Arial" w:hAnsi="Arial"/>
                <w:sz w:val="17"/>
                <w:szCs w:val="17"/>
                <w:color w:val="auto"/>
              </w:rPr>
              <w:t>16,501</w:t>
            </w:r>
          </w:p>
        </w:tc>
        <w:tc>
          <w:tcPr>
            <w:tcW w:w="1720" w:type="dxa"/>
            <w:vAlign w:val="bottom"/>
            <w:tcBorders>
              <w:bottom w:val="single" w:sz="8" w:color="3D85C6"/>
            </w:tcBorders>
          </w:tcPr>
          <w:p>
            <w:pPr>
              <w:jc w:val="right"/>
              <w:ind w:right="473"/>
              <w:spacing w:after="0"/>
              <w:rPr>
                <w:sz w:val="20"/>
                <w:szCs w:val="20"/>
                <w:color w:val="auto"/>
              </w:rPr>
            </w:pPr>
            <w:r>
              <w:rPr>
                <w:rFonts w:ascii="Arial" w:cs="Arial" w:eastAsia="Arial" w:hAnsi="Arial"/>
                <w:sz w:val="17"/>
                <w:szCs w:val="17"/>
                <w:color w:val="auto"/>
              </w:rPr>
              <w:t>(69.5)%</w:t>
            </w:r>
          </w:p>
        </w:tc>
        <w:tc>
          <w:tcPr>
            <w:tcW w:w="1680" w:type="dxa"/>
            <w:vAlign w:val="bottom"/>
            <w:tcBorders>
              <w:bottom w:val="single" w:sz="8" w:color="3D85C6"/>
            </w:tcBorders>
          </w:tcPr>
          <w:p>
            <w:pPr>
              <w:jc w:val="right"/>
              <w:ind w:right="593"/>
              <w:spacing w:after="0"/>
              <w:rPr>
                <w:sz w:val="20"/>
                <w:szCs w:val="20"/>
                <w:color w:val="auto"/>
              </w:rPr>
            </w:pPr>
            <w:r>
              <w:rPr>
                <w:rFonts w:ascii="Arial" w:cs="Arial" w:eastAsia="Arial" w:hAnsi="Arial"/>
                <w:sz w:val="17"/>
                <w:szCs w:val="17"/>
                <w:color w:val="auto"/>
              </w:rPr>
              <w:t>0</w:t>
            </w:r>
          </w:p>
        </w:tc>
        <w:tc>
          <w:tcPr>
            <w:tcW w:w="1860" w:type="dxa"/>
            <w:vAlign w:val="bottom"/>
            <w:tcBorders>
              <w:bottom w:val="single" w:sz="8" w:color="3D85C6"/>
            </w:tcBorders>
          </w:tcPr>
          <w:p>
            <w:pPr>
              <w:jc w:val="right"/>
              <w:ind w:right="553"/>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7"/>
        </w:trPr>
        <w:tc>
          <w:tcPr>
            <w:tcW w:w="4060" w:type="dxa"/>
            <w:vAlign w:val="bottom"/>
          </w:tcPr>
          <w:p>
            <w:pPr>
              <w:ind w:left="180"/>
              <w:spacing w:after="0"/>
              <w:rPr>
                <w:sz w:val="20"/>
                <w:szCs w:val="20"/>
                <w:color w:val="auto"/>
              </w:rPr>
            </w:pPr>
            <w:r>
              <w:rPr>
                <w:rFonts w:ascii="Arial" w:cs="Arial" w:eastAsia="Arial" w:hAnsi="Arial"/>
                <w:sz w:val="17"/>
                <w:szCs w:val="17"/>
                <w:color w:val="auto"/>
              </w:rPr>
              <w:t>Klaus Ilgenfritz</w:t>
            </w:r>
          </w:p>
        </w:tc>
        <w:tc>
          <w:tcPr>
            <w:tcW w:w="1920" w:type="dxa"/>
            <w:vAlign w:val="bottom"/>
          </w:tcPr>
          <w:p>
            <w:pPr>
              <w:jc w:val="center"/>
              <w:spacing w:after="0"/>
              <w:rPr>
                <w:sz w:val="20"/>
                <w:szCs w:val="20"/>
                <w:color w:val="auto"/>
              </w:rPr>
            </w:pPr>
            <w:r>
              <w:rPr>
                <w:rFonts w:ascii="Arial" w:cs="Arial" w:eastAsia="Arial" w:hAnsi="Arial"/>
                <w:sz w:val="17"/>
                <w:szCs w:val="17"/>
                <w:color w:val="auto"/>
              </w:rPr>
              <w:t>7,425</w:t>
            </w:r>
          </w:p>
        </w:tc>
        <w:tc>
          <w:tcPr>
            <w:tcW w:w="1720" w:type="dxa"/>
            <w:vAlign w:val="bottom"/>
          </w:tcPr>
          <w:p>
            <w:pPr>
              <w:jc w:val="right"/>
              <w:ind w:right="473"/>
              <w:spacing w:after="0"/>
              <w:rPr>
                <w:sz w:val="20"/>
                <w:szCs w:val="20"/>
                <w:color w:val="auto"/>
              </w:rPr>
            </w:pPr>
            <w:r>
              <w:rPr>
                <w:rFonts w:ascii="Arial" w:cs="Arial" w:eastAsia="Arial" w:hAnsi="Arial"/>
                <w:sz w:val="17"/>
                <w:szCs w:val="17"/>
                <w:color w:val="auto"/>
              </w:rPr>
              <w:t>(69.5)%</w:t>
            </w:r>
          </w:p>
        </w:tc>
        <w:tc>
          <w:tcPr>
            <w:tcW w:w="1680" w:type="dxa"/>
            <w:vAlign w:val="bottom"/>
          </w:tcPr>
          <w:p>
            <w:pPr>
              <w:jc w:val="right"/>
              <w:ind w:right="593"/>
              <w:spacing w:after="0"/>
              <w:rPr>
                <w:sz w:val="20"/>
                <w:szCs w:val="20"/>
                <w:color w:val="auto"/>
              </w:rPr>
            </w:pPr>
            <w:r>
              <w:rPr>
                <w:rFonts w:ascii="Arial" w:cs="Arial" w:eastAsia="Arial" w:hAnsi="Arial"/>
                <w:sz w:val="17"/>
                <w:szCs w:val="17"/>
                <w:color w:val="auto"/>
              </w:rPr>
              <w:t>0</w:t>
            </w:r>
          </w:p>
        </w:tc>
        <w:tc>
          <w:tcPr>
            <w:tcW w:w="1860" w:type="dxa"/>
            <w:vAlign w:val="bottom"/>
          </w:tcPr>
          <w:p>
            <w:pPr>
              <w:jc w:val="right"/>
              <w:ind w:right="553"/>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-1191895</wp:posOffset>
            </wp:positionV>
            <wp:extent cx="7137400" cy="11963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7400" cy="1196340"/>
                    </a:xfrm>
                    <a:prstGeom prst="rect">
                      <a:avLst/>
                    </a:prstGeom>
                    <a:noFill/>
                  </pic:spPr>
                </pic:pic>
              </a:graphicData>
            </a:graphic>
          </wp:anchor>
        </w:drawing>
      </w:r>
    </w:p>
    <w:p>
      <w:pPr>
        <w:ind w:left="320" w:hanging="316"/>
        <w:spacing w:after="0" w:line="213" w:lineRule="auto"/>
        <w:tabs>
          <w:tab w:leader="none" w:pos="3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COHU TSR compared to RUT TSR where RUT = +41.3%, COHU = -28.2%</w:t>
      </w:r>
    </w:p>
    <w:p>
      <w:pPr>
        <w:ind w:left="320" w:hanging="316"/>
        <w:spacing w:after="0"/>
        <w:tabs>
          <w:tab w:leader="none" w:pos="3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+ 2 times (RUT - COHU) TSR: 100% - (2 X -69.5%) = 0%</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i w:val="1"/>
          <w:iCs w:val="1"/>
          <w:color w:val="auto"/>
        </w:rPr>
        <w:t>Deferred Compensation Benefits and Section 401(k) Plan</w:t>
      </w:r>
    </w:p>
    <w:p>
      <w:pPr>
        <w:spacing w:after="0" w:line="194"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We maintain a nonqualified deferred compensation plan, the Cohu, Inc. Deferred Compensation Plan (the “Deferred Compensation Plan”), for our U.S. based executive officers and other employees designated by the Compensation Committee. Under the Deferred Compensation Plan, participants may elect to voluntarily defer receipt of up to 25% of their base salary and/or up to 100% of their annual cash incentive payment, thereby allowing them to defer taxation on such amounts.</w:t>
      </w:r>
    </w:p>
    <w:p>
      <w:pPr>
        <w:spacing w:after="0" w:line="15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Although we have not matched any participant contributions to the Deferred Compensation Plan since 2008, we may in the future match participant contributions to the Deferred Compensation Plan up to 4% of the participant’s annual base salary in excess of the specified annual compensation limit allowed under the Internal Revenue Code for contributions under the Section 401(k) plan. Our matching contributions and any deemed investment earnings attributable to these contributions, if any are actually made, will be 100% vested when the participant has two years of service with us. Prior to that time, such amounts are unvested. Participant contributions and deemed investment earnings are 100% vested at all times. For additional information on the Deferred Compensation Plan, see “2025 Nonqualified Deferred Compensation” below.</w:t>
      </w:r>
    </w:p>
    <w:p>
      <w:pPr>
        <w:spacing w:after="0" w:line="157"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maintain a tax-qualified defined contribution plan, the Cohu Employees’ Retirement Plan (the “401(k) Plan”), for our U.S. based executive officers and other employees. The majority of our U.S. based employees, including all of the U.S.- based NEOs, who are at least 21 years of age, are eligible to enroll in the 401(k) Plan. Under the 401(k) Plan, participants may contribute a percentage of their annual compensation subject to maximum annual contribution limitations. We may match participant contributions not to exceed specified annual limits. Our matching contributions in 2025 are immediately vested and our matching contribution was at the rate of 50% of the first 8% of employee pre-tax contributions to the plan. Generally, during 2025 the maximum annual amount that any participant could contribute to the 401(k) Plan was $23,500 unless aged 50 or more which allows participants to make an additional $7,500 in “catch-up” contributions or if aged 60 to 63 a total additional $11,250 in “catch-up” contributions and our maximum matching contribution was $14,000.</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Welfare and Health Benefits</w:t>
      </w:r>
    </w:p>
    <w:p>
      <w:pPr>
        <w:spacing w:after="0" w:line="194" w:lineRule="exact"/>
        <w:rPr>
          <w:sz w:val="20"/>
          <w:szCs w:val="20"/>
          <w:color w:val="auto"/>
        </w:rPr>
      </w:pPr>
    </w:p>
    <w:p>
      <w:pPr>
        <w:ind w:right="500"/>
        <w:spacing w:after="0" w:line="249" w:lineRule="auto"/>
        <w:rPr>
          <w:sz w:val="20"/>
          <w:szCs w:val="20"/>
          <w:color w:val="auto"/>
        </w:rPr>
      </w:pPr>
      <w:r>
        <w:rPr>
          <w:rFonts w:ascii="Arial" w:cs="Arial" w:eastAsia="Arial" w:hAnsi="Arial"/>
          <w:sz w:val="17"/>
          <w:szCs w:val="17"/>
          <w:color w:val="auto"/>
        </w:rPr>
        <w:t>In 2025, our executive officers, including our NEOs, were eligible to receive health care insurance coverage and additional benefits that are generally available to our other employees located in the same country. These benefit programs include the employee stock purchase plan, medical, dental and vision insurance, long-term and short-term disability insurance, life and accidental death and dismemberment insurance, health and dependent care flexible spending accounts, business travel insurance, relocation/expatriate programs and services, educational assistance, employee assistance, and certain other benefits.</w:t>
      </w:r>
    </w:p>
    <w:p>
      <w:pPr>
        <w:spacing w:after="0" w:line="15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401(k) Plan and other generally available benefit programs allow us to be competitive for employee talent and we believe that the availability of these programs generally enhances employee productivity and loyalty. The principal objectives of our benefit programs are to give our employees access to quality healthcare, financial protection from unforeseen events, assistance in achieving retirement financial goals, enhanced health and productivity, and to provide support for global workforce mobility, in full compliance with applicable legal requirements. Typically, these generally- available benefits do not specifically factor into decisions regarding an individual executive officer’s total compensation or equity awards.</w:t>
      </w:r>
    </w:p>
    <w:p>
      <w:pPr>
        <w:spacing w:after="0" w:line="155"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Each year, we informally review our U.S. based benefit programs against our peers with data provided by Aon, our health and welfare benefits broker of record, and by OneDigital Investment Advisors, our independent 401(k) Plan consultant. This review includes an analysis of the dollar value to an employee and the dollar cost to us for the benefits under the applicable plan using a standard population of employees. Similar evaluations are made in other regions with local benefit consultants.</w:t>
      </w:r>
    </w:p>
    <w:p>
      <w:pPr>
        <w:spacing w:after="0" w:line="154"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color w:val="auto"/>
        </w:rPr>
        <w:t>We analyze changes to our benefit programs in light of the overall objectives of the programs, including the effectiveness of their incentive and retention features.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Perquisites and Other Personal Benefits</w:t>
      </w:r>
    </w:p>
    <w:p>
      <w:pPr>
        <w:spacing w:after="0" w:line="194"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motivation, and retention purposes.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00" w:name="page101"/>
    <w:bookmarkEnd w:id="100"/>
    <w:tbl>
      <w:tblPr>
        <w:tblLayout w:type="fixed"/>
        <w:tblInd w:w="10" w:type="dxa"/>
        <w:tblCellMar>
          <w:top w:w="0" w:type="dxa"/>
          <w:left w:w="0" w:type="dxa"/>
          <w:bottom w:w="0" w:type="dxa"/>
          <w:right w:w="0" w:type="dxa"/>
        </w:tblCellMar>
      </w:tblPr>
      <w:tr>
        <w:trPr>
          <w:trHeight w:val="229"/>
        </w:trPr>
        <w:tc>
          <w:tcPr>
            <w:tcW w:w="8440" w:type="dxa"/>
            <w:vAlign w:val="bottom"/>
          </w:tcPr>
          <w:p>
            <w:pPr>
              <w:spacing w:after="0"/>
              <w:rPr>
                <w:sz w:val="20"/>
                <w:szCs w:val="20"/>
                <w:color w:val="auto"/>
              </w:rPr>
            </w:pPr>
            <w:r>
              <w:rPr>
                <w:rFonts w:ascii="Arial" w:cs="Arial" w:eastAsia="Arial" w:hAnsi="Arial"/>
                <w:sz w:val="17"/>
                <w:szCs w:val="17"/>
                <w:color w:val="auto"/>
              </w:rPr>
              <w:t>During 2025, we provided our NEOs with automobile expense reimbursement or allowances as follows:</w:t>
            </w:r>
          </w:p>
        </w:tc>
        <w:tc>
          <w:tcPr>
            <w:tcW w:w="32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174"/>
        </w:trPr>
        <w:tc>
          <w:tcPr>
            <w:tcW w:w="8440" w:type="dxa"/>
            <w:vAlign w:val="bottom"/>
            <w:tcBorders>
              <w:bottom w:val="single" w:sz="8" w:color="3D85C6"/>
            </w:tcBorders>
          </w:tcPr>
          <w:p>
            <w:pPr>
              <w:spacing w:after="0"/>
              <w:rPr>
                <w:sz w:val="15"/>
                <w:szCs w:val="15"/>
                <w:color w:val="auto"/>
              </w:rPr>
            </w:pPr>
          </w:p>
        </w:tc>
        <w:tc>
          <w:tcPr>
            <w:tcW w:w="320" w:type="dxa"/>
            <w:vAlign w:val="bottom"/>
            <w:tcBorders>
              <w:bottom w:val="single" w:sz="8" w:color="2D53A6"/>
            </w:tcBorders>
          </w:tcPr>
          <w:p>
            <w:pPr>
              <w:spacing w:after="0"/>
              <w:rPr>
                <w:sz w:val="15"/>
                <w:szCs w:val="15"/>
                <w:color w:val="auto"/>
              </w:rPr>
            </w:pPr>
          </w:p>
        </w:tc>
        <w:tc>
          <w:tcPr>
            <w:tcW w:w="2500" w:type="dxa"/>
            <w:vAlign w:val="bottom"/>
            <w:tcBorders>
              <w:bottom w:val="single" w:sz="8" w:color="2D53A6"/>
            </w:tcBorders>
          </w:tcPr>
          <w:p>
            <w:pPr>
              <w:spacing w:after="0"/>
              <w:rPr>
                <w:sz w:val="15"/>
                <w:szCs w:val="15"/>
                <w:color w:val="auto"/>
              </w:rPr>
            </w:pPr>
          </w:p>
        </w:tc>
      </w:tr>
      <w:tr>
        <w:trPr>
          <w:trHeight w:val="224"/>
        </w:trPr>
        <w:tc>
          <w:tcPr>
            <w:tcW w:w="8440" w:type="dxa"/>
            <w:vAlign w:val="bottom"/>
            <w:tcBorders>
              <w:left w:val="single" w:sz="8" w:color="3D85C6"/>
              <w:bottom w:val="single" w:sz="8" w:color="3D85C6"/>
              <w:right w:val="single" w:sz="8" w:color="3D85C6"/>
            </w:tcBorders>
            <w:shd w:val="clear" w:color="auto" w:fill="2D53A6"/>
          </w:tcPr>
          <w:p>
            <w:pPr>
              <w:ind w:left="180"/>
              <w:spacing w:after="0"/>
              <w:rPr>
                <w:sz w:val="20"/>
                <w:szCs w:val="20"/>
                <w:color w:val="auto"/>
              </w:rPr>
            </w:pPr>
            <w:r>
              <w:rPr>
                <w:rFonts w:ascii="Arial" w:cs="Arial" w:eastAsia="Arial" w:hAnsi="Arial"/>
                <w:sz w:val="17"/>
                <w:szCs w:val="17"/>
                <w:b w:val="1"/>
                <w:bCs w:val="1"/>
                <w:color w:val="FFFFFF"/>
              </w:rPr>
              <w:t>Named Executive Officer</w:t>
            </w:r>
          </w:p>
        </w:tc>
        <w:tc>
          <w:tcPr>
            <w:tcW w:w="320" w:type="dxa"/>
            <w:vAlign w:val="bottom"/>
            <w:tcBorders>
              <w:bottom w:val="single" w:sz="8" w:color="3D85C6"/>
            </w:tcBorders>
            <w:shd w:val="clear" w:color="auto" w:fill="2D53A6"/>
          </w:tcPr>
          <w:p>
            <w:pPr>
              <w:spacing w:after="0"/>
              <w:rPr>
                <w:sz w:val="19"/>
                <w:szCs w:val="19"/>
                <w:color w:val="auto"/>
              </w:rPr>
            </w:pPr>
          </w:p>
        </w:tc>
        <w:tc>
          <w:tcPr>
            <w:tcW w:w="2500" w:type="dxa"/>
            <w:vAlign w:val="bottom"/>
            <w:tcBorders>
              <w:bottom w:val="single" w:sz="8" w:color="3D85C6"/>
              <w:right w:val="single" w:sz="8" w:color="3D85C6"/>
            </w:tcBorders>
            <w:shd w:val="clear" w:color="auto" w:fill="2D53A6"/>
          </w:tcPr>
          <w:p>
            <w:pPr>
              <w:jc w:val="right"/>
              <w:ind w:right="353"/>
              <w:spacing w:after="0"/>
              <w:rPr>
                <w:sz w:val="20"/>
                <w:szCs w:val="20"/>
                <w:color w:val="auto"/>
              </w:rPr>
            </w:pPr>
            <w:r>
              <w:rPr>
                <w:rFonts w:ascii="Arial" w:cs="Arial" w:eastAsia="Arial" w:hAnsi="Arial"/>
                <w:sz w:val="17"/>
                <w:szCs w:val="17"/>
                <w:b w:val="1"/>
                <w:bCs w:val="1"/>
                <w:color w:val="FFFFFF"/>
              </w:rPr>
              <w:t>Annual Auto Allowance</w:t>
            </w:r>
          </w:p>
        </w:tc>
      </w:tr>
      <w:tr>
        <w:trPr>
          <w:trHeight w:val="181"/>
        </w:trPr>
        <w:tc>
          <w:tcPr>
            <w:tcW w:w="8440" w:type="dxa"/>
            <w:vAlign w:val="bottom"/>
            <w:tcBorders>
              <w:left w:val="single" w:sz="8" w:color="3D85C6"/>
              <w:bottom w:val="single" w:sz="8" w:color="3D85C6"/>
              <w:right w:val="single" w:sz="8" w:color="3D85C6"/>
            </w:tcBorders>
          </w:tcPr>
          <w:p>
            <w:pPr>
              <w:ind w:left="180"/>
              <w:spacing w:after="0" w:line="181" w:lineRule="exact"/>
              <w:rPr>
                <w:sz w:val="20"/>
                <w:szCs w:val="20"/>
                <w:color w:val="auto"/>
              </w:rPr>
            </w:pPr>
            <w:r>
              <w:rPr>
                <w:rFonts w:ascii="Arial" w:cs="Arial" w:eastAsia="Arial" w:hAnsi="Arial"/>
                <w:sz w:val="17"/>
                <w:szCs w:val="17"/>
                <w:color w:val="auto"/>
              </w:rPr>
              <w:t>Luis A. Müller</w:t>
            </w:r>
          </w:p>
        </w:tc>
        <w:tc>
          <w:tcPr>
            <w:tcW w:w="320" w:type="dxa"/>
            <w:vAlign w:val="bottom"/>
            <w:tcBorders>
              <w:bottom w:val="single" w:sz="8" w:color="3D85C6"/>
            </w:tcBorders>
          </w:tcPr>
          <w:p>
            <w:pPr>
              <w:jc w:val="right"/>
              <w:ind w:right="13"/>
              <w:spacing w:after="0" w:line="181" w:lineRule="exact"/>
              <w:rPr>
                <w:sz w:val="20"/>
                <w:szCs w:val="20"/>
                <w:color w:val="auto"/>
              </w:rPr>
            </w:pPr>
            <w:r>
              <w:rPr>
                <w:rFonts w:ascii="Arial" w:cs="Arial" w:eastAsia="Arial" w:hAnsi="Arial"/>
                <w:sz w:val="17"/>
                <w:szCs w:val="17"/>
                <w:color w:val="auto"/>
              </w:rPr>
              <w:t>$</w:t>
            </w:r>
          </w:p>
        </w:tc>
        <w:tc>
          <w:tcPr>
            <w:tcW w:w="2500" w:type="dxa"/>
            <w:vAlign w:val="bottom"/>
            <w:tcBorders>
              <w:bottom w:val="single" w:sz="8" w:color="3D85C6"/>
              <w:right w:val="single" w:sz="8" w:color="3D85C6"/>
            </w:tcBorders>
          </w:tcPr>
          <w:p>
            <w:pPr>
              <w:jc w:val="right"/>
              <w:ind w:right="33"/>
              <w:spacing w:after="0" w:line="181" w:lineRule="exact"/>
              <w:rPr>
                <w:sz w:val="20"/>
                <w:szCs w:val="20"/>
                <w:color w:val="auto"/>
              </w:rPr>
            </w:pPr>
            <w:r>
              <w:rPr>
                <w:rFonts w:ascii="Arial" w:cs="Arial" w:eastAsia="Arial" w:hAnsi="Arial"/>
                <w:sz w:val="17"/>
                <w:szCs w:val="17"/>
                <w:color w:val="auto"/>
              </w:rPr>
              <w:t>9,000</w:t>
            </w:r>
          </w:p>
        </w:tc>
      </w:tr>
      <w:tr>
        <w:trPr>
          <w:trHeight w:val="201"/>
        </w:trPr>
        <w:tc>
          <w:tcPr>
            <w:tcW w:w="8440" w:type="dxa"/>
            <w:vAlign w:val="bottom"/>
            <w:tcBorders>
              <w:left w:val="single" w:sz="8" w:color="3D85C6"/>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Jeffrey D. Jones</w:t>
            </w:r>
          </w:p>
        </w:tc>
        <w:tc>
          <w:tcPr>
            <w:tcW w:w="320" w:type="dxa"/>
            <w:vAlign w:val="bottom"/>
            <w:tcBorders>
              <w:bottom w:val="single" w:sz="8" w:color="3D85C6"/>
            </w:tcBorders>
            <w:shd w:val="clear" w:color="auto" w:fill="E6E6E6"/>
          </w:tcPr>
          <w:p>
            <w:pPr>
              <w:jc w:val="right"/>
              <w:ind w:right="13"/>
              <w:spacing w:after="0"/>
              <w:rPr>
                <w:sz w:val="20"/>
                <w:szCs w:val="20"/>
                <w:color w:val="auto"/>
              </w:rPr>
            </w:pPr>
            <w:r>
              <w:rPr>
                <w:rFonts w:ascii="Arial" w:cs="Arial" w:eastAsia="Arial" w:hAnsi="Arial"/>
                <w:sz w:val="17"/>
                <w:szCs w:val="17"/>
                <w:color w:val="auto"/>
              </w:rPr>
              <w:t>$</w:t>
            </w:r>
          </w:p>
        </w:tc>
        <w:tc>
          <w:tcPr>
            <w:tcW w:w="250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6,000</w:t>
            </w:r>
          </w:p>
        </w:tc>
      </w:tr>
      <w:tr>
        <w:trPr>
          <w:trHeight w:val="201"/>
        </w:trPr>
        <w:tc>
          <w:tcPr>
            <w:tcW w:w="8440" w:type="dxa"/>
            <w:vAlign w:val="bottom"/>
            <w:tcBorders>
              <w:left w:val="single" w:sz="8" w:color="3D85C6"/>
              <w:bottom w:val="single" w:sz="8" w:color="3D85C6"/>
              <w:right w:val="single" w:sz="8" w:color="3D85C6"/>
            </w:tcBorders>
          </w:tcPr>
          <w:p>
            <w:pPr>
              <w:ind w:left="180"/>
              <w:spacing w:after="0"/>
              <w:rPr>
                <w:sz w:val="20"/>
                <w:szCs w:val="20"/>
                <w:color w:val="auto"/>
              </w:rPr>
            </w:pPr>
            <w:r>
              <w:rPr>
                <w:rFonts w:ascii="Arial" w:cs="Arial" w:eastAsia="Arial" w:hAnsi="Arial"/>
                <w:sz w:val="17"/>
                <w:szCs w:val="17"/>
                <w:color w:val="auto"/>
              </w:rPr>
              <w:t>Christopher G. Bohrson</w:t>
            </w:r>
          </w:p>
        </w:tc>
        <w:tc>
          <w:tcPr>
            <w:tcW w:w="320" w:type="dxa"/>
            <w:vAlign w:val="bottom"/>
            <w:tcBorders>
              <w:bottom w:val="single" w:sz="8" w:color="3D85C6"/>
            </w:tcBorders>
          </w:tcPr>
          <w:p>
            <w:pPr>
              <w:jc w:val="right"/>
              <w:ind w:right="13"/>
              <w:spacing w:after="0"/>
              <w:rPr>
                <w:sz w:val="20"/>
                <w:szCs w:val="20"/>
                <w:color w:val="auto"/>
              </w:rPr>
            </w:pPr>
            <w:r>
              <w:rPr>
                <w:rFonts w:ascii="Arial" w:cs="Arial" w:eastAsia="Arial" w:hAnsi="Arial"/>
                <w:sz w:val="17"/>
                <w:szCs w:val="17"/>
                <w:color w:val="auto"/>
              </w:rPr>
              <w:t>$</w:t>
            </w:r>
          </w:p>
        </w:tc>
        <w:tc>
          <w:tcPr>
            <w:tcW w:w="250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6,000</w:t>
            </w:r>
          </w:p>
        </w:tc>
      </w:tr>
      <w:tr>
        <w:trPr>
          <w:trHeight w:val="201"/>
        </w:trPr>
        <w:tc>
          <w:tcPr>
            <w:tcW w:w="8440" w:type="dxa"/>
            <w:vAlign w:val="bottom"/>
            <w:tcBorders>
              <w:left w:val="single" w:sz="8" w:color="3D85C6"/>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Klaus Ilgenfritz</w:t>
            </w:r>
            <w:r>
              <w:rPr>
                <w:rFonts w:ascii="Arial" w:cs="Arial" w:eastAsia="Arial" w:hAnsi="Arial"/>
                <w:sz w:val="14"/>
                <w:szCs w:val="14"/>
                <w:color w:val="auto"/>
              </w:rPr>
              <w:t>(1)</w:t>
            </w:r>
          </w:p>
        </w:tc>
        <w:tc>
          <w:tcPr>
            <w:tcW w:w="320" w:type="dxa"/>
            <w:vAlign w:val="bottom"/>
            <w:tcBorders>
              <w:bottom w:val="single" w:sz="8" w:color="3D85C6"/>
            </w:tcBorders>
            <w:shd w:val="clear" w:color="auto" w:fill="E6E6E6"/>
          </w:tcPr>
          <w:p>
            <w:pPr>
              <w:jc w:val="right"/>
              <w:ind w:right="13"/>
              <w:spacing w:after="0"/>
              <w:rPr>
                <w:sz w:val="20"/>
                <w:szCs w:val="20"/>
                <w:color w:val="auto"/>
              </w:rPr>
            </w:pPr>
            <w:r>
              <w:rPr>
                <w:rFonts w:ascii="Arial" w:cs="Arial" w:eastAsia="Arial" w:hAnsi="Arial"/>
                <w:sz w:val="17"/>
                <w:szCs w:val="17"/>
                <w:color w:val="auto"/>
              </w:rPr>
              <w:t>$</w:t>
            </w:r>
          </w:p>
        </w:tc>
        <w:tc>
          <w:tcPr>
            <w:tcW w:w="250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5,603</w:t>
            </w:r>
          </w:p>
        </w:tc>
      </w:tr>
    </w:tbl>
    <w:p>
      <w:pPr>
        <w:ind w:left="480" w:hanging="320"/>
        <w:spacing w:after="0"/>
        <w:tabs>
          <w:tab w:leader="none" w:pos="4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Mr. Ilgenfritz is paid in Euros and his Annual Auto Allowance has been converted to U.S. Dollars as required by SEC rules.</w:t>
      </w:r>
    </w:p>
    <w:p>
      <w:pPr>
        <w:spacing w:after="0" w:line="251"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color w:val="auto"/>
        </w:rPr>
        <w:t>In the future, we may provide perquisites or other personal benefits to our executive officers in limited circumstances, as described above.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color w:val="3D85C6"/>
        </w:rPr>
        <w:t>Employment Agreements</w:t>
      </w:r>
    </w:p>
    <w:p>
      <w:pPr>
        <w:spacing w:after="0" w:line="189"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With the exception of Mr. Ilgenfritz who is party to a “Managing Director Agreement” dated November 20, 2024, we do not have employment agreements with our NEOs. The material terms of stock awards granted to our NEOs in 2025 and performance-based cash incentives earned by our NEOs for 2025 are described in more detail in “Long-Term Incentive Compensation” and “Short-Term Incentive Plan”, respectively, above, and the material terms of severance and other termination benefits and compensation are articulated below in “Post-Employment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3D85C6"/>
        </w:rPr>
        <w:t>Post-Employment Compensation</w:t>
      </w:r>
    </w:p>
    <w:p>
      <w:pPr>
        <w:spacing w:after="0" w:line="189"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In 2020, the Compensation Committee undertook, in consultation with Compensia, a review of its executive post-employment agreements. The objective of this review was to independently assess best practices and develop standard agreements to be implemented as the Compensation Committee deemed appropriate among the Company’s executive officers. The Compensation Committee approved a form of executive severance agreement (the “Severance Agreement”) and form of change in control agreement (the “Change in Control Agreement”) for certain of the Company’s executive officers (an “Executive”) as described below (the “Executive Agreements”). The post-employment payments and benefits which our NEOs are eligible to receive under the Executive Agreements are described in more detail in “Potential Payments upon Termination or Change in Control” below.</w:t>
      </w:r>
    </w:p>
    <w:p>
      <w:pPr>
        <w:spacing w:after="0" w:line="157"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believe providing these arrangements helps us compete for and retain executive talent. After reviewing the practices of companies represented in the compensation peer group, we believe that these arrangements are generally comparable with the severance packages offered to executives by the companies in the compensation peer group. We believe that the “double trigger” arrangement under the Change in Control Agreement maximizes stockholder value because it prevents an unintended windfall to these executive officers in the event of a change in control of Cohu, while still providing them appropriate incentives to cooperate in negotiating a transaction involving a potential change in control of Cohu in which they believe they may lose their jobs.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01" w:name="page102"/>
    <w:bookmarkEnd w:id="101"/>
    <w:p>
      <w:pPr>
        <w:spacing w:after="0"/>
        <w:rPr>
          <w:sz w:val="20"/>
          <w:szCs w:val="20"/>
          <w:color w:val="auto"/>
        </w:rPr>
      </w:pPr>
      <w:r>
        <w:rPr>
          <w:rFonts w:ascii="Arial" w:cs="Arial" w:eastAsia="Arial" w:hAnsi="Arial"/>
          <w:sz w:val="19"/>
          <w:szCs w:val="19"/>
          <w:color w:val="3D85C6"/>
        </w:rPr>
        <w:t>Other Compensation Policies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Stock Ownership Policy</w:t>
      </w:r>
    </w:p>
    <w:p>
      <w:pPr>
        <w:spacing w:after="0" w:line="187"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believe that stock ownership by our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policy provides that over the five-year period commencing with their appointment or employment as an executive officer or over a three-year period following an increase in their annual base salary or a new ownership level being approved, these individuals must accumulate and hold shares of our common stock having the following values:</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5640" w:type="dxa"/>
            <w:vAlign w:val="bottom"/>
            <w:tcBorders>
              <w:top w:val="single" w:sz="8" w:color="3D85C6"/>
              <w:left w:val="single" w:sz="8" w:color="3D85C6"/>
              <w:bottom w:val="single" w:sz="8" w:color="3D85C6"/>
              <w:right w:val="single" w:sz="8" w:color="3D85C6"/>
            </w:tcBorders>
            <w:shd w:val="clear" w:color="auto" w:fill="2D53A6"/>
          </w:tcPr>
          <w:p>
            <w:pPr>
              <w:ind w:left="180"/>
              <w:spacing w:after="0"/>
              <w:rPr>
                <w:sz w:val="20"/>
                <w:szCs w:val="20"/>
                <w:color w:val="auto"/>
              </w:rPr>
            </w:pPr>
            <w:r>
              <w:rPr>
                <w:rFonts w:ascii="Arial" w:cs="Arial" w:eastAsia="Arial" w:hAnsi="Arial"/>
                <w:sz w:val="17"/>
                <w:szCs w:val="17"/>
                <w:b w:val="1"/>
                <w:bCs w:val="1"/>
                <w:color w:val="FFFFFF"/>
              </w:rPr>
              <w:t>Individual Subject to Stock Ownership Policy</w:t>
            </w:r>
          </w:p>
        </w:tc>
        <w:tc>
          <w:tcPr>
            <w:tcW w:w="5620" w:type="dxa"/>
            <w:vAlign w:val="bottom"/>
            <w:tcBorders>
              <w:top w:val="single" w:sz="8" w:color="2D53A6"/>
              <w:bottom w:val="single" w:sz="8" w:color="3D85C6"/>
              <w:right w:val="single" w:sz="8" w:color="3D85C6"/>
            </w:tcBorders>
            <w:shd w:val="clear" w:color="auto" w:fill="2D53A6"/>
          </w:tcPr>
          <w:p>
            <w:pPr>
              <w:ind w:left="140"/>
              <w:spacing w:after="0"/>
              <w:rPr>
                <w:sz w:val="20"/>
                <w:szCs w:val="20"/>
                <w:color w:val="auto"/>
              </w:rPr>
            </w:pPr>
            <w:r>
              <w:rPr>
                <w:rFonts w:ascii="Arial" w:cs="Arial" w:eastAsia="Arial" w:hAnsi="Arial"/>
                <w:sz w:val="17"/>
                <w:szCs w:val="17"/>
                <w:b w:val="1"/>
                <w:bCs w:val="1"/>
                <w:color w:val="FFFFFF"/>
              </w:rPr>
              <w:t>Minimum Required Level of Stock Ownership</w:t>
            </w:r>
          </w:p>
        </w:tc>
      </w:tr>
      <w:tr>
        <w:trPr>
          <w:trHeight w:val="168"/>
        </w:trPr>
        <w:tc>
          <w:tcPr>
            <w:tcW w:w="5640" w:type="dxa"/>
            <w:vAlign w:val="bottom"/>
            <w:tcBorders>
              <w:left w:val="single" w:sz="8" w:color="3D85C6"/>
              <w:bottom w:val="single" w:sz="8" w:color="3D85C6"/>
              <w:right w:val="single" w:sz="8" w:color="3D85C6"/>
            </w:tcBorders>
          </w:tcPr>
          <w:p>
            <w:pPr>
              <w:ind w:left="180"/>
              <w:spacing w:after="0" w:line="168" w:lineRule="exact"/>
              <w:rPr>
                <w:sz w:val="20"/>
                <w:szCs w:val="20"/>
                <w:color w:val="auto"/>
              </w:rPr>
            </w:pPr>
            <w:r>
              <w:rPr>
                <w:rFonts w:ascii="Arial" w:cs="Arial" w:eastAsia="Arial" w:hAnsi="Arial"/>
                <w:sz w:val="17"/>
                <w:szCs w:val="17"/>
                <w:color w:val="auto"/>
              </w:rPr>
              <w:t>Chief Executive Officer</w:t>
            </w:r>
          </w:p>
        </w:tc>
        <w:tc>
          <w:tcPr>
            <w:tcW w:w="5620" w:type="dxa"/>
            <w:vAlign w:val="bottom"/>
            <w:tcBorders>
              <w:bottom w:val="single" w:sz="8" w:color="3D85C6"/>
              <w:right w:val="single" w:sz="8" w:color="3D85C6"/>
            </w:tcBorders>
          </w:tcPr>
          <w:p>
            <w:pPr>
              <w:ind w:left="140"/>
              <w:spacing w:after="0" w:line="168" w:lineRule="exact"/>
              <w:rPr>
                <w:sz w:val="20"/>
                <w:szCs w:val="20"/>
                <w:color w:val="auto"/>
              </w:rPr>
            </w:pPr>
            <w:r>
              <w:rPr>
                <w:rFonts w:ascii="Arial" w:cs="Arial" w:eastAsia="Arial" w:hAnsi="Arial"/>
                <w:sz w:val="17"/>
                <w:szCs w:val="17"/>
                <w:color w:val="auto"/>
              </w:rPr>
              <w:t>Three times annual base salary</w:t>
            </w:r>
          </w:p>
        </w:tc>
      </w:tr>
      <w:tr>
        <w:trPr>
          <w:trHeight w:val="188"/>
        </w:trPr>
        <w:tc>
          <w:tcPr>
            <w:tcW w:w="5640" w:type="dxa"/>
            <w:vAlign w:val="bottom"/>
            <w:tcBorders>
              <w:left w:val="single" w:sz="8" w:color="3D85C6"/>
              <w:bottom w:val="single" w:sz="8" w:color="3D85C6"/>
              <w:right w:val="single" w:sz="8" w:color="3D85C6"/>
            </w:tcBorders>
            <w:shd w:val="clear" w:color="auto" w:fill="E6E6E6"/>
          </w:tcPr>
          <w:p>
            <w:pPr>
              <w:ind w:left="180"/>
              <w:spacing w:after="0" w:line="188" w:lineRule="exact"/>
              <w:rPr>
                <w:sz w:val="20"/>
                <w:szCs w:val="20"/>
                <w:color w:val="auto"/>
              </w:rPr>
            </w:pPr>
            <w:r>
              <w:rPr>
                <w:rFonts w:ascii="Arial" w:cs="Arial" w:eastAsia="Arial" w:hAnsi="Arial"/>
                <w:sz w:val="17"/>
                <w:szCs w:val="17"/>
                <w:color w:val="auto"/>
              </w:rPr>
              <w:t>Chief Financial Officer</w:t>
            </w:r>
          </w:p>
        </w:tc>
        <w:tc>
          <w:tcPr>
            <w:tcW w:w="5620" w:type="dxa"/>
            <w:vAlign w:val="bottom"/>
            <w:tcBorders>
              <w:bottom w:val="single" w:sz="8" w:color="3D85C6"/>
              <w:right w:val="single" w:sz="8" w:color="3D85C6"/>
            </w:tcBorders>
            <w:shd w:val="clear" w:color="auto" w:fill="E6E6E6"/>
          </w:tcPr>
          <w:p>
            <w:pPr>
              <w:ind w:left="140"/>
              <w:spacing w:after="0" w:line="188" w:lineRule="exact"/>
              <w:rPr>
                <w:sz w:val="20"/>
                <w:szCs w:val="20"/>
                <w:color w:val="auto"/>
              </w:rPr>
            </w:pPr>
            <w:r>
              <w:rPr>
                <w:rFonts w:ascii="Arial" w:cs="Arial" w:eastAsia="Arial" w:hAnsi="Arial"/>
                <w:sz w:val="17"/>
                <w:szCs w:val="17"/>
                <w:color w:val="auto"/>
              </w:rPr>
              <w:t>Two times annual base salary</w:t>
            </w:r>
          </w:p>
        </w:tc>
      </w:tr>
      <w:tr>
        <w:trPr>
          <w:trHeight w:val="188"/>
        </w:trPr>
        <w:tc>
          <w:tcPr>
            <w:tcW w:w="5640" w:type="dxa"/>
            <w:vAlign w:val="bottom"/>
            <w:tcBorders>
              <w:left w:val="single" w:sz="8" w:color="3D85C6"/>
              <w:bottom w:val="single" w:sz="8" w:color="3D85C6"/>
              <w:right w:val="single" w:sz="8" w:color="3D85C6"/>
            </w:tcBorders>
          </w:tcPr>
          <w:p>
            <w:pPr>
              <w:ind w:left="180"/>
              <w:spacing w:after="0" w:line="188" w:lineRule="exact"/>
              <w:rPr>
                <w:sz w:val="20"/>
                <w:szCs w:val="20"/>
                <w:color w:val="auto"/>
              </w:rPr>
            </w:pPr>
            <w:r>
              <w:rPr>
                <w:rFonts w:ascii="Arial" w:cs="Arial" w:eastAsia="Arial" w:hAnsi="Arial"/>
                <w:sz w:val="17"/>
                <w:szCs w:val="17"/>
                <w:color w:val="auto"/>
              </w:rPr>
              <w:t>All other executive officers</w:t>
            </w:r>
          </w:p>
        </w:tc>
        <w:tc>
          <w:tcPr>
            <w:tcW w:w="5620" w:type="dxa"/>
            <w:vAlign w:val="bottom"/>
            <w:tcBorders>
              <w:bottom w:val="single" w:sz="8" w:color="3D85C6"/>
              <w:right w:val="single" w:sz="8" w:color="3D85C6"/>
            </w:tcBorders>
          </w:tcPr>
          <w:p>
            <w:pPr>
              <w:ind w:left="140"/>
              <w:spacing w:after="0" w:line="188" w:lineRule="exact"/>
              <w:rPr>
                <w:sz w:val="20"/>
                <w:szCs w:val="20"/>
                <w:color w:val="auto"/>
              </w:rPr>
            </w:pPr>
            <w:r>
              <w:rPr>
                <w:rFonts w:ascii="Arial" w:cs="Arial" w:eastAsia="Arial" w:hAnsi="Arial"/>
                <w:sz w:val="17"/>
                <w:szCs w:val="17"/>
                <w:color w:val="auto"/>
              </w:rPr>
              <w:t>One times annual base salary</w:t>
            </w:r>
          </w:p>
        </w:tc>
      </w:tr>
    </w:tbl>
    <w:p>
      <w:pPr>
        <w:spacing w:after="0" w:line="178" w:lineRule="exact"/>
        <w:rPr>
          <w:sz w:val="20"/>
          <w:szCs w:val="20"/>
          <w:color w:val="auto"/>
        </w:rPr>
      </w:pPr>
    </w:p>
    <w:p>
      <w:pPr>
        <w:ind w:right="320"/>
        <w:spacing w:after="0" w:line="247" w:lineRule="auto"/>
        <w:rPr>
          <w:sz w:val="20"/>
          <w:szCs w:val="20"/>
          <w:color w:val="auto"/>
        </w:rPr>
      </w:pPr>
      <w:r>
        <w:rPr>
          <w:rFonts w:ascii="Arial" w:cs="Arial" w:eastAsia="Arial" w:hAnsi="Arial"/>
          <w:sz w:val="17"/>
          <w:szCs w:val="17"/>
          <w:color w:val="auto"/>
        </w:rPr>
        <w:t>Under our stock ownership policy, our executive officers should not sell any shares of our common stock, other than to settle tax withholding obligations due to the vesting of shares, until the applicable ownership level has been met and, once met, subsequent sales, if any, should not reduce their ownership of our common stock below these minimum ownership levels unless approved by the Compensation Committee in advance. Vested “phantom” and deferred but unissued shares of our common stock are included as shares owned for purposes of our stock ownership policy. The Compensation Committee monitors compliance with these stock ownership levels on an annual basis using the average closing price of our common stock during the preceding fiscal year. As of December 31, 2025, each of our NEOs was compliant with the policy.</w:t>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Policy for Recovery of Erroneously Awarded Incentive Compensation</w:t>
      </w:r>
    </w:p>
    <w:p>
      <w:pPr>
        <w:spacing w:after="0" w:line="187"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On October 2, 2023, we adopted a revised Policy for Recovery of Erroneously Awarded Incentive Compensation (“clawback” policy) that complies with the requirements of Exchange Act Rule 10D-1 and the corresponding Nasdaq listing standards under which if the Company is required to prepare a Restatement (as defined in the policy), the Company will seek to recover and clawback from any Affected Officer (as defined in the policy) reasonably promptly the Erroneously Awarded Compensation (as defined in the policy) received by the Affected Officer.</w:t>
      </w:r>
    </w:p>
    <w:p>
      <w:pPr>
        <w:spacing w:after="0" w:line="3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Equity Award Grant Policy</w:t>
      </w:r>
    </w:p>
    <w:p>
      <w:pPr>
        <w:spacing w:after="0" w:line="187"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grant equity awards to our executive officers under our stockholder-approved 2005 Plan. Pursuant to this plan, all stock option grants must have a per share exercise price at least equal to the fair market value of our common stock on the grant date. Grants of equity awards to newly hired or appointed executive officers, including NEOs, will typically be made at a regularly scheduled meeting of the Compensation Committee held subsequent to the new hire or appointment date. Ongoing equity award grants to our executive officers, including our NEOs, will be approved on an annual basis at a meeting of the Compensation Committee or our Board of Directors, as applicable, which is typically held in the first quarter of each fiscal year.</w:t>
      </w:r>
    </w:p>
    <w:p>
      <w:pPr>
        <w:spacing w:after="0" w:line="15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Compensation Committee has not granted, nor does it intend in the future to grant, equity awards to our executive officers or any other individual in anticipation of the release of material nonpublic information that is likely to result in changes to the price of our common stock, such as a significant positive or negative earnings announcement. Similarly, Cohu has not timed, nor does it intend in the future to time, the release of material nonpublic information based on equity award grant dates. In addition, because our equity awards typically vest or are earned over a multi-year period, the value to recipients of any immediate increase in the price of our common stock following an award will be minimal.</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Treatment of Equity Awards Upon Retirement</w:t>
      </w:r>
    </w:p>
    <w:p>
      <w:pPr>
        <w:spacing w:after="0" w:line="187"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March 2023, after consultation with Compensia and external legal counsel, the Compensation Committee approved a policy providing for the continuation of vesting eligibility after retirement for certain equity awards granted to specific senior executives that satisfy the eligibility requirements of a Qualifying Retiring Employee, as defined in our Retirement Policy which appears as an exhibit to applicable equity award agreements. These requirements include being a minimum age for retirement, having completed a minimum number of years of service with Cohu, including tenure as a senior executive, and providing specific advance notice of the request to receive retirement benefits. This policy does not apply to any equity awards granted before March 2023. This policy applies to all our NEOs including our CEO. We believe providing these potential retirement benefits will help us compete for and retain executive talent as well as facilitate orderly transitions for retiring executives.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02" w:name="page103"/>
    <w:bookmarkEnd w:id="102"/>
    <w:p>
      <w:pPr>
        <w:spacing w:after="0"/>
        <w:rPr>
          <w:sz w:val="20"/>
          <w:szCs w:val="20"/>
          <w:color w:val="auto"/>
        </w:rPr>
      </w:pPr>
      <w:r>
        <w:rPr>
          <w:rFonts w:ascii="Arial" w:cs="Arial" w:eastAsia="Arial" w:hAnsi="Arial"/>
          <w:sz w:val="19"/>
          <w:szCs w:val="19"/>
          <w:i w:val="1"/>
          <w:iCs w:val="1"/>
          <w:color w:val="auto"/>
        </w:rPr>
        <w:t>No Hedging or Pledging</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Cohu’s Insider Trading Policy prohibits all officers, directors, and other employees with access to sensitive Company information from engaging in any form of hedging transaction (derivatives, equity swaps, forwards, etc.) in Cohu’s stock, including, among other things, short sales and transactions involving publicly traded options. In addition, such officers, directors, and employees are prohibited from holding Cohu stock in margin accounts and from pledging Cohu stock as collateral for loans. We believe that these policies further align the interests of our officers and directors with those of our stockholders.</w:t>
      </w:r>
    </w:p>
    <w:p>
      <w:pPr>
        <w:spacing w:after="0" w:line="385" w:lineRule="exact"/>
        <w:rPr>
          <w:sz w:val="20"/>
          <w:szCs w:val="20"/>
          <w:color w:val="auto"/>
        </w:rPr>
      </w:pPr>
    </w:p>
    <w:p>
      <w:pPr>
        <w:spacing w:after="0"/>
        <w:rPr>
          <w:sz w:val="20"/>
          <w:szCs w:val="20"/>
          <w:color w:val="auto"/>
        </w:rPr>
      </w:pPr>
      <w:r>
        <w:rPr>
          <w:rFonts w:ascii="Arial" w:cs="Arial" w:eastAsia="Arial" w:hAnsi="Arial"/>
          <w:sz w:val="19"/>
          <w:szCs w:val="19"/>
          <w:color w:val="3D85C6"/>
        </w:rPr>
        <w:t>Tax and Accounting Considerations</w:t>
      </w:r>
    </w:p>
    <w:p>
      <w:pPr>
        <w:spacing w:after="0" w:line="18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In designing our executive compensation program, the Compensation Committee takes into consideration the tax and accounting effects that each element of compensation will or may have on Cohu and our executive officers. The Compensation Committee seeks to keep the compensation expense associated with our executive compensation program as a whole within reasonable levels. When determining how to apportion between differing elements of compensation, the Compensation Committee’s goal is to meet our business objectives while maintaining cost neutrality. For example, if the Compensation Committee increases benefits under one compensation plan or arrangement resulting in higher compensation expense, it may seek to decrease benefits under another plan or arrangement to avoid compensation expense that is above the desired level.</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Deductibility of Executive Compensation</w:t>
      </w:r>
    </w:p>
    <w:p>
      <w:pPr>
        <w:spacing w:after="0" w:line="187"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Under Section 162(m), compensation paid to each of our NEOs and other “covered employees” that exceeds $1 million per taxable year is generally non-deductible. The Compensation 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Cohu and our stockholders.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Taxation of Nonqualified Deferred Compensation</w:t>
      </w:r>
    </w:p>
    <w:p>
      <w:pPr>
        <w:spacing w:after="0" w:line="187"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elements, as well as the compensation plans and arrangements for our employees generally, so that they are either exempt from, or satisfy the requirements of, Section 409A, which primarily results in negative tax consequences to our executive officers rather than Cohu. From time to time, we may be required to amend some of our compensation plans and arrangements to ensure that they are either exempt from, or compliant with, Section 409A.</w:t>
      </w:r>
    </w:p>
    <w:p>
      <w:pPr>
        <w:spacing w:after="0" w:line="157"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color w:val="auto"/>
        </w:rPr>
        <w:t>We are not obligated under any compensation plan or arrangement to prevent or minimize any negative tax consequences that may affect our executive officers, nor are we required to pay any “gross-up” should any such consequences arise.</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Taxation of </w:t>
      </w:r>
      <w:r>
        <w:rPr>
          <w:rFonts w:ascii="Arial" w:cs="Arial" w:eastAsia="Arial" w:hAnsi="Arial"/>
          <w:sz w:val="19"/>
          <w:szCs w:val="19"/>
          <w:color w:val="auto"/>
        </w:rPr>
        <w:t>“</w:t>
      </w:r>
      <w:r>
        <w:rPr>
          <w:rFonts w:ascii="Arial" w:cs="Arial" w:eastAsia="Arial" w:hAnsi="Arial"/>
          <w:sz w:val="19"/>
          <w:szCs w:val="19"/>
          <w:i w:val="1"/>
          <w:iCs w:val="1"/>
          <w:color w:val="auto"/>
        </w:rPr>
        <w:t>Parachute</w:t>
      </w:r>
      <w:r>
        <w:rPr>
          <w:rFonts w:ascii="Arial" w:cs="Arial" w:eastAsia="Arial" w:hAnsi="Arial"/>
          <w:sz w:val="19"/>
          <w:szCs w:val="19"/>
          <w:color w:val="auto"/>
        </w:rPr>
        <w:t>”</w:t>
      </w:r>
      <w:r>
        <w:rPr>
          <w:rFonts w:ascii="Arial" w:cs="Arial" w:eastAsia="Arial" w:hAnsi="Arial"/>
          <w:sz w:val="19"/>
          <w:szCs w:val="19"/>
          <w:i w:val="1"/>
          <w:iCs w:val="1"/>
          <w:color w:val="auto"/>
        </w:rPr>
        <w:t xml:space="preserve"> Payments</w:t>
      </w:r>
    </w:p>
    <w:p>
      <w:pPr>
        <w:spacing w:after="0" w:line="18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Cohu that exceeds certain prescribed limits, and that Cohu (or a successor) may forfeit a deduction on the amounts subject to this additional tax. We are not obligated to provide any NEO with a “gross- up” or other reimbursement payment for any tax liability that he or she may owe as a result of the application of Sections 280G or 4999 in the event of a change in control of Cohu.</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Accounting for Stock-Based Compensation</w:t>
      </w:r>
    </w:p>
    <w:p>
      <w:pPr>
        <w:spacing w:after="0" w:line="187"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Compensation Committee takes accounting implications into consideration in designing compensation plans and arrangements for our executive officers and other employees. Chief among these is Financial Accounting Standards Board Accounting Standards Codification Topic 718, Compensation-Stock Compensation, (“ASC Topic 718”), the standard which governs the accounting treatment of stock-based compensation awards.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E-25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103" w:name="page104"/>
    <w:bookmarkEnd w:id="103"/>
    <w:p>
      <w:pPr>
        <w:ind w:right="20"/>
        <w:spacing w:after="0" w:line="242" w:lineRule="auto"/>
        <w:rPr>
          <w:sz w:val="20"/>
          <w:szCs w:val="20"/>
          <w:color w:val="auto"/>
        </w:rPr>
      </w:pPr>
      <w:r>
        <w:rPr>
          <w:rFonts w:ascii="Arial" w:cs="Arial" w:eastAsia="Arial" w:hAnsi="Arial"/>
          <w:sz w:val="17"/>
          <w:szCs w:val="17"/>
          <w:color w:val="auto"/>
        </w:rPr>
        <w:t>ASC Topic 718 requires us to measure grant date fair value and recognize compensation cost in our financial statements all share-based payment awards to employees, directors and consultants, including stock option grants, restricted stock unit awards, and performance stock unit awards to our executive officers. Our estimate of share-based compensation expense requires a number of complex and subjective assumptions including our stock price volatility, employee exercise patterns (expected life of the options), forfeitures and related tax effects. The assumptions used in calculating the fair value of share-based payment awards represent our best estimates, but these estimates involve inherent uncertainties and the application of management judgment. Share-based compensation expense related to restricted stock unit awards (RSUs) is calculated based on the market price of our common stock on the date of grant, reduced by the present value of dividends expected to be paid on our common stock prior to vesting of the restricted stock unit. The estimated fair value of performance stock unit awards (PSUs) is determined on the grant date using the Monte Carlo simulation valuation model. The Monte Carlo simulation model incorporates assumptions for the risk-free interest rate, Cohu and the selected peer group stock price volatility, the correlation between Cohu and the selected index, and dividend yields. ASC Topic 718 also requires us to recognize the compensation cost of our share-based payment awards in our income statement over the period that an employee, including our executive officers, is required to render service in exchange for the award (which, generally, will correspond to the award’s vesting schedule). We record a provision for equity-based performance units outstanding based on our current assessment of achievement of the performance goals and recognize actual forfeitures as they occur.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2025 Summary Compensation Table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compensation information for fiscal year 2025 for our NEOs.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700" w:type="dxa"/>
            <w:vAlign w:val="bottom"/>
            <w:tcBorders>
              <w:top w:val="single" w:sz="8" w:color="3D85C6"/>
              <w:left w:val="single" w:sz="8" w:color="3D85C6"/>
              <w:right w:val="single" w:sz="8" w:color="3D85C6"/>
            </w:tcBorders>
            <w:shd w:val="clear" w:color="auto" w:fill="2D53A6"/>
          </w:tcPr>
          <w:p>
            <w:pPr>
              <w:spacing w:after="0"/>
              <w:rPr>
                <w:sz w:val="16"/>
                <w:szCs w:val="16"/>
                <w:color w:val="auto"/>
              </w:rPr>
            </w:pPr>
          </w:p>
        </w:tc>
        <w:tc>
          <w:tcPr>
            <w:tcW w:w="820" w:type="dxa"/>
            <w:vAlign w:val="bottom"/>
            <w:tcBorders>
              <w:top w:val="single" w:sz="8" w:color="2D53A6"/>
            </w:tcBorders>
            <w:shd w:val="clear" w:color="auto" w:fill="2D53A6"/>
          </w:tcPr>
          <w:p>
            <w:pPr>
              <w:spacing w:after="0"/>
              <w:rPr>
                <w:sz w:val="16"/>
                <w:szCs w:val="16"/>
                <w:color w:val="auto"/>
              </w:rPr>
            </w:pPr>
          </w:p>
        </w:tc>
        <w:tc>
          <w:tcPr>
            <w:tcW w:w="120" w:type="dxa"/>
            <w:vAlign w:val="bottom"/>
            <w:tcBorders>
              <w:top w:val="single" w:sz="8" w:color="2D53A6"/>
              <w:right w:val="single" w:sz="8" w:color="3D85C6"/>
            </w:tcBorders>
            <w:shd w:val="clear" w:color="auto" w:fill="2D53A6"/>
          </w:tcPr>
          <w:p>
            <w:pPr>
              <w:spacing w:after="0"/>
              <w:rPr>
                <w:sz w:val="16"/>
                <w:szCs w:val="16"/>
                <w:color w:val="auto"/>
              </w:rPr>
            </w:pPr>
          </w:p>
        </w:tc>
        <w:tc>
          <w:tcPr>
            <w:tcW w:w="1240" w:type="dxa"/>
            <w:vAlign w:val="bottom"/>
            <w:tcBorders>
              <w:top w:val="single" w:sz="8" w:color="2D53A6"/>
              <w:right w:val="single" w:sz="8" w:color="3D85C6"/>
            </w:tcBorders>
            <w:shd w:val="clear" w:color="auto" w:fill="2D53A6"/>
          </w:tcPr>
          <w:p>
            <w:pPr>
              <w:spacing w:after="0"/>
              <w:rPr>
                <w:sz w:val="16"/>
                <w:szCs w:val="16"/>
                <w:color w:val="auto"/>
              </w:rPr>
            </w:pPr>
          </w:p>
        </w:tc>
        <w:tc>
          <w:tcPr>
            <w:tcW w:w="1360" w:type="dxa"/>
            <w:vAlign w:val="bottom"/>
            <w:tcBorders>
              <w:top w:val="single" w:sz="8" w:color="2D53A6"/>
              <w:right w:val="single" w:sz="8" w:color="3D85C6"/>
            </w:tcBorders>
            <w:shd w:val="clear" w:color="auto" w:fill="2D53A6"/>
          </w:tcPr>
          <w:p>
            <w:pPr>
              <w:spacing w:after="0"/>
              <w:rPr>
                <w:sz w:val="16"/>
                <w:szCs w:val="16"/>
                <w:color w:val="auto"/>
              </w:rPr>
            </w:pPr>
          </w:p>
        </w:tc>
        <w:tc>
          <w:tcPr>
            <w:tcW w:w="1380" w:type="dxa"/>
            <w:vAlign w:val="bottom"/>
            <w:tcBorders>
              <w:top w:val="single" w:sz="8" w:color="2D53A6"/>
              <w:right w:val="single" w:sz="8" w:color="3D85C6"/>
            </w:tcBorders>
            <w:shd w:val="clear" w:color="auto" w:fill="2D53A6"/>
          </w:tcPr>
          <w:p>
            <w:pPr>
              <w:jc w:val="center"/>
              <w:spacing w:after="0" w:line="193" w:lineRule="exact"/>
              <w:rPr>
                <w:sz w:val="20"/>
                <w:szCs w:val="20"/>
                <w:color w:val="auto"/>
              </w:rPr>
            </w:pPr>
            <w:r>
              <w:rPr>
                <w:rFonts w:ascii="Arial" w:cs="Arial" w:eastAsia="Arial" w:hAnsi="Arial"/>
                <w:sz w:val="17"/>
                <w:szCs w:val="17"/>
                <w:b w:val="1"/>
                <w:bCs w:val="1"/>
                <w:color w:val="FFFFFF"/>
              </w:rPr>
              <w:t>Non-</w:t>
            </w:r>
          </w:p>
        </w:tc>
        <w:tc>
          <w:tcPr>
            <w:tcW w:w="1320" w:type="dxa"/>
            <w:vAlign w:val="bottom"/>
            <w:tcBorders>
              <w:top w:val="single" w:sz="8" w:color="2D53A6"/>
              <w:right w:val="single" w:sz="8" w:color="3D85C6"/>
            </w:tcBorders>
            <w:shd w:val="clear" w:color="auto" w:fill="2D53A6"/>
          </w:tcPr>
          <w:p>
            <w:pPr>
              <w:spacing w:after="0"/>
              <w:rPr>
                <w:sz w:val="16"/>
                <w:szCs w:val="16"/>
                <w:color w:val="auto"/>
              </w:rPr>
            </w:pPr>
          </w:p>
        </w:tc>
        <w:tc>
          <w:tcPr>
            <w:tcW w:w="1320" w:type="dxa"/>
            <w:vAlign w:val="bottom"/>
            <w:tcBorders>
              <w:top w:val="single" w:sz="8" w:color="2D53A6"/>
              <w:right w:val="single" w:sz="8" w:color="3D85C6"/>
            </w:tcBorders>
            <w:shd w:val="clear" w:color="auto" w:fill="2D53A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00" w:type="dxa"/>
            <w:vAlign w:val="bottom"/>
            <w:tcBorders>
              <w:left w:val="single" w:sz="8" w:color="3D85C6"/>
              <w:right w:val="single" w:sz="8" w:color="3D85C6"/>
            </w:tcBorders>
            <w:shd w:val="clear" w:color="auto" w:fill="2D53A6"/>
          </w:tcPr>
          <w:p>
            <w:pPr>
              <w:spacing w:after="0"/>
              <w:rPr>
                <w:sz w:val="16"/>
                <w:szCs w:val="16"/>
                <w:color w:val="auto"/>
              </w:rPr>
            </w:pPr>
          </w:p>
        </w:tc>
        <w:tc>
          <w:tcPr>
            <w:tcW w:w="820" w:type="dxa"/>
            <w:vAlign w:val="bottom"/>
            <w:shd w:val="clear" w:color="auto" w:fill="2D53A6"/>
          </w:tcPr>
          <w:p>
            <w:pPr>
              <w:spacing w:after="0"/>
              <w:rPr>
                <w:sz w:val="16"/>
                <w:szCs w:val="16"/>
                <w:color w:val="auto"/>
              </w:rPr>
            </w:pPr>
          </w:p>
        </w:tc>
        <w:tc>
          <w:tcPr>
            <w:tcW w:w="120" w:type="dxa"/>
            <w:vAlign w:val="bottom"/>
            <w:tcBorders>
              <w:right w:val="single" w:sz="8" w:color="3D85C6"/>
            </w:tcBorders>
            <w:shd w:val="clear" w:color="auto" w:fill="2D53A6"/>
          </w:tcPr>
          <w:p>
            <w:pPr>
              <w:spacing w:after="0"/>
              <w:rPr>
                <w:sz w:val="16"/>
                <w:szCs w:val="16"/>
                <w:color w:val="auto"/>
              </w:rPr>
            </w:pPr>
          </w:p>
        </w:tc>
        <w:tc>
          <w:tcPr>
            <w:tcW w:w="1240" w:type="dxa"/>
            <w:vAlign w:val="bottom"/>
            <w:tcBorders>
              <w:right w:val="single" w:sz="8" w:color="3D85C6"/>
            </w:tcBorders>
            <w:shd w:val="clear" w:color="auto" w:fill="2D53A6"/>
          </w:tcPr>
          <w:p>
            <w:pPr>
              <w:spacing w:after="0"/>
              <w:rPr>
                <w:sz w:val="16"/>
                <w:szCs w:val="16"/>
                <w:color w:val="auto"/>
              </w:rPr>
            </w:pPr>
          </w:p>
        </w:tc>
        <w:tc>
          <w:tcPr>
            <w:tcW w:w="136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Stock</w:t>
            </w:r>
          </w:p>
        </w:tc>
        <w:tc>
          <w:tcPr>
            <w:tcW w:w="138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w w:val="99"/>
              </w:rPr>
              <w:t>Equity</w:t>
            </w:r>
          </w:p>
        </w:tc>
        <w:tc>
          <w:tcPr>
            <w:tcW w:w="132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All Other</w:t>
            </w:r>
          </w:p>
        </w:tc>
        <w:tc>
          <w:tcPr>
            <w:tcW w:w="1320" w:type="dxa"/>
            <w:vAlign w:val="bottom"/>
            <w:tcBorders>
              <w:right w:val="single" w:sz="8" w:color="3D85C6"/>
            </w:tcBorders>
            <w:shd w:val="clear" w:color="auto" w:fill="2D53A6"/>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700" w:type="dxa"/>
            <w:vAlign w:val="bottom"/>
            <w:tcBorders>
              <w:left w:val="single" w:sz="8" w:color="3D85C6"/>
              <w:right w:val="single" w:sz="8" w:color="3D85C6"/>
            </w:tcBorders>
            <w:shd w:val="clear" w:color="auto" w:fill="2D53A6"/>
          </w:tcPr>
          <w:p>
            <w:pPr>
              <w:spacing w:after="0"/>
              <w:rPr>
                <w:sz w:val="7"/>
                <w:szCs w:val="7"/>
                <w:color w:val="auto"/>
              </w:rPr>
            </w:pPr>
          </w:p>
        </w:tc>
        <w:tc>
          <w:tcPr>
            <w:tcW w:w="820" w:type="dxa"/>
            <w:vAlign w:val="bottom"/>
            <w:shd w:val="clear" w:color="auto" w:fill="2D53A6"/>
          </w:tcPr>
          <w:p>
            <w:pPr>
              <w:spacing w:after="0"/>
              <w:rPr>
                <w:sz w:val="7"/>
                <w:szCs w:val="7"/>
                <w:color w:val="auto"/>
              </w:rPr>
            </w:pPr>
          </w:p>
        </w:tc>
        <w:tc>
          <w:tcPr>
            <w:tcW w:w="120" w:type="dxa"/>
            <w:vAlign w:val="bottom"/>
            <w:tcBorders>
              <w:right w:val="single" w:sz="8" w:color="3D85C6"/>
            </w:tcBorders>
            <w:shd w:val="clear" w:color="auto" w:fill="2D53A6"/>
          </w:tcPr>
          <w:p>
            <w:pPr>
              <w:spacing w:after="0"/>
              <w:rPr>
                <w:sz w:val="7"/>
                <w:szCs w:val="7"/>
                <w:color w:val="auto"/>
              </w:rPr>
            </w:pPr>
          </w:p>
        </w:tc>
        <w:tc>
          <w:tcPr>
            <w:tcW w:w="1240" w:type="dxa"/>
            <w:vAlign w:val="bottom"/>
            <w:tcBorders>
              <w:right w:val="single" w:sz="8" w:color="3D85C6"/>
            </w:tcBorders>
            <w:vMerge w:val="restart"/>
            <w:shd w:val="clear" w:color="auto" w:fill="2D53A6"/>
          </w:tcPr>
          <w:p>
            <w:pPr>
              <w:jc w:val="right"/>
              <w:ind w:right="333"/>
              <w:spacing w:after="0"/>
              <w:rPr>
                <w:sz w:val="20"/>
                <w:szCs w:val="20"/>
                <w:color w:val="auto"/>
              </w:rPr>
            </w:pPr>
            <w:r>
              <w:rPr>
                <w:rFonts w:ascii="Arial" w:cs="Arial" w:eastAsia="Arial" w:hAnsi="Arial"/>
                <w:sz w:val="17"/>
                <w:szCs w:val="17"/>
                <w:b w:val="1"/>
                <w:bCs w:val="1"/>
                <w:color w:val="FFFFFF"/>
              </w:rPr>
              <w:t>Salary</w:t>
            </w:r>
          </w:p>
        </w:tc>
        <w:tc>
          <w:tcPr>
            <w:tcW w:w="1360" w:type="dxa"/>
            <w:vAlign w:val="bottom"/>
            <w:tcBorders>
              <w:right w:val="single" w:sz="8" w:color="3D85C6"/>
            </w:tcBorders>
            <w:vMerge w:val="continue"/>
            <w:shd w:val="clear" w:color="auto" w:fill="2D53A6"/>
          </w:tcPr>
          <w:p>
            <w:pPr>
              <w:spacing w:after="0"/>
              <w:rPr>
                <w:sz w:val="7"/>
                <w:szCs w:val="7"/>
                <w:color w:val="auto"/>
              </w:rPr>
            </w:pPr>
          </w:p>
        </w:tc>
        <w:tc>
          <w:tcPr>
            <w:tcW w:w="138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Incentive</w:t>
            </w:r>
          </w:p>
        </w:tc>
        <w:tc>
          <w:tcPr>
            <w:tcW w:w="1320" w:type="dxa"/>
            <w:vAlign w:val="bottom"/>
            <w:tcBorders>
              <w:right w:val="single" w:sz="8" w:color="3D85C6"/>
            </w:tcBorders>
            <w:vMerge w:val="continue"/>
            <w:shd w:val="clear" w:color="auto" w:fill="2D53A6"/>
          </w:tcPr>
          <w:p>
            <w:pPr>
              <w:spacing w:after="0"/>
              <w:rPr>
                <w:sz w:val="7"/>
                <w:szCs w:val="7"/>
                <w:color w:val="auto"/>
              </w:rPr>
            </w:pPr>
          </w:p>
        </w:tc>
        <w:tc>
          <w:tcPr>
            <w:tcW w:w="1320" w:type="dxa"/>
            <w:vAlign w:val="bottom"/>
            <w:tcBorders>
              <w:right w:val="single" w:sz="8" w:color="3D85C6"/>
            </w:tcBorders>
            <w:vMerge w:val="restart"/>
            <w:shd w:val="clear" w:color="auto" w:fill="2D53A6"/>
          </w:tcPr>
          <w:p>
            <w:pPr>
              <w:ind w:left="440"/>
              <w:spacing w:after="0"/>
              <w:rPr>
                <w:sz w:val="20"/>
                <w:szCs w:val="20"/>
                <w:color w:val="auto"/>
              </w:rPr>
            </w:pPr>
            <w:r>
              <w:rPr>
                <w:rFonts w:ascii="Arial" w:cs="Arial" w:eastAsia="Arial" w:hAnsi="Arial"/>
                <w:sz w:val="17"/>
                <w:szCs w:val="17"/>
                <w:b w:val="1"/>
                <w:bCs w:val="1"/>
                <w:color w:val="FFFFFF"/>
              </w:rPr>
              <w:t>Total</w:t>
            </w:r>
          </w:p>
        </w:tc>
        <w:tc>
          <w:tcPr>
            <w:tcW w:w="0" w:type="dxa"/>
            <w:vAlign w:val="bottom"/>
          </w:tcPr>
          <w:p>
            <w:pPr>
              <w:spacing w:after="0"/>
              <w:rPr>
                <w:sz w:val="1"/>
                <w:szCs w:val="1"/>
                <w:color w:val="auto"/>
              </w:rPr>
            </w:pPr>
          </w:p>
        </w:tc>
      </w:tr>
      <w:tr>
        <w:trPr>
          <w:trHeight w:val="104"/>
        </w:trPr>
        <w:tc>
          <w:tcPr>
            <w:tcW w:w="3700" w:type="dxa"/>
            <w:vAlign w:val="bottom"/>
            <w:tcBorders>
              <w:left w:val="single" w:sz="8" w:color="3D85C6"/>
              <w:right w:val="single" w:sz="8" w:color="3D85C6"/>
            </w:tcBorders>
            <w:vMerge w:val="restart"/>
            <w:shd w:val="clear" w:color="auto" w:fill="2D53A6"/>
          </w:tcPr>
          <w:p>
            <w:pPr>
              <w:ind w:left="180"/>
              <w:spacing w:after="0"/>
              <w:rPr>
                <w:sz w:val="20"/>
                <w:szCs w:val="20"/>
                <w:color w:val="auto"/>
              </w:rPr>
            </w:pPr>
            <w:r>
              <w:rPr>
                <w:rFonts w:ascii="Arial" w:cs="Arial" w:eastAsia="Arial" w:hAnsi="Arial"/>
                <w:sz w:val="17"/>
                <w:szCs w:val="17"/>
                <w:b w:val="1"/>
                <w:bCs w:val="1"/>
                <w:color w:val="FFFFFF"/>
              </w:rPr>
              <w:t>Named Executive Officer</w:t>
            </w:r>
          </w:p>
        </w:tc>
        <w:tc>
          <w:tcPr>
            <w:tcW w:w="820" w:type="dxa"/>
            <w:vAlign w:val="bottom"/>
            <w:vMerge w:val="restart"/>
            <w:shd w:val="clear" w:color="auto" w:fill="2D53A6"/>
          </w:tcPr>
          <w:p>
            <w:pPr>
              <w:ind w:left="200"/>
              <w:spacing w:after="0"/>
              <w:rPr>
                <w:sz w:val="20"/>
                <w:szCs w:val="20"/>
                <w:color w:val="auto"/>
              </w:rPr>
            </w:pPr>
            <w:r>
              <w:rPr>
                <w:rFonts w:ascii="Arial" w:cs="Arial" w:eastAsia="Arial" w:hAnsi="Arial"/>
                <w:sz w:val="17"/>
                <w:szCs w:val="17"/>
                <w:b w:val="1"/>
                <w:bCs w:val="1"/>
                <w:color w:val="FFFFFF"/>
              </w:rPr>
              <w:t>Year</w:t>
            </w:r>
          </w:p>
        </w:tc>
        <w:tc>
          <w:tcPr>
            <w:tcW w:w="120" w:type="dxa"/>
            <w:vAlign w:val="bottom"/>
            <w:tcBorders>
              <w:right w:val="single" w:sz="8" w:color="3D85C6"/>
            </w:tcBorders>
            <w:shd w:val="clear" w:color="auto" w:fill="2D53A6"/>
          </w:tcPr>
          <w:p>
            <w:pPr>
              <w:spacing w:after="0"/>
              <w:rPr>
                <w:sz w:val="9"/>
                <w:szCs w:val="9"/>
                <w:color w:val="auto"/>
              </w:rPr>
            </w:pPr>
          </w:p>
        </w:tc>
        <w:tc>
          <w:tcPr>
            <w:tcW w:w="1240" w:type="dxa"/>
            <w:vAlign w:val="bottom"/>
            <w:tcBorders>
              <w:right w:val="single" w:sz="8" w:color="3D85C6"/>
            </w:tcBorders>
            <w:vMerge w:val="continue"/>
            <w:shd w:val="clear" w:color="auto" w:fill="2D53A6"/>
          </w:tcPr>
          <w:p>
            <w:pPr>
              <w:spacing w:after="0"/>
              <w:rPr>
                <w:sz w:val="9"/>
                <w:szCs w:val="9"/>
                <w:color w:val="auto"/>
              </w:rPr>
            </w:pPr>
          </w:p>
        </w:tc>
        <w:tc>
          <w:tcPr>
            <w:tcW w:w="136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Awards</w:t>
            </w:r>
          </w:p>
        </w:tc>
        <w:tc>
          <w:tcPr>
            <w:tcW w:w="1380" w:type="dxa"/>
            <w:vAlign w:val="bottom"/>
            <w:tcBorders>
              <w:right w:val="single" w:sz="8" w:color="3D85C6"/>
            </w:tcBorders>
            <w:vMerge w:val="continue"/>
            <w:shd w:val="clear" w:color="auto" w:fill="2D53A6"/>
          </w:tcPr>
          <w:p>
            <w:pPr>
              <w:spacing w:after="0"/>
              <w:rPr>
                <w:sz w:val="9"/>
                <w:szCs w:val="9"/>
                <w:color w:val="auto"/>
              </w:rPr>
            </w:pPr>
          </w:p>
        </w:tc>
        <w:tc>
          <w:tcPr>
            <w:tcW w:w="132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Comp.</w:t>
            </w:r>
          </w:p>
        </w:tc>
        <w:tc>
          <w:tcPr>
            <w:tcW w:w="1320" w:type="dxa"/>
            <w:vAlign w:val="bottom"/>
            <w:tcBorders>
              <w:right w:val="single" w:sz="8" w:color="3D85C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700" w:type="dxa"/>
            <w:vAlign w:val="bottom"/>
            <w:tcBorders>
              <w:left w:val="single" w:sz="8" w:color="3D85C6"/>
              <w:right w:val="single" w:sz="8" w:color="3D85C6"/>
            </w:tcBorders>
            <w:vMerge w:val="continue"/>
            <w:shd w:val="clear" w:color="auto" w:fill="2D53A6"/>
          </w:tcPr>
          <w:p>
            <w:pPr>
              <w:spacing w:after="0"/>
              <w:rPr>
                <w:sz w:val="7"/>
                <w:szCs w:val="7"/>
                <w:color w:val="auto"/>
              </w:rPr>
            </w:pPr>
          </w:p>
        </w:tc>
        <w:tc>
          <w:tcPr>
            <w:tcW w:w="820" w:type="dxa"/>
            <w:vAlign w:val="bottom"/>
            <w:vMerge w:val="continue"/>
            <w:shd w:val="clear" w:color="auto" w:fill="2D53A6"/>
          </w:tcPr>
          <w:p>
            <w:pPr>
              <w:spacing w:after="0"/>
              <w:rPr>
                <w:sz w:val="7"/>
                <w:szCs w:val="7"/>
                <w:color w:val="auto"/>
              </w:rPr>
            </w:pPr>
          </w:p>
        </w:tc>
        <w:tc>
          <w:tcPr>
            <w:tcW w:w="120" w:type="dxa"/>
            <w:vAlign w:val="bottom"/>
            <w:tcBorders>
              <w:right w:val="single" w:sz="8" w:color="3D85C6"/>
            </w:tcBorders>
            <w:shd w:val="clear" w:color="auto" w:fill="2D53A6"/>
          </w:tcPr>
          <w:p>
            <w:pPr>
              <w:spacing w:after="0"/>
              <w:rPr>
                <w:sz w:val="7"/>
                <w:szCs w:val="7"/>
                <w:color w:val="auto"/>
              </w:rPr>
            </w:pPr>
          </w:p>
        </w:tc>
        <w:tc>
          <w:tcPr>
            <w:tcW w:w="1240" w:type="dxa"/>
            <w:vAlign w:val="bottom"/>
            <w:tcBorders>
              <w:right w:val="single" w:sz="8" w:color="3D85C6"/>
            </w:tcBorders>
            <w:vMerge w:val="restart"/>
            <w:shd w:val="clear" w:color="auto" w:fill="2D53A6"/>
          </w:tcPr>
          <w:p>
            <w:pPr>
              <w:jc w:val="right"/>
              <w:ind w:right="493"/>
              <w:spacing w:after="0"/>
              <w:rPr>
                <w:sz w:val="20"/>
                <w:szCs w:val="20"/>
                <w:color w:val="auto"/>
              </w:rPr>
            </w:pPr>
            <w:r>
              <w:rPr>
                <w:rFonts w:ascii="Arial" w:cs="Arial" w:eastAsia="Arial" w:hAnsi="Arial"/>
                <w:sz w:val="17"/>
                <w:szCs w:val="17"/>
                <w:b w:val="1"/>
                <w:bCs w:val="1"/>
                <w:color w:val="FFFFFF"/>
              </w:rPr>
              <w:t>($)</w:t>
            </w:r>
          </w:p>
        </w:tc>
        <w:tc>
          <w:tcPr>
            <w:tcW w:w="1360" w:type="dxa"/>
            <w:vAlign w:val="bottom"/>
            <w:tcBorders>
              <w:right w:val="single" w:sz="8" w:color="3D85C6"/>
            </w:tcBorders>
            <w:vMerge w:val="continue"/>
            <w:shd w:val="clear" w:color="auto" w:fill="2D53A6"/>
          </w:tcPr>
          <w:p>
            <w:pPr>
              <w:spacing w:after="0"/>
              <w:rPr>
                <w:sz w:val="7"/>
                <w:szCs w:val="7"/>
                <w:color w:val="auto"/>
              </w:rPr>
            </w:pPr>
          </w:p>
        </w:tc>
        <w:tc>
          <w:tcPr>
            <w:tcW w:w="138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Plan</w:t>
            </w:r>
          </w:p>
        </w:tc>
        <w:tc>
          <w:tcPr>
            <w:tcW w:w="1320" w:type="dxa"/>
            <w:vAlign w:val="bottom"/>
            <w:tcBorders>
              <w:right w:val="single" w:sz="8" w:color="3D85C6"/>
            </w:tcBorders>
            <w:vMerge w:val="continue"/>
            <w:shd w:val="clear" w:color="auto" w:fill="2D53A6"/>
          </w:tcPr>
          <w:p>
            <w:pPr>
              <w:spacing w:after="0"/>
              <w:rPr>
                <w:sz w:val="7"/>
                <w:szCs w:val="7"/>
                <w:color w:val="auto"/>
              </w:rPr>
            </w:pPr>
          </w:p>
        </w:tc>
        <w:tc>
          <w:tcPr>
            <w:tcW w:w="1320" w:type="dxa"/>
            <w:vAlign w:val="bottom"/>
            <w:tcBorders>
              <w:right w:val="single" w:sz="8" w:color="3D85C6"/>
            </w:tcBorders>
            <w:vMerge w:val="restart"/>
            <w:shd w:val="clear" w:color="auto" w:fill="2D53A6"/>
          </w:tcPr>
          <w:p>
            <w:pPr>
              <w:ind w:left="540"/>
              <w:spacing w:after="0"/>
              <w:rPr>
                <w:sz w:val="20"/>
                <w:szCs w:val="20"/>
                <w:color w:val="auto"/>
              </w:rPr>
            </w:pPr>
            <w:r>
              <w:rPr>
                <w:rFonts w:ascii="Arial" w:cs="Arial" w:eastAsia="Arial" w:hAnsi="Arial"/>
                <w:sz w:val="17"/>
                <w:szCs w:val="17"/>
                <w:b w:val="1"/>
                <w:bCs w:val="1"/>
                <w:color w:val="FFFFFF"/>
              </w:rPr>
              <w:t>($)</w:t>
            </w:r>
          </w:p>
        </w:tc>
        <w:tc>
          <w:tcPr>
            <w:tcW w:w="0" w:type="dxa"/>
            <w:vAlign w:val="bottom"/>
          </w:tcPr>
          <w:p>
            <w:pPr>
              <w:spacing w:after="0"/>
              <w:rPr>
                <w:sz w:val="1"/>
                <w:szCs w:val="1"/>
                <w:color w:val="auto"/>
              </w:rPr>
            </w:pPr>
          </w:p>
        </w:tc>
      </w:tr>
      <w:tr>
        <w:trPr>
          <w:trHeight w:val="104"/>
        </w:trPr>
        <w:tc>
          <w:tcPr>
            <w:tcW w:w="3700" w:type="dxa"/>
            <w:vAlign w:val="bottom"/>
            <w:tcBorders>
              <w:left w:val="single" w:sz="8" w:color="3D85C6"/>
              <w:right w:val="single" w:sz="8" w:color="3D85C6"/>
            </w:tcBorders>
            <w:shd w:val="clear" w:color="auto" w:fill="2D53A6"/>
          </w:tcPr>
          <w:p>
            <w:pPr>
              <w:spacing w:after="0"/>
              <w:rPr>
                <w:sz w:val="9"/>
                <w:szCs w:val="9"/>
                <w:color w:val="auto"/>
              </w:rPr>
            </w:pPr>
          </w:p>
        </w:tc>
        <w:tc>
          <w:tcPr>
            <w:tcW w:w="820" w:type="dxa"/>
            <w:vAlign w:val="bottom"/>
            <w:shd w:val="clear" w:color="auto" w:fill="2D53A6"/>
          </w:tcPr>
          <w:p>
            <w:pPr>
              <w:spacing w:after="0"/>
              <w:rPr>
                <w:sz w:val="9"/>
                <w:szCs w:val="9"/>
                <w:color w:val="auto"/>
              </w:rPr>
            </w:pPr>
          </w:p>
        </w:tc>
        <w:tc>
          <w:tcPr>
            <w:tcW w:w="120" w:type="dxa"/>
            <w:vAlign w:val="bottom"/>
            <w:tcBorders>
              <w:right w:val="single" w:sz="8" w:color="3D85C6"/>
            </w:tcBorders>
            <w:shd w:val="clear" w:color="auto" w:fill="2D53A6"/>
          </w:tcPr>
          <w:p>
            <w:pPr>
              <w:spacing w:after="0"/>
              <w:rPr>
                <w:sz w:val="9"/>
                <w:szCs w:val="9"/>
                <w:color w:val="auto"/>
              </w:rPr>
            </w:pPr>
          </w:p>
        </w:tc>
        <w:tc>
          <w:tcPr>
            <w:tcW w:w="1240" w:type="dxa"/>
            <w:vAlign w:val="bottom"/>
            <w:tcBorders>
              <w:right w:val="single" w:sz="8" w:color="3D85C6"/>
            </w:tcBorders>
            <w:vMerge w:val="continue"/>
            <w:shd w:val="clear" w:color="auto" w:fill="2D53A6"/>
          </w:tcPr>
          <w:p>
            <w:pPr>
              <w:spacing w:after="0"/>
              <w:rPr>
                <w:sz w:val="9"/>
                <w:szCs w:val="9"/>
                <w:color w:val="auto"/>
              </w:rPr>
            </w:pPr>
          </w:p>
        </w:tc>
        <w:tc>
          <w:tcPr>
            <w:tcW w:w="136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 xml:space="preserve">($) </w:t>
            </w:r>
            <w:r>
              <w:rPr>
                <w:rFonts w:ascii="Arial" w:cs="Arial" w:eastAsia="Arial" w:hAnsi="Arial"/>
                <w:sz w:val="14"/>
                <w:szCs w:val="14"/>
                <w:b w:val="1"/>
                <w:bCs w:val="1"/>
                <w:color w:val="FFFFFF"/>
              </w:rPr>
              <w:t>(1)</w:t>
            </w:r>
          </w:p>
        </w:tc>
        <w:tc>
          <w:tcPr>
            <w:tcW w:w="1380" w:type="dxa"/>
            <w:vAlign w:val="bottom"/>
            <w:tcBorders>
              <w:right w:val="single" w:sz="8" w:color="3D85C6"/>
            </w:tcBorders>
            <w:vMerge w:val="continue"/>
            <w:shd w:val="clear" w:color="auto" w:fill="2D53A6"/>
          </w:tcPr>
          <w:p>
            <w:pPr>
              <w:spacing w:after="0"/>
              <w:rPr>
                <w:sz w:val="9"/>
                <w:szCs w:val="9"/>
                <w:color w:val="auto"/>
              </w:rPr>
            </w:pPr>
          </w:p>
        </w:tc>
        <w:tc>
          <w:tcPr>
            <w:tcW w:w="132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w w:val="98"/>
              </w:rPr>
              <w:t xml:space="preserve">($) </w:t>
            </w:r>
            <w:r>
              <w:rPr>
                <w:rFonts w:ascii="Arial" w:cs="Arial" w:eastAsia="Arial" w:hAnsi="Arial"/>
                <w:sz w:val="14"/>
                <w:szCs w:val="14"/>
                <w:b w:val="1"/>
                <w:bCs w:val="1"/>
                <w:color w:val="FFFFFF"/>
                <w:w w:val="98"/>
              </w:rPr>
              <w:t>(3)</w:t>
            </w:r>
          </w:p>
        </w:tc>
        <w:tc>
          <w:tcPr>
            <w:tcW w:w="1320" w:type="dxa"/>
            <w:vAlign w:val="bottom"/>
            <w:tcBorders>
              <w:right w:val="single" w:sz="8" w:color="3D85C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3D85C6"/>
              <w:right w:val="single" w:sz="8" w:color="3D85C6"/>
            </w:tcBorders>
            <w:shd w:val="clear" w:color="auto" w:fill="2D53A6"/>
          </w:tcPr>
          <w:p>
            <w:pPr>
              <w:spacing w:after="0"/>
              <w:rPr>
                <w:sz w:val="11"/>
                <w:szCs w:val="11"/>
                <w:color w:val="auto"/>
              </w:rPr>
            </w:pPr>
          </w:p>
        </w:tc>
        <w:tc>
          <w:tcPr>
            <w:tcW w:w="820" w:type="dxa"/>
            <w:vAlign w:val="bottom"/>
            <w:shd w:val="clear" w:color="auto" w:fill="2D53A6"/>
          </w:tcPr>
          <w:p>
            <w:pPr>
              <w:spacing w:after="0"/>
              <w:rPr>
                <w:sz w:val="11"/>
                <w:szCs w:val="11"/>
                <w:color w:val="auto"/>
              </w:rPr>
            </w:pPr>
          </w:p>
        </w:tc>
        <w:tc>
          <w:tcPr>
            <w:tcW w:w="120" w:type="dxa"/>
            <w:vAlign w:val="bottom"/>
            <w:tcBorders>
              <w:right w:val="single" w:sz="8" w:color="3D85C6"/>
            </w:tcBorders>
            <w:shd w:val="clear" w:color="auto" w:fill="2D53A6"/>
          </w:tcPr>
          <w:p>
            <w:pPr>
              <w:spacing w:after="0"/>
              <w:rPr>
                <w:sz w:val="11"/>
                <w:szCs w:val="11"/>
                <w:color w:val="auto"/>
              </w:rPr>
            </w:pPr>
          </w:p>
        </w:tc>
        <w:tc>
          <w:tcPr>
            <w:tcW w:w="1240" w:type="dxa"/>
            <w:vAlign w:val="bottom"/>
            <w:tcBorders>
              <w:right w:val="single" w:sz="8" w:color="3D85C6"/>
            </w:tcBorders>
            <w:shd w:val="clear" w:color="auto" w:fill="2D53A6"/>
          </w:tcPr>
          <w:p>
            <w:pPr>
              <w:spacing w:after="0"/>
              <w:rPr>
                <w:sz w:val="11"/>
                <w:szCs w:val="11"/>
                <w:color w:val="auto"/>
              </w:rPr>
            </w:pPr>
          </w:p>
        </w:tc>
        <w:tc>
          <w:tcPr>
            <w:tcW w:w="1360" w:type="dxa"/>
            <w:vAlign w:val="bottom"/>
            <w:tcBorders>
              <w:right w:val="single" w:sz="8" w:color="3D85C6"/>
            </w:tcBorders>
            <w:vMerge w:val="continue"/>
            <w:shd w:val="clear" w:color="auto" w:fill="2D53A6"/>
          </w:tcPr>
          <w:p>
            <w:pPr>
              <w:spacing w:after="0"/>
              <w:rPr>
                <w:sz w:val="11"/>
                <w:szCs w:val="11"/>
                <w:color w:val="auto"/>
              </w:rPr>
            </w:pPr>
          </w:p>
        </w:tc>
        <w:tc>
          <w:tcPr>
            <w:tcW w:w="138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Comp.</w:t>
            </w:r>
          </w:p>
        </w:tc>
        <w:tc>
          <w:tcPr>
            <w:tcW w:w="1320" w:type="dxa"/>
            <w:vAlign w:val="bottom"/>
            <w:tcBorders>
              <w:right w:val="single" w:sz="8" w:color="3D85C6"/>
            </w:tcBorders>
            <w:vMerge w:val="continue"/>
            <w:shd w:val="clear" w:color="auto" w:fill="2D53A6"/>
          </w:tcPr>
          <w:p>
            <w:pPr>
              <w:spacing w:after="0"/>
              <w:rPr>
                <w:sz w:val="11"/>
                <w:szCs w:val="11"/>
                <w:color w:val="auto"/>
              </w:rPr>
            </w:pPr>
          </w:p>
        </w:tc>
        <w:tc>
          <w:tcPr>
            <w:tcW w:w="1320" w:type="dxa"/>
            <w:vAlign w:val="bottom"/>
            <w:tcBorders>
              <w:right w:val="single" w:sz="8" w:color="3D85C6"/>
            </w:tcBorders>
            <w:shd w:val="clear" w:color="auto" w:fill="2D53A6"/>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700" w:type="dxa"/>
            <w:vAlign w:val="bottom"/>
            <w:tcBorders>
              <w:left w:val="single" w:sz="8" w:color="3D85C6"/>
              <w:right w:val="single" w:sz="8" w:color="3D85C6"/>
            </w:tcBorders>
            <w:shd w:val="clear" w:color="auto" w:fill="2D53A6"/>
          </w:tcPr>
          <w:p>
            <w:pPr>
              <w:spacing w:after="0"/>
              <w:rPr>
                <w:sz w:val="5"/>
                <w:szCs w:val="5"/>
                <w:color w:val="auto"/>
              </w:rPr>
            </w:pPr>
          </w:p>
        </w:tc>
        <w:tc>
          <w:tcPr>
            <w:tcW w:w="820" w:type="dxa"/>
            <w:vAlign w:val="bottom"/>
            <w:shd w:val="clear" w:color="auto" w:fill="2D53A6"/>
          </w:tcPr>
          <w:p>
            <w:pPr>
              <w:spacing w:after="0"/>
              <w:rPr>
                <w:sz w:val="5"/>
                <w:szCs w:val="5"/>
                <w:color w:val="auto"/>
              </w:rPr>
            </w:pPr>
          </w:p>
        </w:tc>
        <w:tc>
          <w:tcPr>
            <w:tcW w:w="120" w:type="dxa"/>
            <w:vAlign w:val="bottom"/>
            <w:tcBorders>
              <w:right w:val="single" w:sz="8" w:color="3D85C6"/>
            </w:tcBorders>
            <w:shd w:val="clear" w:color="auto" w:fill="2D53A6"/>
          </w:tcPr>
          <w:p>
            <w:pPr>
              <w:spacing w:after="0"/>
              <w:rPr>
                <w:sz w:val="5"/>
                <w:szCs w:val="5"/>
                <w:color w:val="auto"/>
              </w:rPr>
            </w:pPr>
          </w:p>
        </w:tc>
        <w:tc>
          <w:tcPr>
            <w:tcW w:w="1240" w:type="dxa"/>
            <w:vAlign w:val="bottom"/>
            <w:tcBorders>
              <w:right w:val="single" w:sz="8" w:color="3D85C6"/>
            </w:tcBorders>
            <w:shd w:val="clear" w:color="auto" w:fill="2D53A6"/>
          </w:tcPr>
          <w:p>
            <w:pPr>
              <w:spacing w:after="0"/>
              <w:rPr>
                <w:sz w:val="5"/>
                <w:szCs w:val="5"/>
                <w:color w:val="auto"/>
              </w:rPr>
            </w:pPr>
          </w:p>
        </w:tc>
        <w:tc>
          <w:tcPr>
            <w:tcW w:w="1360" w:type="dxa"/>
            <w:vAlign w:val="bottom"/>
            <w:tcBorders>
              <w:right w:val="single" w:sz="8" w:color="3D85C6"/>
            </w:tcBorders>
            <w:shd w:val="clear" w:color="auto" w:fill="2D53A6"/>
          </w:tcPr>
          <w:p>
            <w:pPr>
              <w:spacing w:after="0"/>
              <w:rPr>
                <w:sz w:val="5"/>
                <w:szCs w:val="5"/>
                <w:color w:val="auto"/>
              </w:rPr>
            </w:pPr>
          </w:p>
        </w:tc>
        <w:tc>
          <w:tcPr>
            <w:tcW w:w="1380" w:type="dxa"/>
            <w:vAlign w:val="bottom"/>
            <w:tcBorders>
              <w:right w:val="single" w:sz="8" w:color="3D85C6"/>
            </w:tcBorders>
            <w:vMerge w:val="continue"/>
            <w:shd w:val="clear" w:color="auto" w:fill="2D53A6"/>
          </w:tcPr>
          <w:p>
            <w:pPr>
              <w:spacing w:after="0"/>
              <w:rPr>
                <w:sz w:val="5"/>
                <w:szCs w:val="5"/>
                <w:color w:val="auto"/>
              </w:rPr>
            </w:pPr>
          </w:p>
        </w:tc>
        <w:tc>
          <w:tcPr>
            <w:tcW w:w="1320" w:type="dxa"/>
            <w:vAlign w:val="bottom"/>
            <w:tcBorders>
              <w:right w:val="single" w:sz="8" w:color="3D85C6"/>
            </w:tcBorders>
            <w:shd w:val="clear" w:color="auto" w:fill="2D53A6"/>
          </w:tcPr>
          <w:p>
            <w:pPr>
              <w:spacing w:after="0"/>
              <w:rPr>
                <w:sz w:val="5"/>
                <w:szCs w:val="5"/>
                <w:color w:val="auto"/>
              </w:rPr>
            </w:pPr>
          </w:p>
        </w:tc>
        <w:tc>
          <w:tcPr>
            <w:tcW w:w="1320" w:type="dxa"/>
            <w:vAlign w:val="bottom"/>
            <w:tcBorders>
              <w:right w:val="single" w:sz="8" w:color="3D85C6"/>
            </w:tcBorders>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700" w:type="dxa"/>
            <w:vAlign w:val="bottom"/>
            <w:tcBorders>
              <w:left w:val="single" w:sz="8" w:color="3D85C6"/>
              <w:bottom w:val="single" w:sz="8" w:color="3D85C6"/>
              <w:right w:val="single" w:sz="8" w:color="3D85C6"/>
            </w:tcBorders>
            <w:shd w:val="clear" w:color="auto" w:fill="2D53A6"/>
          </w:tcPr>
          <w:p>
            <w:pPr>
              <w:spacing w:after="0"/>
              <w:rPr>
                <w:sz w:val="20"/>
                <w:szCs w:val="20"/>
                <w:color w:val="auto"/>
              </w:rPr>
            </w:pPr>
          </w:p>
        </w:tc>
        <w:tc>
          <w:tcPr>
            <w:tcW w:w="820" w:type="dxa"/>
            <w:vAlign w:val="bottom"/>
            <w:tcBorders>
              <w:bottom w:val="single" w:sz="8" w:color="3D85C6"/>
            </w:tcBorders>
            <w:shd w:val="clear" w:color="auto" w:fill="2D53A6"/>
          </w:tcPr>
          <w:p>
            <w:pPr>
              <w:spacing w:after="0"/>
              <w:rPr>
                <w:sz w:val="20"/>
                <w:szCs w:val="20"/>
                <w:color w:val="auto"/>
              </w:rPr>
            </w:pPr>
          </w:p>
        </w:tc>
        <w:tc>
          <w:tcPr>
            <w:tcW w:w="120" w:type="dxa"/>
            <w:vAlign w:val="bottom"/>
            <w:tcBorders>
              <w:bottom w:val="single" w:sz="8" w:color="3D85C6"/>
              <w:right w:val="single" w:sz="8" w:color="3D85C6"/>
            </w:tcBorders>
            <w:shd w:val="clear" w:color="auto" w:fill="2D53A6"/>
          </w:tcPr>
          <w:p>
            <w:pPr>
              <w:spacing w:after="0"/>
              <w:rPr>
                <w:sz w:val="20"/>
                <w:szCs w:val="20"/>
                <w:color w:val="auto"/>
              </w:rPr>
            </w:pPr>
          </w:p>
        </w:tc>
        <w:tc>
          <w:tcPr>
            <w:tcW w:w="1240" w:type="dxa"/>
            <w:vAlign w:val="bottom"/>
            <w:tcBorders>
              <w:bottom w:val="single" w:sz="8" w:color="3D85C6"/>
              <w:right w:val="single" w:sz="8" w:color="3D85C6"/>
            </w:tcBorders>
            <w:shd w:val="clear" w:color="auto" w:fill="2D53A6"/>
          </w:tcPr>
          <w:p>
            <w:pPr>
              <w:spacing w:after="0"/>
              <w:rPr>
                <w:sz w:val="20"/>
                <w:szCs w:val="20"/>
                <w:color w:val="auto"/>
              </w:rPr>
            </w:pPr>
          </w:p>
        </w:tc>
        <w:tc>
          <w:tcPr>
            <w:tcW w:w="1360" w:type="dxa"/>
            <w:vAlign w:val="bottom"/>
            <w:tcBorders>
              <w:bottom w:val="single" w:sz="8" w:color="3D85C6"/>
              <w:right w:val="single" w:sz="8" w:color="3D85C6"/>
            </w:tcBorders>
            <w:shd w:val="clear" w:color="auto" w:fill="2D53A6"/>
          </w:tcPr>
          <w:p>
            <w:pPr>
              <w:spacing w:after="0"/>
              <w:rPr>
                <w:sz w:val="20"/>
                <w:szCs w:val="20"/>
                <w:color w:val="auto"/>
              </w:rPr>
            </w:pPr>
          </w:p>
        </w:tc>
        <w:tc>
          <w:tcPr>
            <w:tcW w:w="1380" w:type="dxa"/>
            <w:vAlign w:val="bottom"/>
            <w:tcBorders>
              <w:bottom w:val="single" w:sz="8" w:color="3D85C6"/>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w w:val="98"/>
              </w:rPr>
              <w:t xml:space="preserve">($) </w:t>
            </w:r>
            <w:r>
              <w:rPr>
                <w:rFonts w:ascii="Arial" w:cs="Arial" w:eastAsia="Arial" w:hAnsi="Arial"/>
                <w:sz w:val="14"/>
                <w:szCs w:val="14"/>
                <w:b w:val="1"/>
                <w:bCs w:val="1"/>
                <w:color w:val="FFFFFF"/>
                <w:w w:val="98"/>
              </w:rPr>
              <w:t>(2)</w:t>
            </w:r>
          </w:p>
        </w:tc>
        <w:tc>
          <w:tcPr>
            <w:tcW w:w="1320" w:type="dxa"/>
            <w:vAlign w:val="bottom"/>
            <w:tcBorders>
              <w:bottom w:val="single" w:sz="8" w:color="3D85C6"/>
              <w:right w:val="single" w:sz="8" w:color="3D85C6"/>
            </w:tcBorders>
            <w:shd w:val="clear" w:color="auto" w:fill="2D53A6"/>
          </w:tcPr>
          <w:p>
            <w:pPr>
              <w:spacing w:after="0"/>
              <w:rPr>
                <w:sz w:val="20"/>
                <w:szCs w:val="20"/>
                <w:color w:val="auto"/>
              </w:rPr>
            </w:pPr>
          </w:p>
        </w:tc>
        <w:tc>
          <w:tcPr>
            <w:tcW w:w="1320" w:type="dxa"/>
            <w:vAlign w:val="bottom"/>
            <w:tcBorders>
              <w:bottom w:val="single" w:sz="8" w:color="3D85C6"/>
              <w:right w:val="single" w:sz="8" w:color="3D85C6"/>
            </w:tcBorders>
            <w:shd w:val="clear" w:color="auto" w:fill="2D53A6"/>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3700" w:type="dxa"/>
            <w:vAlign w:val="bottom"/>
            <w:tcBorders>
              <w:left w:val="single" w:sz="8" w:color="3D85C6"/>
              <w:right w:val="single" w:sz="8" w:color="3D85C6"/>
            </w:tcBorders>
          </w:tcPr>
          <w:p>
            <w:pPr>
              <w:ind w:left="180"/>
              <w:spacing w:after="0" w:line="151" w:lineRule="exact"/>
              <w:rPr>
                <w:sz w:val="20"/>
                <w:szCs w:val="20"/>
                <w:color w:val="auto"/>
              </w:rPr>
            </w:pPr>
            <w:r>
              <w:rPr>
                <w:rFonts w:ascii="Arial" w:cs="Arial" w:eastAsia="Arial" w:hAnsi="Arial"/>
                <w:sz w:val="17"/>
                <w:szCs w:val="17"/>
                <w:color w:val="auto"/>
              </w:rPr>
              <w:t>Luis A. Müller</w:t>
            </w:r>
          </w:p>
        </w:tc>
        <w:tc>
          <w:tcPr>
            <w:tcW w:w="820" w:type="dxa"/>
            <w:vAlign w:val="bottom"/>
          </w:tcPr>
          <w:p>
            <w:pPr>
              <w:ind w:left="200"/>
              <w:spacing w:after="0" w:line="151" w:lineRule="exact"/>
              <w:rPr>
                <w:sz w:val="20"/>
                <w:szCs w:val="20"/>
                <w:color w:val="auto"/>
              </w:rPr>
            </w:pPr>
            <w:r>
              <w:rPr>
                <w:rFonts w:ascii="Arial" w:cs="Arial" w:eastAsia="Arial" w:hAnsi="Arial"/>
                <w:sz w:val="17"/>
                <w:szCs w:val="17"/>
                <w:color w:val="auto"/>
              </w:rPr>
              <w:t>2025</w:t>
            </w:r>
          </w:p>
        </w:tc>
        <w:tc>
          <w:tcPr>
            <w:tcW w:w="120" w:type="dxa"/>
            <w:vAlign w:val="bottom"/>
            <w:tcBorders>
              <w:right w:val="single" w:sz="8" w:color="3D85C6"/>
            </w:tcBorders>
          </w:tcPr>
          <w:p>
            <w:pPr>
              <w:spacing w:after="0"/>
              <w:rPr>
                <w:sz w:val="13"/>
                <w:szCs w:val="13"/>
                <w:color w:val="auto"/>
              </w:rPr>
            </w:pPr>
          </w:p>
        </w:tc>
        <w:tc>
          <w:tcPr>
            <w:tcW w:w="1240" w:type="dxa"/>
            <w:vAlign w:val="bottom"/>
            <w:tcBorders>
              <w:right w:val="single" w:sz="8" w:color="3D85C6"/>
            </w:tcBorders>
          </w:tcPr>
          <w:p>
            <w:pPr>
              <w:jc w:val="right"/>
              <w:ind w:right="33"/>
              <w:spacing w:after="0" w:line="151" w:lineRule="exact"/>
              <w:rPr>
                <w:sz w:val="20"/>
                <w:szCs w:val="20"/>
                <w:color w:val="auto"/>
              </w:rPr>
            </w:pPr>
            <w:r>
              <w:rPr>
                <w:rFonts w:ascii="Arial" w:cs="Arial" w:eastAsia="Arial" w:hAnsi="Arial"/>
                <w:sz w:val="17"/>
                <w:szCs w:val="17"/>
                <w:color w:val="auto"/>
              </w:rPr>
              <w:t>715,000</w:t>
            </w:r>
          </w:p>
        </w:tc>
        <w:tc>
          <w:tcPr>
            <w:tcW w:w="1360" w:type="dxa"/>
            <w:vAlign w:val="bottom"/>
            <w:tcBorders>
              <w:right w:val="single" w:sz="8" w:color="3D85C6"/>
            </w:tcBorders>
          </w:tcPr>
          <w:p>
            <w:pPr>
              <w:jc w:val="right"/>
              <w:ind w:right="33"/>
              <w:spacing w:after="0" w:line="151" w:lineRule="exact"/>
              <w:rPr>
                <w:sz w:val="20"/>
                <w:szCs w:val="20"/>
                <w:color w:val="auto"/>
              </w:rPr>
            </w:pPr>
            <w:r>
              <w:rPr>
                <w:rFonts w:ascii="Arial" w:cs="Arial" w:eastAsia="Arial" w:hAnsi="Arial"/>
                <w:sz w:val="17"/>
                <w:szCs w:val="17"/>
                <w:color w:val="auto"/>
              </w:rPr>
              <w:t>3,508,493</w:t>
            </w:r>
          </w:p>
        </w:tc>
        <w:tc>
          <w:tcPr>
            <w:tcW w:w="1380" w:type="dxa"/>
            <w:vAlign w:val="bottom"/>
            <w:tcBorders>
              <w:right w:val="single" w:sz="8" w:color="3D85C6"/>
            </w:tcBorders>
          </w:tcPr>
          <w:p>
            <w:pPr>
              <w:jc w:val="right"/>
              <w:ind w:right="53"/>
              <w:spacing w:after="0" w:line="151" w:lineRule="exact"/>
              <w:rPr>
                <w:sz w:val="20"/>
                <w:szCs w:val="20"/>
                <w:color w:val="auto"/>
              </w:rPr>
            </w:pPr>
            <w:r>
              <w:rPr>
                <w:rFonts w:ascii="Arial" w:cs="Arial" w:eastAsia="Arial" w:hAnsi="Arial"/>
                <w:sz w:val="17"/>
                <w:szCs w:val="17"/>
                <w:color w:val="auto"/>
              </w:rPr>
              <w:t>250,345</w:t>
            </w:r>
          </w:p>
        </w:tc>
        <w:tc>
          <w:tcPr>
            <w:tcW w:w="1320" w:type="dxa"/>
            <w:vAlign w:val="bottom"/>
            <w:tcBorders>
              <w:right w:val="single" w:sz="8" w:color="3D85C6"/>
            </w:tcBorders>
          </w:tcPr>
          <w:p>
            <w:pPr>
              <w:jc w:val="right"/>
              <w:ind w:right="33"/>
              <w:spacing w:after="0" w:line="151" w:lineRule="exact"/>
              <w:rPr>
                <w:sz w:val="20"/>
                <w:szCs w:val="20"/>
                <w:color w:val="auto"/>
              </w:rPr>
            </w:pPr>
            <w:r>
              <w:rPr>
                <w:rFonts w:ascii="Arial" w:cs="Arial" w:eastAsia="Arial" w:hAnsi="Arial"/>
                <w:sz w:val="17"/>
                <w:szCs w:val="17"/>
                <w:color w:val="auto"/>
              </w:rPr>
              <w:t>24,221</w:t>
            </w:r>
          </w:p>
        </w:tc>
        <w:tc>
          <w:tcPr>
            <w:tcW w:w="1320" w:type="dxa"/>
            <w:vAlign w:val="bottom"/>
            <w:tcBorders>
              <w:right w:val="single" w:sz="8" w:color="3D85C6"/>
            </w:tcBorders>
          </w:tcPr>
          <w:p>
            <w:pPr>
              <w:ind w:left="420"/>
              <w:spacing w:after="0" w:line="151" w:lineRule="exact"/>
              <w:rPr>
                <w:sz w:val="20"/>
                <w:szCs w:val="20"/>
                <w:color w:val="auto"/>
              </w:rPr>
            </w:pPr>
            <w:r>
              <w:rPr>
                <w:rFonts w:ascii="Arial" w:cs="Arial" w:eastAsia="Arial" w:hAnsi="Arial"/>
                <w:sz w:val="17"/>
                <w:szCs w:val="17"/>
                <w:color w:val="auto"/>
              </w:rPr>
              <w:t>4,498,059</w:t>
            </w:r>
          </w:p>
        </w:tc>
        <w:tc>
          <w:tcPr>
            <w:tcW w:w="0" w:type="dxa"/>
            <w:vAlign w:val="bottom"/>
          </w:tcPr>
          <w:p>
            <w:pPr>
              <w:spacing w:after="0"/>
              <w:rPr>
                <w:sz w:val="1"/>
                <w:szCs w:val="1"/>
                <w:color w:val="auto"/>
              </w:rPr>
            </w:pPr>
          </w:p>
        </w:tc>
      </w:tr>
      <w:tr>
        <w:trPr>
          <w:trHeight w:val="208"/>
        </w:trPr>
        <w:tc>
          <w:tcPr>
            <w:tcW w:w="3700" w:type="dxa"/>
            <w:vAlign w:val="bottom"/>
            <w:tcBorders>
              <w:left w:val="single" w:sz="8" w:color="3D85C6"/>
              <w:right w:val="single" w:sz="8" w:color="3D85C6"/>
            </w:tcBorders>
          </w:tcPr>
          <w:p>
            <w:pPr>
              <w:ind w:left="180"/>
              <w:spacing w:after="0"/>
              <w:rPr>
                <w:sz w:val="20"/>
                <w:szCs w:val="20"/>
                <w:color w:val="auto"/>
              </w:rPr>
            </w:pPr>
            <w:r>
              <w:rPr>
                <w:rFonts w:ascii="Arial" w:cs="Arial" w:eastAsia="Arial" w:hAnsi="Arial"/>
                <w:sz w:val="17"/>
                <w:szCs w:val="17"/>
                <w:i w:val="1"/>
                <w:iCs w:val="1"/>
                <w:color w:val="auto"/>
              </w:rPr>
              <w:t>President &amp;</w:t>
            </w:r>
          </w:p>
        </w:tc>
        <w:tc>
          <w:tcPr>
            <w:tcW w:w="820" w:type="dxa"/>
            <w:vAlign w:val="bottom"/>
          </w:tcPr>
          <w:p>
            <w:pPr>
              <w:ind w:left="200"/>
              <w:spacing w:after="0"/>
              <w:rPr>
                <w:sz w:val="20"/>
                <w:szCs w:val="20"/>
                <w:color w:val="auto"/>
              </w:rPr>
            </w:pPr>
            <w:r>
              <w:rPr>
                <w:rFonts w:ascii="Arial" w:cs="Arial" w:eastAsia="Arial" w:hAnsi="Arial"/>
                <w:sz w:val="17"/>
                <w:szCs w:val="17"/>
                <w:color w:val="auto"/>
              </w:rPr>
              <w:t>2024</w:t>
            </w:r>
          </w:p>
        </w:tc>
        <w:tc>
          <w:tcPr>
            <w:tcW w:w="120" w:type="dxa"/>
            <w:vAlign w:val="bottom"/>
            <w:tcBorders>
              <w:right w:val="single" w:sz="8" w:color="3D85C6"/>
            </w:tcBorders>
          </w:tcPr>
          <w:p>
            <w:pPr>
              <w:spacing w:after="0"/>
              <w:rPr>
                <w:sz w:val="18"/>
                <w:szCs w:val="18"/>
                <w:color w:val="auto"/>
              </w:rPr>
            </w:pPr>
          </w:p>
        </w:tc>
        <w:tc>
          <w:tcPr>
            <w:tcW w:w="1240" w:type="dxa"/>
            <w:vAlign w:val="bottom"/>
            <w:tcBorders>
              <w:right w:val="single" w:sz="8" w:color="3D85C6"/>
            </w:tcBorders>
          </w:tcPr>
          <w:p>
            <w:pPr>
              <w:jc w:val="right"/>
              <w:ind w:right="33"/>
              <w:spacing w:after="0"/>
              <w:rPr>
                <w:sz w:val="20"/>
                <w:szCs w:val="20"/>
                <w:color w:val="auto"/>
              </w:rPr>
            </w:pPr>
            <w:r>
              <w:rPr>
                <w:rFonts w:ascii="Arial" w:cs="Arial" w:eastAsia="Arial" w:hAnsi="Arial"/>
                <w:sz w:val="17"/>
                <w:szCs w:val="17"/>
                <w:color w:val="auto"/>
              </w:rPr>
              <w:t>715,000</w:t>
            </w:r>
          </w:p>
        </w:tc>
        <w:tc>
          <w:tcPr>
            <w:tcW w:w="1360" w:type="dxa"/>
            <w:vAlign w:val="bottom"/>
            <w:tcBorders>
              <w:right w:val="single" w:sz="8" w:color="3D85C6"/>
            </w:tcBorders>
          </w:tcPr>
          <w:p>
            <w:pPr>
              <w:jc w:val="right"/>
              <w:ind w:right="33"/>
              <w:spacing w:after="0"/>
              <w:rPr>
                <w:sz w:val="20"/>
                <w:szCs w:val="20"/>
                <w:color w:val="auto"/>
              </w:rPr>
            </w:pPr>
            <w:r>
              <w:rPr>
                <w:rFonts w:ascii="Arial" w:cs="Arial" w:eastAsia="Arial" w:hAnsi="Arial"/>
                <w:sz w:val="17"/>
                <w:szCs w:val="17"/>
                <w:color w:val="auto"/>
              </w:rPr>
              <w:t>4,091,920</w:t>
            </w:r>
          </w:p>
        </w:tc>
        <w:tc>
          <w:tcPr>
            <w:tcW w:w="1380" w:type="dxa"/>
            <w:vAlign w:val="bottom"/>
            <w:tcBorders>
              <w:right w:val="single" w:sz="8" w:color="3D85C6"/>
            </w:tcBorders>
          </w:tcPr>
          <w:p>
            <w:pPr>
              <w:jc w:val="right"/>
              <w:ind w:right="53"/>
              <w:spacing w:after="0"/>
              <w:rPr>
                <w:sz w:val="20"/>
                <w:szCs w:val="20"/>
                <w:color w:val="auto"/>
              </w:rPr>
            </w:pPr>
            <w:r>
              <w:rPr>
                <w:rFonts w:ascii="Arial" w:cs="Arial" w:eastAsia="Arial" w:hAnsi="Arial"/>
                <w:sz w:val="17"/>
                <w:szCs w:val="17"/>
                <w:color w:val="auto"/>
              </w:rPr>
              <w:t>-</w:t>
            </w:r>
          </w:p>
        </w:tc>
        <w:tc>
          <w:tcPr>
            <w:tcW w:w="1320" w:type="dxa"/>
            <w:vAlign w:val="bottom"/>
            <w:tcBorders>
              <w:right w:val="single" w:sz="8" w:color="3D85C6"/>
            </w:tcBorders>
          </w:tcPr>
          <w:p>
            <w:pPr>
              <w:jc w:val="right"/>
              <w:ind w:right="33"/>
              <w:spacing w:after="0"/>
              <w:rPr>
                <w:sz w:val="20"/>
                <w:szCs w:val="20"/>
                <w:color w:val="auto"/>
              </w:rPr>
            </w:pPr>
            <w:r>
              <w:rPr>
                <w:rFonts w:ascii="Arial" w:cs="Arial" w:eastAsia="Arial" w:hAnsi="Arial"/>
                <w:sz w:val="17"/>
                <w:szCs w:val="17"/>
                <w:color w:val="auto"/>
              </w:rPr>
              <w:t>24,164</w:t>
            </w:r>
          </w:p>
        </w:tc>
        <w:tc>
          <w:tcPr>
            <w:tcW w:w="1320" w:type="dxa"/>
            <w:vAlign w:val="bottom"/>
            <w:tcBorders>
              <w:right w:val="single" w:sz="8" w:color="3D85C6"/>
            </w:tcBorders>
          </w:tcPr>
          <w:p>
            <w:pPr>
              <w:ind w:left="420"/>
              <w:spacing w:after="0"/>
              <w:rPr>
                <w:sz w:val="20"/>
                <w:szCs w:val="20"/>
                <w:color w:val="auto"/>
              </w:rPr>
            </w:pPr>
            <w:r>
              <w:rPr>
                <w:rFonts w:ascii="Arial" w:cs="Arial" w:eastAsia="Arial" w:hAnsi="Arial"/>
                <w:sz w:val="17"/>
                <w:szCs w:val="17"/>
                <w:color w:val="auto"/>
              </w:rPr>
              <w:t>4,831,084</w:t>
            </w:r>
          </w:p>
        </w:tc>
        <w:tc>
          <w:tcPr>
            <w:tcW w:w="0" w:type="dxa"/>
            <w:vAlign w:val="bottom"/>
          </w:tcPr>
          <w:p>
            <w:pPr>
              <w:spacing w:after="0"/>
              <w:rPr>
                <w:sz w:val="1"/>
                <w:szCs w:val="1"/>
                <w:color w:val="auto"/>
              </w:rPr>
            </w:pPr>
          </w:p>
        </w:tc>
      </w:tr>
      <w:tr>
        <w:trPr>
          <w:trHeight w:val="212"/>
        </w:trPr>
        <w:tc>
          <w:tcPr>
            <w:tcW w:w="3700" w:type="dxa"/>
            <w:vAlign w:val="bottom"/>
            <w:tcBorders>
              <w:left w:val="single" w:sz="8" w:color="3D85C6"/>
              <w:bottom w:val="single" w:sz="8" w:color="3D85C6"/>
              <w:right w:val="single" w:sz="8" w:color="3D85C6"/>
            </w:tcBorders>
          </w:tcPr>
          <w:p>
            <w:pPr>
              <w:ind w:left="180"/>
              <w:spacing w:after="0"/>
              <w:rPr>
                <w:sz w:val="20"/>
                <w:szCs w:val="20"/>
                <w:color w:val="auto"/>
              </w:rPr>
            </w:pPr>
            <w:r>
              <w:rPr>
                <w:rFonts w:ascii="Arial" w:cs="Arial" w:eastAsia="Arial" w:hAnsi="Arial"/>
                <w:sz w:val="17"/>
                <w:szCs w:val="17"/>
                <w:i w:val="1"/>
                <w:iCs w:val="1"/>
                <w:color w:val="auto"/>
              </w:rPr>
              <w:t>Chief Executive Officer</w:t>
            </w:r>
          </w:p>
        </w:tc>
        <w:tc>
          <w:tcPr>
            <w:tcW w:w="820" w:type="dxa"/>
            <w:vAlign w:val="bottom"/>
            <w:tcBorders>
              <w:bottom w:val="single" w:sz="8" w:color="3D85C6"/>
            </w:tcBorders>
          </w:tcPr>
          <w:p>
            <w:pPr>
              <w:ind w:left="200"/>
              <w:spacing w:after="0"/>
              <w:rPr>
                <w:sz w:val="20"/>
                <w:szCs w:val="20"/>
                <w:color w:val="auto"/>
              </w:rPr>
            </w:pPr>
            <w:r>
              <w:rPr>
                <w:rFonts w:ascii="Arial" w:cs="Arial" w:eastAsia="Arial" w:hAnsi="Arial"/>
                <w:sz w:val="17"/>
                <w:szCs w:val="17"/>
                <w:color w:val="auto"/>
              </w:rPr>
              <w:t>2023</w:t>
            </w:r>
          </w:p>
        </w:tc>
        <w:tc>
          <w:tcPr>
            <w:tcW w:w="120" w:type="dxa"/>
            <w:vAlign w:val="bottom"/>
            <w:tcBorders>
              <w:bottom w:val="single" w:sz="8" w:color="3D85C6"/>
              <w:right w:val="single" w:sz="8" w:color="3D85C6"/>
            </w:tcBorders>
          </w:tcPr>
          <w:p>
            <w:pPr>
              <w:spacing w:after="0"/>
              <w:rPr>
                <w:sz w:val="18"/>
                <w:szCs w:val="18"/>
                <w:color w:val="auto"/>
              </w:rPr>
            </w:pPr>
          </w:p>
        </w:tc>
        <w:tc>
          <w:tcPr>
            <w:tcW w:w="12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708,846</w:t>
            </w:r>
          </w:p>
        </w:tc>
        <w:tc>
          <w:tcPr>
            <w:tcW w:w="136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5,051,219</w:t>
            </w:r>
          </w:p>
        </w:tc>
        <w:tc>
          <w:tcPr>
            <w:tcW w:w="1380" w:type="dxa"/>
            <w:vAlign w:val="bottom"/>
            <w:tcBorders>
              <w:bottom w:val="single" w:sz="8" w:color="3D85C6"/>
              <w:right w:val="single" w:sz="8" w:color="3D85C6"/>
            </w:tcBorders>
          </w:tcPr>
          <w:p>
            <w:pPr>
              <w:jc w:val="right"/>
              <w:ind w:right="53"/>
              <w:spacing w:after="0"/>
              <w:rPr>
                <w:sz w:val="20"/>
                <w:szCs w:val="20"/>
                <w:color w:val="auto"/>
              </w:rPr>
            </w:pPr>
            <w:r>
              <w:rPr>
                <w:rFonts w:ascii="Arial" w:cs="Arial" w:eastAsia="Arial" w:hAnsi="Arial"/>
                <w:sz w:val="17"/>
                <w:szCs w:val="17"/>
                <w:color w:val="auto"/>
              </w:rPr>
              <w:t>752,378</w:t>
            </w:r>
          </w:p>
        </w:tc>
        <w:tc>
          <w:tcPr>
            <w:tcW w:w="132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24,164</w:t>
            </w:r>
          </w:p>
        </w:tc>
        <w:tc>
          <w:tcPr>
            <w:tcW w:w="1320" w:type="dxa"/>
            <w:vAlign w:val="bottom"/>
            <w:tcBorders>
              <w:bottom w:val="single" w:sz="8" w:color="3D85C6"/>
              <w:right w:val="single" w:sz="8" w:color="3D85C6"/>
            </w:tcBorders>
          </w:tcPr>
          <w:p>
            <w:pPr>
              <w:ind w:left="420"/>
              <w:spacing w:after="0"/>
              <w:rPr>
                <w:sz w:val="20"/>
                <w:szCs w:val="20"/>
                <w:color w:val="auto"/>
              </w:rPr>
            </w:pPr>
            <w:r>
              <w:rPr>
                <w:rFonts w:ascii="Arial" w:cs="Arial" w:eastAsia="Arial" w:hAnsi="Arial"/>
                <w:sz w:val="17"/>
                <w:szCs w:val="17"/>
                <w:color w:val="auto"/>
              </w:rPr>
              <w:t>6,536,607</w:t>
            </w:r>
          </w:p>
        </w:tc>
        <w:tc>
          <w:tcPr>
            <w:tcW w:w="0" w:type="dxa"/>
            <w:vAlign w:val="bottom"/>
          </w:tcPr>
          <w:p>
            <w:pPr>
              <w:spacing w:after="0"/>
              <w:rPr>
                <w:sz w:val="1"/>
                <w:szCs w:val="1"/>
                <w:color w:val="auto"/>
              </w:rPr>
            </w:pPr>
          </w:p>
        </w:tc>
      </w:tr>
      <w:tr>
        <w:trPr>
          <w:trHeight w:val="171"/>
        </w:trPr>
        <w:tc>
          <w:tcPr>
            <w:tcW w:w="3700" w:type="dxa"/>
            <w:vAlign w:val="bottom"/>
            <w:tcBorders>
              <w:left w:val="single" w:sz="8" w:color="3D85C6"/>
              <w:right w:val="single" w:sz="8" w:color="3D85C6"/>
            </w:tcBorders>
            <w:shd w:val="clear" w:color="auto" w:fill="E6E6E6"/>
          </w:tcPr>
          <w:p>
            <w:pPr>
              <w:ind w:left="180"/>
              <w:spacing w:after="0" w:line="172" w:lineRule="exact"/>
              <w:rPr>
                <w:sz w:val="20"/>
                <w:szCs w:val="20"/>
                <w:color w:val="auto"/>
              </w:rPr>
            </w:pPr>
            <w:r>
              <w:rPr>
                <w:rFonts w:ascii="Arial" w:cs="Arial" w:eastAsia="Arial" w:hAnsi="Arial"/>
                <w:sz w:val="17"/>
                <w:szCs w:val="17"/>
                <w:color w:val="auto"/>
              </w:rPr>
              <w:t>Jeffrey D. Jones</w:t>
            </w:r>
          </w:p>
        </w:tc>
        <w:tc>
          <w:tcPr>
            <w:tcW w:w="820" w:type="dxa"/>
            <w:vAlign w:val="bottom"/>
            <w:shd w:val="clear" w:color="auto" w:fill="E6E6E6"/>
          </w:tcPr>
          <w:p>
            <w:pPr>
              <w:ind w:left="200"/>
              <w:spacing w:after="0" w:line="172" w:lineRule="exact"/>
              <w:rPr>
                <w:sz w:val="20"/>
                <w:szCs w:val="20"/>
                <w:color w:val="auto"/>
              </w:rPr>
            </w:pPr>
            <w:r>
              <w:rPr>
                <w:rFonts w:ascii="Arial" w:cs="Arial" w:eastAsia="Arial" w:hAnsi="Arial"/>
                <w:sz w:val="17"/>
                <w:szCs w:val="17"/>
                <w:color w:val="auto"/>
              </w:rPr>
              <w:t>2025</w:t>
            </w:r>
          </w:p>
        </w:tc>
        <w:tc>
          <w:tcPr>
            <w:tcW w:w="120" w:type="dxa"/>
            <w:vAlign w:val="bottom"/>
            <w:tcBorders>
              <w:right w:val="single" w:sz="8" w:color="3D85C6"/>
            </w:tcBorders>
            <w:shd w:val="clear" w:color="auto" w:fill="E6E6E6"/>
          </w:tcPr>
          <w:p>
            <w:pPr>
              <w:spacing w:after="0"/>
              <w:rPr>
                <w:sz w:val="14"/>
                <w:szCs w:val="14"/>
                <w:color w:val="auto"/>
              </w:rPr>
            </w:pPr>
          </w:p>
        </w:tc>
        <w:tc>
          <w:tcPr>
            <w:tcW w:w="1240" w:type="dxa"/>
            <w:vAlign w:val="bottom"/>
            <w:tcBorders>
              <w:right w:val="single" w:sz="8" w:color="3D85C6"/>
            </w:tcBorders>
            <w:shd w:val="clear" w:color="auto" w:fill="E6E6E6"/>
          </w:tcPr>
          <w:p>
            <w:pPr>
              <w:jc w:val="right"/>
              <w:ind w:right="33"/>
              <w:spacing w:after="0" w:line="172" w:lineRule="exact"/>
              <w:rPr>
                <w:sz w:val="20"/>
                <w:szCs w:val="20"/>
                <w:color w:val="auto"/>
              </w:rPr>
            </w:pPr>
            <w:r>
              <w:rPr>
                <w:rFonts w:ascii="Arial" w:cs="Arial" w:eastAsia="Arial" w:hAnsi="Arial"/>
                <w:sz w:val="17"/>
                <w:szCs w:val="17"/>
                <w:color w:val="auto"/>
              </w:rPr>
              <w:t>455,000</w:t>
            </w:r>
          </w:p>
        </w:tc>
        <w:tc>
          <w:tcPr>
            <w:tcW w:w="1360" w:type="dxa"/>
            <w:vAlign w:val="bottom"/>
            <w:tcBorders>
              <w:right w:val="single" w:sz="8" w:color="3D85C6"/>
            </w:tcBorders>
            <w:shd w:val="clear" w:color="auto" w:fill="E6E6E6"/>
          </w:tcPr>
          <w:p>
            <w:pPr>
              <w:jc w:val="right"/>
              <w:ind w:right="33"/>
              <w:spacing w:after="0" w:line="172" w:lineRule="exact"/>
              <w:rPr>
                <w:sz w:val="20"/>
                <w:szCs w:val="20"/>
                <w:color w:val="auto"/>
              </w:rPr>
            </w:pPr>
            <w:r>
              <w:rPr>
                <w:rFonts w:ascii="Arial" w:cs="Arial" w:eastAsia="Arial" w:hAnsi="Arial"/>
                <w:sz w:val="17"/>
                <w:szCs w:val="17"/>
                <w:color w:val="auto"/>
              </w:rPr>
              <w:t>1,096,393</w:t>
            </w:r>
          </w:p>
        </w:tc>
        <w:tc>
          <w:tcPr>
            <w:tcW w:w="1380" w:type="dxa"/>
            <w:vAlign w:val="bottom"/>
            <w:tcBorders>
              <w:right w:val="single" w:sz="8" w:color="3D85C6"/>
            </w:tcBorders>
            <w:shd w:val="clear" w:color="auto" w:fill="E6E6E6"/>
          </w:tcPr>
          <w:p>
            <w:pPr>
              <w:jc w:val="right"/>
              <w:ind w:right="53"/>
              <w:spacing w:after="0" w:line="172" w:lineRule="exact"/>
              <w:rPr>
                <w:sz w:val="20"/>
                <w:szCs w:val="20"/>
                <w:color w:val="auto"/>
              </w:rPr>
            </w:pPr>
            <w:r>
              <w:rPr>
                <w:rFonts w:ascii="Arial" w:cs="Arial" w:eastAsia="Arial" w:hAnsi="Arial"/>
                <w:sz w:val="17"/>
                <w:szCs w:val="17"/>
                <w:color w:val="auto"/>
              </w:rPr>
              <w:t>108,621</w:t>
            </w:r>
          </w:p>
        </w:tc>
        <w:tc>
          <w:tcPr>
            <w:tcW w:w="1320" w:type="dxa"/>
            <w:vAlign w:val="bottom"/>
            <w:tcBorders>
              <w:right w:val="single" w:sz="8" w:color="3D85C6"/>
            </w:tcBorders>
            <w:shd w:val="clear" w:color="auto" w:fill="E6E6E6"/>
          </w:tcPr>
          <w:p>
            <w:pPr>
              <w:jc w:val="right"/>
              <w:ind w:right="33"/>
              <w:spacing w:after="0" w:line="172" w:lineRule="exact"/>
              <w:rPr>
                <w:sz w:val="20"/>
                <w:szCs w:val="20"/>
                <w:color w:val="auto"/>
              </w:rPr>
            </w:pPr>
            <w:r>
              <w:rPr>
                <w:rFonts w:ascii="Arial" w:cs="Arial" w:eastAsia="Arial" w:hAnsi="Arial"/>
                <w:sz w:val="17"/>
                <w:szCs w:val="17"/>
                <w:color w:val="auto"/>
              </w:rPr>
              <w:t>21,147</w:t>
            </w:r>
          </w:p>
        </w:tc>
        <w:tc>
          <w:tcPr>
            <w:tcW w:w="1320" w:type="dxa"/>
            <w:vAlign w:val="bottom"/>
            <w:tcBorders>
              <w:right w:val="single" w:sz="8" w:color="3D85C6"/>
            </w:tcBorders>
            <w:shd w:val="clear" w:color="auto" w:fill="E6E6E6"/>
          </w:tcPr>
          <w:p>
            <w:pPr>
              <w:ind w:left="420"/>
              <w:spacing w:after="0" w:line="172" w:lineRule="exact"/>
              <w:rPr>
                <w:sz w:val="20"/>
                <w:szCs w:val="20"/>
                <w:color w:val="auto"/>
              </w:rPr>
            </w:pPr>
            <w:r>
              <w:rPr>
                <w:rFonts w:ascii="Arial" w:cs="Arial" w:eastAsia="Arial" w:hAnsi="Arial"/>
                <w:sz w:val="17"/>
                <w:szCs w:val="17"/>
                <w:color w:val="auto"/>
              </w:rPr>
              <w:t>1,681,161</w:t>
            </w:r>
          </w:p>
        </w:tc>
        <w:tc>
          <w:tcPr>
            <w:tcW w:w="0" w:type="dxa"/>
            <w:vAlign w:val="bottom"/>
          </w:tcPr>
          <w:p>
            <w:pPr>
              <w:spacing w:after="0"/>
              <w:rPr>
                <w:sz w:val="1"/>
                <w:szCs w:val="1"/>
                <w:color w:val="auto"/>
              </w:rPr>
            </w:pPr>
          </w:p>
        </w:tc>
      </w:tr>
      <w:tr>
        <w:trPr>
          <w:trHeight w:val="212"/>
        </w:trPr>
        <w:tc>
          <w:tcPr>
            <w:tcW w:w="3700" w:type="dxa"/>
            <w:vAlign w:val="bottom"/>
            <w:tcBorders>
              <w:left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i w:val="1"/>
                <w:iCs w:val="1"/>
                <w:color w:val="auto"/>
              </w:rPr>
              <w:t>Sr. Vice President, Finance &amp;</w:t>
            </w:r>
          </w:p>
        </w:tc>
        <w:tc>
          <w:tcPr>
            <w:tcW w:w="820" w:type="dxa"/>
            <w:vAlign w:val="bottom"/>
            <w:shd w:val="clear" w:color="auto" w:fill="E6E6E6"/>
          </w:tcPr>
          <w:p>
            <w:pPr>
              <w:ind w:left="200"/>
              <w:spacing w:after="0"/>
              <w:rPr>
                <w:sz w:val="20"/>
                <w:szCs w:val="20"/>
                <w:color w:val="auto"/>
              </w:rPr>
            </w:pPr>
            <w:r>
              <w:rPr>
                <w:rFonts w:ascii="Arial" w:cs="Arial" w:eastAsia="Arial" w:hAnsi="Arial"/>
                <w:sz w:val="17"/>
                <w:szCs w:val="17"/>
                <w:color w:val="auto"/>
              </w:rPr>
              <w:t>2024</w:t>
            </w:r>
          </w:p>
        </w:tc>
        <w:tc>
          <w:tcPr>
            <w:tcW w:w="120" w:type="dxa"/>
            <w:vAlign w:val="bottom"/>
            <w:tcBorders>
              <w:right w:val="single" w:sz="8" w:color="3D85C6"/>
            </w:tcBorders>
            <w:shd w:val="clear" w:color="auto" w:fill="E6E6E6"/>
          </w:tcPr>
          <w:p>
            <w:pPr>
              <w:spacing w:after="0"/>
              <w:rPr>
                <w:sz w:val="18"/>
                <w:szCs w:val="18"/>
                <w:color w:val="auto"/>
              </w:rPr>
            </w:pPr>
          </w:p>
        </w:tc>
        <w:tc>
          <w:tcPr>
            <w:tcW w:w="1240" w:type="dxa"/>
            <w:vAlign w:val="bottom"/>
            <w:tcBorders>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455,000</w:t>
            </w:r>
          </w:p>
        </w:tc>
        <w:tc>
          <w:tcPr>
            <w:tcW w:w="1360" w:type="dxa"/>
            <w:vAlign w:val="bottom"/>
            <w:tcBorders>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1,350,312</w:t>
            </w:r>
          </w:p>
        </w:tc>
        <w:tc>
          <w:tcPr>
            <w:tcW w:w="1380" w:type="dxa"/>
            <w:vAlign w:val="bottom"/>
            <w:tcBorders>
              <w:right w:val="single" w:sz="8" w:color="3D85C6"/>
            </w:tcBorders>
            <w:shd w:val="clear" w:color="auto" w:fill="E6E6E6"/>
          </w:tcPr>
          <w:p>
            <w:pPr>
              <w:jc w:val="right"/>
              <w:ind w:right="53"/>
              <w:spacing w:after="0"/>
              <w:rPr>
                <w:sz w:val="20"/>
                <w:szCs w:val="20"/>
                <w:color w:val="auto"/>
              </w:rPr>
            </w:pPr>
            <w:r>
              <w:rPr>
                <w:rFonts w:ascii="Arial" w:cs="Arial" w:eastAsia="Arial" w:hAnsi="Arial"/>
                <w:sz w:val="17"/>
                <w:szCs w:val="17"/>
                <w:color w:val="auto"/>
              </w:rPr>
              <w:t>-</w:t>
            </w:r>
          </w:p>
        </w:tc>
        <w:tc>
          <w:tcPr>
            <w:tcW w:w="1320" w:type="dxa"/>
            <w:vAlign w:val="bottom"/>
            <w:tcBorders>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21,043</w:t>
            </w:r>
          </w:p>
        </w:tc>
        <w:tc>
          <w:tcPr>
            <w:tcW w:w="1320" w:type="dxa"/>
            <w:vAlign w:val="bottom"/>
            <w:tcBorders>
              <w:right w:val="single" w:sz="8" w:color="3D85C6"/>
            </w:tcBorders>
            <w:shd w:val="clear" w:color="auto" w:fill="E6E6E6"/>
          </w:tcPr>
          <w:p>
            <w:pPr>
              <w:ind w:left="420"/>
              <w:spacing w:after="0"/>
              <w:rPr>
                <w:sz w:val="20"/>
                <w:szCs w:val="20"/>
                <w:color w:val="auto"/>
              </w:rPr>
            </w:pPr>
            <w:r>
              <w:rPr>
                <w:rFonts w:ascii="Arial" w:cs="Arial" w:eastAsia="Arial" w:hAnsi="Arial"/>
                <w:sz w:val="17"/>
                <w:szCs w:val="17"/>
                <w:color w:val="auto"/>
              </w:rPr>
              <w:t>1,826,355</w:t>
            </w:r>
          </w:p>
        </w:tc>
        <w:tc>
          <w:tcPr>
            <w:tcW w:w="0" w:type="dxa"/>
            <w:vAlign w:val="bottom"/>
          </w:tcPr>
          <w:p>
            <w:pPr>
              <w:spacing w:after="0"/>
              <w:rPr>
                <w:sz w:val="1"/>
                <w:szCs w:val="1"/>
                <w:color w:val="auto"/>
              </w:rPr>
            </w:pPr>
          </w:p>
        </w:tc>
      </w:tr>
      <w:tr>
        <w:trPr>
          <w:trHeight w:val="208"/>
        </w:trPr>
        <w:tc>
          <w:tcPr>
            <w:tcW w:w="3700" w:type="dxa"/>
            <w:vAlign w:val="bottom"/>
            <w:tcBorders>
              <w:left w:val="single" w:sz="8" w:color="3D85C6"/>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i w:val="1"/>
                <w:iCs w:val="1"/>
                <w:color w:val="auto"/>
              </w:rPr>
              <w:t>Chief Financial Officer</w:t>
            </w:r>
          </w:p>
        </w:tc>
        <w:tc>
          <w:tcPr>
            <w:tcW w:w="820" w:type="dxa"/>
            <w:vAlign w:val="bottom"/>
            <w:tcBorders>
              <w:bottom w:val="single" w:sz="8" w:color="3D85C6"/>
            </w:tcBorders>
            <w:shd w:val="clear" w:color="auto" w:fill="E6E6E6"/>
          </w:tcPr>
          <w:p>
            <w:pPr>
              <w:ind w:left="200"/>
              <w:spacing w:after="0"/>
              <w:rPr>
                <w:sz w:val="20"/>
                <w:szCs w:val="20"/>
                <w:color w:val="auto"/>
              </w:rPr>
            </w:pPr>
            <w:r>
              <w:rPr>
                <w:rFonts w:ascii="Arial" w:cs="Arial" w:eastAsia="Arial" w:hAnsi="Arial"/>
                <w:sz w:val="17"/>
                <w:szCs w:val="17"/>
                <w:color w:val="auto"/>
              </w:rPr>
              <w:t>2023</w:t>
            </w:r>
          </w:p>
        </w:tc>
        <w:tc>
          <w:tcPr>
            <w:tcW w:w="120" w:type="dxa"/>
            <w:vAlign w:val="bottom"/>
            <w:tcBorders>
              <w:bottom w:val="single" w:sz="8" w:color="3D85C6"/>
              <w:right w:val="single" w:sz="8" w:color="3D85C6"/>
            </w:tcBorders>
            <w:shd w:val="clear" w:color="auto" w:fill="E6E6E6"/>
          </w:tcPr>
          <w:p>
            <w:pPr>
              <w:spacing w:after="0"/>
              <w:rPr>
                <w:sz w:val="18"/>
                <w:szCs w:val="18"/>
                <w:color w:val="auto"/>
              </w:rPr>
            </w:pPr>
          </w:p>
        </w:tc>
        <w:tc>
          <w:tcPr>
            <w:tcW w:w="124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452,231</w:t>
            </w:r>
          </w:p>
        </w:tc>
        <w:tc>
          <w:tcPr>
            <w:tcW w:w="136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1,666,891</w:t>
            </w:r>
          </w:p>
        </w:tc>
        <w:tc>
          <w:tcPr>
            <w:tcW w:w="1380" w:type="dxa"/>
            <w:vAlign w:val="bottom"/>
            <w:tcBorders>
              <w:bottom w:val="single" w:sz="8" w:color="3D85C6"/>
              <w:right w:val="single" w:sz="8" w:color="3D85C6"/>
            </w:tcBorders>
            <w:shd w:val="clear" w:color="auto" w:fill="E6E6E6"/>
          </w:tcPr>
          <w:p>
            <w:pPr>
              <w:jc w:val="right"/>
              <w:ind w:right="53"/>
              <w:spacing w:after="0"/>
              <w:rPr>
                <w:sz w:val="20"/>
                <w:szCs w:val="20"/>
                <w:color w:val="auto"/>
              </w:rPr>
            </w:pPr>
            <w:r>
              <w:rPr>
                <w:rFonts w:ascii="Arial" w:cs="Arial" w:eastAsia="Arial" w:hAnsi="Arial"/>
                <w:sz w:val="17"/>
                <w:szCs w:val="17"/>
                <w:color w:val="auto"/>
              </w:rPr>
              <w:t>326,445</w:t>
            </w:r>
          </w:p>
        </w:tc>
        <w:tc>
          <w:tcPr>
            <w:tcW w:w="132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21,043</w:t>
            </w:r>
          </w:p>
        </w:tc>
        <w:tc>
          <w:tcPr>
            <w:tcW w:w="1320" w:type="dxa"/>
            <w:vAlign w:val="bottom"/>
            <w:tcBorders>
              <w:bottom w:val="single" w:sz="8" w:color="3D85C6"/>
              <w:right w:val="single" w:sz="8" w:color="3D85C6"/>
            </w:tcBorders>
            <w:shd w:val="clear" w:color="auto" w:fill="E6E6E6"/>
          </w:tcPr>
          <w:p>
            <w:pPr>
              <w:ind w:left="420"/>
              <w:spacing w:after="0"/>
              <w:rPr>
                <w:sz w:val="20"/>
                <w:szCs w:val="20"/>
                <w:color w:val="auto"/>
              </w:rPr>
            </w:pPr>
            <w:r>
              <w:rPr>
                <w:rFonts w:ascii="Arial" w:cs="Arial" w:eastAsia="Arial" w:hAnsi="Arial"/>
                <w:sz w:val="17"/>
                <w:szCs w:val="17"/>
                <w:color w:val="auto"/>
              </w:rPr>
              <w:t>2,466,610</w:t>
            </w:r>
          </w:p>
        </w:tc>
        <w:tc>
          <w:tcPr>
            <w:tcW w:w="0" w:type="dxa"/>
            <w:vAlign w:val="bottom"/>
          </w:tcPr>
          <w:p>
            <w:pPr>
              <w:spacing w:after="0"/>
              <w:rPr>
                <w:sz w:val="1"/>
                <w:szCs w:val="1"/>
                <w:color w:val="auto"/>
              </w:rPr>
            </w:pPr>
          </w:p>
        </w:tc>
      </w:tr>
      <w:tr>
        <w:trPr>
          <w:trHeight w:val="171"/>
        </w:trPr>
        <w:tc>
          <w:tcPr>
            <w:tcW w:w="3700" w:type="dxa"/>
            <w:vAlign w:val="bottom"/>
            <w:tcBorders>
              <w:left w:val="single" w:sz="8" w:color="3D85C6"/>
              <w:right w:val="single" w:sz="8" w:color="3D85C6"/>
            </w:tcBorders>
          </w:tcPr>
          <w:p>
            <w:pPr>
              <w:ind w:left="180"/>
              <w:spacing w:after="0" w:line="172" w:lineRule="exact"/>
              <w:rPr>
                <w:sz w:val="20"/>
                <w:szCs w:val="20"/>
                <w:color w:val="auto"/>
              </w:rPr>
            </w:pPr>
            <w:r>
              <w:rPr>
                <w:rFonts w:ascii="Arial" w:cs="Arial" w:eastAsia="Arial" w:hAnsi="Arial"/>
                <w:sz w:val="17"/>
                <w:szCs w:val="17"/>
                <w:color w:val="auto"/>
              </w:rPr>
              <w:t>Christopher G. Bohrson</w:t>
            </w:r>
          </w:p>
        </w:tc>
        <w:tc>
          <w:tcPr>
            <w:tcW w:w="820" w:type="dxa"/>
            <w:vAlign w:val="bottom"/>
          </w:tcPr>
          <w:p>
            <w:pPr>
              <w:ind w:left="200"/>
              <w:spacing w:after="0" w:line="172" w:lineRule="exact"/>
              <w:rPr>
                <w:sz w:val="20"/>
                <w:szCs w:val="20"/>
                <w:color w:val="auto"/>
              </w:rPr>
            </w:pPr>
            <w:r>
              <w:rPr>
                <w:rFonts w:ascii="Arial" w:cs="Arial" w:eastAsia="Arial" w:hAnsi="Arial"/>
                <w:sz w:val="17"/>
                <w:szCs w:val="17"/>
                <w:color w:val="auto"/>
              </w:rPr>
              <w:t>2025</w:t>
            </w:r>
          </w:p>
        </w:tc>
        <w:tc>
          <w:tcPr>
            <w:tcW w:w="120" w:type="dxa"/>
            <w:vAlign w:val="bottom"/>
            <w:tcBorders>
              <w:right w:val="single" w:sz="8" w:color="3D85C6"/>
            </w:tcBorders>
          </w:tcPr>
          <w:p>
            <w:pPr>
              <w:spacing w:after="0"/>
              <w:rPr>
                <w:sz w:val="14"/>
                <w:szCs w:val="14"/>
                <w:color w:val="auto"/>
              </w:rPr>
            </w:pPr>
          </w:p>
        </w:tc>
        <w:tc>
          <w:tcPr>
            <w:tcW w:w="1240" w:type="dxa"/>
            <w:vAlign w:val="bottom"/>
            <w:tcBorders>
              <w:right w:val="single" w:sz="8" w:color="3D85C6"/>
            </w:tcBorders>
          </w:tcPr>
          <w:p>
            <w:pPr>
              <w:jc w:val="right"/>
              <w:ind w:right="33"/>
              <w:spacing w:after="0" w:line="172" w:lineRule="exact"/>
              <w:rPr>
                <w:sz w:val="20"/>
                <w:szCs w:val="20"/>
                <w:color w:val="auto"/>
              </w:rPr>
            </w:pPr>
            <w:r>
              <w:rPr>
                <w:rFonts w:ascii="Arial" w:cs="Arial" w:eastAsia="Arial" w:hAnsi="Arial"/>
                <w:sz w:val="17"/>
                <w:szCs w:val="17"/>
                <w:color w:val="auto"/>
              </w:rPr>
              <w:t>425,000</w:t>
            </w:r>
          </w:p>
        </w:tc>
        <w:tc>
          <w:tcPr>
            <w:tcW w:w="1360" w:type="dxa"/>
            <w:vAlign w:val="bottom"/>
            <w:tcBorders>
              <w:right w:val="single" w:sz="8" w:color="3D85C6"/>
            </w:tcBorders>
          </w:tcPr>
          <w:p>
            <w:pPr>
              <w:jc w:val="right"/>
              <w:ind w:right="33"/>
              <w:spacing w:after="0" w:line="172" w:lineRule="exact"/>
              <w:rPr>
                <w:sz w:val="20"/>
                <w:szCs w:val="20"/>
                <w:color w:val="auto"/>
              </w:rPr>
            </w:pPr>
            <w:r>
              <w:rPr>
                <w:rFonts w:ascii="Arial" w:cs="Arial" w:eastAsia="Arial" w:hAnsi="Arial"/>
                <w:sz w:val="17"/>
                <w:szCs w:val="17"/>
                <w:color w:val="auto"/>
              </w:rPr>
              <w:t>804,022</w:t>
            </w:r>
          </w:p>
        </w:tc>
        <w:tc>
          <w:tcPr>
            <w:tcW w:w="1380" w:type="dxa"/>
            <w:vAlign w:val="bottom"/>
            <w:tcBorders>
              <w:right w:val="single" w:sz="8" w:color="3D85C6"/>
            </w:tcBorders>
          </w:tcPr>
          <w:p>
            <w:pPr>
              <w:jc w:val="right"/>
              <w:ind w:right="53"/>
              <w:spacing w:after="0" w:line="172" w:lineRule="exact"/>
              <w:rPr>
                <w:sz w:val="20"/>
                <w:szCs w:val="20"/>
                <w:color w:val="auto"/>
              </w:rPr>
            </w:pPr>
            <w:r>
              <w:rPr>
                <w:rFonts w:ascii="Arial" w:cs="Arial" w:eastAsia="Arial" w:hAnsi="Arial"/>
                <w:sz w:val="17"/>
                <w:szCs w:val="17"/>
                <w:color w:val="auto"/>
              </w:rPr>
              <w:t>101,459</w:t>
            </w:r>
          </w:p>
        </w:tc>
        <w:tc>
          <w:tcPr>
            <w:tcW w:w="1320" w:type="dxa"/>
            <w:vAlign w:val="bottom"/>
            <w:tcBorders>
              <w:right w:val="single" w:sz="8" w:color="3D85C6"/>
            </w:tcBorders>
          </w:tcPr>
          <w:p>
            <w:pPr>
              <w:jc w:val="right"/>
              <w:ind w:right="33"/>
              <w:spacing w:after="0" w:line="172" w:lineRule="exact"/>
              <w:rPr>
                <w:sz w:val="20"/>
                <w:szCs w:val="20"/>
                <w:color w:val="auto"/>
              </w:rPr>
            </w:pPr>
            <w:r>
              <w:rPr>
                <w:rFonts w:ascii="Arial" w:cs="Arial" w:eastAsia="Arial" w:hAnsi="Arial"/>
                <w:sz w:val="17"/>
                <w:szCs w:val="17"/>
                <w:color w:val="auto"/>
              </w:rPr>
              <w:t>21,099</w:t>
            </w:r>
          </w:p>
        </w:tc>
        <w:tc>
          <w:tcPr>
            <w:tcW w:w="1320" w:type="dxa"/>
            <w:vAlign w:val="bottom"/>
            <w:tcBorders>
              <w:right w:val="single" w:sz="8" w:color="3D85C6"/>
            </w:tcBorders>
          </w:tcPr>
          <w:p>
            <w:pPr>
              <w:ind w:left="420"/>
              <w:spacing w:after="0" w:line="172" w:lineRule="exact"/>
              <w:rPr>
                <w:sz w:val="20"/>
                <w:szCs w:val="20"/>
                <w:color w:val="auto"/>
              </w:rPr>
            </w:pPr>
            <w:r>
              <w:rPr>
                <w:rFonts w:ascii="Arial" w:cs="Arial" w:eastAsia="Arial" w:hAnsi="Arial"/>
                <w:sz w:val="17"/>
                <w:szCs w:val="17"/>
                <w:color w:val="auto"/>
              </w:rPr>
              <w:t>1,351,580</w:t>
            </w:r>
          </w:p>
        </w:tc>
        <w:tc>
          <w:tcPr>
            <w:tcW w:w="0" w:type="dxa"/>
            <w:vAlign w:val="bottom"/>
          </w:tcPr>
          <w:p>
            <w:pPr>
              <w:spacing w:after="0"/>
              <w:rPr>
                <w:sz w:val="1"/>
                <w:szCs w:val="1"/>
                <w:color w:val="auto"/>
              </w:rPr>
            </w:pPr>
          </w:p>
        </w:tc>
      </w:tr>
      <w:tr>
        <w:trPr>
          <w:trHeight w:val="208"/>
        </w:trPr>
        <w:tc>
          <w:tcPr>
            <w:tcW w:w="3700" w:type="dxa"/>
            <w:vAlign w:val="bottom"/>
            <w:tcBorders>
              <w:left w:val="single" w:sz="8" w:color="3D85C6"/>
              <w:right w:val="single" w:sz="8" w:color="3D85C6"/>
            </w:tcBorders>
          </w:tcPr>
          <w:p>
            <w:pPr>
              <w:ind w:left="180"/>
              <w:spacing w:after="0"/>
              <w:rPr>
                <w:sz w:val="20"/>
                <w:szCs w:val="20"/>
                <w:color w:val="auto"/>
              </w:rPr>
            </w:pPr>
            <w:r>
              <w:rPr>
                <w:rFonts w:ascii="Arial" w:cs="Arial" w:eastAsia="Arial" w:hAnsi="Arial"/>
                <w:sz w:val="17"/>
                <w:szCs w:val="17"/>
                <w:i w:val="1"/>
                <w:iCs w:val="1"/>
                <w:color w:val="auto"/>
              </w:rPr>
              <w:t>Sr. Vice President,</w:t>
            </w:r>
          </w:p>
        </w:tc>
        <w:tc>
          <w:tcPr>
            <w:tcW w:w="820" w:type="dxa"/>
            <w:vAlign w:val="bottom"/>
          </w:tcPr>
          <w:p>
            <w:pPr>
              <w:ind w:left="200"/>
              <w:spacing w:after="0"/>
              <w:rPr>
                <w:sz w:val="20"/>
                <w:szCs w:val="20"/>
                <w:color w:val="auto"/>
              </w:rPr>
            </w:pPr>
            <w:r>
              <w:rPr>
                <w:rFonts w:ascii="Arial" w:cs="Arial" w:eastAsia="Arial" w:hAnsi="Arial"/>
                <w:sz w:val="17"/>
                <w:szCs w:val="17"/>
                <w:color w:val="auto"/>
              </w:rPr>
              <w:t>2024</w:t>
            </w:r>
          </w:p>
        </w:tc>
        <w:tc>
          <w:tcPr>
            <w:tcW w:w="120" w:type="dxa"/>
            <w:vAlign w:val="bottom"/>
            <w:tcBorders>
              <w:right w:val="single" w:sz="8" w:color="3D85C6"/>
            </w:tcBorders>
          </w:tcPr>
          <w:p>
            <w:pPr>
              <w:spacing w:after="0"/>
              <w:rPr>
                <w:sz w:val="18"/>
                <w:szCs w:val="18"/>
                <w:color w:val="auto"/>
              </w:rPr>
            </w:pPr>
          </w:p>
        </w:tc>
        <w:tc>
          <w:tcPr>
            <w:tcW w:w="1240" w:type="dxa"/>
            <w:vAlign w:val="bottom"/>
            <w:tcBorders>
              <w:right w:val="single" w:sz="8" w:color="3D85C6"/>
            </w:tcBorders>
          </w:tcPr>
          <w:p>
            <w:pPr>
              <w:jc w:val="right"/>
              <w:ind w:right="33"/>
              <w:spacing w:after="0"/>
              <w:rPr>
                <w:sz w:val="20"/>
                <w:szCs w:val="20"/>
                <w:color w:val="auto"/>
              </w:rPr>
            </w:pPr>
            <w:r>
              <w:rPr>
                <w:rFonts w:ascii="Arial" w:cs="Arial" w:eastAsia="Arial" w:hAnsi="Arial"/>
                <w:sz w:val="17"/>
                <w:szCs w:val="17"/>
                <w:color w:val="auto"/>
              </w:rPr>
              <w:t>425,000</w:t>
            </w:r>
          </w:p>
        </w:tc>
        <w:tc>
          <w:tcPr>
            <w:tcW w:w="1360" w:type="dxa"/>
            <w:vAlign w:val="bottom"/>
            <w:tcBorders>
              <w:right w:val="single" w:sz="8" w:color="3D85C6"/>
            </w:tcBorders>
          </w:tcPr>
          <w:p>
            <w:pPr>
              <w:jc w:val="right"/>
              <w:ind w:right="33"/>
              <w:spacing w:after="0"/>
              <w:rPr>
                <w:sz w:val="20"/>
                <w:szCs w:val="20"/>
                <w:color w:val="auto"/>
              </w:rPr>
            </w:pPr>
            <w:r>
              <w:rPr>
                <w:rFonts w:ascii="Arial" w:cs="Arial" w:eastAsia="Arial" w:hAnsi="Arial"/>
                <w:sz w:val="17"/>
                <w:szCs w:val="17"/>
                <w:color w:val="auto"/>
              </w:rPr>
              <w:t>1,022,948</w:t>
            </w:r>
          </w:p>
        </w:tc>
        <w:tc>
          <w:tcPr>
            <w:tcW w:w="1380" w:type="dxa"/>
            <w:vAlign w:val="bottom"/>
            <w:tcBorders>
              <w:right w:val="single" w:sz="8" w:color="3D85C6"/>
            </w:tcBorders>
          </w:tcPr>
          <w:p>
            <w:pPr>
              <w:jc w:val="right"/>
              <w:ind w:right="53"/>
              <w:spacing w:after="0"/>
              <w:rPr>
                <w:sz w:val="20"/>
                <w:szCs w:val="20"/>
                <w:color w:val="auto"/>
              </w:rPr>
            </w:pPr>
            <w:r>
              <w:rPr>
                <w:rFonts w:ascii="Arial" w:cs="Arial" w:eastAsia="Arial" w:hAnsi="Arial"/>
                <w:sz w:val="17"/>
                <w:szCs w:val="17"/>
                <w:color w:val="auto"/>
              </w:rPr>
              <w:t>-</w:t>
            </w:r>
          </w:p>
        </w:tc>
        <w:tc>
          <w:tcPr>
            <w:tcW w:w="1320" w:type="dxa"/>
            <w:vAlign w:val="bottom"/>
            <w:tcBorders>
              <w:right w:val="single" w:sz="8" w:color="3D85C6"/>
            </w:tcBorders>
          </w:tcPr>
          <w:p>
            <w:pPr>
              <w:jc w:val="right"/>
              <w:ind w:right="33"/>
              <w:spacing w:after="0"/>
              <w:rPr>
                <w:sz w:val="20"/>
                <w:szCs w:val="20"/>
                <w:color w:val="auto"/>
              </w:rPr>
            </w:pPr>
            <w:r>
              <w:rPr>
                <w:rFonts w:ascii="Arial" w:cs="Arial" w:eastAsia="Arial" w:hAnsi="Arial"/>
                <w:sz w:val="17"/>
                <w:szCs w:val="17"/>
                <w:color w:val="auto"/>
              </w:rPr>
              <w:t>20,961</w:t>
            </w:r>
          </w:p>
        </w:tc>
        <w:tc>
          <w:tcPr>
            <w:tcW w:w="1320" w:type="dxa"/>
            <w:vAlign w:val="bottom"/>
            <w:tcBorders>
              <w:right w:val="single" w:sz="8" w:color="3D85C6"/>
            </w:tcBorders>
          </w:tcPr>
          <w:p>
            <w:pPr>
              <w:ind w:left="420"/>
              <w:spacing w:after="0"/>
              <w:rPr>
                <w:sz w:val="20"/>
                <w:szCs w:val="20"/>
                <w:color w:val="auto"/>
              </w:rPr>
            </w:pPr>
            <w:r>
              <w:rPr>
                <w:rFonts w:ascii="Arial" w:cs="Arial" w:eastAsia="Arial" w:hAnsi="Arial"/>
                <w:sz w:val="17"/>
                <w:szCs w:val="17"/>
                <w:color w:val="auto"/>
              </w:rPr>
              <w:t>1,468,909</w:t>
            </w:r>
          </w:p>
        </w:tc>
        <w:tc>
          <w:tcPr>
            <w:tcW w:w="0" w:type="dxa"/>
            <w:vAlign w:val="bottom"/>
          </w:tcPr>
          <w:p>
            <w:pPr>
              <w:spacing w:after="0"/>
              <w:rPr>
                <w:sz w:val="1"/>
                <w:szCs w:val="1"/>
                <w:color w:val="auto"/>
              </w:rPr>
            </w:pPr>
          </w:p>
        </w:tc>
      </w:tr>
      <w:tr>
        <w:trPr>
          <w:trHeight w:val="212"/>
        </w:trPr>
        <w:tc>
          <w:tcPr>
            <w:tcW w:w="3700" w:type="dxa"/>
            <w:vAlign w:val="bottom"/>
            <w:tcBorders>
              <w:left w:val="single" w:sz="8" w:color="3D85C6"/>
              <w:bottom w:val="single" w:sz="8" w:color="3D85C6"/>
              <w:right w:val="single" w:sz="8" w:color="3D85C6"/>
            </w:tcBorders>
          </w:tcPr>
          <w:p>
            <w:pPr>
              <w:ind w:left="180"/>
              <w:spacing w:after="0"/>
              <w:rPr>
                <w:sz w:val="20"/>
                <w:szCs w:val="20"/>
                <w:color w:val="auto"/>
              </w:rPr>
            </w:pPr>
            <w:r>
              <w:rPr>
                <w:rFonts w:ascii="Arial" w:cs="Arial" w:eastAsia="Arial" w:hAnsi="Arial"/>
                <w:sz w:val="17"/>
                <w:szCs w:val="17"/>
                <w:i w:val="1"/>
                <w:iCs w:val="1"/>
                <w:color w:val="auto"/>
              </w:rPr>
              <w:t>Chief Customer Officer</w:t>
            </w:r>
          </w:p>
        </w:tc>
        <w:tc>
          <w:tcPr>
            <w:tcW w:w="820" w:type="dxa"/>
            <w:vAlign w:val="bottom"/>
            <w:tcBorders>
              <w:bottom w:val="single" w:sz="8" w:color="3D85C6"/>
            </w:tcBorders>
          </w:tcPr>
          <w:p>
            <w:pPr>
              <w:ind w:left="200"/>
              <w:spacing w:after="0"/>
              <w:rPr>
                <w:sz w:val="20"/>
                <w:szCs w:val="20"/>
                <w:color w:val="auto"/>
              </w:rPr>
            </w:pPr>
            <w:r>
              <w:rPr>
                <w:rFonts w:ascii="Arial" w:cs="Arial" w:eastAsia="Arial" w:hAnsi="Arial"/>
                <w:sz w:val="17"/>
                <w:szCs w:val="17"/>
                <w:color w:val="auto"/>
              </w:rPr>
              <w:t>2023</w:t>
            </w:r>
          </w:p>
        </w:tc>
        <w:tc>
          <w:tcPr>
            <w:tcW w:w="120" w:type="dxa"/>
            <w:vAlign w:val="bottom"/>
            <w:tcBorders>
              <w:bottom w:val="single" w:sz="8" w:color="3D85C6"/>
              <w:right w:val="single" w:sz="8" w:color="3D85C6"/>
            </w:tcBorders>
          </w:tcPr>
          <w:p>
            <w:pPr>
              <w:spacing w:after="0"/>
              <w:rPr>
                <w:sz w:val="18"/>
                <w:szCs w:val="18"/>
                <w:color w:val="auto"/>
              </w:rPr>
            </w:pPr>
          </w:p>
        </w:tc>
        <w:tc>
          <w:tcPr>
            <w:tcW w:w="12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418,846</w:t>
            </w:r>
          </w:p>
        </w:tc>
        <w:tc>
          <w:tcPr>
            <w:tcW w:w="136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1,262,779</w:t>
            </w:r>
          </w:p>
        </w:tc>
        <w:tc>
          <w:tcPr>
            <w:tcW w:w="1380" w:type="dxa"/>
            <w:vAlign w:val="bottom"/>
            <w:tcBorders>
              <w:bottom w:val="single" w:sz="8" w:color="3D85C6"/>
              <w:right w:val="single" w:sz="8" w:color="3D85C6"/>
            </w:tcBorders>
          </w:tcPr>
          <w:p>
            <w:pPr>
              <w:jc w:val="right"/>
              <w:ind w:right="53"/>
              <w:spacing w:after="0"/>
              <w:rPr>
                <w:sz w:val="20"/>
                <w:szCs w:val="20"/>
                <w:color w:val="auto"/>
              </w:rPr>
            </w:pPr>
            <w:r>
              <w:rPr>
                <w:rFonts w:ascii="Arial" w:cs="Arial" w:eastAsia="Arial" w:hAnsi="Arial"/>
                <w:sz w:val="17"/>
                <w:szCs w:val="17"/>
                <w:color w:val="auto"/>
              </w:rPr>
              <w:t>304,921</w:t>
            </w:r>
          </w:p>
        </w:tc>
        <w:tc>
          <w:tcPr>
            <w:tcW w:w="132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20,962</w:t>
            </w:r>
          </w:p>
        </w:tc>
        <w:tc>
          <w:tcPr>
            <w:tcW w:w="1320" w:type="dxa"/>
            <w:vAlign w:val="bottom"/>
            <w:tcBorders>
              <w:bottom w:val="single" w:sz="8" w:color="3D85C6"/>
              <w:right w:val="single" w:sz="8" w:color="3D85C6"/>
            </w:tcBorders>
          </w:tcPr>
          <w:p>
            <w:pPr>
              <w:ind w:left="420"/>
              <w:spacing w:after="0"/>
              <w:rPr>
                <w:sz w:val="20"/>
                <w:szCs w:val="20"/>
                <w:color w:val="auto"/>
              </w:rPr>
            </w:pPr>
            <w:r>
              <w:rPr>
                <w:rFonts w:ascii="Arial" w:cs="Arial" w:eastAsia="Arial" w:hAnsi="Arial"/>
                <w:sz w:val="17"/>
                <w:szCs w:val="17"/>
                <w:color w:val="auto"/>
              </w:rPr>
              <w:t>2,007,508</w:t>
            </w:r>
          </w:p>
        </w:tc>
        <w:tc>
          <w:tcPr>
            <w:tcW w:w="0" w:type="dxa"/>
            <w:vAlign w:val="bottom"/>
          </w:tcPr>
          <w:p>
            <w:pPr>
              <w:spacing w:after="0"/>
              <w:rPr>
                <w:sz w:val="1"/>
                <w:szCs w:val="1"/>
                <w:color w:val="auto"/>
              </w:rPr>
            </w:pPr>
          </w:p>
        </w:tc>
      </w:tr>
      <w:tr>
        <w:trPr>
          <w:trHeight w:val="171"/>
        </w:trPr>
        <w:tc>
          <w:tcPr>
            <w:tcW w:w="3700" w:type="dxa"/>
            <w:vAlign w:val="bottom"/>
            <w:tcBorders>
              <w:left w:val="single" w:sz="8" w:color="3D85C6"/>
              <w:right w:val="single" w:sz="8" w:color="3D85C6"/>
            </w:tcBorders>
            <w:shd w:val="clear" w:color="auto" w:fill="E6E6E6"/>
          </w:tcPr>
          <w:p>
            <w:pPr>
              <w:ind w:left="180"/>
              <w:spacing w:after="0" w:line="172" w:lineRule="exact"/>
              <w:rPr>
                <w:sz w:val="20"/>
                <w:szCs w:val="20"/>
                <w:color w:val="auto"/>
              </w:rPr>
            </w:pPr>
            <w:r>
              <w:rPr>
                <w:rFonts w:ascii="Arial" w:cs="Arial" w:eastAsia="Arial" w:hAnsi="Arial"/>
                <w:sz w:val="17"/>
                <w:szCs w:val="17"/>
                <w:color w:val="auto"/>
              </w:rPr>
              <w:t xml:space="preserve">Klaus Ilgenfritz </w:t>
            </w:r>
            <w:r>
              <w:rPr>
                <w:rFonts w:ascii="Arial" w:cs="Arial" w:eastAsia="Arial" w:hAnsi="Arial"/>
                <w:sz w:val="14"/>
                <w:szCs w:val="14"/>
                <w:color w:val="auto"/>
              </w:rPr>
              <w:t>(4)</w:t>
            </w:r>
          </w:p>
        </w:tc>
        <w:tc>
          <w:tcPr>
            <w:tcW w:w="820" w:type="dxa"/>
            <w:vAlign w:val="bottom"/>
            <w:shd w:val="clear" w:color="auto" w:fill="E6E6E6"/>
          </w:tcPr>
          <w:p>
            <w:pPr>
              <w:ind w:left="200"/>
              <w:spacing w:after="0" w:line="172" w:lineRule="exact"/>
              <w:rPr>
                <w:sz w:val="20"/>
                <w:szCs w:val="20"/>
                <w:color w:val="auto"/>
              </w:rPr>
            </w:pPr>
            <w:r>
              <w:rPr>
                <w:rFonts w:ascii="Arial" w:cs="Arial" w:eastAsia="Arial" w:hAnsi="Arial"/>
                <w:sz w:val="17"/>
                <w:szCs w:val="17"/>
                <w:color w:val="auto"/>
              </w:rPr>
              <w:t>2025</w:t>
            </w:r>
          </w:p>
        </w:tc>
        <w:tc>
          <w:tcPr>
            <w:tcW w:w="120" w:type="dxa"/>
            <w:vAlign w:val="bottom"/>
            <w:tcBorders>
              <w:right w:val="single" w:sz="8" w:color="3D85C6"/>
            </w:tcBorders>
            <w:shd w:val="clear" w:color="auto" w:fill="E6E6E6"/>
          </w:tcPr>
          <w:p>
            <w:pPr>
              <w:spacing w:after="0"/>
              <w:rPr>
                <w:sz w:val="14"/>
                <w:szCs w:val="14"/>
                <w:color w:val="auto"/>
              </w:rPr>
            </w:pPr>
          </w:p>
        </w:tc>
        <w:tc>
          <w:tcPr>
            <w:tcW w:w="1240" w:type="dxa"/>
            <w:vAlign w:val="bottom"/>
            <w:tcBorders>
              <w:right w:val="single" w:sz="8" w:color="3D85C6"/>
            </w:tcBorders>
            <w:shd w:val="clear" w:color="auto" w:fill="E6E6E6"/>
          </w:tcPr>
          <w:p>
            <w:pPr>
              <w:jc w:val="right"/>
              <w:ind w:right="33"/>
              <w:spacing w:after="0" w:line="172" w:lineRule="exact"/>
              <w:rPr>
                <w:sz w:val="20"/>
                <w:szCs w:val="20"/>
                <w:color w:val="auto"/>
              </w:rPr>
            </w:pPr>
            <w:r>
              <w:rPr>
                <w:rFonts w:ascii="Arial" w:cs="Arial" w:eastAsia="Arial" w:hAnsi="Arial"/>
                <w:sz w:val="17"/>
                <w:szCs w:val="17"/>
                <w:color w:val="auto"/>
              </w:rPr>
              <w:t>418,887</w:t>
            </w:r>
          </w:p>
        </w:tc>
        <w:tc>
          <w:tcPr>
            <w:tcW w:w="1360" w:type="dxa"/>
            <w:vAlign w:val="bottom"/>
            <w:tcBorders>
              <w:right w:val="single" w:sz="8" w:color="3D85C6"/>
            </w:tcBorders>
            <w:shd w:val="clear" w:color="auto" w:fill="E6E6E6"/>
          </w:tcPr>
          <w:p>
            <w:pPr>
              <w:jc w:val="right"/>
              <w:ind w:right="33"/>
              <w:spacing w:after="0" w:line="172" w:lineRule="exact"/>
              <w:rPr>
                <w:sz w:val="20"/>
                <w:szCs w:val="20"/>
                <w:color w:val="auto"/>
              </w:rPr>
            </w:pPr>
            <w:r>
              <w:rPr>
                <w:rFonts w:ascii="Arial" w:cs="Arial" w:eastAsia="Arial" w:hAnsi="Arial"/>
                <w:sz w:val="17"/>
                <w:szCs w:val="17"/>
                <w:color w:val="auto"/>
              </w:rPr>
              <w:t>548,188</w:t>
            </w:r>
          </w:p>
        </w:tc>
        <w:tc>
          <w:tcPr>
            <w:tcW w:w="1380" w:type="dxa"/>
            <w:vAlign w:val="bottom"/>
            <w:tcBorders>
              <w:right w:val="single" w:sz="8" w:color="3D85C6"/>
            </w:tcBorders>
            <w:shd w:val="clear" w:color="auto" w:fill="E6E6E6"/>
          </w:tcPr>
          <w:p>
            <w:pPr>
              <w:jc w:val="right"/>
              <w:ind w:right="53"/>
              <w:spacing w:after="0" w:line="172" w:lineRule="exact"/>
              <w:rPr>
                <w:sz w:val="20"/>
                <w:szCs w:val="20"/>
                <w:color w:val="auto"/>
              </w:rPr>
            </w:pPr>
            <w:r>
              <w:rPr>
                <w:rFonts w:ascii="Arial" w:cs="Arial" w:eastAsia="Arial" w:hAnsi="Arial"/>
                <w:sz w:val="17"/>
                <w:szCs w:val="17"/>
                <w:color w:val="auto"/>
              </w:rPr>
              <w:t>80,975</w:t>
            </w:r>
          </w:p>
        </w:tc>
        <w:tc>
          <w:tcPr>
            <w:tcW w:w="1320" w:type="dxa"/>
            <w:vAlign w:val="bottom"/>
            <w:tcBorders>
              <w:right w:val="single" w:sz="8" w:color="3D85C6"/>
            </w:tcBorders>
            <w:shd w:val="clear" w:color="auto" w:fill="E6E6E6"/>
          </w:tcPr>
          <w:p>
            <w:pPr>
              <w:jc w:val="right"/>
              <w:ind w:right="33"/>
              <w:spacing w:after="0" w:line="172" w:lineRule="exact"/>
              <w:rPr>
                <w:sz w:val="20"/>
                <w:szCs w:val="20"/>
                <w:color w:val="auto"/>
              </w:rPr>
            </w:pPr>
            <w:r>
              <w:rPr>
                <w:rFonts w:ascii="Arial" w:cs="Arial" w:eastAsia="Arial" w:hAnsi="Arial"/>
                <w:sz w:val="17"/>
                <w:szCs w:val="17"/>
                <w:color w:val="auto"/>
              </w:rPr>
              <w:t>11,888</w:t>
            </w:r>
          </w:p>
        </w:tc>
        <w:tc>
          <w:tcPr>
            <w:tcW w:w="1320" w:type="dxa"/>
            <w:vAlign w:val="bottom"/>
            <w:tcBorders>
              <w:right w:val="single" w:sz="8" w:color="3D85C6"/>
            </w:tcBorders>
            <w:shd w:val="clear" w:color="auto" w:fill="E6E6E6"/>
          </w:tcPr>
          <w:p>
            <w:pPr>
              <w:ind w:left="420"/>
              <w:spacing w:after="0" w:line="172" w:lineRule="exact"/>
              <w:rPr>
                <w:sz w:val="20"/>
                <w:szCs w:val="20"/>
                <w:color w:val="auto"/>
              </w:rPr>
            </w:pPr>
            <w:r>
              <w:rPr>
                <w:rFonts w:ascii="Arial" w:cs="Arial" w:eastAsia="Arial" w:hAnsi="Arial"/>
                <w:sz w:val="17"/>
                <w:szCs w:val="17"/>
                <w:color w:val="auto"/>
              </w:rPr>
              <w:t>1,059,938</w:t>
            </w:r>
          </w:p>
        </w:tc>
        <w:tc>
          <w:tcPr>
            <w:tcW w:w="0" w:type="dxa"/>
            <w:vAlign w:val="bottom"/>
          </w:tcPr>
          <w:p>
            <w:pPr>
              <w:spacing w:after="0"/>
              <w:rPr>
                <w:sz w:val="1"/>
                <w:szCs w:val="1"/>
                <w:color w:val="auto"/>
              </w:rPr>
            </w:pPr>
          </w:p>
        </w:tc>
      </w:tr>
      <w:tr>
        <w:trPr>
          <w:trHeight w:val="212"/>
        </w:trPr>
        <w:tc>
          <w:tcPr>
            <w:tcW w:w="3700" w:type="dxa"/>
            <w:vAlign w:val="bottom"/>
            <w:tcBorders>
              <w:left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i w:val="1"/>
                <w:iCs w:val="1"/>
                <w:color w:val="auto"/>
              </w:rPr>
              <w:t>Sr. Vice President,</w:t>
            </w:r>
          </w:p>
        </w:tc>
        <w:tc>
          <w:tcPr>
            <w:tcW w:w="820" w:type="dxa"/>
            <w:vAlign w:val="bottom"/>
            <w:shd w:val="clear" w:color="auto" w:fill="E6E6E6"/>
          </w:tcPr>
          <w:p>
            <w:pPr>
              <w:spacing w:after="0"/>
              <w:rPr>
                <w:sz w:val="18"/>
                <w:szCs w:val="18"/>
                <w:color w:val="auto"/>
              </w:rPr>
            </w:pPr>
          </w:p>
        </w:tc>
        <w:tc>
          <w:tcPr>
            <w:tcW w:w="120" w:type="dxa"/>
            <w:vAlign w:val="bottom"/>
            <w:tcBorders>
              <w:right w:val="single" w:sz="8" w:color="3D85C6"/>
            </w:tcBorders>
            <w:shd w:val="clear" w:color="auto" w:fill="E6E6E6"/>
          </w:tcPr>
          <w:p>
            <w:pPr>
              <w:spacing w:after="0"/>
              <w:rPr>
                <w:sz w:val="18"/>
                <w:szCs w:val="18"/>
                <w:color w:val="auto"/>
              </w:rPr>
            </w:pPr>
          </w:p>
        </w:tc>
        <w:tc>
          <w:tcPr>
            <w:tcW w:w="1240" w:type="dxa"/>
            <w:vAlign w:val="bottom"/>
            <w:tcBorders>
              <w:right w:val="single" w:sz="8" w:color="3D85C6"/>
            </w:tcBorders>
            <w:shd w:val="clear" w:color="auto" w:fill="E6E6E6"/>
          </w:tcPr>
          <w:p>
            <w:pPr>
              <w:spacing w:after="0"/>
              <w:rPr>
                <w:sz w:val="18"/>
                <w:szCs w:val="18"/>
                <w:color w:val="auto"/>
              </w:rPr>
            </w:pPr>
          </w:p>
        </w:tc>
        <w:tc>
          <w:tcPr>
            <w:tcW w:w="1360" w:type="dxa"/>
            <w:vAlign w:val="bottom"/>
            <w:tcBorders>
              <w:right w:val="single" w:sz="8" w:color="3D85C6"/>
            </w:tcBorders>
            <w:shd w:val="clear" w:color="auto" w:fill="E6E6E6"/>
          </w:tcPr>
          <w:p>
            <w:pPr>
              <w:spacing w:after="0"/>
              <w:rPr>
                <w:sz w:val="18"/>
                <w:szCs w:val="18"/>
                <w:color w:val="auto"/>
              </w:rPr>
            </w:pPr>
          </w:p>
        </w:tc>
        <w:tc>
          <w:tcPr>
            <w:tcW w:w="1380" w:type="dxa"/>
            <w:vAlign w:val="bottom"/>
            <w:tcBorders>
              <w:right w:val="single" w:sz="8" w:color="3D85C6"/>
            </w:tcBorders>
            <w:shd w:val="clear" w:color="auto" w:fill="E6E6E6"/>
          </w:tcPr>
          <w:p>
            <w:pPr>
              <w:spacing w:after="0"/>
              <w:rPr>
                <w:sz w:val="18"/>
                <w:szCs w:val="18"/>
                <w:color w:val="auto"/>
              </w:rPr>
            </w:pPr>
          </w:p>
        </w:tc>
        <w:tc>
          <w:tcPr>
            <w:tcW w:w="1320" w:type="dxa"/>
            <w:vAlign w:val="bottom"/>
            <w:tcBorders>
              <w:right w:val="single" w:sz="8" w:color="3D85C6"/>
            </w:tcBorders>
            <w:shd w:val="clear" w:color="auto" w:fill="E6E6E6"/>
          </w:tcPr>
          <w:p>
            <w:pPr>
              <w:spacing w:after="0"/>
              <w:rPr>
                <w:sz w:val="18"/>
                <w:szCs w:val="18"/>
                <w:color w:val="auto"/>
              </w:rPr>
            </w:pPr>
          </w:p>
        </w:tc>
        <w:tc>
          <w:tcPr>
            <w:tcW w:w="1320" w:type="dxa"/>
            <w:vAlign w:val="bottom"/>
            <w:tcBorders>
              <w:right w:val="single" w:sz="8" w:color="3D85C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00" w:type="dxa"/>
            <w:vAlign w:val="bottom"/>
            <w:tcBorders>
              <w:left w:val="single" w:sz="8" w:color="3D85C6"/>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i w:val="1"/>
                <w:iCs w:val="1"/>
                <w:color w:val="auto"/>
              </w:rPr>
              <w:t>Chief Product Officer</w:t>
            </w:r>
          </w:p>
        </w:tc>
        <w:tc>
          <w:tcPr>
            <w:tcW w:w="820" w:type="dxa"/>
            <w:vAlign w:val="bottom"/>
            <w:tcBorders>
              <w:bottom w:val="single" w:sz="8" w:color="3D85C6"/>
            </w:tcBorders>
            <w:shd w:val="clear" w:color="auto" w:fill="E6E6E6"/>
          </w:tcPr>
          <w:p>
            <w:pPr>
              <w:spacing w:after="0"/>
              <w:rPr>
                <w:sz w:val="18"/>
                <w:szCs w:val="18"/>
                <w:color w:val="auto"/>
              </w:rPr>
            </w:pPr>
          </w:p>
        </w:tc>
        <w:tc>
          <w:tcPr>
            <w:tcW w:w="120" w:type="dxa"/>
            <w:vAlign w:val="bottom"/>
            <w:tcBorders>
              <w:bottom w:val="single" w:sz="8" w:color="3D85C6"/>
              <w:right w:val="single" w:sz="8" w:color="3D85C6"/>
            </w:tcBorders>
            <w:shd w:val="clear" w:color="auto" w:fill="E6E6E6"/>
          </w:tcPr>
          <w:p>
            <w:pPr>
              <w:spacing w:after="0"/>
              <w:rPr>
                <w:sz w:val="18"/>
                <w:szCs w:val="18"/>
                <w:color w:val="auto"/>
              </w:rPr>
            </w:pPr>
          </w:p>
        </w:tc>
        <w:tc>
          <w:tcPr>
            <w:tcW w:w="1240" w:type="dxa"/>
            <w:vAlign w:val="bottom"/>
            <w:tcBorders>
              <w:bottom w:val="single" w:sz="8" w:color="3D85C6"/>
              <w:right w:val="single" w:sz="8" w:color="3D85C6"/>
            </w:tcBorders>
            <w:shd w:val="clear" w:color="auto" w:fill="E6E6E6"/>
          </w:tcPr>
          <w:p>
            <w:pPr>
              <w:spacing w:after="0"/>
              <w:rPr>
                <w:sz w:val="18"/>
                <w:szCs w:val="18"/>
                <w:color w:val="auto"/>
              </w:rPr>
            </w:pPr>
          </w:p>
        </w:tc>
        <w:tc>
          <w:tcPr>
            <w:tcW w:w="1360" w:type="dxa"/>
            <w:vAlign w:val="bottom"/>
            <w:tcBorders>
              <w:bottom w:val="single" w:sz="8" w:color="3D85C6"/>
              <w:right w:val="single" w:sz="8" w:color="3D85C6"/>
            </w:tcBorders>
            <w:shd w:val="clear" w:color="auto" w:fill="E6E6E6"/>
          </w:tcPr>
          <w:p>
            <w:pPr>
              <w:spacing w:after="0"/>
              <w:rPr>
                <w:sz w:val="18"/>
                <w:szCs w:val="18"/>
                <w:color w:val="auto"/>
              </w:rPr>
            </w:pPr>
          </w:p>
        </w:tc>
        <w:tc>
          <w:tcPr>
            <w:tcW w:w="1380" w:type="dxa"/>
            <w:vAlign w:val="bottom"/>
            <w:tcBorders>
              <w:bottom w:val="single" w:sz="8" w:color="3D85C6"/>
              <w:right w:val="single" w:sz="8" w:color="3D85C6"/>
            </w:tcBorders>
            <w:shd w:val="clear" w:color="auto" w:fill="E6E6E6"/>
          </w:tcPr>
          <w:p>
            <w:pPr>
              <w:spacing w:after="0"/>
              <w:rPr>
                <w:sz w:val="18"/>
                <w:szCs w:val="18"/>
                <w:color w:val="auto"/>
              </w:rPr>
            </w:pPr>
          </w:p>
        </w:tc>
        <w:tc>
          <w:tcPr>
            <w:tcW w:w="1320" w:type="dxa"/>
            <w:vAlign w:val="bottom"/>
            <w:tcBorders>
              <w:bottom w:val="single" w:sz="8" w:color="3D85C6"/>
              <w:right w:val="single" w:sz="8" w:color="3D85C6"/>
            </w:tcBorders>
            <w:shd w:val="clear" w:color="auto" w:fill="E6E6E6"/>
          </w:tcPr>
          <w:p>
            <w:pPr>
              <w:spacing w:after="0"/>
              <w:rPr>
                <w:sz w:val="18"/>
                <w:szCs w:val="18"/>
                <w:color w:val="auto"/>
              </w:rPr>
            </w:pPr>
          </w:p>
        </w:tc>
        <w:tc>
          <w:tcPr>
            <w:tcW w:w="1320" w:type="dxa"/>
            <w:vAlign w:val="bottom"/>
            <w:tcBorders>
              <w:bottom w:val="single" w:sz="8" w:color="3D85C6"/>
              <w:right w:val="single" w:sz="8" w:color="3D85C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right="20" w:hanging="316"/>
        <w:spacing w:after="0" w:line="252" w:lineRule="auto"/>
        <w:tabs>
          <w:tab w:leader="none" w:pos="3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Amounts shown do not reflect compensation actually received by the NEOs. Instead, the amounts shown above are the grant date fair value for stock awards issued in the form of RSUs and PSUs granted in fiscal years 2025, 2024, and 2023, calculated in accordance with FASB Topic ASC 718 without regard to estimated forfeitures. The assumptions used to calculate the grant date fair value of the stock awards are set forth in Note 6, “Employee Benefit Plans”, included in Part IV, Item 15(a) of Cohu’s Annual Report on Form 10-K for the year ended December 27, 2025, filed with the SEC. The derived grant date fair value for the stock award is recognized, for financial statement purposes, over the number of days of service required for the award to vest in full. No stock options were granted to the NEOs during the three-year period ended December 27, 2025. Assuming the highest level of performance conditions are achieved, the grant date fair values for performance-based stock awards made in 2025 would be $3,811,834, $1,191,190, $873,548 and $595,595 for Dr. Müller and Messrs. Jones, Bohrson, and Ilgenfritz, respectively. Using the same assumptions, the grant date fair values for performance-based stock awards made in 2024 was $5,037,287, $1,662,274, and $1,259,305 and in 2023 was $6,827,661, $2,253,130 and $1,706,863 for Dr. Müller and Messrs. Jones and Bohrson, respectively.</w:t>
      </w:r>
    </w:p>
    <w:p>
      <w:pPr>
        <w:spacing w:after="0" w:line="3" w:lineRule="exact"/>
        <w:rPr>
          <w:rFonts w:ascii="Arial" w:cs="Arial" w:eastAsia="Arial" w:hAnsi="Arial"/>
          <w:sz w:val="13"/>
          <w:szCs w:val="13"/>
          <w:color w:val="auto"/>
        </w:rPr>
      </w:pPr>
    </w:p>
    <w:p>
      <w:pPr>
        <w:ind w:left="320" w:right="40" w:hanging="316"/>
        <w:spacing w:after="0" w:line="232" w:lineRule="auto"/>
        <w:tabs>
          <w:tab w:leader="none" w:pos="3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Amounts consist of performance-based cash incentives received by the NEO earned for the 2025, 2024, and 2023 performance periods. Such amounts were paid under the 2005 Plan in February or March of the following fiscal year.</w:t>
      </w:r>
    </w:p>
    <w:p>
      <w:pPr>
        <w:ind w:left="320" w:hanging="316"/>
        <w:spacing w:after="0" w:line="232" w:lineRule="auto"/>
        <w:tabs>
          <w:tab w:leader="none" w:pos="3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amounts shown in this column reflect the following for each NEO:</w:t>
      </w:r>
    </w:p>
    <w:p>
      <w:pPr>
        <w:ind w:left="620" w:right="280" w:hanging="304"/>
        <w:spacing w:after="0" w:line="232" w:lineRule="auto"/>
        <w:tabs>
          <w:tab w:leader="none" w:pos="620" w:val="left"/>
        </w:tabs>
        <w:numPr>
          <w:ilvl w:val="1"/>
          <w:numId w:val="129"/>
        </w:numPr>
        <w:rPr>
          <w:rFonts w:ascii="Arial" w:cs="Arial" w:eastAsia="Arial" w:hAnsi="Arial"/>
          <w:sz w:val="14"/>
          <w:szCs w:val="14"/>
          <w:color w:val="auto"/>
        </w:rPr>
      </w:pPr>
      <w:r>
        <w:rPr>
          <w:rFonts w:ascii="Arial" w:cs="Arial" w:eastAsia="Arial" w:hAnsi="Arial"/>
          <w:sz w:val="14"/>
          <w:szCs w:val="14"/>
          <w:color w:val="auto"/>
        </w:rPr>
        <w:t>For U.S. based NEOs, includes amounts of Cohu’s matching contributions in 2025 under the Cohu 401(k) Plan (which is more fully described elsewhere herein under the heading “Retirement Benefits Under the 401(k) Plan, Executive Perquisites and Generally Available Benefits”).</w:t>
      </w:r>
    </w:p>
    <w:p>
      <w:pPr>
        <w:ind w:left="620" w:hanging="304"/>
        <w:spacing w:after="0"/>
        <w:tabs>
          <w:tab w:leader="none" w:pos="620" w:val="left"/>
        </w:tabs>
        <w:numPr>
          <w:ilvl w:val="1"/>
          <w:numId w:val="129"/>
        </w:numPr>
        <w:rPr>
          <w:rFonts w:ascii="Arial" w:cs="Arial" w:eastAsia="Arial" w:hAnsi="Arial"/>
          <w:sz w:val="14"/>
          <w:szCs w:val="14"/>
          <w:color w:val="auto"/>
        </w:rPr>
      </w:pPr>
      <w:r>
        <w:rPr>
          <w:rFonts w:ascii="Arial" w:cs="Arial" w:eastAsia="Arial" w:hAnsi="Arial"/>
          <w:sz w:val="14"/>
          <w:szCs w:val="14"/>
          <w:color w:val="auto"/>
        </w:rPr>
        <w:t>The value attributable to life insurance benefits provided by Cohu (such amount is taxable to the recipient).</w:t>
      </w:r>
    </w:p>
    <w:p>
      <w:pPr>
        <w:spacing w:after="0" w:line="60" w:lineRule="exact"/>
        <w:rPr>
          <w:rFonts w:ascii="Arial" w:cs="Arial" w:eastAsia="Arial" w:hAnsi="Arial"/>
          <w:sz w:val="14"/>
          <w:szCs w:val="14"/>
          <w:color w:val="auto"/>
        </w:rPr>
      </w:pPr>
    </w:p>
    <w:p>
      <w:pPr>
        <w:ind w:left="620" w:hanging="304"/>
        <w:spacing w:after="0"/>
        <w:tabs>
          <w:tab w:leader="none" w:pos="620" w:val="left"/>
        </w:tabs>
        <w:numPr>
          <w:ilvl w:val="1"/>
          <w:numId w:val="129"/>
        </w:numPr>
        <w:rPr>
          <w:rFonts w:ascii="Arial" w:cs="Arial" w:eastAsia="Arial" w:hAnsi="Arial"/>
          <w:sz w:val="14"/>
          <w:szCs w:val="14"/>
          <w:color w:val="auto"/>
        </w:rPr>
      </w:pPr>
      <w:r>
        <w:rPr>
          <w:rFonts w:ascii="Arial" w:cs="Arial" w:eastAsia="Arial" w:hAnsi="Arial"/>
          <w:sz w:val="14"/>
          <w:szCs w:val="14"/>
          <w:color w:val="auto"/>
        </w:rPr>
        <w:t>Monthly automobile expense allowance paid by Cohu (such amount is taxable to the recipient).</w:t>
      </w:r>
    </w:p>
    <w:p>
      <w:pPr>
        <w:spacing w:after="0" w:line="72" w:lineRule="exact"/>
        <w:rPr>
          <w:rFonts w:ascii="Arial" w:cs="Arial" w:eastAsia="Arial" w:hAnsi="Arial"/>
          <w:sz w:val="14"/>
          <w:szCs w:val="14"/>
          <w:color w:val="auto"/>
        </w:rPr>
      </w:pPr>
    </w:p>
    <w:p>
      <w:pPr>
        <w:ind w:left="620" w:hanging="304"/>
        <w:spacing w:after="0"/>
        <w:tabs>
          <w:tab w:leader="none" w:pos="620" w:val="left"/>
        </w:tabs>
        <w:numPr>
          <w:ilvl w:val="1"/>
          <w:numId w:val="129"/>
        </w:numPr>
        <w:rPr>
          <w:rFonts w:ascii="Arial" w:cs="Arial" w:eastAsia="Arial" w:hAnsi="Arial"/>
          <w:sz w:val="14"/>
          <w:szCs w:val="14"/>
          <w:color w:val="auto"/>
        </w:rPr>
      </w:pPr>
      <w:r>
        <w:rPr>
          <w:rFonts w:ascii="Arial" w:cs="Arial" w:eastAsia="Arial" w:hAnsi="Arial"/>
          <w:sz w:val="14"/>
          <w:szCs w:val="14"/>
          <w:color w:val="auto"/>
        </w:rPr>
        <w:t>Employer contributions to the retirement plan considered a taxable under German law.</w:t>
      </w:r>
    </w:p>
    <w:p>
      <w:pPr>
        <w:spacing w:after="0" w:line="72" w:lineRule="exact"/>
        <w:rPr>
          <w:rFonts w:ascii="Arial" w:cs="Arial" w:eastAsia="Arial" w:hAnsi="Arial"/>
          <w:sz w:val="14"/>
          <w:szCs w:val="14"/>
          <w:color w:val="auto"/>
        </w:rPr>
      </w:pPr>
    </w:p>
    <w:p>
      <w:pPr>
        <w:ind w:left="620" w:right="480" w:hanging="304"/>
        <w:spacing w:after="0" w:line="241" w:lineRule="auto"/>
        <w:tabs>
          <w:tab w:leader="none" w:pos="620" w:val="left"/>
        </w:tabs>
        <w:numPr>
          <w:ilvl w:val="1"/>
          <w:numId w:val="129"/>
        </w:numPr>
        <w:rPr>
          <w:rFonts w:ascii="Arial" w:cs="Arial" w:eastAsia="Arial" w:hAnsi="Arial"/>
          <w:sz w:val="14"/>
          <w:szCs w:val="14"/>
          <w:color w:val="auto"/>
        </w:rPr>
      </w:pPr>
      <w:r>
        <w:rPr>
          <w:rFonts w:ascii="Arial" w:cs="Arial" w:eastAsia="Arial" w:hAnsi="Arial"/>
          <w:sz w:val="14"/>
          <w:szCs w:val="14"/>
          <w:color w:val="auto"/>
        </w:rPr>
        <w:t>Except as noted above, the amount attributable to each such perquisite or benefit for each NEO does not exceed the greater of $25,000 or 10% of the total amount of perquisites and personal benefits received by such NEO.</w:t>
      </w:r>
    </w:p>
    <w:p>
      <w:pPr>
        <w:ind w:left="320" w:right="160" w:hanging="316"/>
        <w:spacing w:after="0" w:line="244" w:lineRule="auto"/>
        <w:tabs>
          <w:tab w:leader="none" w:pos="32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Mr. Ilgenfritz became an NEO effective January 2025 in connection with his promotion to Chief Product Officer. Accordingly, the Company is providing compensation information for Mr. Ilgenfritz beginning with fiscal 2025 only. No compensation amounts for prior fiscal years are presented because he was not a NEO prior to fiscal 2025.</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b w:val="1"/>
          <w:bCs w:val="1"/>
          <w:color w:val="auto"/>
        </w:rPr>
        <w:t>2025 Pay Versus Performance</w:t>
      </w:r>
    </w:p>
    <w:p>
      <w:pPr>
        <w:spacing w:after="0" w:line="12"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We are providing the following required information about the relationship between executive compensation actually paid and certain financial performance of Cohu as required by Item 402(v) of Regulation S-K. Further details regarding Cohu’s variable pay-for-performance philosophy and how Cohu aligns executive compensation with company performance, refer to “Executive Compensation and Other Information” above in the CD&amp;A.</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2025 Pay Versus Performance Table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Actually Paid (</w:t>
      </w:r>
      <w:r>
        <w:rPr>
          <w:rFonts w:ascii="Arial" w:cs="Arial" w:eastAsia="Arial" w:hAnsi="Arial"/>
          <w:sz w:val="19"/>
          <w:szCs w:val="19"/>
          <w:color w:val="auto"/>
        </w:rPr>
        <w:t>“</w:t>
      </w:r>
      <w:r>
        <w:rPr>
          <w:rFonts w:ascii="Arial" w:cs="Arial" w:eastAsia="Arial" w:hAnsi="Arial"/>
          <w:sz w:val="19"/>
          <w:szCs w:val="19"/>
          <w:b w:val="1"/>
          <w:bCs w:val="1"/>
          <w:color w:val="auto"/>
        </w:rPr>
        <w:t>CAP</w:t>
      </w:r>
      <w:r>
        <w:rPr>
          <w:rFonts w:ascii="Arial" w:cs="Arial" w:eastAsia="Arial" w:hAnsi="Arial"/>
          <w:sz w:val="19"/>
          <w:szCs w:val="19"/>
          <w:color w:val="auto"/>
        </w:rPr>
        <w:t>”</w:t>
      </w:r>
      <w:r>
        <w:rPr>
          <w:rFonts w:ascii="Arial" w:cs="Arial" w:eastAsia="Arial" w:hAnsi="Arial"/>
          <w:sz w:val="19"/>
          <w:szCs w:val="19"/>
          <w:b w:val="1"/>
          <w:bCs w:val="1"/>
          <w:color w:val="auto"/>
        </w:rPr>
        <w:t>)</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680" w:type="dxa"/>
            <w:vAlign w:val="bottom"/>
            <w:tcBorders>
              <w:top w:val="single" w:sz="8" w:color="3D85C6"/>
              <w:left w:val="single" w:sz="8" w:color="3D85C6"/>
              <w:right w:val="single" w:sz="8" w:color="3D85C6"/>
            </w:tcBorders>
            <w:shd w:val="clear" w:color="auto" w:fill="2D53A6"/>
          </w:tcPr>
          <w:p>
            <w:pPr>
              <w:spacing w:after="0"/>
              <w:rPr>
                <w:sz w:val="14"/>
                <w:szCs w:val="14"/>
                <w:color w:val="auto"/>
              </w:rPr>
            </w:pPr>
          </w:p>
        </w:tc>
        <w:tc>
          <w:tcPr>
            <w:tcW w:w="1380" w:type="dxa"/>
            <w:vAlign w:val="bottom"/>
            <w:tcBorders>
              <w:top w:val="single" w:sz="8" w:color="2D53A6"/>
              <w:right w:val="single" w:sz="8" w:color="3D85C6"/>
            </w:tcBorders>
            <w:shd w:val="clear" w:color="auto" w:fill="2D53A6"/>
          </w:tcPr>
          <w:p>
            <w:pPr>
              <w:spacing w:after="0"/>
              <w:rPr>
                <w:sz w:val="14"/>
                <w:szCs w:val="14"/>
                <w:color w:val="auto"/>
              </w:rPr>
            </w:pPr>
          </w:p>
        </w:tc>
        <w:tc>
          <w:tcPr>
            <w:tcW w:w="1360" w:type="dxa"/>
            <w:vAlign w:val="bottom"/>
            <w:tcBorders>
              <w:top w:val="single" w:sz="8" w:color="2D53A6"/>
              <w:right w:val="single" w:sz="8" w:color="3D85C6"/>
            </w:tcBorders>
            <w:shd w:val="clear" w:color="auto" w:fill="2D53A6"/>
          </w:tcPr>
          <w:p>
            <w:pPr>
              <w:spacing w:after="0"/>
              <w:rPr>
                <w:sz w:val="14"/>
                <w:szCs w:val="14"/>
                <w:color w:val="auto"/>
              </w:rPr>
            </w:pPr>
          </w:p>
        </w:tc>
        <w:tc>
          <w:tcPr>
            <w:tcW w:w="1360" w:type="dxa"/>
            <w:vAlign w:val="bottom"/>
            <w:tcBorders>
              <w:top w:val="single" w:sz="8" w:color="2D53A6"/>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7"/>
              </w:rPr>
              <w:t>Average</w:t>
            </w:r>
          </w:p>
        </w:tc>
        <w:tc>
          <w:tcPr>
            <w:tcW w:w="1340" w:type="dxa"/>
            <w:vAlign w:val="bottom"/>
            <w:tcBorders>
              <w:top w:val="single" w:sz="8" w:color="2D53A6"/>
              <w:right w:val="single" w:sz="8" w:color="3D85C6"/>
            </w:tcBorders>
            <w:shd w:val="clear" w:color="auto" w:fill="2D53A6"/>
          </w:tcPr>
          <w:p>
            <w:pPr>
              <w:spacing w:after="0"/>
              <w:rPr>
                <w:sz w:val="14"/>
                <w:szCs w:val="14"/>
                <w:color w:val="auto"/>
              </w:rPr>
            </w:pPr>
          </w:p>
        </w:tc>
        <w:tc>
          <w:tcPr>
            <w:tcW w:w="1320" w:type="dxa"/>
            <w:vAlign w:val="bottom"/>
            <w:tcBorders>
              <w:top w:val="single" w:sz="8" w:color="2D53A6"/>
              <w:right w:val="single" w:sz="8" w:color="3D85C6"/>
            </w:tcBorders>
            <w:shd w:val="clear" w:color="auto" w:fill="2D53A6"/>
          </w:tcPr>
          <w:p>
            <w:pPr>
              <w:spacing w:after="0"/>
              <w:rPr>
                <w:sz w:val="14"/>
                <w:szCs w:val="14"/>
                <w:color w:val="auto"/>
              </w:rPr>
            </w:pPr>
          </w:p>
        </w:tc>
        <w:tc>
          <w:tcPr>
            <w:tcW w:w="1300" w:type="dxa"/>
            <w:vAlign w:val="bottom"/>
            <w:tcBorders>
              <w:top w:val="single" w:sz="8" w:color="2D53A6"/>
              <w:right w:val="single" w:sz="8" w:color="3D85C6"/>
            </w:tcBorders>
            <w:shd w:val="clear" w:color="auto" w:fill="2D53A6"/>
          </w:tcPr>
          <w:p>
            <w:pPr>
              <w:spacing w:after="0"/>
              <w:rPr>
                <w:sz w:val="14"/>
                <w:szCs w:val="14"/>
                <w:color w:val="auto"/>
              </w:rPr>
            </w:pPr>
          </w:p>
        </w:tc>
        <w:tc>
          <w:tcPr>
            <w:tcW w:w="1220" w:type="dxa"/>
            <w:vAlign w:val="bottom"/>
            <w:tcBorders>
              <w:top w:val="single" w:sz="8" w:color="2D53A6"/>
              <w:right w:val="single" w:sz="8" w:color="3D85C6"/>
            </w:tcBorders>
            <w:shd w:val="clear" w:color="auto" w:fill="2D53A6"/>
          </w:tcPr>
          <w:p>
            <w:pPr>
              <w:spacing w:after="0"/>
              <w:rPr>
                <w:sz w:val="14"/>
                <w:szCs w:val="14"/>
                <w:color w:val="auto"/>
              </w:rPr>
            </w:pPr>
          </w:p>
        </w:tc>
        <w:tc>
          <w:tcPr>
            <w:tcW w:w="1300" w:type="dxa"/>
            <w:vAlign w:val="bottom"/>
            <w:tcBorders>
              <w:top w:val="single" w:sz="8" w:color="2D53A6"/>
              <w:right w:val="single" w:sz="8" w:color="3D85C6"/>
            </w:tcBorders>
            <w:shd w:val="clear" w:color="auto" w:fill="2D53A6"/>
          </w:tcPr>
          <w:p>
            <w:pPr>
              <w:spacing w:after="0"/>
              <w:rPr>
                <w:sz w:val="14"/>
                <w:szCs w:val="14"/>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38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Summary</w:t>
            </w:r>
          </w:p>
        </w:tc>
        <w:tc>
          <w:tcPr>
            <w:tcW w:w="1360" w:type="dxa"/>
            <w:vAlign w:val="bottom"/>
            <w:tcBorders>
              <w:right w:val="single" w:sz="8" w:color="3D85C6"/>
            </w:tcBorders>
            <w:shd w:val="clear" w:color="auto" w:fill="2D53A6"/>
          </w:tcPr>
          <w:p>
            <w:pPr>
              <w:spacing w:after="0"/>
              <w:rPr>
                <w:sz w:val="13"/>
                <w:szCs w:val="13"/>
                <w:color w:val="auto"/>
              </w:rPr>
            </w:pPr>
          </w:p>
        </w:tc>
        <w:tc>
          <w:tcPr>
            <w:tcW w:w="13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Summary</w:t>
            </w:r>
          </w:p>
        </w:tc>
        <w:tc>
          <w:tcPr>
            <w:tcW w:w="134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Average</w:t>
            </w:r>
          </w:p>
        </w:tc>
        <w:tc>
          <w:tcPr>
            <w:tcW w:w="1320" w:type="dxa"/>
            <w:vAlign w:val="bottom"/>
            <w:tcBorders>
              <w:right w:val="single" w:sz="8" w:color="3D85C6"/>
            </w:tcBorders>
            <w:shd w:val="clear" w:color="auto" w:fill="2D53A6"/>
          </w:tcPr>
          <w:p>
            <w:pPr>
              <w:spacing w:after="0"/>
              <w:rPr>
                <w:sz w:val="13"/>
                <w:szCs w:val="13"/>
                <w:color w:val="auto"/>
              </w:rPr>
            </w:pPr>
          </w:p>
        </w:tc>
        <w:tc>
          <w:tcPr>
            <w:tcW w:w="1300" w:type="dxa"/>
            <w:vAlign w:val="bottom"/>
            <w:tcBorders>
              <w:right w:val="single" w:sz="8" w:color="3D85C6"/>
            </w:tcBorders>
            <w:shd w:val="clear" w:color="auto" w:fill="2D53A6"/>
          </w:tcPr>
          <w:p>
            <w:pPr>
              <w:spacing w:after="0"/>
              <w:rPr>
                <w:sz w:val="13"/>
                <w:szCs w:val="13"/>
                <w:color w:val="auto"/>
              </w:rPr>
            </w:pPr>
          </w:p>
        </w:tc>
        <w:tc>
          <w:tcPr>
            <w:tcW w:w="1220" w:type="dxa"/>
            <w:vAlign w:val="bottom"/>
            <w:tcBorders>
              <w:right w:val="single" w:sz="8" w:color="3D85C6"/>
            </w:tcBorders>
            <w:shd w:val="clear" w:color="auto" w:fill="2D53A6"/>
          </w:tcPr>
          <w:p>
            <w:pPr>
              <w:spacing w:after="0"/>
              <w:rPr>
                <w:sz w:val="13"/>
                <w:szCs w:val="13"/>
                <w:color w:val="auto"/>
              </w:rPr>
            </w:pPr>
          </w:p>
        </w:tc>
        <w:tc>
          <w:tcPr>
            <w:tcW w:w="1300" w:type="dxa"/>
            <w:vAlign w:val="bottom"/>
            <w:tcBorders>
              <w:right w:val="single" w:sz="8" w:color="3D85C6"/>
            </w:tcBorders>
            <w:shd w:val="clear" w:color="auto" w:fill="2D53A6"/>
          </w:tcPr>
          <w:p>
            <w:pPr>
              <w:spacing w:after="0"/>
              <w:rPr>
                <w:sz w:val="13"/>
                <w:szCs w:val="13"/>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38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Compensation</w:t>
            </w:r>
          </w:p>
        </w:tc>
        <w:tc>
          <w:tcPr>
            <w:tcW w:w="13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Compensation</w:t>
            </w:r>
          </w:p>
        </w:tc>
        <w:tc>
          <w:tcPr>
            <w:tcW w:w="13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Compensation</w:t>
            </w:r>
          </w:p>
        </w:tc>
        <w:tc>
          <w:tcPr>
            <w:tcW w:w="134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Compensation</w:t>
            </w:r>
          </w:p>
        </w:tc>
        <w:tc>
          <w:tcPr>
            <w:tcW w:w="1320" w:type="dxa"/>
            <w:vAlign w:val="bottom"/>
            <w:tcBorders>
              <w:right w:val="single" w:sz="8" w:color="3D85C6"/>
            </w:tcBorders>
            <w:shd w:val="clear" w:color="auto" w:fill="2D53A6"/>
          </w:tcPr>
          <w:p>
            <w:pPr>
              <w:spacing w:after="0"/>
              <w:rPr>
                <w:sz w:val="13"/>
                <w:szCs w:val="13"/>
                <w:color w:val="auto"/>
              </w:rPr>
            </w:pPr>
          </w:p>
        </w:tc>
        <w:tc>
          <w:tcPr>
            <w:tcW w:w="13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Peer Group</w:t>
            </w:r>
          </w:p>
        </w:tc>
        <w:tc>
          <w:tcPr>
            <w:tcW w:w="1220" w:type="dxa"/>
            <w:vAlign w:val="bottom"/>
            <w:tcBorders>
              <w:right w:val="single" w:sz="8" w:color="3D85C6"/>
            </w:tcBorders>
            <w:shd w:val="clear" w:color="auto" w:fill="2D53A6"/>
          </w:tcPr>
          <w:p>
            <w:pPr>
              <w:spacing w:after="0"/>
              <w:rPr>
                <w:sz w:val="13"/>
                <w:szCs w:val="13"/>
                <w:color w:val="auto"/>
              </w:rPr>
            </w:pPr>
          </w:p>
        </w:tc>
        <w:tc>
          <w:tcPr>
            <w:tcW w:w="1300" w:type="dxa"/>
            <w:vAlign w:val="bottom"/>
            <w:tcBorders>
              <w:right w:val="single" w:sz="8" w:color="3D85C6"/>
            </w:tcBorders>
            <w:shd w:val="clear" w:color="auto" w:fill="2D53A6"/>
          </w:tcPr>
          <w:p>
            <w:pPr>
              <w:spacing w:after="0"/>
              <w:rPr>
                <w:sz w:val="13"/>
                <w:szCs w:val="13"/>
                <w:color w:val="auto"/>
              </w:rPr>
            </w:pPr>
          </w:p>
        </w:tc>
      </w:tr>
      <w:tr>
        <w:trPr>
          <w:trHeight w:val="153"/>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38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5"/>
              </w:rPr>
              <w:t>Table Total for</w:t>
            </w:r>
          </w:p>
        </w:tc>
        <w:tc>
          <w:tcPr>
            <w:tcW w:w="136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8"/>
              </w:rPr>
              <w:t>Actually Paid to</w:t>
            </w:r>
          </w:p>
        </w:tc>
        <w:tc>
          <w:tcPr>
            <w:tcW w:w="136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7"/>
              </w:rPr>
              <w:t>Table Total for</w:t>
            </w:r>
          </w:p>
        </w:tc>
        <w:tc>
          <w:tcPr>
            <w:tcW w:w="134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8"/>
              </w:rPr>
              <w:t>Actually Paid to</w:t>
            </w:r>
          </w:p>
        </w:tc>
        <w:tc>
          <w:tcPr>
            <w:tcW w:w="132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6"/>
              </w:rPr>
              <w:t>Total Share-</w:t>
            </w:r>
          </w:p>
        </w:tc>
        <w:tc>
          <w:tcPr>
            <w:tcW w:w="130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8"/>
              </w:rPr>
              <w:t>Total Share-</w:t>
            </w:r>
          </w:p>
        </w:tc>
        <w:tc>
          <w:tcPr>
            <w:tcW w:w="122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rPr>
              <w:t>Net</w:t>
            </w:r>
          </w:p>
        </w:tc>
        <w:tc>
          <w:tcPr>
            <w:tcW w:w="1300" w:type="dxa"/>
            <w:vAlign w:val="bottom"/>
            <w:tcBorders>
              <w:right w:val="single" w:sz="8" w:color="3D85C6"/>
            </w:tcBorders>
            <w:shd w:val="clear" w:color="auto" w:fill="2D53A6"/>
          </w:tcPr>
          <w:p>
            <w:pPr>
              <w:jc w:val="center"/>
              <w:ind w:right="52"/>
              <w:spacing w:after="0" w:line="153" w:lineRule="exact"/>
              <w:rPr>
                <w:sz w:val="20"/>
                <w:szCs w:val="20"/>
                <w:color w:val="auto"/>
              </w:rPr>
            </w:pPr>
            <w:r>
              <w:rPr>
                <w:rFonts w:ascii="Arial" w:cs="Arial" w:eastAsia="Arial" w:hAnsi="Arial"/>
                <w:sz w:val="14"/>
                <w:szCs w:val="14"/>
                <w:b w:val="1"/>
                <w:bCs w:val="1"/>
                <w:color w:val="FFFFFF"/>
                <w:w w:val="96"/>
              </w:rPr>
              <w:t>Non-GAAP</w:t>
            </w:r>
          </w:p>
        </w:tc>
      </w:tr>
      <w:tr>
        <w:trPr>
          <w:trHeight w:val="156"/>
        </w:trPr>
        <w:tc>
          <w:tcPr>
            <w:tcW w:w="680" w:type="dxa"/>
            <w:vAlign w:val="bottom"/>
            <w:tcBorders>
              <w:left w:val="single" w:sz="8" w:color="3D85C6"/>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2"/>
              </w:rPr>
              <w:t>Year</w:t>
            </w:r>
          </w:p>
        </w:tc>
        <w:tc>
          <w:tcPr>
            <w:tcW w:w="138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1"/>
                <w:szCs w:val="11"/>
                <w:b w:val="1"/>
                <w:bCs w:val="1"/>
                <w:color w:val="FFFFFF"/>
              </w:rPr>
              <w:t>CEO</w:t>
            </w:r>
            <w:r>
              <w:rPr>
                <w:rFonts w:ascii="Arial" w:cs="Arial" w:eastAsia="Arial" w:hAnsi="Arial"/>
                <w:sz w:val="18"/>
                <w:szCs w:val="18"/>
                <w:b w:val="1"/>
                <w:bCs w:val="1"/>
                <w:color w:val="FFFFFF"/>
                <w:vertAlign w:val="superscript"/>
              </w:rPr>
              <w:t>(1)</w:t>
            </w:r>
          </w:p>
        </w:tc>
        <w:tc>
          <w:tcPr>
            <w:tcW w:w="13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1"/>
                <w:szCs w:val="11"/>
                <w:b w:val="1"/>
                <w:bCs w:val="1"/>
                <w:color w:val="FFFFFF"/>
              </w:rPr>
              <w:t>CEO</w:t>
            </w:r>
            <w:r>
              <w:rPr>
                <w:rFonts w:ascii="Arial" w:cs="Arial" w:eastAsia="Arial" w:hAnsi="Arial"/>
                <w:sz w:val="18"/>
                <w:szCs w:val="18"/>
                <w:b w:val="1"/>
                <w:bCs w:val="1"/>
                <w:color w:val="FFFFFF"/>
                <w:vertAlign w:val="superscript"/>
              </w:rPr>
              <w:t>(2)</w:t>
            </w:r>
          </w:p>
        </w:tc>
        <w:tc>
          <w:tcPr>
            <w:tcW w:w="13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1"/>
                <w:szCs w:val="11"/>
                <w:b w:val="1"/>
                <w:bCs w:val="1"/>
                <w:color w:val="FFFFFF"/>
              </w:rPr>
              <w:t>Other NEOs</w:t>
            </w:r>
            <w:r>
              <w:rPr>
                <w:rFonts w:ascii="Arial" w:cs="Arial" w:eastAsia="Arial" w:hAnsi="Arial"/>
                <w:sz w:val="18"/>
                <w:szCs w:val="18"/>
                <w:b w:val="1"/>
                <w:bCs w:val="1"/>
                <w:color w:val="FFFFFF"/>
                <w:vertAlign w:val="superscript"/>
              </w:rPr>
              <w:t>(3)</w:t>
            </w:r>
          </w:p>
        </w:tc>
        <w:tc>
          <w:tcPr>
            <w:tcW w:w="134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1"/>
                <w:szCs w:val="11"/>
                <w:b w:val="1"/>
                <w:bCs w:val="1"/>
                <w:color w:val="FFFFFF"/>
              </w:rPr>
              <w:t>Other NEOs</w:t>
            </w:r>
            <w:r>
              <w:rPr>
                <w:rFonts w:ascii="Arial" w:cs="Arial" w:eastAsia="Arial" w:hAnsi="Arial"/>
                <w:sz w:val="18"/>
                <w:szCs w:val="18"/>
                <w:b w:val="1"/>
                <w:bCs w:val="1"/>
                <w:color w:val="FFFFFF"/>
                <w:vertAlign w:val="superscript"/>
              </w:rPr>
              <w:t>(4)</w:t>
            </w:r>
          </w:p>
        </w:tc>
        <w:tc>
          <w:tcPr>
            <w:tcW w:w="13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1"/>
                <w:szCs w:val="11"/>
                <w:b w:val="1"/>
                <w:bCs w:val="1"/>
                <w:color w:val="FFFFFF"/>
              </w:rPr>
              <w:t>holder Return</w:t>
            </w:r>
            <w:r>
              <w:rPr>
                <w:rFonts w:ascii="Arial" w:cs="Arial" w:eastAsia="Arial" w:hAnsi="Arial"/>
                <w:sz w:val="18"/>
                <w:szCs w:val="18"/>
                <w:b w:val="1"/>
                <w:bCs w:val="1"/>
                <w:color w:val="FFFFFF"/>
                <w:vertAlign w:val="superscript"/>
              </w:rPr>
              <w:t>(5)</w:t>
            </w:r>
          </w:p>
        </w:tc>
        <w:tc>
          <w:tcPr>
            <w:tcW w:w="13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1"/>
                <w:szCs w:val="11"/>
                <w:b w:val="1"/>
                <w:bCs w:val="1"/>
                <w:color w:val="FFFFFF"/>
              </w:rPr>
              <w:t>holder Return</w:t>
            </w:r>
            <w:r>
              <w:rPr>
                <w:rFonts w:ascii="Arial" w:cs="Arial" w:eastAsia="Arial" w:hAnsi="Arial"/>
                <w:sz w:val="18"/>
                <w:szCs w:val="18"/>
                <w:b w:val="1"/>
                <w:bCs w:val="1"/>
                <w:color w:val="FFFFFF"/>
                <w:vertAlign w:val="superscript"/>
              </w:rPr>
              <w:t>(6)</w:t>
            </w:r>
          </w:p>
        </w:tc>
        <w:tc>
          <w:tcPr>
            <w:tcW w:w="12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1"/>
                <w:szCs w:val="11"/>
                <w:b w:val="1"/>
                <w:bCs w:val="1"/>
                <w:color w:val="FFFFFF"/>
              </w:rPr>
              <w:t>Income</w:t>
            </w:r>
            <w:r>
              <w:rPr>
                <w:rFonts w:ascii="Arial" w:cs="Arial" w:eastAsia="Arial" w:hAnsi="Arial"/>
                <w:sz w:val="18"/>
                <w:szCs w:val="18"/>
                <w:b w:val="1"/>
                <w:bCs w:val="1"/>
                <w:color w:val="FFFFFF"/>
                <w:vertAlign w:val="superscript"/>
              </w:rPr>
              <w:t>(7)</w:t>
            </w:r>
          </w:p>
        </w:tc>
        <w:tc>
          <w:tcPr>
            <w:tcW w:w="1300" w:type="dxa"/>
            <w:vAlign w:val="bottom"/>
            <w:tcBorders>
              <w:right w:val="single" w:sz="8" w:color="3D85C6"/>
            </w:tcBorders>
            <w:shd w:val="clear" w:color="auto" w:fill="2D53A6"/>
          </w:tcPr>
          <w:p>
            <w:pPr>
              <w:jc w:val="center"/>
              <w:ind w:right="52"/>
              <w:spacing w:after="0" w:line="156" w:lineRule="exact"/>
              <w:rPr>
                <w:sz w:val="20"/>
                <w:szCs w:val="20"/>
                <w:color w:val="auto"/>
              </w:rPr>
            </w:pPr>
            <w:r>
              <w:rPr>
                <w:rFonts w:ascii="Arial" w:cs="Arial" w:eastAsia="Arial" w:hAnsi="Arial"/>
                <w:sz w:val="14"/>
                <w:szCs w:val="14"/>
                <w:b w:val="1"/>
                <w:bCs w:val="1"/>
                <w:color w:val="FFFFFF"/>
                <w:w w:val="96"/>
              </w:rPr>
              <w:t>Pre-tax</w:t>
            </w:r>
          </w:p>
        </w:tc>
      </w:tr>
      <w:tr>
        <w:trPr>
          <w:trHeight w:val="193"/>
        </w:trPr>
        <w:tc>
          <w:tcPr>
            <w:tcW w:w="680" w:type="dxa"/>
            <w:vAlign w:val="bottom"/>
            <w:tcBorders>
              <w:left w:val="single" w:sz="8" w:color="3D85C6"/>
              <w:bottom w:val="single" w:sz="8" w:color="3D85C6"/>
              <w:right w:val="single" w:sz="8" w:color="3D85C6"/>
            </w:tcBorders>
            <w:shd w:val="clear" w:color="auto" w:fill="2D53A6"/>
          </w:tcPr>
          <w:p>
            <w:pPr>
              <w:spacing w:after="0"/>
              <w:rPr>
                <w:sz w:val="16"/>
                <w:szCs w:val="16"/>
                <w:color w:val="auto"/>
              </w:rPr>
            </w:pPr>
          </w:p>
        </w:tc>
        <w:tc>
          <w:tcPr>
            <w:tcW w:w="1380" w:type="dxa"/>
            <w:vAlign w:val="bottom"/>
            <w:tcBorders>
              <w:bottom w:val="single" w:sz="8" w:color="3D85C6"/>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360" w:type="dxa"/>
            <w:vAlign w:val="bottom"/>
            <w:tcBorders>
              <w:bottom w:val="single" w:sz="8" w:color="3D85C6"/>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360" w:type="dxa"/>
            <w:vAlign w:val="bottom"/>
            <w:tcBorders>
              <w:bottom w:val="single" w:sz="8" w:color="3D85C6"/>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340" w:type="dxa"/>
            <w:vAlign w:val="bottom"/>
            <w:tcBorders>
              <w:bottom w:val="single" w:sz="8" w:color="3D85C6"/>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320" w:type="dxa"/>
            <w:vAlign w:val="bottom"/>
            <w:tcBorders>
              <w:bottom w:val="single" w:sz="8" w:color="3D85C6"/>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w:t>
            </w:r>
          </w:p>
        </w:tc>
        <w:tc>
          <w:tcPr>
            <w:tcW w:w="1300" w:type="dxa"/>
            <w:vAlign w:val="bottom"/>
            <w:tcBorders>
              <w:bottom w:val="single" w:sz="8" w:color="3D85C6"/>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3"/>
              </w:rPr>
              <w:t>($)</w:t>
            </w:r>
          </w:p>
        </w:tc>
        <w:tc>
          <w:tcPr>
            <w:tcW w:w="1220" w:type="dxa"/>
            <w:vAlign w:val="bottom"/>
            <w:tcBorders>
              <w:bottom w:val="single" w:sz="8" w:color="3D85C6"/>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7"/>
              </w:rPr>
              <w:t>($M)</w:t>
            </w:r>
          </w:p>
        </w:tc>
        <w:tc>
          <w:tcPr>
            <w:tcW w:w="1300" w:type="dxa"/>
            <w:vAlign w:val="bottom"/>
            <w:tcBorders>
              <w:bottom w:val="single" w:sz="8" w:color="3D85C6"/>
              <w:right w:val="single" w:sz="8" w:color="3D85C6"/>
            </w:tcBorders>
            <w:shd w:val="clear" w:color="auto" w:fill="2D53A6"/>
          </w:tcPr>
          <w:p>
            <w:pPr>
              <w:jc w:val="center"/>
              <w:ind w:right="52"/>
              <w:spacing w:after="0" w:line="165" w:lineRule="exact"/>
              <w:rPr>
                <w:sz w:val="20"/>
                <w:szCs w:val="20"/>
                <w:color w:val="auto"/>
              </w:rPr>
            </w:pPr>
            <w:r>
              <w:rPr>
                <w:rFonts w:ascii="Arial" w:cs="Arial" w:eastAsia="Arial" w:hAnsi="Arial"/>
                <w:sz w:val="12"/>
                <w:szCs w:val="12"/>
                <w:b w:val="1"/>
                <w:bCs w:val="1"/>
                <w:color w:val="FFFFFF"/>
              </w:rPr>
              <w:t>Income</w:t>
            </w:r>
            <w:r>
              <w:rPr>
                <w:rFonts w:ascii="Arial" w:cs="Arial" w:eastAsia="Arial" w:hAnsi="Arial"/>
                <w:sz w:val="19"/>
                <w:szCs w:val="19"/>
                <w:b w:val="1"/>
                <w:bCs w:val="1"/>
                <w:color w:val="FFFFFF"/>
                <w:vertAlign w:val="superscript"/>
              </w:rPr>
              <w:t>(8)</w:t>
            </w:r>
          </w:p>
        </w:tc>
      </w:tr>
      <w:tr>
        <w:trPr>
          <w:trHeight w:val="155"/>
        </w:trPr>
        <w:tc>
          <w:tcPr>
            <w:tcW w:w="680" w:type="dxa"/>
            <w:vAlign w:val="bottom"/>
            <w:tcBorders>
              <w:top w:val="single" w:sz="8" w:color="3D85C6"/>
              <w:left w:val="single" w:sz="8" w:color="3D85C6"/>
              <w:right w:val="single" w:sz="8" w:color="3D85C6"/>
            </w:tcBorders>
            <w:shd w:val="clear" w:color="auto" w:fill="2D53A6"/>
          </w:tcPr>
          <w:p>
            <w:pPr>
              <w:jc w:val="center"/>
              <w:spacing w:after="0" w:line="155" w:lineRule="exact"/>
              <w:rPr>
                <w:sz w:val="20"/>
                <w:szCs w:val="20"/>
                <w:color w:val="auto"/>
              </w:rPr>
            </w:pPr>
            <w:r>
              <w:rPr>
                <w:rFonts w:ascii="Arial" w:cs="Arial" w:eastAsia="Arial" w:hAnsi="Arial"/>
                <w:sz w:val="14"/>
                <w:szCs w:val="14"/>
                <w:b w:val="1"/>
                <w:bCs w:val="1"/>
                <w:color w:val="FFFFFF"/>
                <w:w w:val="93"/>
              </w:rPr>
              <w:t>(a)</w:t>
            </w:r>
          </w:p>
        </w:tc>
        <w:tc>
          <w:tcPr>
            <w:tcW w:w="1380" w:type="dxa"/>
            <w:vAlign w:val="bottom"/>
            <w:tcBorders>
              <w:top w:val="single" w:sz="8" w:color="2D53A6"/>
              <w:right w:val="single" w:sz="8" w:color="3D85C6"/>
            </w:tcBorders>
            <w:shd w:val="clear" w:color="auto" w:fill="2D53A6"/>
          </w:tcPr>
          <w:p>
            <w:pPr>
              <w:jc w:val="center"/>
              <w:spacing w:after="0" w:line="149" w:lineRule="exact"/>
              <w:rPr>
                <w:sz w:val="20"/>
                <w:szCs w:val="20"/>
                <w:color w:val="auto"/>
              </w:rPr>
            </w:pPr>
            <w:r>
              <w:rPr>
                <w:rFonts w:ascii="Arial" w:cs="Arial" w:eastAsia="Arial" w:hAnsi="Arial"/>
                <w:sz w:val="14"/>
                <w:szCs w:val="14"/>
                <w:b w:val="1"/>
                <w:bCs w:val="1"/>
                <w:color w:val="FFFFFF"/>
              </w:rPr>
              <w:t>(b)</w:t>
            </w:r>
          </w:p>
        </w:tc>
        <w:tc>
          <w:tcPr>
            <w:tcW w:w="1360" w:type="dxa"/>
            <w:vAlign w:val="bottom"/>
            <w:tcBorders>
              <w:top w:val="single" w:sz="8" w:color="2D53A6"/>
              <w:right w:val="single" w:sz="8" w:color="3D85C6"/>
            </w:tcBorders>
            <w:shd w:val="clear" w:color="auto" w:fill="2D53A6"/>
          </w:tcPr>
          <w:p>
            <w:pPr>
              <w:jc w:val="center"/>
              <w:spacing w:after="0" w:line="149" w:lineRule="exact"/>
              <w:rPr>
                <w:sz w:val="20"/>
                <w:szCs w:val="20"/>
                <w:color w:val="auto"/>
              </w:rPr>
            </w:pPr>
            <w:r>
              <w:rPr>
                <w:rFonts w:ascii="Arial" w:cs="Arial" w:eastAsia="Arial" w:hAnsi="Arial"/>
                <w:sz w:val="14"/>
                <w:szCs w:val="14"/>
                <w:b w:val="1"/>
                <w:bCs w:val="1"/>
                <w:color w:val="FFFFFF"/>
              </w:rPr>
              <w:t>(c)</w:t>
            </w:r>
          </w:p>
        </w:tc>
        <w:tc>
          <w:tcPr>
            <w:tcW w:w="1360" w:type="dxa"/>
            <w:vAlign w:val="bottom"/>
            <w:tcBorders>
              <w:top w:val="single" w:sz="8" w:color="2D53A6"/>
              <w:right w:val="single" w:sz="8" w:color="3D85C6"/>
            </w:tcBorders>
            <w:shd w:val="clear" w:color="auto" w:fill="2D53A6"/>
          </w:tcPr>
          <w:p>
            <w:pPr>
              <w:jc w:val="center"/>
              <w:spacing w:after="0" w:line="149" w:lineRule="exact"/>
              <w:rPr>
                <w:sz w:val="20"/>
                <w:szCs w:val="20"/>
                <w:color w:val="auto"/>
              </w:rPr>
            </w:pPr>
            <w:r>
              <w:rPr>
                <w:rFonts w:ascii="Arial" w:cs="Arial" w:eastAsia="Arial" w:hAnsi="Arial"/>
                <w:sz w:val="14"/>
                <w:szCs w:val="14"/>
                <w:b w:val="1"/>
                <w:bCs w:val="1"/>
                <w:color w:val="FFFFFF"/>
              </w:rPr>
              <w:t>(d)</w:t>
            </w:r>
          </w:p>
        </w:tc>
        <w:tc>
          <w:tcPr>
            <w:tcW w:w="1340" w:type="dxa"/>
            <w:vAlign w:val="bottom"/>
            <w:tcBorders>
              <w:top w:val="single" w:sz="8" w:color="2D53A6"/>
              <w:right w:val="single" w:sz="8" w:color="3D85C6"/>
            </w:tcBorders>
            <w:shd w:val="clear" w:color="auto" w:fill="2D53A6"/>
          </w:tcPr>
          <w:p>
            <w:pPr>
              <w:jc w:val="center"/>
              <w:spacing w:after="0" w:line="149" w:lineRule="exact"/>
              <w:rPr>
                <w:sz w:val="20"/>
                <w:szCs w:val="20"/>
                <w:color w:val="auto"/>
              </w:rPr>
            </w:pPr>
            <w:r>
              <w:rPr>
                <w:rFonts w:ascii="Arial" w:cs="Arial" w:eastAsia="Arial" w:hAnsi="Arial"/>
                <w:sz w:val="14"/>
                <w:szCs w:val="14"/>
                <w:b w:val="1"/>
                <w:bCs w:val="1"/>
                <w:color w:val="FFFFFF"/>
              </w:rPr>
              <w:t>(e)</w:t>
            </w:r>
          </w:p>
        </w:tc>
        <w:tc>
          <w:tcPr>
            <w:tcW w:w="1320" w:type="dxa"/>
            <w:vAlign w:val="bottom"/>
            <w:tcBorders>
              <w:top w:val="single" w:sz="8" w:color="2D53A6"/>
              <w:right w:val="single" w:sz="8" w:color="3D85C6"/>
            </w:tcBorders>
            <w:shd w:val="clear" w:color="auto" w:fill="2D53A6"/>
          </w:tcPr>
          <w:p>
            <w:pPr>
              <w:jc w:val="center"/>
              <w:spacing w:after="0" w:line="149" w:lineRule="exact"/>
              <w:rPr>
                <w:sz w:val="20"/>
                <w:szCs w:val="20"/>
                <w:color w:val="auto"/>
              </w:rPr>
            </w:pPr>
            <w:r>
              <w:rPr>
                <w:rFonts w:ascii="Arial" w:cs="Arial" w:eastAsia="Arial" w:hAnsi="Arial"/>
                <w:sz w:val="14"/>
                <w:szCs w:val="14"/>
                <w:b w:val="1"/>
                <w:bCs w:val="1"/>
                <w:color w:val="FFFFFF"/>
                <w:w w:val="99"/>
              </w:rPr>
              <w:t>(f)</w:t>
            </w:r>
          </w:p>
        </w:tc>
        <w:tc>
          <w:tcPr>
            <w:tcW w:w="1300" w:type="dxa"/>
            <w:vAlign w:val="bottom"/>
            <w:tcBorders>
              <w:top w:val="single" w:sz="8" w:color="2D53A6"/>
              <w:right w:val="single" w:sz="8" w:color="3D85C6"/>
            </w:tcBorders>
            <w:shd w:val="clear" w:color="auto" w:fill="2D53A6"/>
          </w:tcPr>
          <w:p>
            <w:pPr>
              <w:jc w:val="center"/>
              <w:spacing w:after="0" w:line="149" w:lineRule="exact"/>
              <w:rPr>
                <w:sz w:val="20"/>
                <w:szCs w:val="20"/>
                <w:color w:val="auto"/>
              </w:rPr>
            </w:pPr>
            <w:r>
              <w:rPr>
                <w:rFonts w:ascii="Arial" w:cs="Arial" w:eastAsia="Arial" w:hAnsi="Arial"/>
                <w:sz w:val="14"/>
                <w:szCs w:val="14"/>
                <w:b w:val="1"/>
                <w:bCs w:val="1"/>
                <w:color w:val="FFFFFF"/>
                <w:w w:val="89"/>
              </w:rPr>
              <w:t>(g)</w:t>
            </w:r>
          </w:p>
        </w:tc>
        <w:tc>
          <w:tcPr>
            <w:tcW w:w="1220" w:type="dxa"/>
            <w:vAlign w:val="bottom"/>
            <w:tcBorders>
              <w:top w:val="single" w:sz="8" w:color="2D53A6"/>
              <w:right w:val="single" w:sz="8" w:color="3D85C6"/>
            </w:tcBorders>
            <w:shd w:val="clear" w:color="auto" w:fill="2D53A6"/>
          </w:tcPr>
          <w:p>
            <w:pPr>
              <w:jc w:val="center"/>
              <w:spacing w:after="0" w:line="149" w:lineRule="exact"/>
              <w:rPr>
                <w:sz w:val="20"/>
                <w:szCs w:val="20"/>
                <w:color w:val="auto"/>
              </w:rPr>
            </w:pPr>
            <w:r>
              <w:rPr>
                <w:rFonts w:ascii="Arial" w:cs="Arial" w:eastAsia="Arial" w:hAnsi="Arial"/>
                <w:sz w:val="14"/>
                <w:szCs w:val="14"/>
                <w:b w:val="1"/>
                <w:bCs w:val="1"/>
                <w:color w:val="FFFFFF"/>
                <w:w w:val="89"/>
              </w:rPr>
              <w:t>(h)</w:t>
            </w:r>
          </w:p>
        </w:tc>
        <w:tc>
          <w:tcPr>
            <w:tcW w:w="1300" w:type="dxa"/>
            <w:vAlign w:val="bottom"/>
            <w:tcBorders>
              <w:top w:val="single" w:sz="8" w:color="2D53A6"/>
              <w:right w:val="single" w:sz="8" w:color="3D85C6"/>
            </w:tcBorders>
            <w:shd w:val="clear" w:color="auto" w:fill="2D53A6"/>
          </w:tcPr>
          <w:p>
            <w:pPr>
              <w:jc w:val="center"/>
              <w:ind w:right="52"/>
              <w:spacing w:after="0" w:line="149" w:lineRule="exact"/>
              <w:rPr>
                <w:sz w:val="20"/>
                <w:szCs w:val="20"/>
                <w:color w:val="auto"/>
              </w:rPr>
            </w:pPr>
            <w:r>
              <w:rPr>
                <w:rFonts w:ascii="Arial" w:cs="Arial" w:eastAsia="Arial" w:hAnsi="Arial"/>
                <w:sz w:val="14"/>
                <w:szCs w:val="14"/>
                <w:b w:val="1"/>
                <w:bCs w:val="1"/>
                <w:color w:val="FFFFFF"/>
              </w:rPr>
              <w:t>(i)</w:t>
            </w:r>
          </w:p>
        </w:tc>
      </w:tr>
      <w:tr>
        <w:trPr>
          <w:trHeight w:val="169"/>
        </w:trPr>
        <w:tc>
          <w:tcPr>
            <w:tcW w:w="680" w:type="dxa"/>
            <w:vAlign w:val="bottom"/>
            <w:tcBorders>
              <w:left w:val="single" w:sz="8" w:color="3D85C6"/>
              <w:bottom w:val="single" w:sz="8" w:color="3D85C6"/>
              <w:right w:val="single" w:sz="8" w:color="3D85C6"/>
            </w:tcBorders>
          </w:tcPr>
          <w:p>
            <w:pPr>
              <w:jc w:val="center"/>
              <w:spacing w:after="0"/>
              <w:rPr>
                <w:sz w:val="20"/>
                <w:szCs w:val="20"/>
                <w:color w:val="auto"/>
              </w:rPr>
            </w:pPr>
            <w:r>
              <w:rPr>
                <w:rFonts w:ascii="Arial" w:cs="Arial" w:eastAsia="Arial" w:hAnsi="Arial"/>
                <w:sz w:val="14"/>
                <w:szCs w:val="14"/>
                <w:color w:val="auto"/>
              </w:rPr>
              <w:t>2025</w:t>
            </w:r>
          </w:p>
        </w:tc>
        <w:tc>
          <w:tcPr>
            <w:tcW w:w="1380" w:type="dxa"/>
            <w:vAlign w:val="bottom"/>
            <w:tcBorders>
              <w:bottom w:val="single" w:sz="8" w:color="3D85C6"/>
              <w:right w:val="single" w:sz="8" w:color="3D85C6"/>
            </w:tcBorders>
          </w:tcPr>
          <w:p>
            <w:pPr>
              <w:jc w:val="right"/>
              <w:ind w:right="72"/>
              <w:spacing w:after="0"/>
              <w:rPr>
                <w:sz w:val="20"/>
                <w:szCs w:val="20"/>
                <w:color w:val="auto"/>
              </w:rPr>
            </w:pPr>
            <w:r>
              <w:rPr>
                <w:rFonts w:ascii="Arial" w:cs="Arial" w:eastAsia="Arial" w:hAnsi="Arial"/>
                <w:sz w:val="14"/>
                <w:szCs w:val="14"/>
                <w:color w:val="auto"/>
              </w:rPr>
              <w:t>4,498,059</w:t>
            </w:r>
          </w:p>
        </w:tc>
        <w:tc>
          <w:tcPr>
            <w:tcW w:w="136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4,461,888</w:t>
            </w:r>
          </w:p>
        </w:tc>
        <w:tc>
          <w:tcPr>
            <w:tcW w:w="136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1,364,226</w:t>
            </w:r>
          </w:p>
        </w:tc>
        <w:tc>
          <w:tcPr>
            <w:tcW w:w="134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1,452,370</w:t>
            </w:r>
          </w:p>
        </w:tc>
        <w:tc>
          <w:tcPr>
            <w:tcW w:w="132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60.62</w:t>
            </w:r>
          </w:p>
        </w:tc>
        <w:tc>
          <w:tcPr>
            <w:tcW w:w="1300" w:type="dxa"/>
            <w:vAlign w:val="bottom"/>
            <w:tcBorders>
              <w:bottom w:val="single" w:sz="8" w:color="3D85C6"/>
              <w:right w:val="single" w:sz="8" w:color="3D85C6"/>
            </w:tcBorders>
          </w:tcPr>
          <w:p>
            <w:pPr>
              <w:jc w:val="right"/>
              <w:ind w:right="32"/>
              <w:spacing w:after="0"/>
              <w:rPr>
                <w:sz w:val="20"/>
                <w:szCs w:val="20"/>
                <w:color w:val="auto"/>
              </w:rPr>
            </w:pPr>
            <w:r>
              <w:rPr>
                <w:rFonts w:ascii="Arial" w:cs="Arial" w:eastAsia="Arial" w:hAnsi="Arial"/>
                <w:sz w:val="14"/>
                <w:szCs w:val="14"/>
                <w:color w:val="auto"/>
              </w:rPr>
              <w:t>138.29</w:t>
            </w:r>
          </w:p>
        </w:tc>
        <w:tc>
          <w:tcPr>
            <w:tcW w:w="122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7.3</w:t>
            </w:r>
          </w:p>
        </w:tc>
        <w:tc>
          <w:tcPr>
            <w:tcW w:w="1300" w:type="dxa"/>
            <w:vAlign w:val="bottom"/>
            <w:tcBorders>
              <w:bottom w:val="single" w:sz="8" w:color="3D85C6"/>
              <w:right w:val="single" w:sz="8" w:color="3D85C6"/>
            </w:tcBorders>
          </w:tcPr>
          <w:p>
            <w:pPr>
              <w:jc w:val="right"/>
              <w:ind w:right="12"/>
              <w:spacing w:after="0"/>
              <w:rPr>
                <w:sz w:val="20"/>
                <w:szCs w:val="20"/>
                <w:color w:val="auto"/>
              </w:rPr>
            </w:pPr>
            <w:r>
              <w:rPr>
                <w:rFonts w:ascii="Arial" w:cs="Arial" w:eastAsia="Arial" w:hAnsi="Arial"/>
                <w:sz w:val="14"/>
                <w:szCs w:val="14"/>
                <w:color w:val="auto"/>
              </w:rPr>
              <w:t>1.6%</w:t>
            </w:r>
          </w:p>
        </w:tc>
      </w:tr>
      <w:tr>
        <w:trPr>
          <w:trHeight w:val="162"/>
        </w:trPr>
        <w:tc>
          <w:tcPr>
            <w:tcW w:w="680" w:type="dxa"/>
            <w:vAlign w:val="bottom"/>
            <w:tcBorders>
              <w:left w:val="single" w:sz="8" w:color="3D85C6"/>
              <w:bottom w:val="single" w:sz="8" w:color="3D85C6"/>
              <w:right w:val="single" w:sz="8" w:color="3D85C6"/>
            </w:tcBorders>
            <w:shd w:val="clear" w:color="auto" w:fill="E6E6E6"/>
          </w:tcPr>
          <w:p>
            <w:pPr>
              <w:jc w:val="center"/>
              <w:spacing w:after="0"/>
              <w:rPr>
                <w:sz w:val="20"/>
                <w:szCs w:val="20"/>
                <w:color w:val="auto"/>
              </w:rPr>
            </w:pPr>
            <w:r>
              <w:rPr>
                <w:rFonts w:ascii="Arial" w:cs="Arial" w:eastAsia="Arial" w:hAnsi="Arial"/>
                <w:sz w:val="14"/>
                <w:szCs w:val="14"/>
                <w:color w:val="auto"/>
              </w:rPr>
              <w:t>2024</w:t>
            </w:r>
          </w:p>
        </w:tc>
        <w:tc>
          <w:tcPr>
            <w:tcW w:w="1380" w:type="dxa"/>
            <w:vAlign w:val="bottom"/>
            <w:tcBorders>
              <w:bottom w:val="single" w:sz="8" w:color="3D85C6"/>
              <w:right w:val="single" w:sz="8" w:color="3D85C6"/>
            </w:tcBorders>
            <w:shd w:val="clear" w:color="auto" w:fill="E6E6E6"/>
          </w:tcPr>
          <w:p>
            <w:pPr>
              <w:jc w:val="right"/>
              <w:ind w:right="72"/>
              <w:spacing w:after="0"/>
              <w:rPr>
                <w:sz w:val="20"/>
                <w:szCs w:val="20"/>
                <w:color w:val="auto"/>
              </w:rPr>
            </w:pPr>
            <w:r>
              <w:rPr>
                <w:rFonts w:ascii="Arial" w:cs="Arial" w:eastAsia="Arial" w:hAnsi="Arial"/>
                <w:sz w:val="14"/>
                <w:szCs w:val="14"/>
                <w:color w:val="auto"/>
              </w:rPr>
              <w:t>4,831,084</w:t>
            </w:r>
          </w:p>
        </w:tc>
        <w:tc>
          <w:tcPr>
            <w:tcW w:w="1360" w:type="dxa"/>
            <w:vAlign w:val="bottom"/>
            <w:tcBorders>
              <w:bottom w:val="single" w:sz="8" w:color="3D85C6"/>
              <w:right w:val="single" w:sz="8" w:color="3D85C6"/>
            </w:tcBorders>
            <w:shd w:val="clear" w:color="auto" w:fill="E6E6E6"/>
          </w:tcPr>
          <w:p>
            <w:pPr>
              <w:jc w:val="right"/>
              <w:ind w:right="12"/>
              <w:spacing w:after="0"/>
              <w:rPr>
                <w:sz w:val="20"/>
                <w:szCs w:val="20"/>
                <w:color w:val="auto"/>
              </w:rPr>
            </w:pPr>
            <w:r>
              <w:rPr>
                <w:rFonts w:ascii="Arial" w:cs="Arial" w:eastAsia="Arial" w:hAnsi="Arial"/>
                <w:sz w:val="14"/>
                <w:szCs w:val="14"/>
                <w:color w:val="auto"/>
              </w:rPr>
              <w:t>(1,458,139)</w:t>
            </w:r>
          </w:p>
        </w:tc>
        <w:tc>
          <w:tcPr>
            <w:tcW w:w="1360" w:type="dxa"/>
            <w:vAlign w:val="bottom"/>
            <w:tcBorders>
              <w:bottom w:val="single" w:sz="8" w:color="3D85C6"/>
              <w:right w:val="single" w:sz="8" w:color="3D85C6"/>
            </w:tcBorders>
            <w:shd w:val="clear" w:color="auto" w:fill="E6E6E6"/>
          </w:tcPr>
          <w:p>
            <w:pPr>
              <w:jc w:val="right"/>
              <w:ind w:right="52"/>
              <w:spacing w:after="0"/>
              <w:rPr>
                <w:sz w:val="20"/>
                <w:szCs w:val="20"/>
                <w:color w:val="auto"/>
              </w:rPr>
            </w:pPr>
            <w:r>
              <w:rPr>
                <w:rFonts w:ascii="Arial" w:cs="Arial" w:eastAsia="Arial" w:hAnsi="Arial"/>
                <w:sz w:val="14"/>
                <w:szCs w:val="14"/>
                <w:color w:val="auto"/>
              </w:rPr>
              <w:t>1,286,156</w:t>
            </w:r>
          </w:p>
        </w:tc>
        <w:tc>
          <w:tcPr>
            <w:tcW w:w="1340" w:type="dxa"/>
            <w:vAlign w:val="bottom"/>
            <w:tcBorders>
              <w:bottom w:val="single" w:sz="8" w:color="3D85C6"/>
              <w:right w:val="single" w:sz="8" w:color="3D85C6"/>
            </w:tcBorders>
            <w:shd w:val="clear" w:color="auto" w:fill="E6E6E6"/>
          </w:tcPr>
          <w:p>
            <w:pPr>
              <w:jc w:val="right"/>
              <w:spacing w:after="0"/>
              <w:rPr>
                <w:sz w:val="20"/>
                <w:szCs w:val="20"/>
                <w:color w:val="auto"/>
              </w:rPr>
            </w:pPr>
            <w:r>
              <w:rPr>
                <w:rFonts w:ascii="Arial" w:cs="Arial" w:eastAsia="Arial" w:hAnsi="Arial"/>
                <w:sz w:val="14"/>
                <w:szCs w:val="14"/>
                <w:color w:val="auto"/>
              </w:rPr>
              <w:t>(143,258)</w:t>
            </w:r>
          </w:p>
        </w:tc>
        <w:tc>
          <w:tcPr>
            <w:tcW w:w="1320" w:type="dxa"/>
            <w:vAlign w:val="bottom"/>
            <w:tcBorders>
              <w:bottom w:val="single" w:sz="8" w:color="3D85C6"/>
              <w:right w:val="single" w:sz="8" w:color="3D85C6"/>
            </w:tcBorders>
            <w:shd w:val="clear" w:color="auto" w:fill="E6E6E6"/>
          </w:tcPr>
          <w:p>
            <w:pPr>
              <w:jc w:val="right"/>
              <w:ind w:right="52"/>
              <w:spacing w:after="0"/>
              <w:rPr>
                <w:sz w:val="20"/>
                <w:szCs w:val="20"/>
                <w:color w:val="auto"/>
              </w:rPr>
            </w:pPr>
            <w:r>
              <w:rPr>
                <w:rFonts w:ascii="Arial" w:cs="Arial" w:eastAsia="Arial" w:hAnsi="Arial"/>
                <w:sz w:val="14"/>
                <w:szCs w:val="14"/>
                <w:color w:val="auto"/>
              </w:rPr>
              <w:t>120.65</w:t>
            </w:r>
          </w:p>
        </w:tc>
        <w:tc>
          <w:tcPr>
            <w:tcW w:w="1300" w:type="dxa"/>
            <w:vAlign w:val="bottom"/>
            <w:tcBorders>
              <w:bottom w:val="single" w:sz="8" w:color="3D85C6"/>
              <w:right w:val="single" w:sz="8" w:color="3D85C6"/>
            </w:tcBorders>
            <w:shd w:val="clear" w:color="auto" w:fill="E6E6E6"/>
          </w:tcPr>
          <w:p>
            <w:pPr>
              <w:jc w:val="right"/>
              <w:ind w:right="32"/>
              <w:spacing w:after="0"/>
              <w:rPr>
                <w:sz w:val="20"/>
                <w:szCs w:val="20"/>
                <w:color w:val="auto"/>
              </w:rPr>
            </w:pPr>
            <w:r>
              <w:rPr>
                <w:rFonts w:ascii="Arial" w:cs="Arial" w:eastAsia="Arial" w:hAnsi="Arial"/>
                <w:sz w:val="14"/>
                <w:szCs w:val="14"/>
                <w:color w:val="auto"/>
              </w:rPr>
              <w:t>206.70</w:t>
            </w:r>
          </w:p>
        </w:tc>
        <w:tc>
          <w:tcPr>
            <w:tcW w:w="1220" w:type="dxa"/>
            <w:vAlign w:val="bottom"/>
            <w:tcBorders>
              <w:bottom w:val="single" w:sz="8" w:color="3D85C6"/>
              <w:right w:val="single" w:sz="8" w:color="3D85C6"/>
            </w:tcBorders>
            <w:shd w:val="clear" w:color="auto" w:fill="E6E6E6"/>
          </w:tcPr>
          <w:p>
            <w:pPr>
              <w:jc w:val="right"/>
              <w:ind w:right="12"/>
              <w:spacing w:after="0"/>
              <w:rPr>
                <w:sz w:val="20"/>
                <w:szCs w:val="20"/>
                <w:color w:val="auto"/>
              </w:rPr>
            </w:pPr>
            <w:r>
              <w:rPr>
                <w:rFonts w:ascii="Arial" w:cs="Arial" w:eastAsia="Arial" w:hAnsi="Arial"/>
                <w:sz w:val="14"/>
                <w:szCs w:val="14"/>
                <w:color w:val="auto"/>
              </w:rPr>
              <w:t>(9.1)</w:t>
            </w:r>
          </w:p>
        </w:tc>
        <w:tc>
          <w:tcPr>
            <w:tcW w:w="1300" w:type="dxa"/>
            <w:vAlign w:val="bottom"/>
            <w:tcBorders>
              <w:bottom w:val="single" w:sz="8" w:color="3D85C6"/>
              <w:right w:val="single" w:sz="8" w:color="3D85C6"/>
            </w:tcBorders>
            <w:shd w:val="clear" w:color="auto" w:fill="E6E6E6"/>
          </w:tcPr>
          <w:p>
            <w:pPr>
              <w:jc w:val="right"/>
              <w:spacing w:after="0"/>
              <w:rPr>
                <w:sz w:val="20"/>
                <w:szCs w:val="20"/>
                <w:color w:val="auto"/>
              </w:rPr>
            </w:pPr>
            <w:r>
              <w:rPr>
                <w:rFonts w:ascii="Arial" w:cs="Arial" w:eastAsia="Arial" w:hAnsi="Arial"/>
                <w:sz w:val="14"/>
                <w:szCs w:val="14"/>
                <w:color w:val="auto"/>
              </w:rPr>
              <w:t>(0.0)%</w:t>
            </w:r>
          </w:p>
        </w:tc>
      </w:tr>
      <w:tr>
        <w:trPr>
          <w:trHeight w:val="162"/>
        </w:trPr>
        <w:tc>
          <w:tcPr>
            <w:tcW w:w="680" w:type="dxa"/>
            <w:vAlign w:val="bottom"/>
            <w:tcBorders>
              <w:left w:val="single" w:sz="8" w:color="3D85C6"/>
              <w:bottom w:val="single" w:sz="8" w:color="3D85C6"/>
              <w:right w:val="single" w:sz="8" w:color="3D85C6"/>
            </w:tcBorders>
          </w:tcPr>
          <w:p>
            <w:pPr>
              <w:jc w:val="center"/>
              <w:spacing w:after="0"/>
              <w:rPr>
                <w:sz w:val="20"/>
                <w:szCs w:val="20"/>
                <w:color w:val="auto"/>
              </w:rPr>
            </w:pPr>
            <w:r>
              <w:rPr>
                <w:rFonts w:ascii="Arial" w:cs="Arial" w:eastAsia="Arial" w:hAnsi="Arial"/>
                <w:sz w:val="14"/>
                <w:szCs w:val="14"/>
                <w:color w:val="auto"/>
              </w:rPr>
              <w:t>2023</w:t>
            </w:r>
          </w:p>
        </w:tc>
        <w:tc>
          <w:tcPr>
            <w:tcW w:w="1380" w:type="dxa"/>
            <w:vAlign w:val="bottom"/>
            <w:tcBorders>
              <w:bottom w:val="single" w:sz="8" w:color="3D85C6"/>
              <w:right w:val="single" w:sz="8" w:color="3D85C6"/>
            </w:tcBorders>
          </w:tcPr>
          <w:p>
            <w:pPr>
              <w:jc w:val="right"/>
              <w:ind w:right="72"/>
              <w:spacing w:after="0"/>
              <w:rPr>
                <w:sz w:val="20"/>
                <w:szCs w:val="20"/>
                <w:color w:val="auto"/>
              </w:rPr>
            </w:pPr>
            <w:r>
              <w:rPr>
                <w:rFonts w:ascii="Arial" w:cs="Arial" w:eastAsia="Arial" w:hAnsi="Arial"/>
                <w:sz w:val="14"/>
                <w:szCs w:val="14"/>
                <w:color w:val="auto"/>
              </w:rPr>
              <w:t>6,536,607</w:t>
            </w:r>
          </w:p>
        </w:tc>
        <w:tc>
          <w:tcPr>
            <w:tcW w:w="136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3,579,668</w:t>
            </w:r>
          </w:p>
        </w:tc>
        <w:tc>
          <w:tcPr>
            <w:tcW w:w="136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1,727,107</w:t>
            </w:r>
          </w:p>
        </w:tc>
        <w:tc>
          <w:tcPr>
            <w:tcW w:w="134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1,468,471</w:t>
            </w:r>
          </w:p>
        </w:tc>
        <w:tc>
          <w:tcPr>
            <w:tcW w:w="132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159.14</w:t>
            </w:r>
          </w:p>
        </w:tc>
        <w:tc>
          <w:tcPr>
            <w:tcW w:w="1300" w:type="dxa"/>
            <w:vAlign w:val="bottom"/>
            <w:tcBorders>
              <w:bottom w:val="single" w:sz="8" w:color="3D85C6"/>
              <w:right w:val="single" w:sz="8" w:color="3D85C6"/>
            </w:tcBorders>
          </w:tcPr>
          <w:p>
            <w:pPr>
              <w:jc w:val="right"/>
              <w:ind w:right="32"/>
              <w:spacing w:after="0"/>
              <w:rPr>
                <w:sz w:val="20"/>
                <w:szCs w:val="20"/>
                <w:color w:val="auto"/>
              </w:rPr>
            </w:pPr>
            <w:r>
              <w:rPr>
                <w:rFonts w:ascii="Arial" w:cs="Arial" w:eastAsia="Arial" w:hAnsi="Arial"/>
                <w:sz w:val="14"/>
                <w:szCs w:val="14"/>
                <w:color w:val="auto"/>
              </w:rPr>
              <w:t>191.07</w:t>
            </w:r>
          </w:p>
        </w:tc>
        <w:tc>
          <w:tcPr>
            <w:tcW w:w="122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28.2</w:t>
            </w:r>
          </w:p>
        </w:tc>
        <w:tc>
          <w:tcPr>
            <w:tcW w:w="1300" w:type="dxa"/>
            <w:vAlign w:val="bottom"/>
            <w:tcBorders>
              <w:bottom w:val="single" w:sz="8" w:color="3D85C6"/>
              <w:right w:val="single" w:sz="8" w:color="3D85C6"/>
            </w:tcBorders>
          </w:tcPr>
          <w:p>
            <w:pPr>
              <w:jc w:val="right"/>
              <w:ind w:right="12"/>
              <w:spacing w:after="0"/>
              <w:rPr>
                <w:sz w:val="20"/>
                <w:szCs w:val="20"/>
                <w:color w:val="auto"/>
              </w:rPr>
            </w:pPr>
            <w:r>
              <w:rPr>
                <w:rFonts w:ascii="Arial" w:cs="Arial" w:eastAsia="Arial" w:hAnsi="Arial"/>
                <w:sz w:val="14"/>
                <w:szCs w:val="14"/>
                <w:color w:val="auto"/>
              </w:rPr>
              <w:t>16.6%</w:t>
            </w:r>
          </w:p>
        </w:tc>
      </w:tr>
      <w:tr>
        <w:trPr>
          <w:trHeight w:val="162"/>
        </w:trPr>
        <w:tc>
          <w:tcPr>
            <w:tcW w:w="680" w:type="dxa"/>
            <w:vAlign w:val="bottom"/>
            <w:tcBorders>
              <w:left w:val="single" w:sz="8" w:color="3D85C6"/>
              <w:bottom w:val="single" w:sz="8" w:color="3D85C6"/>
              <w:right w:val="single" w:sz="8" w:color="3D85C6"/>
            </w:tcBorders>
            <w:shd w:val="clear" w:color="auto" w:fill="E6E6E6"/>
          </w:tcPr>
          <w:p>
            <w:pPr>
              <w:jc w:val="center"/>
              <w:spacing w:after="0"/>
              <w:rPr>
                <w:sz w:val="20"/>
                <w:szCs w:val="20"/>
                <w:color w:val="auto"/>
              </w:rPr>
            </w:pPr>
            <w:r>
              <w:rPr>
                <w:rFonts w:ascii="Arial" w:cs="Arial" w:eastAsia="Arial" w:hAnsi="Arial"/>
                <w:sz w:val="14"/>
                <w:szCs w:val="14"/>
                <w:color w:val="auto"/>
              </w:rPr>
              <w:t>2022</w:t>
            </w:r>
          </w:p>
        </w:tc>
        <w:tc>
          <w:tcPr>
            <w:tcW w:w="1380" w:type="dxa"/>
            <w:vAlign w:val="bottom"/>
            <w:tcBorders>
              <w:bottom w:val="single" w:sz="8" w:color="3D85C6"/>
              <w:right w:val="single" w:sz="8" w:color="3D85C6"/>
            </w:tcBorders>
            <w:shd w:val="clear" w:color="auto" w:fill="E6E6E6"/>
          </w:tcPr>
          <w:p>
            <w:pPr>
              <w:jc w:val="right"/>
              <w:ind w:right="72"/>
              <w:spacing w:after="0"/>
              <w:rPr>
                <w:sz w:val="20"/>
                <w:szCs w:val="20"/>
                <w:color w:val="auto"/>
              </w:rPr>
            </w:pPr>
            <w:r>
              <w:rPr>
                <w:rFonts w:ascii="Arial" w:cs="Arial" w:eastAsia="Arial" w:hAnsi="Arial"/>
                <w:sz w:val="14"/>
                <w:szCs w:val="14"/>
                <w:color w:val="auto"/>
              </w:rPr>
              <w:t>5,315,286</w:t>
            </w:r>
          </w:p>
        </w:tc>
        <w:tc>
          <w:tcPr>
            <w:tcW w:w="1360" w:type="dxa"/>
            <w:vAlign w:val="bottom"/>
            <w:tcBorders>
              <w:bottom w:val="single" w:sz="8" w:color="3D85C6"/>
              <w:right w:val="single" w:sz="8" w:color="3D85C6"/>
            </w:tcBorders>
            <w:shd w:val="clear" w:color="auto" w:fill="E6E6E6"/>
          </w:tcPr>
          <w:p>
            <w:pPr>
              <w:jc w:val="right"/>
              <w:ind w:right="52"/>
              <w:spacing w:after="0"/>
              <w:rPr>
                <w:sz w:val="20"/>
                <w:szCs w:val="20"/>
                <w:color w:val="auto"/>
              </w:rPr>
            </w:pPr>
            <w:r>
              <w:rPr>
                <w:rFonts w:ascii="Arial" w:cs="Arial" w:eastAsia="Arial" w:hAnsi="Arial"/>
                <w:sz w:val="14"/>
                <w:szCs w:val="14"/>
                <w:color w:val="auto"/>
              </w:rPr>
              <w:t>5,406,262</w:t>
            </w:r>
          </w:p>
        </w:tc>
        <w:tc>
          <w:tcPr>
            <w:tcW w:w="1360" w:type="dxa"/>
            <w:vAlign w:val="bottom"/>
            <w:tcBorders>
              <w:bottom w:val="single" w:sz="8" w:color="3D85C6"/>
              <w:right w:val="single" w:sz="8" w:color="3D85C6"/>
            </w:tcBorders>
            <w:shd w:val="clear" w:color="auto" w:fill="E6E6E6"/>
          </w:tcPr>
          <w:p>
            <w:pPr>
              <w:jc w:val="right"/>
              <w:ind w:right="52"/>
              <w:spacing w:after="0"/>
              <w:rPr>
                <w:sz w:val="20"/>
                <w:szCs w:val="20"/>
                <w:color w:val="auto"/>
              </w:rPr>
            </w:pPr>
            <w:r>
              <w:rPr>
                <w:rFonts w:ascii="Arial" w:cs="Arial" w:eastAsia="Arial" w:hAnsi="Arial"/>
                <w:sz w:val="14"/>
                <w:szCs w:val="14"/>
                <w:color w:val="auto"/>
              </w:rPr>
              <w:t>1,546,037</w:t>
            </w:r>
          </w:p>
        </w:tc>
        <w:tc>
          <w:tcPr>
            <w:tcW w:w="1340" w:type="dxa"/>
            <w:vAlign w:val="bottom"/>
            <w:tcBorders>
              <w:bottom w:val="single" w:sz="8" w:color="3D85C6"/>
              <w:right w:val="single" w:sz="8" w:color="3D85C6"/>
            </w:tcBorders>
            <w:shd w:val="clear" w:color="auto" w:fill="E6E6E6"/>
          </w:tcPr>
          <w:p>
            <w:pPr>
              <w:jc w:val="right"/>
              <w:ind w:right="52"/>
              <w:spacing w:after="0"/>
              <w:rPr>
                <w:sz w:val="20"/>
                <w:szCs w:val="20"/>
                <w:color w:val="auto"/>
              </w:rPr>
            </w:pPr>
            <w:r>
              <w:rPr>
                <w:rFonts w:ascii="Arial" w:cs="Arial" w:eastAsia="Arial" w:hAnsi="Arial"/>
                <w:sz w:val="14"/>
                <w:szCs w:val="14"/>
                <w:color w:val="auto"/>
              </w:rPr>
              <w:t>1,547,883</w:t>
            </w:r>
          </w:p>
        </w:tc>
        <w:tc>
          <w:tcPr>
            <w:tcW w:w="1320" w:type="dxa"/>
            <w:vAlign w:val="bottom"/>
            <w:tcBorders>
              <w:bottom w:val="single" w:sz="8" w:color="3D85C6"/>
              <w:right w:val="single" w:sz="8" w:color="3D85C6"/>
            </w:tcBorders>
            <w:shd w:val="clear" w:color="auto" w:fill="E6E6E6"/>
          </w:tcPr>
          <w:p>
            <w:pPr>
              <w:jc w:val="right"/>
              <w:ind w:right="52"/>
              <w:spacing w:after="0"/>
              <w:rPr>
                <w:sz w:val="20"/>
                <w:szCs w:val="20"/>
                <w:color w:val="auto"/>
              </w:rPr>
            </w:pPr>
            <w:r>
              <w:rPr>
                <w:rFonts w:ascii="Arial" w:cs="Arial" w:eastAsia="Arial" w:hAnsi="Arial"/>
                <w:sz w:val="14"/>
                <w:szCs w:val="14"/>
                <w:color w:val="auto"/>
              </w:rPr>
              <w:t>144.12</w:t>
            </w:r>
          </w:p>
        </w:tc>
        <w:tc>
          <w:tcPr>
            <w:tcW w:w="1300" w:type="dxa"/>
            <w:vAlign w:val="bottom"/>
            <w:tcBorders>
              <w:bottom w:val="single" w:sz="8" w:color="3D85C6"/>
              <w:right w:val="single" w:sz="8" w:color="3D85C6"/>
            </w:tcBorders>
            <w:shd w:val="clear" w:color="auto" w:fill="E6E6E6"/>
          </w:tcPr>
          <w:p>
            <w:pPr>
              <w:jc w:val="right"/>
              <w:ind w:right="32"/>
              <w:spacing w:after="0"/>
              <w:rPr>
                <w:sz w:val="20"/>
                <w:szCs w:val="20"/>
                <w:color w:val="auto"/>
              </w:rPr>
            </w:pPr>
            <w:r>
              <w:rPr>
                <w:rFonts w:ascii="Arial" w:cs="Arial" w:eastAsia="Arial" w:hAnsi="Arial"/>
                <w:sz w:val="14"/>
                <w:szCs w:val="14"/>
                <w:color w:val="auto"/>
              </w:rPr>
              <w:t>137.78</w:t>
            </w:r>
          </w:p>
        </w:tc>
        <w:tc>
          <w:tcPr>
            <w:tcW w:w="1220" w:type="dxa"/>
            <w:vAlign w:val="bottom"/>
            <w:tcBorders>
              <w:bottom w:val="single" w:sz="8" w:color="3D85C6"/>
              <w:right w:val="single" w:sz="8" w:color="3D85C6"/>
            </w:tcBorders>
            <w:shd w:val="clear" w:color="auto" w:fill="E6E6E6"/>
          </w:tcPr>
          <w:p>
            <w:pPr>
              <w:jc w:val="right"/>
              <w:ind w:right="52"/>
              <w:spacing w:after="0"/>
              <w:rPr>
                <w:sz w:val="20"/>
                <w:szCs w:val="20"/>
                <w:color w:val="auto"/>
              </w:rPr>
            </w:pPr>
            <w:r>
              <w:rPr>
                <w:rFonts w:ascii="Arial" w:cs="Arial" w:eastAsia="Arial" w:hAnsi="Arial"/>
                <w:sz w:val="14"/>
                <w:szCs w:val="14"/>
                <w:color w:val="auto"/>
              </w:rPr>
              <w:t>96.8</w:t>
            </w:r>
          </w:p>
        </w:tc>
        <w:tc>
          <w:tcPr>
            <w:tcW w:w="1300" w:type="dxa"/>
            <w:vAlign w:val="bottom"/>
            <w:tcBorders>
              <w:bottom w:val="single" w:sz="8" w:color="3D85C6"/>
              <w:right w:val="single" w:sz="8" w:color="3D85C6"/>
            </w:tcBorders>
            <w:shd w:val="clear" w:color="auto" w:fill="E6E6E6"/>
          </w:tcPr>
          <w:p>
            <w:pPr>
              <w:jc w:val="right"/>
              <w:ind w:right="12"/>
              <w:spacing w:after="0"/>
              <w:rPr>
                <w:sz w:val="20"/>
                <w:szCs w:val="20"/>
                <w:color w:val="auto"/>
              </w:rPr>
            </w:pPr>
            <w:r>
              <w:rPr>
                <w:rFonts w:ascii="Arial" w:cs="Arial" w:eastAsia="Arial" w:hAnsi="Arial"/>
                <w:sz w:val="14"/>
                <w:szCs w:val="14"/>
                <w:color w:val="auto"/>
              </w:rPr>
              <w:t>21.8%</w:t>
            </w:r>
          </w:p>
        </w:tc>
      </w:tr>
      <w:tr>
        <w:trPr>
          <w:trHeight w:val="162"/>
        </w:trPr>
        <w:tc>
          <w:tcPr>
            <w:tcW w:w="680" w:type="dxa"/>
            <w:vAlign w:val="bottom"/>
            <w:tcBorders>
              <w:left w:val="single" w:sz="8" w:color="3D85C6"/>
              <w:bottom w:val="single" w:sz="8" w:color="3D85C6"/>
              <w:right w:val="single" w:sz="8" w:color="3D85C6"/>
            </w:tcBorders>
          </w:tcPr>
          <w:p>
            <w:pPr>
              <w:jc w:val="center"/>
              <w:spacing w:after="0"/>
              <w:rPr>
                <w:sz w:val="20"/>
                <w:szCs w:val="20"/>
                <w:color w:val="auto"/>
              </w:rPr>
            </w:pPr>
            <w:r>
              <w:rPr>
                <w:rFonts w:ascii="Arial" w:cs="Arial" w:eastAsia="Arial" w:hAnsi="Arial"/>
                <w:sz w:val="14"/>
                <w:szCs w:val="14"/>
                <w:color w:val="auto"/>
              </w:rPr>
              <w:t>2021</w:t>
            </w:r>
          </w:p>
        </w:tc>
        <w:tc>
          <w:tcPr>
            <w:tcW w:w="1380" w:type="dxa"/>
            <w:vAlign w:val="bottom"/>
            <w:tcBorders>
              <w:bottom w:val="single" w:sz="8" w:color="3D85C6"/>
              <w:right w:val="single" w:sz="8" w:color="3D85C6"/>
            </w:tcBorders>
          </w:tcPr>
          <w:p>
            <w:pPr>
              <w:jc w:val="right"/>
              <w:ind w:right="72"/>
              <w:spacing w:after="0"/>
              <w:rPr>
                <w:sz w:val="20"/>
                <w:szCs w:val="20"/>
                <w:color w:val="auto"/>
              </w:rPr>
            </w:pPr>
            <w:r>
              <w:rPr>
                <w:rFonts w:ascii="Arial" w:cs="Arial" w:eastAsia="Arial" w:hAnsi="Arial"/>
                <w:sz w:val="14"/>
                <w:szCs w:val="14"/>
                <w:color w:val="auto"/>
              </w:rPr>
              <w:t>4,582,416</w:t>
            </w:r>
          </w:p>
        </w:tc>
        <w:tc>
          <w:tcPr>
            <w:tcW w:w="136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959,803</w:t>
            </w:r>
          </w:p>
        </w:tc>
        <w:tc>
          <w:tcPr>
            <w:tcW w:w="136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1,360,173</w:t>
            </w:r>
          </w:p>
        </w:tc>
        <w:tc>
          <w:tcPr>
            <w:tcW w:w="134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597,988</w:t>
            </w:r>
          </w:p>
        </w:tc>
        <w:tc>
          <w:tcPr>
            <w:tcW w:w="132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170.92</w:t>
            </w:r>
          </w:p>
        </w:tc>
        <w:tc>
          <w:tcPr>
            <w:tcW w:w="1300" w:type="dxa"/>
            <w:vAlign w:val="bottom"/>
            <w:tcBorders>
              <w:bottom w:val="single" w:sz="8" w:color="3D85C6"/>
              <w:right w:val="single" w:sz="8" w:color="3D85C6"/>
            </w:tcBorders>
          </w:tcPr>
          <w:p>
            <w:pPr>
              <w:jc w:val="right"/>
              <w:ind w:right="32"/>
              <w:spacing w:after="0"/>
              <w:rPr>
                <w:sz w:val="20"/>
                <w:szCs w:val="20"/>
                <w:color w:val="auto"/>
              </w:rPr>
            </w:pPr>
            <w:r>
              <w:rPr>
                <w:rFonts w:ascii="Arial" w:cs="Arial" w:eastAsia="Arial" w:hAnsi="Arial"/>
                <w:sz w:val="14"/>
                <w:szCs w:val="14"/>
                <w:color w:val="auto"/>
              </w:rPr>
              <w:t>183.27</w:t>
            </w:r>
          </w:p>
        </w:tc>
        <w:tc>
          <w:tcPr>
            <w:tcW w:w="1220" w:type="dxa"/>
            <w:vAlign w:val="bottom"/>
            <w:tcBorders>
              <w:bottom w:val="single" w:sz="8" w:color="3D85C6"/>
              <w:right w:val="single" w:sz="8" w:color="3D85C6"/>
            </w:tcBorders>
          </w:tcPr>
          <w:p>
            <w:pPr>
              <w:jc w:val="right"/>
              <w:ind w:right="52"/>
              <w:spacing w:after="0"/>
              <w:rPr>
                <w:sz w:val="20"/>
                <w:szCs w:val="20"/>
                <w:color w:val="auto"/>
              </w:rPr>
            </w:pPr>
            <w:r>
              <w:rPr>
                <w:rFonts w:ascii="Arial" w:cs="Arial" w:eastAsia="Arial" w:hAnsi="Arial"/>
                <w:sz w:val="14"/>
                <w:szCs w:val="14"/>
                <w:color w:val="auto"/>
              </w:rPr>
              <w:t>167.3</w:t>
            </w:r>
          </w:p>
        </w:tc>
        <w:tc>
          <w:tcPr>
            <w:tcW w:w="1300" w:type="dxa"/>
            <w:vAlign w:val="bottom"/>
            <w:tcBorders>
              <w:bottom w:val="single" w:sz="8" w:color="3D85C6"/>
              <w:right w:val="single" w:sz="8" w:color="3D85C6"/>
            </w:tcBorders>
          </w:tcPr>
          <w:p>
            <w:pPr>
              <w:jc w:val="right"/>
              <w:ind w:right="12"/>
              <w:spacing w:after="0"/>
              <w:rPr>
                <w:sz w:val="20"/>
                <w:szCs w:val="20"/>
                <w:color w:val="auto"/>
              </w:rPr>
            </w:pPr>
            <w:r>
              <w:rPr>
                <w:rFonts w:ascii="Arial" w:cs="Arial" w:eastAsia="Arial" w:hAnsi="Arial"/>
                <w:sz w:val="14"/>
                <w:szCs w:val="14"/>
                <w:color w:val="auto"/>
              </w:rPr>
              <w:t>19.5%</w:t>
            </w:r>
          </w:p>
        </w:tc>
      </w:tr>
    </w:tbl>
    <w:p>
      <w:pPr>
        <w:spacing w:after="0" w:line="187" w:lineRule="exact"/>
        <w:rPr>
          <w:sz w:val="20"/>
          <w:szCs w:val="20"/>
          <w:color w:val="auto"/>
        </w:rPr>
      </w:pPr>
    </w:p>
    <w:p>
      <w:pPr>
        <w:ind w:left="320" w:right="200" w:hanging="316"/>
        <w:spacing w:after="0" w:line="241" w:lineRule="auto"/>
        <w:tabs>
          <w:tab w:leader="none" w:pos="3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dollar amounts reported in column (b) are the amounts of total compensation reported for Dr. Müller, our Chief Executive Officer (“CEO”) for each corresponding year in the “Total” column of the Summary Compensation Table in each applicable year.</w:t>
      </w:r>
    </w:p>
    <w:p>
      <w:pPr>
        <w:jc w:val="both"/>
        <w:ind w:left="320" w:right="240" w:hanging="316"/>
        <w:spacing w:after="0" w:line="232" w:lineRule="auto"/>
        <w:tabs>
          <w:tab w:leader="none" w:pos="3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dollar amounts reported in column (c) are the amount of “compensation actually paid” to Dr. Müller as defined by Item 402(v) of Regulation S-K. The dollar amounts do not reflect the actual amount of compensation earned by or paid to Dr. Müller during the applicable year. The adjustments made to Dr. Müller’s total compensation for each year to determine the CAP are detailed in the CEO Summary Compensation Table Total to CAP Reconciliation table below.</w:t>
      </w:r>
    </w:p>
    <w:p>
      <w:pPr>
        <w:ind w:left="320" w:hanging="316"/>
        <w:spacing w:after="0" w:line="232" w:lineRule="auto"/>
        <w:tabs>
          <w:tab w:leader="none" w:pos="3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dollar amounts reported in column (d) represent the average of the amounts reported for the Company’s NEOs as a group (excluding Dr. Müller, our CEO) in the</w:t>
      </w:r>
    </w:p>
    <w:p>
      <w:pPr>
        <w:ind w:left="320" w:right="300"/>
        <w:spacing w:after="0" w:line="250" w:lineRule="auto"/>
        <w:rPr>
          <w:rFonts w:ascii="Arial" w:cs="Arial" w:eastAsia="Arial" w:hAnsi="Arial"/>
          <w:sz w:val="14"/>
          <w:szCs w:val="14"/>
          <w:color w:val="auto"/>
        </w:rPr>
      </w:pPr>
      <w:r>
        <w:rPr>
          <w:rFonts w:ascii="Arial" w:cs="Arial" w:eastAsia="Arial" w:hAnsi="Arial"/>
          <w:sz w:val="13"/>
          <w:szCs w:val="13"/>
          <w:color w:val="auto"/>
        </w:rPr>
        <w:t>“Total” column of the Summary Compensation Table in each applicable year. The NEOs included for purposes of calculating the average amounts and “compensation actually paid” in 2025 are as follows: Mr. Jeffrey Jones, Mr. Christopher Bohrson, and Mr. Klaus Ilgenfritz. The NEOs included for purposes of calculating the average amounts and “compensation actually paid” in 2024, 2023, 2022 and 2021 are as follows: Mr. Jeffrey Jones, Mr. Christopher Bohrson, Mr. Thomas Kampfer and Mr. Ian Lawee.</w:t>
      </w:r>
    </w:p>
    <w:p>
      <w:pPr>
        <w:ind w:left="320" w:right="200" w:hanging="316"/>
        <w:spacing w:after="0" w:line="232" w:lineRule="auto"/>
        <w:tabs>
          <w:tab w:leader="none" w:pos="3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dollar amounts reported in column (e) represent the average amount of “compensation actually paid” to the NEOs as a group (excluding Dr. Müller), as computed in accordance with Item 402(v) of Regulation S-K. The dollar amounts do not reflect the actual average amount of compensation earned by or paid to the NEOs as a group (excluding Dr. Müller) during the applicable year. The adjustments made to the NEO’s total compensation for each year to determine the CAP are detailed in the Average Other NEO Summary Compensation Table Total to CAP Reconciliation table below.</w:t>
      </w:r>
    </w:p>
    <w:p>
      <w:pPr>
        <w:spacing w:after="0" w:line="1" w:lineRule="exact"/>
        <w:rPr>
          <w:rFonts w:ascii="Arial" w:cs="Arial" w:eastAsia="Arial" w:hAnsi="Arial"/>
          <w:sz w:val="14"/>
          <w:szCs w:val="14"/>
          <w:color w:val="auto"/>
        </w:rPr>
      </w:pPr>
    </w:p>
    <w:p>
      <w:pPr>
        <w:ind w:left="320" w:hanging="316"/>
        <w:spacing w:after="0" w:line="232" w:lineRule="auto"/>
        <w:tabs>
          <w:tab w:leader="none" w:pos="3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Cumulative TSR is calculated assuming a $100 investment in Cohu’s common stock, on December 24, 2020.</w:t>
      </w:r>
    </w:p>
    <w:p>
      <w:pPr>
        <w:ind w:left="320" w:right="40" w:hanging="316"/>
        <w:spacing w:after="0" w:line="232" w:lineRule="auto"/>
        <w:tabs>
          <w:tab w:leader="none" w:pos="3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Represents the weighted peer group TSR, weighted according to the respective companies’ stock market capitalization at the beginning of each period for which a return is indicated. The peer group used for this purpose is the custom Peer Group Index as reported in the Comparative Stock Performance Graph in Cohu’s Annual Report on Form 10-K. For 2025, the peer group was comprised of ACM Research, Inc., Alpha &amp; Omega Semiconductor Limited, Arlo Technologies, Inc., Axcelis Technologies, Inc., Badger Meter, Inc., FormFactor, Inc., Harmonic Inc., Ichor Holdings Ltd., indie Semiconductor, Inc., Kulicke and Soffa Industries, Inc., MACOM Technology Solutions Holdings, Inc., MaxLinear, Inc., Novanta, Inc., OSI Systems, Inc., PAR Technology Corporation, Penguin Solutions, Inc., Photronics, Inc., Power Integrations, Inc., Semtech Corporation, Silicon Laboratories Inc., Ultra Clean Holdings, Inc., Veeco Instruments Inc., and Vishay Precision Group, Inc. In 2024 and 2023 the peer group was made up of Advanced Energy Industries, Inc., Alpha &amp; Omega Semiconductor Limited, Axcelis Technologies, Inc., Badger Meter, Inc., Cirrus Logic, Inc., FormFactor, Inc., Harmonic Inc., Ichor Holdings Ltd., Kulicke and Soffa Industries, Inc., MACOM Technology Solutions Holdings, Inc., MaxLinear, Inc., Novanta, Inc., Onto Innovation, OSI Systems, Inc., Penguin Solutions (formerly SMART Global Holdings), Photronics, Inc., Ultra Clean Holdings, Inc. and Veeco Instruments, Inc. The only change from the custom peer group used in 2022 was the removal of National Instruments Corporation, due to it being acquired by Emerson Electric Co, and therefore the data reported in the 2023 CAP table has been recalculated removing National Instruments Corporation’s shareholder return values. As reported in the 2022 CAP table, the Peer Group Total Shareholder Return rate for 2021 and 2022 when the Peer Group included National Instruments Corporation was 171.53 and 124.23 respectively.</w:t>
      </w:r>
    </w:p>
    <w:p>
      <w:pPr>
        <w:spacing w:after="0" w:line="3" w:lineRule="exact"/>
        <w:rPr>
          <w:rFonts w:ascii="Arial" w:cs="Arial" w:eastAsia="Arial" w:hAnsi="Arial"/>
          <w:sz w:val="14"/>
          <w:szCs w:val="14"/>
          <w:color w:val="auto"/>
        </w:rPr>
      </w:pPr>
    </w:p>
    <w:p>
      <w:pPr>
        <w:ind w:left="320" w:hanging="316"/>
        <w:spacing w:after="0" w:line="232" w:lineRule="auto"/>
        <w:tabs>
          <w:tab w:leader="none" w:pos="3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income reflected in Cohu’s audited financial statements for the applicable year.</w:t>
      </w:r>
    </w:p>
    <w:p>
      <w:pPr>
        <w:ind w:left="320" w:right="100" w:hanging="316"/>
        <w:spacing w:after="0" w:line="235" w:lineRule="auto"/>
        <w:tabs>
          <w:tab w:leader="none" w:pos="3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While we believe that the Relative Total Stockholder Return (“RTSR”) Percentile used in Cohu’s annual Long-Term Incentive (“LTI”) plan as described in the CD&amp;A is the most important financial measure used to link compensation actually paid to our NEOs, this RTSR is calculated over a three-year period and therefore cannot be used in this table. As Cohu uses other financial and non-financial performance measures for the purpose of evaluating performance for compensation programs, Cohu determined that the non-GAAP pre-tax income as a percentage of sales performance used in the annual Short-Term Incentive (“STI”) plan as described in the CD&amp;A represents the most important performance measure (that is not otherwise required to be disclosed in the table) used to link compensation actually paid to our NEOs, for the most recently completed fiscal year, to company performance.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13740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color w:val="auto"/>
        </w:rPr>
        <w:t>To calculate the CAP, the following amounts were deducted from and added to the Summary Compensation Table (“SCT”) total compensation.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CEO SCT Total to CAP Reconciliation</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680" w:type="dxa"/>
            <w:vAlign w:val="bottom"/>
            <w:tcBorders>
              <w:left w:val="single" w:sz="8" w:color="3D85C6"/>
              <w:right w:val="single" w:sz="8" w:color="3D85C6"/>
            </w:tcBorders>
            <w:shd w:val="clear" w:color="auto" w:fill="2D53A6"/>
          </w:tcPr>
          <w:p>
            <w:pPr>
              <w:spacing w:after="0"/>
              <w:rPr>
                <w:sz w:val="14"/>
                <w:szCs w:val="14"/>
                <w:color w:val="auto"/>
              </w:rPr>
            </w:pPr>
          </w:p>
        </w:tc>
        <w:tc>
          <w:tcPr>
            <w:tcW w:w="1820" w:type="dxa"/>
            <w:vAlign w:val="bottom"/>
            <w:tcBorders>
              <w:right w:val="single" w:sz="8" w:color="3D85C6"/>
            </w:tcBorders>
            <w:shd w:val="clear" w:color="auto" w:fill="2D53A6"/>
          </w:tcPr>
          <w:p>
            <w:pPr>
              <w:spacing w:after="0"/>
              <w:rPr>
                <w:sz w:val="14"/>
                <w:szCs w:val="14"/>
                <w:color w:val="auto"/>
              </w:rPr>
            </w:pPr>
          </w:p>
        </w:tc>
        <w:tc>
          <w:tcPr>
            <w:tcW w:w="1820" w:type="dxa"/>
            <w:vAlign w:val="bottom"/>
            <w:tcBorders>
              <w:right w:val="single" w:sz="8" w:color="3D85C6"/>
            </w:tcBorders>
            <w:shd w:val="clear" w:color="auto" w:fill="2D53A6"/>
          </w:tcPr>
          <w:p>
            <w:pPr>
              <w:spacing w:after="0"/>
              <w:rPr>
                <w:sz w:val="14"/>
                <w:szCs w:val="14"/>
                <w:color w:val="auto"/>
              </w:rPr>
            </w:pPr>
          </w:p>
        </w:tc>
        <w:tc>
          <w:tcPr>
            <w:tcW w:w="1820" w:type="dxa"/>
            <w:vAlign w:val="bottom"/>
            <w:tcBorders>
              <w:right w:val="single" w:sz="8" w:color="3D85C6"/>
            </w:tcBorders>
            <w:shd w:val="clear" w:color="auto" w:fill="2D53A6"/>
          </w:tcPr>
          <w:p>
            <w:pPr>
              <w:spacing w:after="0"/>
              <w:rPr>
                <w:sz w:val="14"/>
                <w:szCs w:val="14"/>
                <w:color w:val="auto"/>
              </w:rPr>
            </w:pPr>
          </w:p>
        </w:tc>
        <w:tc>
          <w:tcPr>
            <w:tcW w:w="182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Reported Change in</w:t>
            </w:r>
          </w:p>
        </w:tc>
        <w:tc>
          <w:tcPr>
            <w:tcW w:w="1640" w:type="dxa"/>
            <w:vAlign w:val="bottom"/>
            <w:tcBorders>
              <w:right w:val="single" w:sz="8" w:color="3D85C6"/>
            </w:tcBorders>
            <w:shd w:val="clear" w:color="auto" w:fill="2D53A6"/>
          </w:tcPr>
          <w:p>
            <w:pPr>
              <w:spacing w:after="0"/>
              <w:rPr>
                <w:sz w:val="14"/>
                <w:szCs w:val="14"/>
                <w:color w:val="auto"/>
              </w:rPr>
            </w:pPr>
          </w:p>
        </w:tc>
        <w:tc>
          <w:tcPr>
            <w:tcW w:w="1660" w:type="dxa"/>
            <w:vAlign w:val="bottom"/>
            <w:tcBorders>
              <w:right w:val="single" w:sz="8" w:color="3D85C6"/>
            </w:tcBorders>
            <w:shd w:val="clear" w:color="auto" w:fill="2D53A6"/>
          </w:tcPr>
          <w:p>
            <w:pPr>
              <w:spacing w:after="0"/>
              <w:rPr>
                <w:sz w:val="14"/>
                <w:szCs w:val="14"/>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Reported Summary</w:t>
            </w:r>
          </w:p>
        </w:tc>
        <w:tc>
          <w:tcPr>
            <w:tcW w:w="1820" w:type="dxa"/>
            <w:vAlign w:val="bottom"/>
            <w:tcBorders>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the Actuarial</w:t>
            </w:r>
          </w:p>
        </w:tc>
        <w:tc>
          <w:tcPr>
            <w:tcW w:w="1640" w:type="dxa"/>
            <w:vAlign w:val="bottom"/>
            <w:tcBorders>
              <w:right w:val="single" w:sz="8" w:color="3D85C6"/>
            </w:tcBorders>
            <w:shd w:val="clear" w:color="auto" w:fill="2D53A6"/>
          </w:tcPr>
          <w:p>
            <w:pPr>
              <w:spacing w:after="0"/>
              <w:rPr>
                <w:sz w:val="13"/>
                <w:szCs w:val="13"/>
                <w:color w:val="auto"/>
              </w:rPr>
            </w:pPr>
          </w:p>
        </w:tc>
        <w:tc>
          <w:tcPr>
            <w:tcW w:w="1660" w:type="dxa"/>
            <w:vAlign w:val="bottom"/>
            <w:tcBorders>
              <w:right w:val="single" w:sz="8" w:color="3D85C6"/>
            </w:tcBorders>
            <w:shd w:val="clear" w:color="auto" w:fill="2D53A6"/>
          </w:tcPr>
          <w:p>
            <w:pPr>
              <w:spacing w:after="0"/>
              <w:rPr>
                <w:sz w:val="13"/>
                <w:szCs w:val="13"/>
                <w:color w:val="auto"/>
              </w:rPr>
            </w:pPr>
          </w:p>
        </w:tc>
      </w:tr>
      <w:tr>
        <w:trPr>
          <w:trHeight w:val="153"/>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rPr>
              <w:t>Compensation</w:t>
            </w:r>
          </w:p>
        </w:tc>
        <w:tc>
          <w:tcPr>
            <w:tcW w:w="182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8"/>
              </w:rPr>
              <w:t>Reported Value of</w:t>
            </w:r>
          </w:p>
        </w:tc>
        <w:tc>
          <w:tcPr>
            <w:tcW w:w="182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8"/>
              </w:rPr>
              <w:t>Equity Award</w:t>
            </w:r>
          </w:p>
        </w:tc>
        <w:tc>
          <w:tcPr>
            <w:tcW w:w="182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8"/>
              </w:rPr>
              <w:t>Present Value of</w:t>
            </w:r>
          </w:p>
        </w:tc>
        <w:tc>
          <w:tcPr>
            <w:tcW w:w="1640" w:type="dxa"/>
            <w:vAlign w:val="bottom"/>
            <w:tcBorders>
              <w:right w:val="single" w:sz="8" w:color="3D85C6"/>
            </w:tcBorders>
            <w:shd w:val="clear" w:color="auto" w:fill="2D53A6"/>
          </w:tcPr>
          <w:p>
            <w:pPr>
              <w:spacing w:after="0"/>
              <w:rPr>
                <w:sz w:val="13"/>
                <w:szCs w:val="13"/>
                <w:color w:val="auto"/>
              </w:rPr>
            </w:pPr>
          </w:p>
        </w:tc>
        <w:tc>
          <w:tcPr>
            <w:tcW w:w="1660" w:type="dxa"/>
            <w:vAlign w:val="bottom"/>
            <w:tcBorders>
              <w:right w:val="single" w:sz="8" w:color="3D85C6"/>
            </w:tcBorders>
            <w:shd w:val="clear" w:color="auto" w:fill="2D53A6"/>
          </w:tcPr>
          <w:p>
            <w:pPr>
              <w:spacing w:after="0"/>
              <w:rPr>
                <w:sz w:val="13"/>
                <w:szCs w:val="13"/>
                <w:color w:val="auto"/>
              </w:rPr>
            </w:pPr>
          </w:p>
        </w:tc>
      </w:tr>
      <w:tr>
        <w:trPr>
          <w:trHeight w:val="168"/>
        </w:trPr>
        <w:tc>
          <w:tcPr>
            <w:tcW w:w="680" w:type="dxa"/>
            <w:vAlign w:val="bottom"/>
            <w:tcBorders>
              <w:left w:val="single" w:sz="8" w:color="3D85C6"/>
              <w:right w:val="single" w:sz="8" w:color="3D85C6"/>
            </w:tcBorders>
            <w:shd w:val="clear" w:color="auto" w:fill="2D53A6"/>
          </w:tcPr>
          <w:p>
            <w:pPr>
              <w:ind w:left="200"/>
              <w:spacing w:after="0"/>
              <w:rPr>
                <w:sz w:val="20"/>
                <w:szCs w:val="20"/>
                <w:color w:val="auto"/>
              </w:rPr>
            </w:pPr>
            <w:r>
              <w:rPr>
                <w:rFonts w:ascii="Arial" w:cs="Arial" w:eastAsia="Arial" w:hAnsi="Arial"/>
                <w:sz w:val="14"/>
                <w:szCs w:val="14"/>
                <w:b w:val="1"/>
                <w:bCs w:val="1"/>
                <w:color w:val="FFFFFF"/>
              </w:rPr>
              <w:t>Year</w:t>
            </w:r>
          </w:p>
        </w:tc>
        <w:tc>
          <w:tcPr>
            <w:tcW w:w="182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6"/>
              </w:rPr>
              <w:t>Table Total for CEO</w:t>
            </w:r>
          </w:p>
        </w:tc>
        <w:tc>
          <w:tcPr>
            <w:tcW w:w="1820" w:type="dxa"/>
            <w:vAlign w:val="bottom"/>
            <w:tcBorders>
              <w:right w:val="single" w:sz="8" w:color="3D85C6"/>
            </w:tcBorders>
            <w:shd w:val="clear" w:color="auto" w:fill="2D53A6"/>
          </w:tcPr>
          <w:p>
            <w:pPr>
              <w:jc w:val="center"/>
              <w:spacing w:after="0" w:line="168" w:lineRule="exact"/>
              <w:rPr>
                <w:sz w:val="20"/>
                <w:szCs w:val="20"/>
                <w:color w:val="auto"/>
              </w:rPr>
            </w:pPr>
            <w:r>
              <w:rPr>
                <w:rFonts w:ascii="Arial" w:cs="Arial" w:eastAsia="Arial" w:hAnsi="Arial"/>
                <w:sz w:val="12"/>
                <w:szCs w:val="12"/>
                <w:b w:val="1"/>
                <w:bCs w:val="1"/>
                <w:color w:val="FFFFFF"/>
              </w:rPr>
              <w:t>Equity Awards</w:t>
            </w:r>
            <w:r>
              <w:rPr>
                <w:rFonts w:ascii="Arial" w:cs="Arial" w:eastAsia="Arial" w:hAnsi="Arial"/>
                <w:sz w:val="19"/>
                <w:szCs w:val="19"/>
                <w:b w:val="1"/>
                <w:bCs w:val="1"/>
                <w:color w:val="FFFFFF"/>
                <w:vertAlign w:val="superscript"/>
              </w:rPr>
              <w:t>(1)</w:t>
            </w:r>
          </w:p>
        </w:tc>
        <w:tc>
          <w:tcPr>
            <w:tcW w:w="1820" w:type="dxa"/>
            <w:vAlign w:val="bottom"/>
            <w:tcBorders>
              <w:right w:val="single" w:sz="8" w:color="3D85C6"/>
            </w:tcBorders>
            <w:shd w:val="clear" w:color="auto" w:fill="2D53A6"/>
          </w:tcPr>
          <w:p>
            <w:pPr>
              <w:jc w:val="center"/>
              <w:spacing w:after="0" w:line="168" w:lineRule="exact"/>
              <w:rPr>
                <w:sz w:val="20"/>
                <w:szCs w:val="20"/>
                <w:color w:val="auto"/>
              </w:rPr>
            </w:pPr>
            <w:r>
              <w:rPr>
                <w:rFonts w:ascii="Arial" w:cs="Arial" w:eastAsia="Arial" w:hAnsi="Arial"/>
                <w:sz w:val="12"/>
                <w:szCs w:val="12"/>
                <w:b w:val="1"/>
                <w:bCs w:val="1"/>
                <w:color w:val="FFFFFF"/>
              </w:rPr>
              <w:t>Adjustments</w:t>
            </w:r>
            <w:r>
              <w:rPr>
                <w:rFonts w:ascii="Arial" w:cs="Arial" w:eastAsia="Arial" w:hAnsi="Arial"/>
                <w:sz w:val="19"/>
                <w:szCs w:val="19"/>
                <w:b w:val="1"/>
                <w:bCs w:val="1"/>
                <w:color w:val="FFFFFF"/>
                <w:vertAlign w:val="superscript"/>
              </w:rPr>
              <w:t>(2)</w:t>
            </w:r>
          </w:p>
        </w:tc>
        <w:tc>
          <w:tcPr>
            <w:tcW w:w="1820" w:type="dxa"/>
            <w:vAlign w:val="bottom"/>
            <w:tcBorders>
              <w:right w:val="single" w:sz="8" w:color="3D85C6"/>
            </w:tcBorders>
            <w:shd w:val="clear" w:color="auto" w:fill="2D53A6"/>
          </w:tcPr>
          <w:p>
            <w:pPr>
              <w:jc w:val="center"/>
              <w:spacing w:after="0" w:line="168" w:lineRule="exact"/>
              <w:rPr>
                <w:sz w:val="20"/>
                <w:szCs w:val="20"/>
                <w:color w:val="auto"/>
              </w:rPr>
            </w:pPr>
            <w:r>
              <w:rPr>
                <w:rFonts w:ascii="Arial" w:cs="Arial" w:eastAsia="Arial" w:hAnsi="Arial"/>
                <w:sz w:val="12"/>
                <w:szCs w:val="12"/>
                <w:b w:val="1"/>
                <w:bCs w:val="1"/>
                <w:color w:val="FFFFFF"/>
              </w:rPr>
              <w:t>Pension Benefits</w:t>
            </w:r>
            <w:r>
              <w:rPr>
                <w:rFonts w:ascii="Arial" w:cs="Arial" w:eastAsia="Arial" w:hAnsi="Arial"/>
                <w:sz w:val="19"/>
                <w:szCs w:val="19"/>
                <w:b w:val="1"/>
                <w:bCs w:val="1"/>
                <w:color w:val="FFFFFF"/>
                <w:vertAlign w:val="superscript"/>
              </w:rPr>
              <w:t>(3)</w:t>
            </w:r>
          </w:p>
        </w:tc>
        <w:tc>
          <w:tcPr>
            <w:tcW w:w="1640" w:type="dxa"/>
            <w:vAlign w:val="bottom"/>
            <w:tcBorders>
              <w:right w:val="single" w:sz="8" w:color="3D85C6"/>
            </w:tcBorders>
            <w:shd w:val="clear" w:color="auto" w:fill="2D53A6"/>
          </w:tcPr>
          <w:p>
            <w:pPr>
              <w:ind w:left="180"/>
              <w:spacing w:after="0" w:line="168" w:lineRule="exact"/>
              <w:rPr>
                <w:sz w:val="20"/>
                <w:szCs w:val="20"/>
                <w:color w:val="auto"/>
              </w:rPr>
            </w:pPr>
            <w:r>
              <w:rPr>
                <w:rFonts w:ascii="Arial" w:cs="Arial" w:eastAsia="Arial" w:hAnsi="Arial"/>
                <w:sz w:val="12"/>
                <w:szCs w:val="12"/>
                <w:b w:val="1"/>
                <w:bCs w:val="1"/>
                <w:color w:val="FFFFFF"/>
              </w:rPr>
              <w:t>Pension Benefits</w:t>
            </w:r>
            <w:r>
              <w:rPr>
                <w:rFonts w:ascii="Arial" w:cs="Arial" w:eastAsia="Arial" w:hAnsi="Arial"/>
                <w:sz w:val="19"/>
                <w:szCs w:val="19"/>
                <w:b w:val="1"/>
                <w:bCs w:val="1"/>
                <w:color w:val="FFFFFF"/>
                <w:vertAlign w:val="superscript"/>
              </w:rPr>
              <w:t>(3)</w:t>
            </w:r>
          </w:p>
        </w:tc>
        <w:tc>
          <w:tcPr>
            <w:tcW w:w="1660" w:type="dxa"/>
            <w:vAlign w:val="bottom"/>
            <w:tcBorders>
              <w:right w:val="single" w:sz="8" w:color="3D85C6"/>
            </w:tcBorders>
            <w:shd w:val="clear" w:color="auto" w:fill="2D53A6"/>
          </w:tcPr>
          <w:p>
            <w:pPr>
              <w:jc w:val="right"/>
              <w:ind w:right="371"/>
              <w:spacing w:after="0"/>
              <w:rPr>
                <w:sz w:val="20"/>
                <w:szCs w:val="20"/>
                <w:color w:val="auto"/>
              </w:rPr>
            </w:pPr>
            <w:r>
              <w:rPr>
                <w:rFonts w:ascii="Arial" w:cs="Arial" w:eastAsia="Arial" w:hAnsi="Arial"/>
                <w:sz w:val="14"/>
                <w:szCs w:val="14"/>
                <w:b w:val="1"/>
                <w:bCs w:val="1"/>
                <w:color w:val="FFFFFF"/>
              </w:rPr>
              <w:t>CAP to CEO</w:t>
            </w: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c>
          <w:tcPr>
            <w:tcW w:w="1640" w:type="dxa"/>
            <w:vAlign w:val="bottom"/>
            <w:tcBorders>
              <w:right w:val="single" w:sz="8" w:color="3D85C6"/>
            </w:tcBorders>
            <w:shd w:val="clear" w:color="auto" w:fill="2D53A6"/>
          </w:tcPr>
          <w:p>
            <w:pPr>
              <w:ind w:left="720"/>
              <w:spacing w:after="0" w:line="156" w:lineRule="exact"/>
              <w:rPr>
                <w:sz w:val="20"/>
                <w:szCs w:val="20"/>
                <w:color w:val="auto"/>
              </w:rPr>
            </w:pPr>
            <w:r>
              <w:rPr>
                <w:rFonts w:ascii="Arial" w:cs="Arial" w:eastAsia="Arial" w:hAnsi="Arial"/>
                <w:sz w:val="14"/>
                <w:szCs w:val="14"/>
                <w:b w:val="1"/>
                <w:bCs w:val="1"/>
                <w:color w:val="FFFFFF"/>
              </w:rPr>
              <w:t>($)</w:t>
            </w:r>
          </w:p>
        </w:tc>
        <w:tc>
          <w:tcPr>
            <w:tcW w:w="1660" w:type="dxa"/>
            <w:vAlign w:val="bottom"/>
            <w:tcBorders>
              <w:right w:val="single" w:sz="8" w:color="3D85C6"/>
            </w:tcBorders>
            <w:shd w:val="clear" w:color="auto" w:fill="2D53A6"/>
          </w:tcPr>
          <w:p>
            <w:pPr>
              <w:jc w:val="right"/>
              <w:ind w:right="691"/>
              <w:spacing w:after="0" w:line="156" w:lineRule="exact"/>
              <w:rPr>
                <w:sz w:val="20"/>
                <w:szCs w:val="20"/>
                <w:color w:val="auto"/>
              </w:rPr>
            </w:pPr>
            <w:r>
              <w:rPr>
                <w:rFonts w:ascii="Arial" w:cs="Arial" w:eastAsia="Arial" w:hAnsi="Arial"/>
                <w:sz w:val="14"/>
                <w:szCs w:val="14"/>
                <w:b w:val="1"/>
                <w:bCs w:val="1"/>
                <w:color w:val="FFFFFF"/>
              </w:rPr>
              <w:t>($)</w:t>
            </w:r>
          </w:p>
        </w:tc>
      </w:tr>
      <w:tr>
        <w:trPr>
          <w:trHeight w:val="156"/>
        </w:trPr>
        <w:tc>
          <w:tcPr>
            <w:tcW w:w="680" w:type="dxa"/>
            <w:vAlign w:val="bottom"/>
            <w:tcBorders>
              <w:left w:val="single" w:sz="8" w:color="3D85C6"/>
              <w:bottom w:val="single" w:sz="8" w:color="3D85C6"/>
              <w:right w:val="single" w:sz="8" w:color="3D85C6"/>
            </w:tcBorders>
          </w:tcPr>
          <w:p>
            <w:pPr>
              <w:ind w:left="180"/>
              <w:spacing w:after="0" w:line="156" w:lineRule="exact"/>
              <w:rPr>
                <w:sz w:val="20"/>
                <w:szCs w:val="20"/>
                <w:color w:val="auto"/>
              </w:rPr>
            </w:pPr>
            <w:r>
              <w:rPr>
                <w:rFonts w:ascii="Arial" w:cs="Arial" w:eastAsia="Arial" w:hAnsi="Arial"/>
                <w:sz w:val="14"/>
                <w:szCs w:val="14"/>
                <w:color w:val="auto"/>
              </w:rPr>
              <w:t>2025</w:t>
            </w:r>
          </w:p>
        </w:tc>
        <w:tc>
          <w:tcPr>
            <w:tcW w:w="1820" w:type="dxa"/>
            <w:vAlign w:val="bottom"/>
            <w:tcBorders>
              <w:bottom w:val="single" w:sz="8" w:color="3D85C6"/>
              <w:right w:val="single" w:sz="8" w:color="3D85C6"/>
            </w:tcBorders>
          </w:tcPr>
          <w:p>
            <w:pPr>
              <w:jc w:val="right"/>
              <w:ind w:right="51"/>
              <w:spacing w:after="0" w:line="156" w:lineRule="exact"/>
              <w:rPr>
                <w:sz w:val="20"/>
                <w:szCs w:val="20"/>
                <w:color w:val="auto"/>
              </w:rPr>
            </w:pPr>
            <w:r>
              <w:rPr>
                <w:rFonts w:ascii="Arial" w:cs="Arial" w:eastAsia="Arial" w:hAnsi="Arial"/>
                <w:sz w:val="14"/>
                <w:szCs w:val="14"/>
                <w:color w:val="auto"/>
              </w:rPr>
              <w:t>4,498,059</w:t>
            </w:r>
          </w:p>
        </w:tc>
        <w:tc>
          <w:tcPr>
            <w:tcW w:w="1820" w:type="dxa"/>
            <w:vAlign w:val="bottom"/>
            <w:tcBorders>
              <w:bottom w:val="single" w:sz="8" w:color="3D85C6"/>
              <w:right w:val="single" w:sz="8" w:color="3D85C6"/>
            </w:tcBorders>
          </w:tcPr>
          <w:p>
            <w:pPr>
              <w:jc w:val="right"/>
              <w:ind w:right="12"/>
              <w:spacing w:after="0" w:line="156" w:lineRule="exact"/>
              <w:rPr>
                <w:sz w:val="20"/>
                <w:szCs w:val="20"/>
                <w:color w:val="auto"/>
              </w:rPr>
            </w:pPr>
            <w:r>
              <w:rPr>
                <w:rFonts w:ascii="Arial" w:cs="Arial" w:eastAsia="Arial" w:hAnsi="Arial"/>
                <w:sz w:val="14"/>
                <w:szCs w:val="14"/>
                <w:color w:val="auto"/>
              </w:rPr>
              <w:t>(3,508,493)</w:t>
            </w:r>
          </w:p>
        </w:tc>
        <w:tc>
          <w:tcPr>
            <w:tcW w:w="1820" w:type="dxa"/>
            <w:vAlign w:val="bottom"/>
            <w:tcBorders>
              <w:bottom w:val="single" w:sz="8" w:color="3D85C6"/>
              <w:right w:val="single" w:sz="8" w:color="3D85C6"/>
            </w:tcBorders>
          </w:tcPr>
          <w:p>
            <w:pPr>
              <w:jc w:val="right"/>
              <w:ind w:right="52"/>
              <w:spacing w:after="0" w:line="156" w:lineRule="exact"/>
              <w:rPr>
                <w:sz w:val="20"/>
                <w:szCs w:val="20"/>
                <w:color w:val="auto"/>
              </w:rPr>
            </w:pPr>
            <w:r>
              <w:rPr>
                <w:rFonts w:ascii="Arial" w:cs="Arial" w:eastAsia="Arial" w:hAnsi="Arial"/>
                <w:sz w:val="14"/>
                <w:szCs w:val="14"/>
                <w:color w:val="auto"/>
              </w:rPr>
              <w:t>3,472,322</w:t>
            </w:r>
          </w:p>
        </w:tc>
        <w:tc>
          <w:tcPr>
            <w:tcW w:w="1820" w:type="dxa"/>
            <w:vAlign w:val="bottom"/>
            <w:tcBorders>
              <w:bottom w:val="single" w:sz="8" w:color="3D85C6"/>
              <w:right w:val="single" w:sz="8" w:color="3D85C6"/>
            </w:tcBorders>
          </w:tcPr>
          <w:p>
            <w:pPr>
              <w:ind w:left="1460"/>
              <w:spacing w:after="0" w:line="156" w:lineRule="exact"/>
              <w:rPr>
                <w:sz w:val="20"/>
                <w:szCs w:val="20"/>
                <w:color w:val="auto"/>
              </w:rPr>
            </w:pPr>
            <w:r>
              <w:rPr>
                <w:rFonts w:ascii="Arial" w:cs="Arial" w:eastAsia="Arial" w:hAnsi="Arial"/>
                <w:sz w:val="14"/>
                <w:szCs w:val="14"/>
                <w:color w:val="auto"/>
              </w:rPr>
              <w:t>N/A</w:t>
            </w:r>
          </w:p>
        </w:tc>
        <w:tc>
          <w:tcPr>
            <w:tcW w:w="1640" w:type="dxa"/>
            <w:vAlign w:val="bottom"/>
            <w:tcBorders>
              <w:bottom w:val="single" w:sz="8" w:color="3D85C6"/>
              <w:right w:val="single" w:sz="8" w:color="3D85C6"/>
            </w:tcBorders>
          </w:tcPr>
          <w:p>
            <w:pPr>
              <w:ind w:left="1300"/>
              <w:spacing w:after="0" w:line="156"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3D85C6"/>
              <w:right w:val="single" w:sz="8" w:color="3D85C6"/>
            </w:tcBorders>
          </w:tcPr>
          <w:p>
            <w:pPr>
              <w:jc w:val="right"/>
              <w:ind w:right="51"/>
              <w:spacing w:after="0" w:line="156" w:lineRule="exact"/>
              <w:rPr>
                <w:sz w:val="20"/>
                <w:szCs w:val="20"/>
                <w:color w:val="auto"/>
              </w:rPr>
            </w:pPr>
            <w:r>
              <w:rPr>
                <w:rFonts w:ascii="Arial" w:cs="Arial" w:eastAsia="Arial" w:hAnsi="Arial"/>
                <w:sz w:val="14"/>
                <w:szCs w:val="14"/>
                <w:color w:val="auto"/>
              </w:rPr>
              <w:t>4,461,888</w:t>
            </w:r>
          </w:p>
        </w:tc>
      </w:tr>
      <w:tr>
        <w:trPr>
          <w:trHeight w:val="149"/>
        </w:trPr>
        <w:tc>
          <w:tcPr>
            <w:tcW w:w="680" w:type="dxa"/>
            <w:vAlign w:val="bottom"/>
            <w:tcBorders>
              <w:left w:val="single" w:sz="8" w:color="3D85C6"/>
              <w:bottom w:val="single" w:sz="8" w:color="3D85C6"/>
              <w:right w:val="single" w:sz="8" w:color="3D85C6"/>
            </w:tcBorders>
            <w:shd w:val="clear" w:color="auto" w:fill="E6E6E6"/>
          </w:tcPr>
          <w:p>
            <w:pPr>
              <w:ind w:left="180"/>
              <w:spacing w:after="0" w:line="149" w:lineRule="exact"/>
              <w:rPr>
                <w:sz w:val="20"/>
                <w:szCs w:val="20"/>
                <w:color w:val="auto"/>
              </w:rPr>
            </w:pPr>
            <w:r>
              <w:rPr>
                <w:rFonts w:ascii="Arial" w:cs="Arial" w:eastAsia="Arial" w:hAnsi="Arial"/>
                <w:sz w:val="14"/>
                <w:szCs w:val="14"/>
                <w:color w:val="auto"/>
              </w:rPr>
              <w:t>2024</w:t>
            </w:r>
          </w:p>
        </w:tc>
        <w:tc>
          <w:tcPr>
            <w:tcW w:w="182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4,831,084</w:t>
            </w:r>
          </w:p>
        </w:tc>
        <w:tc>
          <w:tcPr>
            <w:tcW w:w="1820" w:type="dxa"/>
            <w:vAlign w:val="bottom"/>
            <w:tcBorders>
              <w:bottom w:val="single" w:sz="8" w:color="3D85C6"/>
              <w:right w:val="single" w:sz="8" w:color="3D85C6"/>
            </w:tcBorders>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(4,091,920)</w:t>
            </w:r>
          </w:p>
        </w:tc>
        <w:tc>
          <w:tcPr>
            <w:tcW w:w="1820" w:type="dxa"/>
            <w:vAlign w:val="bottom"/>
            <w:tcBorders>
              <w:bottom w:val="single" w:sz="8" w:color="3D85C6"/>
              <w:right w:val="single" w:sz="8" w:color="3D85C6"/>
            </w:tcBorders>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(2,197,303)</w:t>
            </w:r>
          </w:p>
        </w:tc>
        <w:tc>
          <w:tcPr>
            <w:tcW w:w="1820" w:type="dxa"/>
            <w:vAlign w:val="bottom"/>
            <w:tcBorders>
              <w:bottom w:val="single" w:sz="8" w:color="3D85C6"/>
              <w:right w:val="single" w:sz="8" w:color="3D85C6"/>
            </w:tcBorders>
            <w:shd w:val="clear" w:color="auto" w:fill="E6E6E6"/>
          </w:tcPr>
          <w:p>
            <w:pPr>
              <w:ind w:left="1460"/>
              <w:spacing w:after="0" w:line="149" w:lineRule="exact"/>
              <w:rPr>
                <w:sz w:val="20"/>
                <w:szCs w:val="20"/>
                <w:color w:val="auto"/>
              </w:rPr>
            </w:pPr>
            <w:r>
              <w:rPr>
                <w:rFonts w:ascii="Arial" w:cs="Arial" w:eastAsia="Arial" w:hAnsi="Arial"/>
                <w:sz w:val="14"/>
                <w:szCs w:val="14"/>
                <w:color w:val="auto"/>
              </w:rPr>
              <w:t>N/A</w:t>
            </w:r>
          </w:p>
        </w:tc>
        <w:tc>
          <w:tcPr>
            <w:tcW w:w="1640" w:type="dxa"/>
            <w:vAlign w:val="bottom"/>
            <w:tcBorders>
              <w:bottom w:val="single" w:sz="8" w:color="3D85C6"/>
              <w:right w:val="single" w:sz="8" w:color="3D85C6"/>
            </w:tcBorders>
            <w:shd w:val="clear" w:color="auto" w:fill="E6E6E6"/>
          </w:tcPr>
          <w:p>
            <w:pPr>
              <w:ind w:left="1300"/>
              <w:spacing w:after="0" w:line="149"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3D85C6"/>
              <w:right w:val="single" w:sz="8" w:color="3D85C6"/>
            </w:tcBorders>
            <w:shd w:val="clear" w:color="auto" w:fill="E6E6E6"/>
          </w:tcPr>
          <w:p>
            <w:pPr>
              <w:jc w:val="right"/>
              <w:ind w:right="11"/>
              <w:spacing w:after="0" w:line="149" w:lineRule="exact"/>
              <w:rPr>
                <w:sz w:val="20"/>
                <w:szCs w:val="20"/>
                <w:color w:val="auto"/>
              </w:rPr>
            </w:pPr>
            <w:r>
              <w:rPr>
                <w:rFonts w:ascii="Arial" w:cs="Arial" w:eastAsia="Arial" w:hAnsi="Arial"/>
                <w:sz w:val="14"/>
                <w:szCs w:val="14"/>
                <w:color w:val="auto"/>
              </w:rPr>
              <w:t>(1,458,139)</w:t>
            </w:r>
          </w:p>
        </w:tc>
      </w:tr>
      <w:tr>
        <w:trPr>
          <w:trHeight w:val="149"/>
        </w:trPr>
        <w:tc>
          <w:tcPr>
            <w:tcW w:w="680" w:type="dxa"/>
            <w:vAlign w:val="bottom"/>
            <w:tcBorders>
              <w:left w:val="single" w:sz="8" w:color="3D85C6"/>
              <w:bottom w:val="single" w:sz="8" w:color="3D85C6"/>
              <w:right w:val="single" w:sz="8" w:color="3D85C6"/>
            </w:tcBorders>
          </w:tcPr>
          <w:p>
            <w:pPr>
              <w:ind w:left="180"/>
              <w:spacing w:after="0" w:line="149" w:lineRule="exact"/>
              <w:rPr>
                <w:sz w:val="20"/>
                <w:szCs w:val="20"/>
                <w:color w:val="auto"/>
              </w:rPr>
            </w:pPr>
            <w:r>
              <w:rPr>
                <w:rFonts w:ascii="Arial" w:cs="Arial" w:eastAsia="Arial" w:hAnsi="Arial"/>
                <w:sz w:val="14"/>
                <w:szCs w:val="14"/>
                <w:color w:val="auto"/>
              </w:rPr>
              <w:t>2023</w:t>
            </w:r>
          </w:p>
        </w:tc>
        <w:tc>
          <w:tcPr>
            <w:tcW w:w="182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6,536,607</w:t>
            </w:r>
          </w:p>
        </w:tc>
        <w:tc>
          <w:tcPr>
            <w:tcW w:w="1820" w:type="dxa"/>
            <w:vAlign w:val="bottom"/>
            <w:tcBorders>
              <w:bottom w:val="single" w:sz="8" w:color="3D85C6"/>
              <w:right w:val="single" w:sz="8" w:color="3D85C6"/>
            </w:tcBorders>
          </w:tcPr>
          <w:p>
            <w:pPr>
              <w:jc w:val="right"/>
              <w:ind w:right="12"/>
              <w:spacing w:after="0" w:line="149" w:lineRule="exact"/>
              <w:rPr>
                <w:sz w:val="20"/>
                <w:szCs w:val="20"/>
                <w:color w:val="auto"/>
              </w:rPr>
            </w:pPr>
            <w:r>
              <w:rPr>
                <w:rFonts w:ascii="Arial" w:cs="Arial" w:eastAsia="Arial" w:hAnsi="Arial"/>
                <w:sz w:val="14"/>
                <w:szCs w:val="14"/>
                <w:color w:val="auto"/>
              </w:rPr>
              <w:t>(5,051,219)</w:t>
            </w:r>
          </w:p>
        </w:tc>
        <w:tc>
          <w:tcPr>
            <w:tcW w:w="1820" w:type="dxa"/>
            <w:vAlign w:val="bottom"/>
            <w:tcBorders>
              <w:bottom w:val="single" w:sz="8" w:color="3D85C6"/>
              <w:right w:val="single" w:sz="8" w:color="3D85C6"/>
            </w:tcBorders>
          </w:tcPr>
          <w:p>
            <w:pPr>
              <w:jc w:val="right"/>
              <w:ind w:right="52"/>
              <w:spacing w:after="0" w:line="149" w:lineRule="exact"/>
              <w:rPr>
                <w:sz w:val="20"/>
                <w:szCs w:val="20"/>
                <w:color w:val="auto"/>
              </w:rPr>
            </w:pPr>
            <w:r>
              <w:rPr>
                <w:rFonts w:ascii="Arial" w:cs="Arial" w:eastAsia="Arial" w:hAnsi="Arial"/>
                <w:sz w:val="14"/>
                <w:szCs w:val="14"/>
                <w:color w:val="auto"/>
              </w:rPr>
              <w:t>2,094,280</w:t>
            </w:r>
          </w:p>
        </w:tc>
        <w:tc>
          <w:tcPr>
            <w:tcW w:w="1820" w:type="dxa"/>
            <w:vAlign w:val="bottom"/>
            <w:tcBorders>
              <w:bottom w:val="single" w:sz="8" w:color="3D85C6"/>
              <w:right w:val="single" w:sz="8" w:color="3D85C6"/>
            </w:tcBorders>
          </w:tcPr>
          <w:p>
            <w:pPr>
              <w:ind w:left="1460"/>
              <w:spacing w:after="0" w:line="149" w:lineRule="exact"/>
              <w:rPr>
                <w:sz w:val="20"/>
                <w:szCs w:val="20"/>
                <w:color w:val="auto"/>
              </w:rPr>
            </w:pPr>
            <w:r>
              <w:rPr>
                <w:rFonts w:ascii="Arial" w:cs="Arial" w:eastAsia="Arial" w:hAnsi="Arial"/>
                <w:sz w:val="14"/>
                <w:szCs w:val="14"/>
                <w:color w:val="auto"/>
              </w:rPr>
              <w:t>N/A</w:t>
            </w:r>
          </w:p>
        </w:tc>
        <w:tc>
          <w:tcPr>
            <w:tcW w:w="1640" w:type="dxa"/>
            <w:vAlign w:val="bottom"/>
            <w:tcBorders>
              <w:bottom w:val="single" w:sz="8" w:color="3D85C6"/>
              <w:right w:val="single" w:sz="8" w:color="3D85C6"/>
            </w:tcBorders>
          </w:tcPr>
          <w:p>
            <w:pPr>
              <w:ind w:left="1300"/>
              <w:spacing w:after="0" w:line="149"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3,579,668</w:t>
            </w:r>
          </w:p>
        </w:tc>
      </w:tr>
      <w:tr>
        <w:trPr>
          <w:trHeight w:val="149"/>
        </w:trPr>
        <w:tc>
          <w:tcPr>
            <w:tcW w:w="680" w:type="dxa"/>
            <w:vAlign w:val="bottom"/>
            <w:tcBorders>
              <w:left w:val="single" w:sz="8" w:color="3D85C6"/>
              <w:bottom w:val="single" w:sz="8" w:color="3D85C6"/>
              <w:right w:val="single" w:sz="8" w:color="3D85C6"/>
            </w:tcBorders>
            <w:shd w:val="clear" w:color="auto" w:fill="E6E6E6"/>
          </w:tcPr>
          <w:p>
            <w:pPr>
              <w:ind w:left="180"/>
              <w:spacing w:after="0" w:line="149" w:lineRule="exact"/>
              <w:rPr>
                <w:sz w:val="20"/>
                <w:szCs w:val="20"/>
                <w:color w:val="auto"/>
              </w:rPr>
            </w:pPr>
            <w:r>
              <w:rPr>
                <w:rFonts w:ascii="Arial" w:cs="Arial" w:eastAsia="Arial" w:hAnsi="Arial"/>
                <w:sz w:val="14"/>
                <w:szCs w:val="14"/>
                <w:color w:val="auto"/>
              </w:rPr>
              <w:t>2022</w:t>
            </w:r>
          </w:p>
        </w:tc>
        <w:tc>
          <w:tcPr>
            <w:tcW w:w="182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5,315,286</w:t>
            </w:r>
          </w:p>
        </w:tc>
        <w:tc>
          <w:tcPr>
            <w:tcW w:w="1820" w:type="dxa"/>
            <w:vAlign w:val="bottom"/>
            <w:tcBorders>
              <w:bottom w:val="single" w:sz="8" w:color="3D85C6"/>
              <w:right w:val="single" w:sz="8" w:color="3D85C6"/>
            </w:tcBorders>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(3,321,901)</w:t>
            </w:r>
          </w:p>
        </w:tc>
        <w:tc>
          <w:tcPr>
            <w:tcW w:w="1820" w:type="dxa"/>
            <w:vAlign w:val="bottom"/>
            <w:tcBorders>
              <w:bottom w:val="single" w:sz="8" w:color="3D85C6"/>
              <w:right w:val="single" w:sz="8" w:color="3D85C6"/>
            </w:tcBorders>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3,412,877</w:t>
            </w:r>
          </w:p>
        </w:tc>
        <w:tc>
          <w:tcPr>
            <w:tcW w:w="1820" w:type="dxa"/>
            <w:vAlign w:val="bottom"/>
            <w:tcBorders>
              <w:bottom w:val="single" w:sz="8" w:color="3D85C6"/>
              <w:right w:val="single" w:sz="8" w:color="3D85C6"/>
            </w:tcBorders>
            <w:shd w:val="clear" w:color="auto" w:fill="E6E6E6"/>
          </w:tcPr>
          <w:p>
            <w:pPr>
              <w:ind w:left="1460"/>
              <w:spacing w:after="0" w:line="149" w:lineRule="exact"/>
              <w:rPr>
                <w:sz w:val="20"/>
                <w:szCs w:val="20"/>
                <w:color w:val="auto"/>
              </w:rPr>
            </w:pPr>
            <w:r>
              <w:rPr>
                <w:rFonts w:ascii="Arial" w:cs="Arial" w:eastAsia="Arial" w:hAnsi="Arial"/>
                <w:sz w:val="14"/>
                <w:szCs w:val="14"/>
                <w:color w:val="auto"/>
              </w:rPr>
              <w:t>N/A</w:t>
            </w:r>
          </w:p>
        </w:tc>
        <w:tc>
          <w:tcPr>
            <w:tcW w:w="1640" w:type="dxa"/>
            <w:vAlign w:val="bottom"/>
            <w:tcBorders>
              <w:bottom w:val="single" w:sz="8" w:color="3D85C6"/>
              <w:right w:val="single" w:sz="8" w:color="3D85C6"/>
            </w:tcBorders>
            <w:shd w:val="clear" w:color="auto" w:fill="E6E6E6"/>
          </w:tcPr>
          <w:p>
            <w:pPr>
              <w:ind w:left="1300"/>
              <w:spacing w:after="0" w:line="149"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5,406,262</w:t>
            </w:r>
          </w:p>
        </w:tc>
      </w:tr>
      <w:tr>
        <w:trPr>
          <w:trHeight w:val="149"/>
        </w:trPr>
        <w:tc>
          <w:tcPr>
            <w:tcW w:w="680" w:type="dxa"/>
            <w:vAlign w:val="bottom"/>
            <w:tcBorders>
              <w:left w:val="single" w:sz="8" w:color="3D85C6"/>
              <w:bottom w:val="single" w:sz="8" w:color="3D85C6"/>
              <w:right w:val="single" w:sz="8" w:color="3D85C6"/>
            </w:tcBorders>
          </w:tcPr>
          <w:p>
            <w:pPr>
              <w:ind w:left="180"/>
              <w:spacing w:after="0" w:line="149" w:lineRule="exact"/>
              <w:rPr>
                <w:sz w:val="20"/>
                <w:szCs w:val="20"/>
                <w:color w:val="auto"/>
              </w:rPr>
            </w:pPr>
            <w:r>
              <w:rPr>
                <w:rFonts w:ascii="Arial" w:cs="Arial" w:eastAsia="Arial" w:hAnsi="Arial"/>
                <w:sz w:val="14"/>
                <w:szCs w:val="14"/>
                <w:color w:val="auto"/>
              </w:rPr>
              <w:t>2021</w:t>
            </w:r>
          </w:p>
        </w:tc>
        <w:tc>
          <w:tcPr>
            <w:tcW w:w="182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4,582,416</w:t>
            </w:r>
          </w:p>
        </w:tc>
        <w:tc>
          <w:tcPr>
            <w:tcW w:w="1820" w:type="dxa"/>
            <w:vAlign w:val="bottom"/>
            <w:tcBorders>
              <w:bottom w:val="single" w:sz="8" w:color="3D85C6"/>
              <w:right w:val="single" w:sz="8" w:color="3D85C6"/>
            </w:tcBorders>
          </w:tcPr>
          <w:p>
            <w:pPr>
              <w:jc w:val="right"/>
              <w:ind w:right="12"/>
              <w:spacing w:after="0" w:line="149" w:lineRule="exact"/>
              <w:rPr>
                <w:sz w:val="20"/>
                <w:szCs w:val="20"/>
                <w:color w:val="auto"/>
              </w:rPr>
            </w:pPr>
            <w:r>
              <w:rPr>
                <w:rFonts w:ascii="Arial" w:cs="Arial" w:eastAsia="Arial" w:hAnsi="Arial"/>
                <w:sz w:val="14"/>
                <w:szCs w:val="14"/>
                <w:color w:val="auto"/>
              </w:rPr>
              <w:t>(2,891,579)</w:t>
            </w:r>
          </w:p>
        </w:tc>
        <w:tc>
          <w:tcPr>
            <w:tcW w:w="1820" w:type="dxa"/>
            <w:vAlign w:val="bottom"/>
            <w:tcBorders>
              <w:bottom w:val="single" w:sz="8" w:color="3D85C6"/>
              <w:right w:val="single" w:sz="8" w:color="3D85C6"/>
            </w:tcBorders>
          </w:tcPr>
          <w:p>
            <w:pPr>
              <w:jc w:val="right"/>
              <w:ind w:right="12"/>
              <w:spacing w:after="0" w:line="149" w:lineRule="exact"/>
              <w:rPr>
                <w:sz w:val="20"/>
                <w:szCs w:val="20"/>
                <w:color w:val="auto"/>
              </w:rPr>
            </w:pPr>
            <w:r>
              <w:rPr>
                <w:rFonts w:ascii="Arial" w:cs="Arial" w:eastAsia="Arial" w:hAnsi="Arial"/>
                <w:sz w:val="14"/>
                <w:szCs w:val="14"/>
                <w:color w:val="auto"/>
              </w:rPr>
              <w:t>(731,034)</w:t>
            </w:r>
          </w:p>
        </w:tc>
        <w:tc>
          <w:tcPr>
            <w:tcW w:w="1820" w:type="dxa"/>
            <w:vAlign w:val="bottom"/>
            <w:tcBorders>
              <w:bottom w:val="single" w:sz="8" w:color="3D85C6"/>
              <w:right w:val="single" w:sz="8" w:color="3D85C6"/>
            </w:tcBorders>
          </w:tcPr>
          <w:p>
            <w:pPr>
              <w:ind w:left="1460"/>
              <w:spacing w:after="0" w:line="149" w:lineRule="exact"/>
              <w:rPr>
                <w:sz w:val="20"/>
                <w:szCs w:val="20"/>
                <w:color w:val="auto"/>
              </w:rPr>
            </w:pPr>
            <w:r>
              <w:rPr>
                <w:rFonts w:ascii="Arial" w:cs="Arial" w:eastAsia="Arial" w:hAnsi="Arial"/>
                <w:sz w:val="14"/>
                <w:szCs w:val="14"/>
                <w:color w:val="auto"/>
              </w:rPr>
              <w:t>N/A</w:t>
            </w:r>
          </w:p>
        </w:tc>
        <w:tc>
          <w:tcPr>
            <w:tcW w:w="1640" w:type="dxa"/>
            <w:vAlign w:val="bottom"/>
            <w:tcBorders>
              <w:bottom w:val="single" w:sz="8" w:color="3D85C6"/>
              <w:right w:val="single" w:sz="8" w:color="3D85C6"/>
            </w:tcBorders>
          </w:tcPr>
          <w:p>
            <w:pPr>
              <w:ind w:left="1300"/>
              <w:spacing w:after="0" w:line="149" w:lineRule="exact"/>
              <w:rPr>
                <w:sz w:val="20"/>
                <w:szCs w:val="20"/>
                <w:color w:val="auto"/>
              </w:rPr>
            </w:pPr>
            <w:r>
              <w:rPr>
                <w:rFonts w:ascii="Arial" w:cs="Arial" w:eastAsia="Arial" w:hAnsi="Arial"/>
                <w:sz w:val="14"/>
                <w:szCs w:val="14"/>
                <w:color w:val="auto"/>
              </w:rPr>
              <w:t>N/A</w:t>
            </w:r>
          </w:p>
        </w:tc>
        <w:tc>
          <w:tcPr>
            <w:tcW w:w="16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959,803</w:t>
            </w:r>
          </w:p>
        </w:tc>
      </w:tr>
    </w:tbl>
    <w:p>
      <w:pPr>
        <w:spacing w:after="0" w:line="187" w:lineRule="exact"/>
        <w:rPr>
          <w:sz w:val="20"/>
          <w:szCs w:val="20"/>
          <w:color w:val="auto"/>
        </w:rPr>
      </w:pPr>
    </w:p>
    <w:p>
      <w:pPr>
        <w:ind w:left="320" w:hanging="316"/>
        <w:spacing w:after="0"/>
        <w:tabs>
          <w:tab w:leader="none" w:pos="3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grant date fair value of equity awards represents the amounts reported in the “Stock Awards” column in the SCT for each applicable year.</w:t>
      </w:r>
    </w:p>
    <w:p>
      <w:pPr>
        <w:spacing w:after="0" w:line="6" w:lineRule="exact"/>
        <w:rPr>
          <w:rFonts w:ascii="Arial" w:cs="Arial" w:eastAsia="Arial" w:hAnsi="Arial"/>
          <w:sz w:val="14"/>
          <w:szCs w:val="14"/>
          <w:color w:val="auto"/>
        </w:rPr>
      </w:pPr>
    </w:p>
    <w:p>
      <w:pPr>
        <w:ind w:left="320" w:hanging="316"/>
        <w:spacing w:after="0" w:line="232" w:lineRule="auto"/>
        <w:tabs>
          <w:tab w:leader="none" w:pos="3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detailed in the Equity Component of CAP Reconciliation tables that follow.</w:t>
      </w:r>
    </w:p>
    <w:p>
      <w:pPr>
        <w:spacing w:after="0" w:line="2" w:lineRule="exact"/>
        <w:rPr>
          <w:rFonts w:ascii="Arial" w:cs="Arial" w:eastAsia="Arial" w:hAnsi="Arial"/>
          <w:sz w:val="14"/>
          <w:szCs w:val="14"/>
          <w:color w:val="auto"/>
        </w:rPr>
      </w:pPr>
    </w:p>
    <w:p>
      <w:pPr>
        <w:ind w:left="320" w:hanging="316"/>
        <w:spacing w:after="0"/>
        <w:tabs>
          <w:tab w:leader="none" w:pos="3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Neither the CEO nor any other NEO has Pension Benefits.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CEO Equity Component of CAP Reconciliation</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680" w:type="dxa"/>
            <w:vAlign w:val="bottom"/>
            <w:tcBorders>
              <w:left w:val="single" w:sz="8" w:color="3D85C6"/>
              <w:right w:val="single" w:sz="8" w:color="3D85C6"/>
            </w:tcBorders>
            <w:shd w:val="clear" w:color="auto" w:fill="2D53A6"/>
          </w:tcPr>
          <w:p>
            <w:pPr>
              <w:spacing w:after="0"/>
              <w:rPr>
                <w:sz w:val="14"/>
                <w:szCs w:val="14"/>
                <w:color w:val="auto"/>
              </w:rPr>
            </w:pPr>
          </w:p>
        </w:tc>
        <w:tc>
          <w:tcPr>
            <w:tcW w:w="1480" w:type="dxa"/>
            <w:vAlign w:val="bottom"/>
            <w:tcBorders>
              <w:right w:val="single" w:sz="8" w:color="3D85C6"/>
            </w:tcBorders>
            <w:shd w:val="clear" w:color="auto" w:fill="2D53A6"/>
          </w:tcPr>
          <w:p>
            <w:pPr>
              <w:spacing w:after="0"/>
              <w:rPr>
                <w:sz w:val="14"/>
                <w:szCs w:val="14"/>
                <w:color w:val="auto"/>
              </w:rPr>
            </w:pPr>
          </w:p>
        </w:tc>
        <w:tc>
          <w:tcPr>
            <w:tcW w:w="1600" w:type="dxa"/>
            <w:vAlign w:val="bottom"/>
            <w:tcBorders>
              <w:right w:val="single" w:sz="8" w:color="3D85C6"/>
            </w:tcBorders>
            <w:shd w:val="clear" w:color="auto" w:fill="2D53A6"/>
          </w:tcPr>
          <w:p>
            <w:pPr>
              <w:spacing w:after="0"/>
              <w:rPr>
                <w:sz w:val="14"/>
                <w:szCs w:val="14"/>
                <w:color w:val="auto"/>
              </w:rPr>
            </w:pPr>
          </w:p>
        </w:tc>
        <w:tc>
          <w:tcPr>
            <w:tcW w:w="1600" w:type="dxa"/>
            <w:vAlign w:val="bottom"/>
            <w:tcBorders>
              <w:right w:val="single" w:sz="8" w:color="3D85C6"/>
            </w:tcBorders>
            <w:shd w:val="clear" w:color="auto" w:fill="2D53A6"/>
          </w:tcPr>
          <w:p>
            <w:pPr>
              <w:spacing w:after="0"/>
              <w:rPr>
                <w:sz w:val="14"/>
                <w:szCs w:val="14"/>
                <w:color w:val="auto"/>
              </w:rPr>
            </w:pPr>
          </w:p>
        </w:tc>
        <w:tc>
          <w:tcPr>
            <w:tcW w:w="1600" w:type="dxa"/>
            <w:vAlign w:val="bottom"/>
            <w:tcBorders>
              <w:right w:val="single" w:sz="8" w:color="3D85C6"/>
            </w:tcBorders>
            <w:shd w:val="clear" w:color="auto" w:fill="2D53A6"/>
          </w:tcPr>
          <w:p>
            <w:pPr>
              <w:spacing w:after="0"/>
              <w:rPr>
                <w:sz w:val="14"/>
                <w:szCs w:val="14"/>
                <w:color w:val="auto"/>
              </w:rPr>
            </w:pPr>
          </w:p>
        </w:tc>
        <w:tc>
          <w:tcPr>
            <w:tcW w:w="1440" w:type="dxa"/>
            <w:vAlign w:val="bottom"/>
            <w:tcBorders>
              <w:right w:val="single" w:sz="8" w:color="3D85C6"/>
            </w:tcBorders>
            <w:shd w:val="clear" w:color="auto" w:fill="2D53A6"/>
          </w:tcPr>
          <w:p>
            <w:pPr>
              <w:spacing w:after="0"/>
              <w:rPr>
                <w:sz w:val="14"/>
                <w:szCs w:val="14"/>
                <w:color w:val="auto"/>
              </w:rPr>
            </w:pPr>
          </w:p>
        </w:tc>
        <w:tc>
          <w:tcPr>
            <w:tcW w:w="142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5"/>
              </w:rPr>
              <w:t>Value of</w:t>
            </w:r>
          </w:p>
        </w:tc>
        <w:tc>
          <w:tcPr>
            <w:tcW w:w="1440" w:type="dxa"/>
            <w:vAlign w:val="bottom"/>
            <w:tcBorders>
              <w:right w:val="single" w:sz="8" w:color="3D85C6"/>
            </w:tcBorders>
            <w:shd w:val="clear" w:color="auto" w:fill="2D53A6"/>
          </w:tcPr>
          <w:p>
            <w:pPr>
              <w:spacing w:after="0"/>
              <w:rPr>
                <w:sz w:val="14"/>
                <w:szCs w:val="14"/>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480" w:type="dxa"/>
            <w:vAlign w:val="bottom"/>
            <w:tcBorders>
              <w:right w:val="single" w:sz="8" w:color="3D85C6"/>
            </w:tcBorders>
            <w:shd w:val="clear" w:color="auto" w:fill="2D53A6"/>
          </w:tcPr>
          <w:p>
            <w:pPr>
              <w:spacing w:after="0"/>
              <w:rPr>
                <w:sz w:val="13"/>
                <w:szCs w:val="13"/>
                <w:color w:val="auto"/>
              </w:rPr>
            </w:pPr>
          </w:p>
        </w:tc>
        <w:tc>
          <w:tcPr>
            <w:tcW w:w="1600" w:type="dxa"/>
            <w:vAlign w:val="bottom"/>
            <w:tcBorders>
              <w:right w:val="single" w:sz="8" w:color="3D85C6"/>
            </w:tcBorders>
            <w:shd w:val="clear" w:color="auto" w:fill="2D53A6"/>
          </w:tcPr>
          <w:p>
            <w:pPr>
              <w:spacing w:after="0"/>
              <w:rPr>
                <w:sz w:val="13"/>
                <w:szCs w:val="13"/>
                <w:color w:val="auto"/>
              </w:rPr>
            </w:pPr>
          </w:p>
        </w:tc>
        <w:tc>
          <w:tcPr>
            <w:tcW w:w="1600" w:type="dxa"/>
            <w:vAlign w:val="bottom"/>
            <w:tcBorders>
              <w:right w:val="single" w:sz="8" w:color="3D85C6"/>
            </w:tcBorders>
            <w:shd w:val="clear" w:color="auto" w:fill="2D53A6"/>
          </w:tcPr>
          <w:p>
            <w:pPr>
              <w:spacing w:after="0"/>
              <w:rPr>
                <w:sz w:val="13"/>
                <w:szCs w:val="13"/>
                <w:color w:val="auto"/>
              </w:rPr>
            </w:pPr>
          </w:p>
        </w:tc>
        <w:tc>
          <w:tcPr>
            <w:tcW w:w="1600" w:type="dxa"/>
            <w:vAlign w:val="bottom"/>
            <w:tcBorders>
              <w:right w:val="single" w:sz="8" w:color="3D85C6"/>
            </w:tcBorders>
            <w:shd w:val="clear" w:color="auto" w:fill="2D53A6"/>
          </w:tcPr>
          <w:p>
            <w:pPr>
              <w:spacing w:after="0"/>
              <w:rPr>
                <w:sz w:val="13"/>
                <w:szCs w:val="13"/>
                <w:color w:val="auto"/>
              </w:rPr>
            </w:pPr>
          </w:p>
        </w:tc>
        <w:tc>
          <w:tcPr>
            <w:tcW w:w="1440" w:type="dxa"/>
            <w:vAlign w:val="bottom"/>
            <w:tcBorders>
              <w:right w:val="single" w:sz="8" w:color="3D85C6"/>
            </w:tcBorders>
            <w:shd w:val="clear" w:color="auto" w:fill="2D53A6"/>
          </w:tcPr>
          <w:p>
            <w:pPr>
              <w:spacing w:after="0"/>
              <w:rPr>
                <w:sz w:val="13"/>
                <w:szCs w:val="13"/>
                <w:color w:val="auto"/>
              </w:rPr>
            </w:pPr>
          </w:p>
        </w:tc>
        <w:tc>
          <w:tcPr>
            <w:tcW w:w="14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Dividends or</w:t>
            </w:r>
          </w:p>
        </w:tc>
        <w:tc>
          <w:tcPr>
            <w:tcW w:w="1440" w:type="dxa"/>
            <w:vAlign w:val="bottom"/>
            <w:tcBorders>
              <w:right w:val="single" w:sz="8" w:color="3D85C6"/>
            </w:tcBorders>
            <w:shd w:val="clear" w:color="auto" w:fill="2D53A6"/>
          </w:tcPr>
          <w:p>
            <w:pPr>
              <w:spacing w:after="0"/>
              <w:rPr>
                <w:sz w:val="13"/>
                <w:szCs w:val="13"/>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480" w:type="dxa"/>
            <w:vAlign w:val="bottom"/>
            <w:tcBorders>
              <w:right w:val="single" w:sz="8" w:color="3D85C6"/>
            </w:tcBorders>
            <w:shd w:val="clear" w:color="auto" w:fill="2D53A6"/>
          </w:tcPr>
          <w:p>
            <w:pPr>
              <w:spacing w:after="0"/>
              <w:rPr>
                <w:sz w:val="13"/>
                <w:szCs w:val="13"/>
                <w:color w:val="auto"/>
              </w:rPr>
            </w:pPr>
          </w:p>
        </w:tc>
        <w:tc>
          <w:tcPr>
            <w:tcW w:w="1600" w:type="dxa"/>
            <w:vAlign w:val="bottom"/>
            <w:tcBorders>
              <w:right w:val="single" w:sz="8" w:color="3D85C6"/>
            </w:tcBorders>
            <w:shd w:val="clear" w:color="auto" w:fill="2D53A6"/>
          </w:tcPr>
          <w:p>
            <w:pPr>
              <w:spacing w:after="0"/>
              <w:rPr>
                <w:sz w:val="13"/>
                <w:szCs w:val="13"/>
                <w:color w:val="auto"/>
              </w:rPr>
            </w:pPr>
          </w:p>
        </w:tc>
        <w:tc>
          <w:tcPr>
            <w:tcW w:w="1600" w:type="dxa"/>
            <w:vAlign w:val="bottom"/>
            <w:tcBorders>
              <w:right w:val="single" w:sz="8" w:color="3D85C6"/>
            </w:tcBorders>
            <w:shd w:val="clear" w:color="auto" w:fill="2D53A6"/>
          </w:tcPr>
          <w:p>
            <w:pPr>
              <w:spacing w:after="0"/>
              <w:rPr>
                <w:sz w:val="13"/>
                <w:szCs w:val="13"/>
                <w:color w:val="auto"/>
              </w:rPr>
            </w:pPr>
          </w:p>
        </w:tc>
        <w:tc>
          <w:tcPr>
            <w:tcW w:w="1600" w:type="dxa"/>
            <w:vAlign w:val="bottom"/>
            <w:tcBorders>
              <w:right w:val="single" w:sz="8" w:color="3D85C6"/>
            </w:tcBorders>
            <w:shd w:val="clear" w:color="auto" w:fill="2D53A6"/>
          </w:tcPr>
          <w:p>
            <w:pPr>
              <w:spacing w:after="0"/>
              <w:rPr>
                <w:sz w:val="13"/>
                <w:szCs w:val="13"/>
                <w:color w:val="auto"/>
              </w:rPr>
            </w:pPr>
          </w:p>
        </w:tc>
        <w:tc>
          <w:tcPr>
            <w:tcW w:w="144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Fair Value at the</w:t>
            </w:r>
          </w:p>
        </w:tc>
        <w:tc>
          <w:tcPr>
            <w:tcW w:w="14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other Earnings</w:t>
            </w:r>
          </w:p>
        </w:tc>
        <w:tc>
          <w:tcPr>
            <w:tcW w:w="1440" w:type="dxa"/>
            <w:vAlign w:val="bottom"/>
            <w:tcBorders>
              <w:right w:val="single" w:sz="8" w:color="3D85C6"/>
            </w:tcBorders>
            <w:shd w:val="clear" w:color="auto" w:fill="2D53A6"/>
          </w:tcPr>
          <w:p>
            <w:pPr>
              <w:spacing w:after="0"/>
              <w:rPr>
                <w:sz w:val="13"/>
                <w:szCs w:val="13"/>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480" w:type="dxa"/>
            <w:vAlign w:val="bottom"/>
            <w:tcBorders>
              <w:right w:val="single" w:sz="8" w:color="3D85C6"/>
            </w:tcBorders>
            <w:shd w:val="clear" w:color="auto" w:fill="2D53A6"/>
          </w:tcPr>
          <w:p>
            <w:pPr>
              <w:spacing w:after="0"/>
              <w:rPr>
                <w:sz w:val="13"/>
                <w:szCs w:val="13"/>
                <w:color w:val="auto"/>
              </w:rPr>
            </w:pPr>
          </w:p>
        </w:tc>
        <w:tc>
          <w:tcPr>
            <w:tcW w:w="1600" w:type="dxa"/>
            <w:vAlign w:val="bottom"/>
            <w:tcBorders>
              <w:right w:val="single" w:sz="8" w:color="3D85C6"/>
            </w:tcBorders>
            <w:shd w:val="clear" w:color="auto" w:fill="2D53A6"/>
          </w:tcPr>
          <w:p>
            <w:pPr>
              <w:spacing w:after="0"/>
              <w:rPr>
                <w:sz w:val="13"/>
                <w:szCs w:val="13"/>
                <w:color w:val="auto"/>
              </w:rPr>
            </w:pPr>
          </w:p>
        </w:tc>
        <w:tc>
          <w:tcPr>
            <w:tcW w:w="1600" w:type="dxa"/>
            <w:vAlign w:val="bottom"/>
            <w:tcBorders>
              <w:right w:val="single" w:sz="8" w:color="3D85C6"/>
            </w:tcBorders>
            <w:shd w:val="clear" w:color="auto" w:fill="2D53A6"/>
          </w:tcPr>
          <w:p>
            <w:pPr>
              <w:spacing w:after="0"/>
              <w:rPr>
                <w:sz w:val="13"/>
                <w:szCs w:val="13"/>
                <w:color w:val="auto"/>
              </w:rPr>
            </w:pP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Year over Year</w:t>
            </w:r>
          </w:p>
        </w:tc>
        <w:tc>
          <w:tcPr>
            <w:tcW w:w="144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End of the Prior</w:t>
            </w:r>
          </w:p>
        </w:tc>
        <w:tc>
          <w:tcPr>
            <w:tcW w:w="14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Paid on Stock</w:t>
            </w:r>
          </w:p>
        </w:tc>
        <w:tc>
          <w:tcPr>
            <w:tcW w:w="1440" w:type="dxa"/>
            <w:vAlign w:val="bottom"/>
            <w:tcBorders>
              <w:right w:val="single" w:sz="8" w:color="3D85C6"/>
            </w:tcBorders>
            <w:shd w:val="clear" w:color="auto" w:fill="2D53A6"/>
          </w:tcPr>
          <w:p>
            <w:pPr>
              <w:spacing w:after="0"/>
              <w:rPr>
                <w:sz w:val="13"/>
                <w:szCs w:val="13"/>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480" w:type="dxa"/>
            <w:vAlign w:val="bottom"/>
            <w:tcBorders>
              <w:right w:val="single" w:sz="8" w:color="3D85C6"/>
            </w:tcBorders>
            <w:shd w:val="clear" w:color="auto" w:fill="2D53A6"/>
          </w:tcPr>
          <w:p>
            <w:pPr>
              <w:spacing w:after="0"/>
              <w:rPr>
                <w:sz w:val="13"/>
                <w:szCs w:val="13"/>
                <w:color w:val="auto"/>
              </w:rPr>
            </w:pP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Year over Year</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6"/>
              </w:rPr>
              <w:t>Fair Value as of</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Change in Fair</w:t>
            </w:r>
          </w:p>
        </w:tc>
        <w:tc>
          <w:tcPr>
            <w:tcW w:w="144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Year of Equity</w:t>
            </w:r>
          </w:p>
        </w:tc>
        <w:tc>
          <w:tcPr>
            <w:tcW w:w="14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or Option</w:t>
            </w:r>
          </w:p>
        </w:tc>
        <w:tc>
          <w:tcPr>
            <w:tcW w:w="1440" w:type="dxa"/>
            <w:vAlign w:val="bottom"/>
            <w:tcBorders>
              <w:right w:val="single" w:sz="8" w:color="3D85C6"/>
            </w:tcBorders>
            <w:shd w:val="clear" w:color="auto" w:fill="2D53A6"/>
          </w:tcPr>
          <w:p>
            <w:pPr>
              <w:spacing w:after="0"/>
              <w:rPr>
                <w:sz w:val="13"/>
                <w:szCs w:val="13"/>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480" w:type="dxa"/>
            <w:vAlign w:val="bottom"/>
            <w:tcBorders>
              <w:right w:val="single" w:sz="8" w:color="3D85C6"/>
            </w:tcBorders>
            <w:shd w:val="clear" w:color="auto" w:fill="2D53A6"/>
          </w:tcPr>
          <w:p>
            <w:pPr>
              <w:spacing w:after="0"/>
              <w:rPr>
                <w:sz w:val="13"/>
                <w:szCs w:val="13"/>
                <w:color w:val="auto"/>
              </w:rPr>
            </w:pP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Change in Fair</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Vesting Date of</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Value of Equity</w:t>
            </w:r>
          </w:p>
        </w:tc>
        <w:tc>
          <w:tcPr>
            <w:tcW w:w="144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Awards that</w:t>
            </w:r>
          </w:p>
        </w:tc>
        <w:tc>
          <w:tcPr>
            <w:tcW w:w="14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Awards not</w:t>
            </w:r>
          </w:p>
        </w:tc>
        <w:tc>
          <w:tcPr>
            <w:tcW w:w="1440" w:type="dxa"/>
            <w:vAlign w:val="bottom"/>
            <w:tcBorders>
              <w:right w:val="single" w:sz="8" w:color="3D85C6"/>
            </w:tcBorders>
            <w:shd w:val="clear" w:color="auto" w:fill="2D53A6"/>
          </w:tcPr>
          <w:p>
            <w:pPr>
              <w:spacing w:after="0"/>
              <w:rPr>
                <w:sz w:val="13"/>
                <w:szCs w:val="13"/>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480" w:type="dxa"/>
            <w:vAlign w:val="bottom"/>
            <w:tcBorders>
              <w:right w:val="single" w:sz="8" w:color="3D85C6"/>
            </w:tcBorders>
            <w:shd w:val="clear" w:color="auto" w:fill="2D53A6"/>
          </w:tcPr>
          <w:p>
            <w:pPr>
              <w:spacing w:after="0"/>
              <w:rPr>
                <w:sz w:val="13"/>
                <w:szCs w:val="13"/>
                <w:color w:val="auto"/>
              </w:rPr>
            </w:pP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5"/>
              </w:rPr>
              <w:t>Value of</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Equity Awards</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Awards Granted</w:t>
            </w:r>
          </w:p>
        </w:tc>
        <w:tc>
          <w:tcPr>
            <w:tcW w:w="144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Failed to Meet</w:t>
            </w:r>
          </w:p>
        </w:tc>
        <w:tc>
          <w:tcPr>
            <w:tcW w:w="14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Otherwise</w:t>
            </w:r>
          </w:p>
        </w:tc>
        <w:tc>
          <w:tcPr>
            <w:tcW w:w="1440" w:type="dxa"/>
            <w:vAlign w:val="bottom"/>
            <w:tcBorders>
              <w:right w:val="single" w:sz="8" w:color="3D85C6"/>
            </w:tcBorders>
            <w:shd w:val="clear" w:color="auto" w:fill="2D53A6"/>
          </w:tcPr>
          <w:p>
            <w:pPr>
              <w:spacing w:after="0"/>
              <w:rPr>
                <w:sz w:val="13"/>
                <w:szCs w:val="13"/>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48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Year End Fair</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6"/>
              </w:rPr>
              <w:t>Outstanding</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6"/>
              </w:rPr>
              <w:t>Granted and</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6"/>
              </w:rPr>
              <w:t>in Prior Years</w:t>
            </w:r>
          </w:p>
        </w:tc>
        <w:tc>
          <w:tcPr>
            <w:tcW w:w="144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Vesting</w:t>
            </w:r>
          </w:p>
        </w:tc>
        <w:tc>
          <w:tcPr>
            <w:tcW w:w="14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Reflected in Fair</w:t>
            </w:r>
          </w:p>
        </w:tc>
        <w:tc>
          <w:tcPr>
            <w:tcW w:w="144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Total Equity</w:t>
            </w: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48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Value of Equity</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and Unvested</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6"/>
              </w:rPr>
              <w:t>Vested in the</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that Vested in</w:t>
            </w:r>
          </w:p>
        </w:tc>
        <w:tc>
          <w:tcPr>
            <w:tcW w:w="144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Conditions in</w:t>
            </w:r>
          </w:p>
        </w:tc>
        <w:tc>
          <w:tcPr>
            <w:tcW w:w="14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4"/>
              </w:rPr>
              <w:t>Value or Total</w:t>
            </w:r>
          </w:p>
        </w:tc>
        <w:tc>
          <w:tcPr>
            <w:tcW w:w="144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Award</w:t>
            </w:r>
          </w:p>
        </w:tc>
      </w:tr>
      <w:tr>
        <w:trPr>
          <w:trHeight w:val="165"/>
        </w:trPr>
        <w:tc>
          <w:tcPr>
            <w:tcW w:w="680" w:type="dxa"/>
            <w:vAlign w:val="bottom"/>
            <w:tcBorders>
              <w:left w:val="single" w:sz="8" w:color="3D85C6"/>
              <w:right w:val="single" w:sz="8" w:color="3D85C6"/>
            </w:tcBorders>
            <w:shd w:val="clear" w:color="auto" w:fill="2D53A6"/>
          </w:tcPr>
          <w:p>
            <w:pPr>
              <w:ind w:left="200"/>
              <w:spacing w:after="0"/>
              <w:rPr>
                <w:sz w:val="20"/>
                <w:szCs w:val="20"/>
                <w:color w:val="auto"/>
              </w:rPr>
            </w:pPr>
            <w:r>
              <w:rPr>
                <w:rFonts w:ascii="Arial" w:cs="Arial" w:eastAsia="Arial" w:hAnsi="Arial"/>
                <w:sz w:val="14"/>
                <w:szCs w:val="14"/>
                <w:b w:val="1"/>
                <w:bCs w:val="1"/>
                <w:color w:val="FFFFFF"/>
              </w:rPr>
              <w:t>Year</w:t>
            </w:r>
          </w:p>
        </w:tc>
        <w:tc>
          <w:tcPr>
            <w:tcW w:w="148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4"/>
              </w:rPr>
              <w:t>Awards</w:t>
            </w:r>
          </w:p>
        </w:tc>
        <w:tc>
          <w:tcPr>
            <w:tcW w:w="160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Equity Awards</w:t>
            </w:r>
          </w:p>
        </w:tc>
        <w:tc>
          <w:tcPr>
            <w:tcW w:w="160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2"/>
              </w:rPr>
              <w:t>Year</w:t>
            </w:r>
          </w:p>
        </w:tc>
        <w:tc>
          <w:tcPr>
            <w:tcW w:w="160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7"/>
              </w:rPr>
              <w:t>the Year</w:t>
            </w:r>
          </w:p>
        </w:tc>
        <w:tc>
          <w:tcPr>
            <w:tcW w:w="144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7"/>
              </w:rPr>
              <w:t>the Year</w:t>
            </w:r>
          </w:p>
        </w:tc>
        <w:tc>
          <w:tcPr>
            <w:tcW w:w="142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Compensation</w:t>
            </w:r>
          </w:p>
        </w:tc>
        <w:tc>
          <w:tcPr>
            <w:tcW w:w="144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6"/>
              </w:rPr>
              <w:t>Adjustments</w:t>
            </w:r>
          </w:p>
        </w:tc>
      </w:tr>
      <w:tr>
        <w:trPr>
          <w:trHeight w:val="169"/>
        </w:trPr>
        <w:tc>
          <w:tcPr>
            <w:tcW w:w="680" w:type="dxa"/>
            <w:vAlign w:val="bottom"/>
            <w:tcBorders>
              <w:left w:val="single" w:sz="8" w:color="3D85C6"/>
              <w:right w:val="single" w:sz="8" w:color="3D85C6"/>
            </w:tcBorders>
            <w:shd w:val="clear" w:color="auto" w:fill="2D53A6"/>
          </w:tcPr>
          <w:p>
            <w:pPr>
              <w:spacing w:after="0"/>
              <w:rPr>
                <w:sz w:val="14"/>
                <w:szCs w:val="14"/>
                <w:color w:val="auto"/>
              </w:rPr>
            </w:pPr>
          </w:p>
        </w:tc>
        <w:tc>
          <w:tcPr>
            <w:tcW w:w="148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3"/>
              </w:rPr>
              <w:t>($)</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3"/>
              </w:rPr>
              <w:t>($)</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3"/>
              </w:rPr>
              <w:t>($)</w:t>
            </w:r>
          </w:p>
        </w:tc>
        <w:tc>
          <w:tcPr>
            <w:tcW w:w="16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3"/>
              </w:rPr>
              <w:t>($)</w:t>
            </w:r>
          </w:p>
        </w:tc>
        <w:tc>
          <w:tcPr>
            <w:tcW w:w="144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c>
          <w:tcPr>
            <w:tcW w:w="14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3"/>
              </w:rPr>
              <w:t>($)</w:t>
            </w:r>
          </w:p>
        </w:tc>
        <w:tc>
          <w:tcPr>
            <w:tcW w:w="144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r>
      <w:tr>
        <w:trPr>
          <w:trHeight w:val="156"/>
        </w:trPr>
        <w:tc>
          <w:tcPr>
            <w:tcW w:w="680" w:type="dxa"/>
            <w:vAlign w:val="bottom"/>
            <w:tcBorders>
              <w:left w:val="single" w:sz="8" w:color="3D85C6"/>
              <w:bottom w:val="single" w:sz="8" w:color="3D85C6"/>
              <w:right w:val="single" w:sz="8" w:color="3D85C6"/>
            </w:tcBorders>
          </w:tcPr>
          <w:p>
            <w:pPr>
              <w:ind w:left="180"/>
              <w:spacing w:after="0" w:line="156" w:lineRule="exact"/>
              <w:rPr>
                <w:sz w:val="20"/>
                <w:szCs w:val="20"/>
                <w:color w:val="auto"/>
              </w:rPr>
            </w:pPr>
            <w:r>
              <w:rPr>
                <w:rFonts w:ascii="Arial" w:cs="Arial" w:eastAsia="Arial" w:hAnsi="Arial"/>
                <w:sz w:val="14"/>
                <w:szCs w:val="14"/>
                <w:color w:val="auto"/>
              </w:rPr>
              <w:t>2025</w:t>
            </w:r>
          </w:p>
        </w:tc>
        <w:tc>
          <w:tcPr>
            <w:tcW w:w="1480" w:type="dxa"/>
            <w:vAlign w:val="bottom"/>
            <w:tcBorders>
              <w:bottom w:val="single" w:sz="8" w:color="3D85C6"/>
              <w:right w:val="single" w:sz="8" w:color="3D85C6"/>
            </w:tcBorders>
          </w:tcPr>
          <w:p>
            <w:pPr>
              <w:jc w:val="right"/>
              <w:ind w:right="51"/>
              <w:spacing w:after="0" w:line="156" w:lineRule="exact"/>
              <w:rPr>
                <w:sz w:val="20"/>
                <w:szCs w:val="20"/>
                <w:color w:val="auto"/>
              </w:rPr>
            </w:pPr>
            <w:r>
              <w:rPr>
                <w:rFonts w:ascii="Arial" w:cs="Arial" w:eastAsia="Arial" w:hAnsi="Arial"/>
                <w:sz w:val="14"/>
                <w:szCs w:val="14"/>
                <w:color w:val="auto"/>
              </w:rPr>
              <w:t>5,465,854</w:t>
            </w:r>
          </w:p>
        </w:tc>
        <w:tc>
          <w:tcPr>
            <w:tcW w:w="1600" w:type="dxa"/>
            <w:vAlign w:val="bottom"/>
            <w:tcBorders>
              <w:bottom w:val="single" w:sz="8" w:color="3D85C6"/>
              <w:right w:val="single" w:sz="8" w:color="3D85C6"/>
            </w:tcBorders>
          </w:tcPr>
          <w:p>
            <w:pPr>
              <w:jc w:val="right"/>
              <w:ind w:right="11"/>
              <w:spacing w:after="0" w:line="156" w:lineRule="exact"/>
              <w:rPr>
                <w:sz w:val="20"/>
                <w:szCs w:val="20"/>
                <w:color w:val="auto"/>
              </w:rPr>
            </w:pPr>
            <w:r>
              <w:rPr>
                <w:rFonts w:ascii="Arial" w:cs="Arial" w:eastAsia="Arial" w:hAnsi="Arial"/>
                <w:sz w:val="14"/>
                <w:szCs w:val="14"/>
                <w:color w:val="auto"/>
              </w:rPr>
              <w:t>(1,455,751)</w:t>
            </w:r>
          </w:p>
        </w:tc>
        <w:tc>
          <w:tcPr>
            <w:tcW w:w="1600" w:type="dxa"/>
            <w:vAlign w:val="bottom"/>
            <w:tcBorders>
              <w:bottom w:val="single" w:sz="8" w:color="3D85C6"/>
              <w:right w:val="single" w:sz="8" w:color="3D85C6"/>
            </w:tcBorders>
          </w:tcPr>
          <w:p>
            <w:pPr>
              <w:jc w:val="right"/>
              <w:ind w:right="51"/>
              <w:spacing w:after="0" w:line="156"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3D85C6"/>
              <w:right w:val="single" w:sz="8" w:color="3D85C6"/>
            </w:tcBorders>
          </w:tcPr>
          <w:p>
            <w:pPr>
              <w:jc w:val="right"/>
              <w:ind w:right="11"/>
              <w:spacing w:after="0" w:line="156" w:lineRule="exact"/>
              <w:rPr>
                <w:sz w:val="20"/>
                <w:szCs w:val="20"/>
                <w:color w:val="auto"/>
              </w:rPr>
            </w:pPr>
            <w:r>
              <w:rPr>
                <w:rFonts w:ascii="Arial" w:cs="Arial" w:eastAsia="Arial" w:hAnsi="Arial"/>
                <w:sz w:val="14"/>
                <w:szCs w:val="14"/>
                <w:color w:val="auto"/>
              </w:rPr>
              <w:t>(537,781)</w:t>
            </w:r>
          </w:p>
        </w:tc>
        <w:tc>
          <w:tcPr>
            <w:tcW w:w="1440" w:type="dxa"/>
            <w:vAlign w:val="bottom"/>
            <w:tcBorders>
              <w:bottom w:val="single" w:sz="8" w:color="3D85C6"/>
              <w:right w:val="single" w:sz="8" w:color="3D85C6"/>
            </w:tcBorders>
          </w:tcPr>
          <w:p>
            <w:pPr>
              <w:jc w:val="right"/>
              <w:ind w:right="51"/>
              <w:spacing w:after="0" w:line="156"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3D85C6"/>
              <w:right w:val="single" w:sz="8" w:color="3D85C6"/>
            </w:tcBorders>
          </w:tcPr>
          <w:p>
            <w:pPr>
              <w:jc w:val="right"/>
              <w:ind w:right="31"/>
              <w:spacing w:after="0" w:line="156"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3D85C6"/>
              <w:right w:val="single" w:sz="8" w:color="3D85C6"/>
            </w:tcBorders>
          </w:tcPr>
          <w:p>
            <w:pPr>
              <w:jc w:val="right"/>
              <w:ind w:right="51"/>
              <w:spacing w:after="0" w:line="156" w:lineRule="exact"/>
              <w:rPr>
                <w:sz w:val="20"/>
                <w:szCs w:val="20"/>
                <w:color w:val="auto"/>
              </w:rPr>
            </w:pPr>
            <w:r>
              <w:rPr>
                <w:rFonts w:ascii="Arial" w:cs="Arial" w:eastAsia="Arial" w:hAnsi="Arial"/>
                <w:sz w:val="14"/>
                <w:szCs w:val="14"/>
                <w:color w:val="auto"/>
              </w:rPr>
              <w:t>3,472,322</w:t>
            </w:r>
          </w:p>
        </w:tc>
      </w:tr>
      <w:tr>
        <w:trPr>
          <w:trHeight w:val="149"/>
        </w:trPr>
        <w:tc>
          <w:tcPr>
            <w:tcW w:w="680" w:type="dxa"/>
            <w:vAlign w:val="bottom"/>
            <w:tcBorders>
              <w:left w:val="single" w:sz="8" w:color="3D85C6"/>
              <w:bottom w:val="single" w:sz="8" w:color="3D85C6"/>
              <w:right w:val="single" w:sz="8" w:color="3D85C6"/>
            </w:tcBorders>
            <w:shd w:val="clear" w:color="auto" w:fill="E6E6E6"/>
          </w:tcPr>
          <w:p>
            <w:pPr>
              <w:ind w:left="180"/>
              <w:spacing w:after="0" w:line="149" w:lineRule="exact"/>
              <w:rPr>
                <w:sz w:val="20"/>
                <w:szCs w:val="20"/>
                <w:color w:val="auto"/>
              </w:rPr>
            </w:pPr>
            <w:r>
              <w:rPr>
                <w:rFonts w:ascii="Arial" w:cs="Arial" w:eastAsia="Arial" w:hAnsi="Arial"/>
                <w:sz w:val="14"/>
                <w:szCs w:val="14"/>
                <w:color w:val="auto"/>
              </w:rPr>
              <w:t>2024</w:t>
            </w:r>
          </w:p>
        </w:tc>
        <w:tc>
          <w:tcPr>
            <w:tcW w:w="148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2,376,980</w:t>
            </w:r>
          </w:p>
        </w:tc>
        <w:tc>
          <w:tcPr>
            <w:tcW w:w="1600" w:type="dxa"/>
            <w:vAlign w:val="bottom"/>
            <w:tcBorders>
              <w:bottom w:val="single" w:sz="8" w:color="3D85C6"/>
              <w:right w:val="single" w:sz="8" w:color="3D85C6"/>
            </w:tcBorders>
            <w:shd w:val="clear" w:color="auto" w:fill="E6E6E6"/>
          </w:tcPr>
          <w:p>
            <w:pPr>
              <w:jc w:val="right"/>
              <w:ind w:right="11"/>
              <w:spacing w:after="0" w:line="149" w:lineRule="exact"/>
              <w:rPr>
                <w:sz w:val="20"/>
                <w:szCs w:val="20"/>
                <w:color w:val="auto"/>
              </w:rPr>
            </w:pPr>
            <w:r>
              <w:rPr>
                <w:rFonts w:ascii="Arial" w:cs="Arial" w:eastAsia="Arial" w:hAnsi="Arial"/>
                <w:sz w:val="14"/>
                <w:szCs w:val="14"/>
                <w:color w:val="auto"/>
              </w:rPr>
              <w:t>(4,371,968)</w:t>
            </w:r>
          </w:p>
        </w:tc>
        <w:tc>
          <w:tcPr>
            <w:tcW w:w="160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3D85C6"/>
              <w:right w:val="single" w:sz="8" w:color="3D85C6"/>
            </w:tcBorders>
            <w:shd w:val="clear" w:color="auto" w:fill="E6E6E6"/>
          </w:tcPr>
          <w:p>
            <w:pPr>
              <w:jc w:val="right"/>
              <w:ind w:right="11"/>
              <w:spacing w:after="0" w:line="149" w:lineRule="exact"/>
              <w:rPr>
                <w:sz w:val="20"/>
                <w:szCs w:val="20"/>
                <w:color w:val="auto"/>
              </w:rPr>
            </w:pPr>
            <w:r>
              <w:rPr>
                <w:rFonts w:ascii="Arial" w:cs="Arial" w:eastAsia="Arial" w:hAnsi="Arial"/>
                <w:sz w:val="14"/>
                <w:szCs w:val="14"/>
                <w:color w:val="auto"/>
              </w:rPr>
              <w:t>(202,315)</w:t>
            </w:r>
          </w:p>
        </w:tc>
        <w:tc>
          <w:tcPr>
            <w:tcW w:w="144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3D85C6"/>
              <w:right w:val="single" w:sz="8" w:color="3D85C6"/>
            </w:tcBorders>
            <w:shd w:val="clear" w:color="auto" w:fill="E6E6E6"/>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3D85C6"/>
              <w:right w:val="single" w:sz="8" w:color="3D85C6"/>
            </w:tcBorders>
            <w:shd w:val="clear" w:color="auto" w:fill="E6E6E6"/>
          </w:tcPr>
          <w:p>
            <w:pPr>
              <w:jc w:val="right"/>
              <w:ind w:right="11"/>
              <w:spacing w:after="0" w:line="149" w:lineRule="exact"/>
              <w:rPr>
                <w:sz w:val="20"/>
                <w:szCs w:val="20"/>
                <w:color w:val="auto"/>
              </w:rPr>
            </w:pPr>
            <w:r>
              <w:rPr>
                <w:rFonts w:ascii="Arial" w:cs="Arial" w:eastAsia="Arial" w:hAnsi="Arial"/>
                <w:sz w:val="14"/>
                <w:szCs w:val="14"/>
                <w:color w:val="auto"/>
              </w:rPr>
              <w:t>(2,197,303)</w:t>
            </w:r>
          </w:p>
        </w:tc>
      </w:tr>
      <w:tr>
        <w:trPr>
          <w:trHeight w:val="149"/>
        </w:trPr>
        <w:tc>
          <w:tcPr>
            <w:tcW w:w="680" w:type="dxa"/>
            <w:vAlign w:val="bottom"/>
            <w:tcBorders>
              <w:left w:val="single" w:sz="8" w:color="3D85C6"/>
              <w:bottom w:val="single" w:sz="8" w:color="3D85C6"/>
              <w:right w:val="single" w:sz="8" w:color="3D85C6"/>
            </w:tcBorders>
          </w:tcPr>
          <w:p>
            <w:pPr>
              <w:ind w:left="180"/>
              <w:spacing w:after="0" w:line="149" w:lineRule="exact"/>
              <w:rPr>
                <w:sz w:val="20"/>
                <w:szCs w:val="20"/>
                <w:color w:val="auto"/>
              </w:rPr>
            </w:pPr>
            <w:r>
              <w:rPr>
                <w:rFonts w:ascii="Arial" w:cs="Arial" w:eastAsia="Arial" w:hAnsi="Arial"/>
                <w:sz w:val="14"/>
                <w:szCs w:val="14"/>
                <w:color w:val="auto"/>
              </w:rPr>
              <w:t>2023</w:t>
            </w:r>
          </w:p>
        </w:tc>
        <w:tc>
          <w:tcPr>
            <w:tcW w:w="148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1,557,302</w:t>
            </w:r>
          </w:p>
        </w:tc>
        <w:tc>
          <w:tcPr>
            <w:tcW w:w="160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252,541</w:t>
            </w:r>
          </w:p>
        </w:tc>
        <w:tc>
          <w:tcPr>
            <w:tcW w:w="160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284,437</w:t>
            </w:r>
          </w:p>
        </w:tc>
        <w:tc>
          <w:tcPr>
            <w:tcW w:w="144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3D85C6"/>
              <w:right w:val="single" w:sz="8" w:color="3D85C6"/>
            </w:tcBorders>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2,094,280</w:t>
            </w:r>
          </w:p>
        </w:tc>
      </w:tr>
      <w:tr>
        <w:trPr>
          <w:trHeight w:val="149"/>
        </w:trPr>
        <w:tc>
          <w:tcPr>
            <w:tcW w:w="680" w:type="dxa"/>
            <w:vAlign w:val="bottom"/>
            <w:tcBorders>
              <w:left w:val="single" w:sz="8" w:color="3D85C6"/>
              <w:bottom w:val="single" w:sz="8" w:color="3D85C6"/>
              <w:right w:val="single" w:sz="8" w:color="3D85C6"/>
            </w:tcBorders>
            <w:shd w:val="clear" w:color="auto" w:fill="E6E6E6"/>
          </w:tcPr>
          <w:p>
            <w:pPr>
              <w:ind w:left="180"/>
              <w:spacing w:after="0" w:line="149" w:lineRule="exact"/>
              <w:rPr>
                <w:sz w:val="20"/>
                <w:szCs w:val="20"/>
                <w:color w:val="auto"/>
              </w:rPr>
            </w:pPr>
            <w:r>
              <w:rPr>
                <w:rFonts w:ascii="Arial" w:cs="Arial" w:eastAsia="Arial" w:hAnsi="Arial"/>
                <w:sz w:val="14"/>
                <w:szCs w:val="14"/>
                <w:color w:val="auto"/>
              </w:rPr>
              <w:t>2022</w:t>
            </w:r>
          </w:p>
        </w:tc>
        <w:tc>
          <w:tcPr>
            <w:tcW w:w="148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4,186,241</w:t>
            </w:r>
          </w:p>
        </w:tc>
        <w:tc>
          <w:tcPr>
            <w:tcW w:w="1600" w:type="dxa"/>
            <w:vAlign w:val="bottom"/>
            <w:tcBorders>
              <w:bottom w:val="single" w:sz="8" w:color="3D85C6"/>
              <w:right w:val="single" w:sz="8" w:color="3D85C6"/>
            </w:tcBorders>
            <w:shd w:val="clear" w:color="auto" w:fill="E6E6E6"/>
          </w:tcPr>
          <w:p>
            <w:pPr>
              <w:jc w:val="right"/>
              <w:ind w:right="11"/>
              <w:spacing w:after="0" w:line="149" w:lineRule="exact"/>
              <w:rPr>
                <w:sz w:val="20"/>
                <w:szCs w:val="20"/>
                <w:color w:val="auto"/>
              </w:rPr>
            </w:pPr>
            <w:r>
              <w:rPr>
                <w:rFonts w:ascii="Arial" w:cs="Arial" w:eastAsia="Arial" w:hAnsi="Arial"/>
                <w:sz w:val="14"/>
                <w:szCs w:val="14"/>
                <w:color w:val="auto"/>
              </w:rPr>
              <w:t>(287,392)</w:t>
            </w:r>
          </w:p>
        </w:tc>
        <w:tc>
          <w:tcPr>
            <w:tcW w:w="160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63,290</w:t>
            </w:r>
          </w:p>
        </w:tc>
        <w:tc>
          <w:tcPr>
            <w:tcW w:w="1440" w:type="dxa"/>
            <w:vAlign w:val="bottom"/>
            <w:tcBorders>
              <w:bottom w:val="single" w:sz="8" w:color="3D85C6"/>
              <w:right w:val="single" w:sz="8" w:color="3D85C6"/>
            </w:tcBorders>
            <w:shd w:val="clear" w:color="auto" w:fill="E6E6E6"/>
          </w:tcPr>
          <w:p>
            <w:pPr>
              <w:jc w:val="right"/>
              <w:ind w:right="11"/>
              <w:spacing w:after="0" w:line="149" w:lineRule="exact"/>
              <w:rPr>
                <w:sz w:val="20"/>
                <w:szCs w:val="20"/>
                <w:color w:val="auto"/>
              </w:rPr>
            </w:pPr>
            <w:r>
              <w:rPr>
                <w:rFonts w:ascii="Arial" w:cs="Arial" w:eastAsia="Arial" w:hAnsi="Arial"/>
                <w:sz w:val="14"/>
                <w:szCs w:val="14"/>
                <w:color w:val="auto"/>
              </w:rPr>
              <w:t>(549,262)</w:t>
            </w:r>
          </w:p>
        </w:tc>
        <w:tc>
          <w:tcPr>
            <w:tcW w:w="1420" w:type="dxa"/>
            <w:vAlign w:val="bottom"/>
            <w:tcBorders>
              <w:bottom w:val="single" w:sz="8" w:color="3D85C6"/>
              <w:right w:val="single" w:sz="8" w:color="3D85C6"/>
            </w:tcBorders>
            <w:shd w:val="clear" w:color="auto" w:fill="E6E6E6"/>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3,412,877</w:t>
            </w:r>
          </w:p>
        </w:tc>
      </w:tr>
      <w:tr>
        <w:trPr>
          <w:trHeight w:val="149"/>
        </w:trPr>
        <w:tc>
          <w:tcPr>
            <w:tcW w:w="680" w:type="dxa"/>
            <w:vAlign w:val="bottom"/>
            <w:tcBorders>
              <w:left w:val="single" w:sz="8" w:color="3D85C6"/>
              <w:bottom w:val="single" w:sz="8" w:color="3D85C6"/>
              <w:right w:val="single" w:sz="8" w:color="3D85C6"/>
            </w:tcBorders>
          </w:tcPr>
          <w:p>
            <w:pPr>
              <w:ind w:left="180"/>
              <w:spacing w:after="0" w:line="149" w:lineRule="exact"/>
              <w:rPr>
                <w:sz w:val="20"/>
                <w:szCs w:val="20"/>
                <w:color w:val="auto"/>
              </w:rPr>
            </w:pPr>
            <w:r>
              <w:rPr>
                <w:rFonts w:ascii="Arial" w:cs="Arial" w:eastAsia="Arial" w:hAnsi="Arial"/>
                <w:sz w:val="14"/>
                <w:szCs w:val="14"/>
                <w:color w:val="auto"/>
              </w:rPr>
              <w:t>2021</w:t>
            </w:r>
          </w:p>
        </w:tc>
        <w:tc>
          <w:tcPr>
            <w:tcW w:w="148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2,406,454</w:t>
            </w:r>
          </w:p>
        </w:tc>
        <w:tc>
          <w:tcPr>
            <w:tcW w:w="1600" w:type="dxa"/>
            <w:vAlign w:val="bottom"/>
            <w:tcBorders>
              <w:bottom w:val="single" w:sz="8" w:color="3D85C6"/>
              <w:right w:val="single" w:sz="8" w:color="3D85C6"/>
            </w:tcBorders>
          </w:tcPr>
          <w:p>
            <w:pPr>
              <w:jc w:val="right"/>
              <w:ind w:right="11"/>
              <w:spacing w:after="0" w:line="149" w:lineRule="exact"/>
              <w:rPr>
                <w:sz w:val="20"/>
                <w:szCs w:val="20"/>
                <w:color w:val="auto"/>
              </w:rPr>
            </w:pPr>
            <w:r>
              <w:rPr>
                <w:rFonts w:ascii="Arial" w:cs="Arial" w:eastAsia="Arial" w:hAnsi="Arial"/>
                <w:sz w:val="14"/>
                <w:szCs w:val="14"/>
                <w:color w:val="auto"/>
              </w:rPr>
              <w:t>(3,329,004)</w:t>
            </w:r>
          </w:p>
        </w:tc>
        <w:tc>
          <w:tcPr>
            <w:tcW w:w="160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191,516</w:t>
            </w:r>
          </w:p>
        </w:tc>
        <w:tc>
          <w:tcPr>
            <w:tcW w:w="144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3D85C6"/>
              <w:right w:val="single" w:sz="8" w:color="3D85C6"/>
            </w:tcBorders>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3D85C6"/>
              <w:right w:val="single" w:sz="8" w:color="3D85C6"/>
            </w:tcBorders>
          </w:tcPr>
          <w:p>
            <w:pPr>
              <w:jc w:val="right"/>
              <w:ind w:right="11"/>
              <w:spacing w:after="0" w:line="149" w:lineRule="exact"/>
              <w:rPr>
                <w:sz w:val="20"/>
                <w:szCs w:val="20"/>
                <w:color w:val="auto"/>
              </w:rPr>
            </w:pPr>
            <w:r>
              <w:rPr>
                <w:rFonts w:ascii="Arial" w:cs="Arial" w:eastAsia="Arial" w:hAnsi="Arial"/>
                <w:sz w:val="14"/>
                <w:szCs w:val="14"/>
                <w:color w:val="auto"/>
              </w:rPr>
              <w:t>(731,034)</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Average Other NEOs SCT Total to CAP Reconciliation</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680" w:type="dxa"/>
            <w:vAlign w:val="bottom"/>
            <w:tcBorders>
              <w:left w:val="single" w:sz="8" w:color="3D85C6"/>
              <w:right w:val="single" w:sz="8" w:color="3D85C6"/>
            </w:tcBorders>
            <w:shd w:val="clear" w:color="auto" w:fill="2D53A6"/>
          </w:tcPr>
          <w:p>
            <w:pPr>
              <w:spacing w:after="0"/>
              <w:rPr>
                <w:sz w:val="14"/>
                <w:szCs w:val="14"/>
                <w:color w:val="auto"/>
              </w:rPr>
            </w:pPr>
          </w:p>
        </w:tc>
        <w:tc>
          <w:tcPr>
            <w:tcW w:w="182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7"/>
              </w:rPr>
              <w:t>Average Reported</w:t>
            </w:r>
          </w:p>
        </w:tc>
        <w:tc>
          <w:tcPr>
            <w:tcW w:w="1820" w:type="dxa"/>
            <w:vAlign w:val="bottom"/>
            <w:tcBorders>
              <w:right w:val="single" w:sz="8" w:color="3D85C6"/>
            </w:tcBorders>
            <w:shd w:val="clear" w:color="auto" w:fill="2D53A6"/>
          </w:tcPr>
          <w:p>
            <w:pPr>
              <w:spacing w:after="0"/>
              <w:rPr>
                <w:sz w:val="14"/>
                <w:szCs w:val="14"/>
                <w:color w:val="auto"/>
              </w:rPr>
            </w:pPr>
          </w:p>
        </w:tc>
        <w:tc>
          <w:tcPr>
            <w:tcW w:w="1820" w:type="dxa"/>
            <w:vAlign w:val="bottom"/>
            <w:tcBorders>
              <w:right w:val="single" w:sz="8" w:color="3D85C6"/>
            </w:tcBorders>
            <w:shd w:val="clear" w:color="auto" w:fill="2D53A6"/>
          </w:tcPr>
          <w:p>
            <w:pPr>
              <w:spacing w:after="0"/>
              <w:rPr>
                <w:sz w:val="14"/>
                <w:szCs w:val="14"/>
                <w:color w:val="auto"/>
              </w:rPr>
            </w:pPr>
          </w:p>
        </w:tc>
        <w:tc>
          <w:tcPr>
            <w:tcW w:w="180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Average Reported</w:t>
            </w:r>
          </w:p>
        </w:tc>
        <w:tc>
          <w:tcPr>
            <w:tcW w:w="1760" w:type="dxa"/>
            <w:vAlign w:val="bottom"/>
            <w:tcBorders>
              <w:right w:val="single" w:sz="8" w:color="3D85C6"/>
            </w:tcBorders>
            <w:shd w:val="clear" w:color="auto" w:fill="2D53A6"/>
          </w:tcPr>
          <w:p>
            <w:pPr>
              <w:spacing w:after="0"/>
              <w:rPr>
                <w:sz w:val="14"/>
                <w:szCs w:val="14"/>
                <w:color w:val="auto"/>
              </w:rPr>
            </w:pPr>
          </w:p>
        </w:tc>
        <w:tc>
          <w:tcPr>
            <w:tcW w:w="1560" w:type="dxa"/>
            <w:vAlign w:val="bottom"/>
            <w:tcBorders>
              <w:right w:val="single" w:sz="8" w:color="3D85C6"/>
            </w:tcBorders>
            <w:shd w:val="clear" w:color="auto" w:fill="2D53A6"/>
          </w:tcPr>
          <w:p>
            <w:pPr>
              <w:spacing w:after="0"/>
              <w:rPr>
                <w:sz w:val="14"/>
                <w:szCs w:val="14"/>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Summary</w:t>
            </w:r>
          </w:p>
        </w:tc>
        <w:tc>
          <w:tcPr>
            <w:tcW w:w="1820" w:type="dxa"/>
            <w:vAlign w:val="bottom"/>
            <w:tcBorders>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spacing w:after="0"/>
              <w:rPr>
                <w:sz w:val="13"/>
                <w:szCs w:val="13"/>
                <w:color w:val="auto"/>
              </w:rPr>
            </w:pPr>
          </w:p>
        </w:tc>
        <w:tc>
          <w:tcPr>
            <w:tcW w:w="18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Change in the</w:t>
            </w:r>
          </w:p>
        </w:tc>
        <w:tc>
          <w:tcPr>
            <w:tcW w:w="1760" w:type="dxa"/>
            <w:vAlign w:val="bottom"/>
            <w:tcBorders>
              <w:right w:val="single" w:sz="8" w:color="3D85C6"/>
            </w:tcBorders>
            <w:shd w:val="clear" w:color="auto" w:fill="2D53A6"/>
          </w:tcPr>
          <w:p>
            <w:pPr>
              <w:spacing w:after="0"/>
              <w:rPr>
                <w:sz w:val="13"/>
                <w:szCs w:val="13"/>
                <w:color w:val="auto"/>
              </w:rPr>
            </w:pPr>
          </w:p>
        </w:tc>
        <w:tc>
          <w:tcPr>
            <w:tcW w:w="1560" w:type="dxa"/>
            <w:vAlign w:val="bottom"/>
            <w:tcBorders>
              <w:right w:val="single" w:sz="8" w:color="3D85C6"/>
            </w:tcBorders>
            <w:shd w:val="clear" w:color="auto" w:fill="2D53A6"/>
          </w:tcPr>
          <w:p>
            <w:pPr>
              <w:spacing w:after="0"/>
              <w:rPr>
                <w:sz w:val="13"/>
                <w:szCs w:val="13"/>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Compensation</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Average Reported</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Average Equity</w:t>
            </w:r>
          </w:p>
        </w:tc>
        <w:tc>
          <w:tcPr>
            <w:tcW w:w="18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Actuarial Present</w:t>
            </w:r>
          </w:p>
        </w:tc>
        <w:tc>
          <w:tcPr>
            <w:tcW w:w="1760" w:type="dxa"/>
            <w:vAlign w:val="bottom"/>
            <w:tcBorders>
              <w:right w:val="single" w:sz="8" w:color="3D85C6"/>
            </w:tcBorders>
            <w:shd w:val="clear" w:color="auto" w:fill="2D53A6"/>
          </w:tcPr>
          <w:p>
            <w:pPr>
              <w:spacing w:after="0"/>
              <w:rPr>
                <w:sz w:val="13"/>
                <w:szCs w:val="13"/>
                <w:color w:val="auto"/>
              </w:rPr>
            </w:pPr>
          </w:p>
        </w:tc>
        <w:tc>
          <w:tcPr>
            <w:tcW w:w="1560" w:type="dxa"/>
            <w:vAlign w:val="bottom"/>
            <w:tcBorders>
              <w:right w:val="single" w:sz="8" w:color="3D85C6"/>
            </w:tcBorders>
            <w:shd w:val="clear" w:color="auto" w:fill="2D53A6"/>
          </w:tcPr>
          <w:p>
            <w:pPr>
              <w:spacing w:after="0"/>
              <w:rPr>
                <w:sz w:val="13"/>
                <w:szCs w:val="13"/>
                <w:color w:val="auto"/>
              </w:rPr>
            </w:pPr>
          </w:p>
        </w:tc>
      </w:tr>
      <w:tr>
        <w:trPr>
          <w:trHeight w:val="153"/>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7"/>
              </w:rPr>
              <w:t>Table Total for</w:t>
            </w:r>
          </w:p>
        </w:tc>
        <w:tc>
          <w:tcPr>
            <w:tcW w:w="182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6"/>
              </w:rPr>
              <w:t>Value of Equity</w:t>
            </w:r>
          </w:p>
        </w:tc>
        <w:tc>
          <w:tcPr>
            <w:tcW w:w="182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8"/>
              </w:rPr>
              <w:t>Award</w:t>
            </w:r>
          </w:p>
        </w:tc>
        <w:tc>
          <w:tcPr>
            <w:tcW w:w="180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9"/>
              </w:rPr>
              <w:t>Value of Pension</w:t>
            </w:r>
          </w:p>
        </w:tc>
        <w:tc>
          <w:tcPr>
            <w:tcW w:w="176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8"/>
              </w:rPr>
              <w:t>Average Pension</w:t>
            </w:r>
          </w:p>
        </w:tc>
        <w:tc>
          <w:tcPr>
            <w:tcW w:w="1560" w:type="dxa"/>
            <w:vAlign w:val="bottom"/>
            <w:tcBorders>
              <w:right w:val="single" w:sz="8" w:color="3D85C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8"/>
              </w:rPr>
              <w:t>Average CAP to</w:t>
            </w:r>
          </w:p>
        </w:tc>
      </w:tr>
      <w:tr>
        <w:trPr>
          <w:trHeight w:val="168"/>
        </w:trPr>
        <w:tc>
          <w:tcPr>
            <w:tcW w:w="680" w:type="dxa"/>
            <w:vAlign w:val="bottom"/>
            <w:tcBorders>
              <w:left w:val="single" w:sz="8" w:color="3D85C6"/>
              <w:right w:val="single" w:sz="8" w:color="3D85C6"/>
            </w:tcBorders>
            <w:shd w:val="clear" w:color="auto" w:fill="2D53A6"/>
          </w:tcPr>
          <w:p>
            <w:pPr>
              <w:ind w:left="200"/>
              <w:spacing w:after="0"/>
              <w:rPr>
                <w:sz w:val="20"/>
                <w:szCs w:val="20"/>
                <w:color w:val="auto"/>
              </w:rPr>
            </w:pPr>
            <w:r>
              <w:rPr>
                <w:rFonts w:ascii="Arial" w:cs="Arial" w:eastAsia="Arial" w:hAnsi="Arial"/>
                <w:sz w:val="14"/>
                <w:szCs w:val="14"/>
                <w:b w:val="1"/>
                <w:bCs w:val="1"/>
                <w:color w:val="FFFFFF"/>
              </w:rPr>
              <w:t>Year</w:t>
            </w:r>
          </w:p>
        </w:tc>
        <w:tc>
          <w:tcPr>
            <w:tcW w:w="182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Other NEOs</w:t>
            </w:r>
          </w:p>
        </w:tc>
        <w:tc>
          <w:tcPr>
            <w:tcW w:w="182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820" w:type="dxa"/>
            <w:vAlign w:val="bottom"/>
            <w:tcBorders>
              <w:right w:val="single" w:sz="8" w:color="3D85C6"/>
            </w:tcBorders>
            <w:shd w:val="clear" w:color="auto" w:fill="2D53A6"/>
          </w:tcPr>
          <w:p>
            <w:pPr>
              <w:jc w:val="center"/>
              <w:spacing w:after="0" w:line="168" w:lineRule="exact"/>
              <w:rPr>
                <w:sz w:val="20"/>
                <w:szCs w:val="20"/>
                <w:color w:val="auto"/>
              </w:rPr>
            </w:pPr>
            <w:r>
              <w:rPr>
                <w:rFonts w:ascii="Arial" w:cs="Arial" w:eastAsia="Arial" w:hAnsi="Arial"/>
                <w:sz w:val="12"/>
                <w:szCs w:val="12"/>
                <w:b w:val="1"/>
                <w:bCs w:val="1"/>
                <w:color w:val="FFFFFF"/>
              </w:rPr>
              <w:t>Adjustments</w:t>
            </w:r>
            <w:r>
              <w:rPr>
                <w:rFonts w:ascii="Arial" w:cs="Arial" w:eastAsia="Arial" w:hAnsi="Arial"/>
                <w:sz w:val="19"/>
                <w:szCs w:val="19"/>
                <w:b w:val="1"/>
                <w:bCs w:val="1"/>
                <w:color w:val="FFFFFF"/>
                <w:vertAlign w:val="superscript"/>
              </w:rPr>
              <w:t>(1)</w:t>
            </w:r>
          </w:p>
        </w:tc>
        <w:tc>
          <w:tcPr>
            <w:tcW w:w="180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rPr>
              <w:t>Benefits</w:t>
            </w:r>
          </w:p>
        </w:tc>
        <w:tc>
          <w:tcPr>
            <w:tcW w:w="176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7"/>
              </w:rPr>
              <w:t>Benefits</w:t>
            </w:r>
          </w:p>
        </w:tc>
        <w:tc>
          <w:tcPr>
            <w:tcW w:w="156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Other NEOs</w:t>
            </w:r>
          </w:p>
        </w:tc>
      </w:tr>
      <w:tr>
        <w:trPr>
          <w:trHeight w:val="169"/>
        </w:trPr>
        <w:tc>
          <w:tcPr>
            <w:tcW w:w="680" w:type="dxa"/>
            <w:vAlign w:val="bottom"/>
            <w:tcBorders>
              <w:left w:val="single" w:sz="8" w:color="3D85C6"/>
              <w:right w:val="single" w:sz="8" w:color="3D85C6"/>
            </w:tcBorders>
            <w:shd w:val="clear" w:color="auto" w:fill="2D53A6"/>
          </w:tcPr>
          <w:p>
            <w:pPr>
              <w:spacing w:after="0"/>
              <w:rPr>
                <w:sz w:val="14"/>
                <w:szCs w:val="14"/>
                <w:color w:val="auto"/>
              </w:rPr>
            </w:pP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c>
          <w:tcPr>
            <w:tcW w:w="18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3"/>
              </w:rPr>
              <w:t>($)</w:t>
            </w:r>
          </w:p>
        </w:tc>
        <w:tc>
          <w:tcPr>
            <w:tcW w:w="17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c>
          <w:tcPr>
            <w:tcW w:w="15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r>
      <w:tr>
        <w:trPr>
          <w:trHeight w:val="156"/>
        </w:trPr>
        <w:tc>
          <w:tcPr>
            <w:tcW w:w="680" w:type="dxa"/>
            <w:vAlign w:val="bottom"/>
            <w:tcBorders>
              <w:left w:val="single" w:sz="8" w:color="3D85C6"/>
              <w:bottom w:val="single" w:sz="8" w:color="3D85C6"/>
              <w:right w:val="single" w:sz="8" w:color="3D85C6"/>
            </w:tcBorders>
          </w:tcPr>
          <w:p>
            <w:pPr>
              <w:ind w:left="180"/>
              <w:spacing w:after="0" w:line="156" w:lineRule="exact"/>
              <w:rPr>
                <w:sz w:val="20"/>
                <w:szCs w:val="20"/>
                <w:color w:val="auto"/>
              </w:rPr>
            </w:pPr>
            <w:r>
              <w:rPr>
                <w:rFonts w:ascii="Arial" w:cs="Arial" w:eastAsia="Arial" w:hAnsi="Arial"/>
                <w:sz w:val="14"/>
                <w:szCs w:val="14"/>
                <w:color w:val="auto"/>
              </w:rPr>
              <w:t>2025</w:t>
            </w:r>
          </w:p>
        </w:tc>
        <w:tc>
          <w:tcPr>
            <w:tcW w:w="1820" w:type="dxa"/>
            <w:vAlign w:val="bottom"/>
            <w:tcBorders>
              <w:bottom w:val="single" w:sz="8" w:color="3D85C6"/>
              <w:right w:val="single" w:sz="8" w:color="3D85C6"/>
            </w:tcBorders>
          </w:tcPr>
          <w:p>
            <w:pPr>
              <w:jc w:val="right"/>
              <w:ind w:right="51"/>
              <w:spacing w:after="0" w:line="156" w:lineRule="exact"/>
              <w:rPr>
                <w:sz w:val="20"/>
                <w:szCs w:val="20"/>
                <w:color w:val="auto"/>
              </w:rPr>
            </w:pPr>
            <w:r>
              <w:rPr>
                <w:rFonts w:ascii="Arial" w:cs="Arial" w:eastAsia="Arial" w:hAnsi="Arial"/>
                <w:sz w:val="14"/>
                <w:szCs w:val="14"/>
                <w:color w:val="auto"/>
              </w:rPr>
              <w:t>1,364,226</w:t>
            </w:r>
          </w:p>
        </w:tc>
        <w:tc>
          <w:tcPr>
            <w:tcW w:w="1820" w:type="dxa"/>
            <w:vAlign w:val="bottom"/>
            <w:tcBorders>
              <w:bottom w:val="single" w:sz="8" w:color="3D85C6"/>
              <w:right w:val="single" w:sz="8" w:color="3D85C6"/>
            </w:tcBorders>
          </w:tcPr>
          <w:p>
            <w:pPr>
              <w:jc w:val="right"/>
              <w:ind w:right="11"/>
              <w:spacing w:after="0" w:line="156" w:lineRule="exact"/>
              <w:rPr>
                <w:sz w:val="20"/>
                <w:szCs w:val="20"/>
                <w:color w:val="auto"/>
              </w:rPr>
            </w:pPr>
            <w:r>
              <w:rPr>
                <w:rFonts w:ascii="Arial" w:cs="Arial" w:eastAsia="Arial" w:hAnsi="Arial"/>
                <w:sz w:val="14"/>
                <w:szCs w:val="14"/>
                <w:color w:val="auto"/>
              </w:rPr>
              <w:t>(716,935)</w:t>
            </w:r>
          </w:p>
        </w:tc>
        <w:tc>
          <w:tcPr>
            <w:tcW w:w="1820" w:type="dxa"/>
            <w:vAlign w:val="bottom"/>
            <w:tcBorders>
              <w:bottom w:val="single" w:sz="8" w:color="3D85C6"/>
              <w:right w:val="single" w:sz="8" w:color="3D85C6"/>
            </w:tcBorders>
          </w:tcPr>
          <w:p>
            <w:pPr>
              <w:jc w:val="right"/>
              <w:ind w:right="52"/>
              <w:spacing w:after="0" w:line="156" w:lineRule="exact"/>
              <w:rPr>
                <w:sz w:val="20"/>
                <w:szCs w:val="20"/>
                <w:color w:val="auto"/>
              </w:rPr>
            </w:pPr>
            <w:r>
              <w:rPr>
                <w:rFonts w:ascii="Arial" w:cs="Arial" w:eastAsia="Arial" w:hAnsi="Arial"/>
                <w:sz w:val="14"/>
                <w:szCs w:val="14"/>
                <w:color w:val="auto"/>
              </w:rPr>
              <w:t>805,079</w:t>
            </w:r>
          </w:p>
        </w:tc>
        <w:tc>
          <w:tcPr>
            <w:tcW w:w="1800" w:type="dxa"/>
            <w:vAlign w:val="bottom"/>
            <w:tcBorders>
              <w:bottom w:val="single" w:sz="8" w:color="3D85C6"/>
              <w:right w:val="single" w:sz="8" w:color="3D85C6"/>
            </w:tcBorders>
          </w:tcPr>
          <w:p>
            <w:pPr>
              <w:ind w:left="1460"/>
              <w:spacing w:after="0" w:line="156" w:lineRule="exact"/>
              <w:rPr>
                <w:sz w:val="20"/>
                <w:szCs w:val="20"/>
                <w:color w:val="auto"/>
              </w:rPr>
            </w:pPr>
            <w:r>
              <w:rPr>
                <w:rFonts w:ascii="Arial" w:cs="Arial" w:eastAsia="Arial" w:hAnsi="Arial"/>
                <w:sz w:val="14"/>
                <w:szCs w:val="14"/>
                <w:color w:val="auto"/>
              </w:rPr>
              <w:t>N/A</w:t>
            </w:r>
          </w:p>
        </w:tc>
        <w:tc>
          <w:tcPr>
            <w:tcW w:w="1760" w:type="dxa"/>
            <w:vAlign w:val="bottom"/>
            <w:tcBorders>
              <w:bottom w:val="single" w:sz="8" w:color="3D85C6"/>
              <w:right w:val="single" w:sz="8" w:color="3D85C6"/>
            </w:tcBorders>
          </w:tcPr>
          <w:p>
            <w:pPr>
              <w:ind w:left="1420"/>
              <w:spacing w:after="0" w:line="156" w:lineRule="exact"/>
              <w:rPr>
                <w:sz w:val="20"/>
                <w:szCs w:val="20"/>
                <w:color w:val="auto"/>
              </w:rPr>
            </w:pPr>
            <w:r>
              <w:rPr>
                <w:rFonts w:ascii="Arial" w:cs="Arial" w:eastAsia="Arial" w:hAnsi="Arial"/>
                <w:sz w:val="14"/>
                <w:szCs w:val="14"/>
                <w:color w:val="auto"/>
              </w:rPr>
              <w:t>N/A</w:t>
            </w:r>
          </w:p>
        </w:tc>
        <w:tc>
          <w:tcPr>
            <w:tcW w:w="1560" w:type="dxa"/>
            <w:vAlign w:val="bottom"/>
            <w:tcBorders>
              <w:bottom w:val="single" w:sz="8" w:color="3D85C6"/>
              <w:right w:val="single" w:sz="8" w:color="3D85C6"/>
            </w:tcBorders>
          </w:tcPr>
          <w:p>
            <w:pPr>
              <w:jc w:val="right"/>
              <w:ind w:right="51"/>
              <w:spacing w:after="0" w:line="156" w:lineRule="exact"/>
              <w:rPr>
                <w:sz w:val="20"/>
                <w:szCs w:val="20"/>
                <w:color w:val="auto"/>
              </w:rPr>
            </w:pPr>
            <w:r>
              <w:rPr>
                <w:rFonts w:ascii="Arial" w:cs="Arial" w:eastAsia="Arial" w:hAnsi="Arial"/>
                <w:sz w:val="14"/>
                <w:szCs w:val="14"/>
                <w:color w:val="auto"/>
              </w:rPr>
              <w:t>1,452,370</w:t>
            </w:r>
          </w:p>
        </w:tc>
      </w:tr>
      <w:tr>
        <w:trPr>
          <w:trHeight w:val="149"/>
        </w:trPr>
        <w:tc>
          <w:tcPr>
            <w:tcW w:w="680" w:type="dxa"/>
            <w:vAlign w:val="bottom"/>
            <w:tcBorders>
              <w:left w:val="single" w:sz="8" w:color="3D85C6"/>
              <w:bottom w:val="single" w:sz="8" w:color="3D85C6"/>
              <w:right w:val="single" w:sz="8" w:color="3D85C6"/>
            </w:tcBorders>
            <w:shd w:val="clear" w:color="auto" w:fill="E6E6E6"/>
          </w:tcPr>
          <w:p>
            <w:pPr>
              <w:ind w:left="180"/>
              <w:spacing w:after="0" w:line="149" w:lineRule="exact"/>
              <w:rPr>
                <w:sz w:val="20"/>
                <w:szCs w:val="20"/>
                <w:color w:val="auto"/>
              </w:rPr>
            </w:pPr>
            <w:r>
              <w:rPr>
                <w:rFonts w:ascii="Arial" w:cs="Arial" w:eastAsia="Arial" w:hAnsi="Arial"/>
                <w:sz w:val="14"/>
                <w:szCs w:val="14"/>
                <w:color w:val="auto"/>
              </w:rPr>
              <w:t>2024</w:t>
            </w:r>
          </w:p>
        </w:tc>
        <w:tc>
          <w:tcPr>
            <w:tcW w:w="182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1,286,156</w:t>
            </w:r>
          </w:p>
        </w:tc>
        <w:tc>
          <w:tcPr>
            <w:tcW w:w="1820" w:type="dxa"/>
            <w:vAlign w:val="bottom"/>
            <w:tcBorders>
              <w:bottom w:val="single" w:sz="8" w:color="3D85C6"/>
              <w:right w:val="single" w:sz="8" w:color="3D85C6"/>
            </w:tcBorders>
            <w:shd w:val="clear" w:color="auto" w:fill="E6E6E6"/>
          </w:tcPr>
          <w:p>
            <w:pPr>
              <w:jc w:val="right"/>
              <w:ind w:right="11"/>
              <w:spacing w:after="0" w:line="149" w:lineRule="exact"/>
              <w:rPr>
                <w:sz w:val="20"/>
                <w:szCs w:val="20"/>
                <w:color w:val="auto"/>
              </w:rPr>
            </w:pPr>
            <w:r>
              <w:rPr>
                <w:rFonts w:ascii="Arial" w:cs="Arial" w:eastAsia="Arial" w:hAnsi="Arial"/>
                <w:sz w:val="14"/>
                <w:szCs w:val="14"/>
                <w:color w:val="auto"/>
              </w:rPr>
              <w:t>(861,091)</w:t>
            </w:r>
          </w:p>
        </w:tc>
        <w:tc>
          <w:tcPr>
            <w:tcW w:w="1820" w:type="dxa"/>
            <w:vAlign w:val="bottom"/>
            <w:tcBorders>
              <w:bottom w:val="single" w:sz="8" w:color="3D85C6"/>
              <w:right w:val="single" w:sz="8" w:color="3D85C6"/>
            </w:tcBorders>
            <w:shd w:val="clear" w:color="auto" w:fill="E6E6E6"/>
          </w:tcPr>
          <w:p>
            <w:pPr>
              <w:jc w:val="right"/>
              <w:ind w:right="12"/>
              <w:spacing w:after="0" w:line="149" w:lineRule="exact"/>
              <w:rPr>
                <w:sz w:val="20"/>
                <w:szCs w:val="20"/>
                <w:color w:val="auto"/>
              </w:rPr>
            </w:pPr>
            <w:r>
              <w:rPr>
                <w:rFonts w:ascii="Arial" w:cs="Arial" w:eastAsia="Arial" w:hAnsi="Arial"/>
                <w:sz w:val="14"/>
                <w:szCs w:val="14"/>
                <w:color w:val="auto"/>
              </w:rPr>
              <w:t>(568,323)</w:t>
            </w:r>
          </w:p>
        </w:tc>
        <w:tc>
          <w:tcPr>
            <w:tcW w:w="1800" w:type="dxa"/>
            <w:vAlign w:val="bottom"/>
            <w:tcBorders>
              <w:bottom w:val="single" w:sz="8" w:color="3D85C6"/>
              <w:right w:val="single" w:sz="8" w:color="3D85C6"/>
            </w:tcBorders>
            <w:shd w:val="clear" w:color="auto" w:fill="E6E6E6"/>
          </w:tcPr>
          <w:p>
            <w:pPr>
              <w:ind w:left="1460"/>
              <w:spacing w:after="0" w:line="149" w:lineRule="exact"/>
              <w:rPr>
                <w:sz w:val="20"/>
                <w:szCs w:val="20"/>
                <w:color w:val="auto"/>
              </w:rPr>
            </w:pPr>
            <w:r>
              <w:rPr>
                <w:rFonts w:ascii="Arial" w:cs="Arial" w:eastAsia="Arial" w:hAnsi="Arial"/>
                <w:sz w:val="14"/>
                <w:szCs w:val="14"/>
                <w:color w:val="auto"/>
              </w:rPr>
              <w:t>N/A</w:t>
            </w:r>
          </w:p>
        </w:tc>
        <w:tc>
          <w:tcPr>
            <w:tcW w:w="1760" w:type="dxa"/>
            <w:vAlign w:val="bottom"/>
            <w:tcBorders>
              <w:bottom w:val="single" w:sz="8" w:color="3D85C6"/>
              <w:right w:val="single" w:sz="8" w:color="3D85C6"/>
            </w:tcBorders>
            <w:shd w:val="clear" w:color="auto" w:fill="E6E6E6"/>
          </w:tcPr>
          <w:p>
            <w:pPr>
              <w:ind w:left="1420"/>
              <w:spacing w:after="0" w:line="149" w:lineRule="exact"/>
              <w:rPr>
                <w:sz w:val="20"/>
                <w:szCs w:val="20"/>
                <w:color w:val="auto"/>
              </w:rPr>
            </w:pPr>
            <w:r>
              <w:rPr>
                <w:rFonts w:ascii="Arial" w:cs="Arial" w:eastAsia="Arial" w:hAnsi="Arial"/>
                <w:sz w:val="14"/>
                <w:szCs w:val="14"/>
                <w:color w:val="auto"/>
              </w:rPr>
              <w:t>N/A</w:t>
            </w:r>
          </w:p>
        </w:tc>
        <w:tc>
          <w:tcPr>
            <w:tcW w:w="1560" w:type="dxa"/>
            <w:vAlign w:val="bottom"/>
            <w:tcBorders>
              <w:bottom w:val="single" w:sz="8" w:color="3D85C6"/>
              <w:right w:val="single" w:sz="8" w:color="3D85C6"/>
            </w:tcBorders>
            <w:shd w:val="clear" w:color="auto" w:fill="E6E6E6"/>
          </w:tcPr>
          <w:p>
            <w:pPr>
              <w:jc w:val="right"/>
              <w:ind w:right="11"/>
              <w:spacing w:after="0" w:line="149" w:lineRule="exact"/>
              <w:rPr>
                <w:sz w:val="20"/>
                <w:szCs w:val="20"/>
                <w:color w:val="auto"/>
              </w:rPr>
            </w:pPr>
            <w:r>
              <w:rPr>
                <w:rFonts w:ascii="Arial" w:cs="Arial" w:eastAsia="Arial" w:hAnsi="Arial"/>
                <w:sz w:val="14"/>
                <w:szCs w:val="14"/>
                <w:color w:val="auto"/>
              </w:rPr>
              <w:t>(143,258)</w:t>
            </w:r>
          </w:p>
        </w:tc>
      </w:tr>
      <w:tr>
        <w:trPr>
          <w:trHeight w:val="149"/>
        </w:trPr>
        <w:tc>
          <w:tcPr>
            <w:tcW w:w="680" w:type="dxa"/>
            <w:vAlign w:val="bottom"/>
            <w:tcBorders>
              <w:left w:val="single" w:sz="8" w:color="3D85C6"/>
              <w:bottom w:val="single" w:sz="8" w:color="3D85C6"/>
              <w:right w:val="single" w:sz="8" w:color="3D85C6"/>
            </w:tcBorders>
          </w:tcPr>
          <w:p>
            <w:pPr>
              <w:ind w:left="180"/>
              <w:spacing w:after="0" w:line="149" w:lineRule="exact"/>
              <w:rPr>
                <w:sz w:val="20"/>
                <w:szCs w:val="20"/>
                <w:color w:val="auto"/>
              </w:rPr>
            </w:pPr>
            <w:r>
              <w:rPr>
                <w:rFonts w:ascii="Arial" w:cs="Arial" w:eastAsia="Arial" w:hAnsi="Arial"/>
                <w:sz w:val="14"/>
                <w:szCs w:val="14"/>
                <w:color w:val="auto"/>
              </w:rPr>
              <w:t>2023</w:t>
            </w:r>
          </w:p>
        </w:tc>
        <w:tc>
          <w:tcPr>
            <w:tcW w:w="182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1,727,107</w:t>
            </w:r>
          </w:p>
        </w:tc>
        <w:tc>
          <w:tcPr>
            <w:tcW w:w="1820" w:type="dxa"/>
            <w:vAlign w:val="bottom"/>
            <w:tcBorders>
              <w:bottom w:val="single" w:sz="8" w:color="3D85C6"/>
              <w:right w:val="single" w:sz="8" w:color="3D85C6"/>
            </w:tcBorders>
          </w:tcPr>
          <w:p>
            <w:pPr>
              <w:jc w:val="right"/>
              <w:ind w:right="11"/>
              <w:spacing w:after="0" w:line="149" w:lineRule="exact"/>
              <w:rPr>
                <w:sz w:val="20"/>
                <w:szCs w:val="20"/>
                <w:color w:val="auto"/>
              </w:rPr>
            </w:pPr>
            <w:r>
              <w:rPr>
                <w:rFonts w:ascii="Arial" w:cs="Arial" w:eastAsia="Arial" w:hAnsi="Arial"/>
                <w:sz w:val="14"/>
                <w:szCs w:val="14"/>
                <w:color w:val="auto"/>
              </w:rPr>
              <w:t>(1,054,404)</w:t>
            </w:r>
          </w:p>
        </w:tc>
        <w:tc>
          <w:tcPr>
            <w:tcW w:w="1820" w:type="dxa"/>
            <w:vAlign w:val="bottom"/>
            <w:tcBorders>
              <w:bottom w:val="single" w:sz="8" w:color="3D85C6"/>
              <w:right w:val="single" w:sz="8" w:color="3D85C6"/>
            </w:tcBorders>
          </w:tcPr>
          <w:p>
            <w:pPr>
              <w:jc w:val="right"/>
              <w:ind w:right="52"/>
              <w:spacing w:after="0" w:line="149" w:lineRule="exact"/>
              <w:rPr>
                <w:sz w:val="20"/>
                <w:szCs w:val="20"/>
                <w:color w:val="auto"/>
              </w:rPr>
            </w:pPr>
            <w:r>
              <w:rPr>
                <w:rFonts w:ascii="Arial" w:cs="Arial" w:eastAsia="Arial" w:hAnsi="Arial"/>
                <w:sz w:val="14"/>
                <w:szCs w:val="14"/>
                <w:color w:val="auto"/>
              </w:rPr>
              <w:t>795,768</w:t>
            </w:r>
          </w:p>
        </w:tc>
        <w:tc>
          <w:tcPr>
            <w:tcW w:w="1800" w:type="dxa"/>
            <w:vAlign w:val="bottom"/>
            <w:tcBorders>
              <w:bottom w:val="single" w:sz="8" w:color="3D85C6"/>
              <w:right w:val="single" w:sz="8" w:color="3D85C6"/>
            </w:tcBorders>
          </w:tcPr>
          <w:p>
            <w:pPr>
              <w:ind w:left="1460"/>
              <w:spacing w:after="0" w:line="149" w:lineRule="exact"/>
              <w:rPr>
                <w:sz w:val="20"/>
                <w:szCs w:val="20"/>
                <w:color w:val="auto"/>
              </w:rPr>
            </w:pPr>
            <w:r>
              <w:rPr>
                <w:rFonts w:ascii="Arial" w:cs="Arial" w:eastAsia="Arial" w:hAnsi="Arial"/>
                <w:sz w:val="14"/>
                <w:szCs w:val="14"/>
                <w:color w:val="auto"/>
              </w:rPr>
              <w:t>N/A</w:t>
            </w:r>
          </w:p>
        </w:tc>
        <w:tc>
          <w:tcPr>
            <w:tcW w:w="1760" w:type="dxa"/>
            <w:vAlign w:val="bottom"/>
            <w:tcBorders>
              <w:bottom w:val="single" w:sz="8" w:color="3D85C6"/>
              <w:right w:val="single" w:sz="8" w:color="3D85C6"/>
            </w:tcBorders>
          </w:tcPr>
          <w:p>
            <w:pPr>
              <w:ind w:left="1420"/>
              <w:spacing w:after="0" w:line="149" w:lineRule="exact"/>
              <w:rPr>
                <w:sz w:val="20"/>
                <w:szCs w:val="20"/>
                <w:color w:val="auto"/>
              </w:rPr>
            </w:pPr>
            <w:r>
              <w:rPr>
                <w:rFonts w:ascii="Arial" w:cs="Arial" w:eastAsia="Arial" w:hAnsi="Arial"/>
                <w:sz w:val="14"/>
                <w:szCs w:val="14"/>
                <w:color w:val="auto"/>
              </w:rPr>
              <w:t>N/A</w:t>
            </w:r>
          </w:p>
        </w:tc>
        <w:tc>
          <w:tcPr>
            <w:tcW w:w="15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1,468,471</w:t>
            </w:r>
          </w:p>
        </w:tc>
      </w:tr>
      <w:tr>
        <w:trPr>
          <w:trHeight w:val="149"/>
        </w:trPr>
        <w:tc>
          <w:tcPr>
            <w:tcW w:w="680" w:type="dxa"/>
            <w:vAlign w:val="bottom"/>
            <w:tcBorders>
              <w:left w:val="single" w:sz="8" w:color="3D85C6"/>
              <w:bottom w:val="single" w:sz="8" w:color="3D85C6"/>
              <w:right w:val="single" w:sz="8" w:color="3D85C6"/>
            </w:tcBorders>
            <w:shd w:val="clear" w:color="auto" w:fill="E6E6E6"/>
          </w:tcPr>
          <w:p>
            <w:pPr>
              <w:ind w:left="180"/>
              <w:spacing w:after="0" w:line="149" w:lineRule="exact"/>
              <w:rPr>
                <w:sz w:val="20"/>
                <w:szCs w:val="20"/>
                <w:color w:val="auto"/>
              </w:rPr>
            </w:pPr>
            <w:r>
              <w:rPr>
                <w:rFonts w:ascii="Arial" w:cs="Arial" w:eastAsia="Arial" w:hAnsi="Arial"/>
                <w:sz w:val="14"/>
                <w:szCs w:val="14"/>
                <w:color w:val="auto"/>
              </w:rPr>
              <w:t>2022</w:t>
            </w:r>
          </w:p>
        </w:tc>
        <w:tc>
          <w:tcPr>
            <w:tcW w:w="182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1,546,037</w:t>
            </w:r>
          </w:p>
        </w:tc>
        <w:tc>
          <w:tcPr>
            <w:tcW w:w="1820" w:type="dxa"/>
            <w:vAlign w:val="bottom"/>
            <w:tcBorders>
              <w:bottom w:val="single" w:sz="8" w:color="3D85C6"/>
              <w:right w:val="single" w:sz="8" w:color="3D85C6"/>
            </w:tcBorders>
            <w:shd w:val="clear" w:color="auto" w:fill="E6E6E6"/>
          </w:tcPr>
          <w:p>
            <w:pPr>
              <w:jc w:val="right"/>
              <w:ind w:right="11"/>
              <w:spacing w:after="0" w:line="149" w:lineRule="exact"/>
              <w:rPr>
                <w:sz w:val="20"/>
                <w:szCs w:val="20"/>
                <w:color w:val="auto"/>
              </w:rPr>
            </w:pPr>
            <w:r>
              <w:rPr>
                <w:rFonts w:ascii="Arial" w:cs="Arial" w:eastAsia="Arial" w:hAnsi="Arial"/>
                <w:sz w:val="14"/>
                <w:szCs w:val="14"/>
                <w:color w:val="auto"/>
              </w:rPr>
              <w:t>(693,436)</w:t>
            </w:r>
          </w:p>
        </w:tc>
        <w:tc>
          <w:tcPr>
            <w:tcW w:w="1820" w:type="dxa"/>
            <w:vAlign w:val="bottom"/>
            <w:tcBorders>
              <w:bottom w:val="single" w:sz="8" w:color="3D85C6"/>
              <w:right w:val="single" w:sz="8" w:color="3D85C6"/>
            </w:tcBorders>
            <w:shd w:val="clear" w:color="auto" w:fill="E6E6E6"/>
          </w:tcPr>
          <w:p>
            <w:pPr>
              <w:jc w:val="right"/>
              <w:ind w:right="52"/>
              <w:spacing w:after="0" w:line="149" w:lineRule="exact"/>
              <w:rPr>
                <w:sz w:val="20"/>
                <w:szCs w:val="20"/>
                <w:color w:val="auto"/>
              </w:rPr>
            </w:pPr>
            <w:r>
              <w:rPr>
                <w:rFonts w:ascii="Arial" w:cs="Arial" w:eastAsia="Arial" w:hAnsi="Arial"/>
                <w:sz w:val="14"/>
                <w:szCs w:val="14"/>
                <w:color w:val="auto"/>
              </w:rPr>
              <w:t>695,282</w:t>
            </w:r>
          </w:p>
        </w:tc>
        <w:tc>
          <w:tcPr>
            <w:tcW w:w="1800" w:type="dxa"/>
            <w:vAlign w:val="bottom"/>
            <w:tcBorders>
              <w:bottom w:val="single" w:sz="8" w:color="3D85C6"/>
              <w:right w:val="single" w:sz="8" w:color="3D85C6"/>
            </w:tcBorders>
            <w:shd w:val="clear" w:color="auto" w:fill="E6E6E6"/>
          </w:tcPr>
          <w:p>
            <w:pPr>
              <w:ind w:left="1460"/>
              <w:spacing w:after="0" w:line="149" w:lineRule="exact"/>
              <w:rPr>
                <w:sz w:val="20"/>
                <w:szCs w:val="20"/>
                <w:color w:val="auto"/>
              </w:rPr>
            </w:pPr>
            <w:r>
              <w:rPr>
                <w:rFonts w:ascii="Arial" w:cs="Arial" w:eastAsia="Arial" w:hAnsi="Arial"/>
                <w:sz w:val="14"/>
                <w:szCs w:val="14"/>
                <w:color w:val="auto"/>
              </w:rPr>
              <w:t>N/A</w:t>
            </w:r>
          </w:p>
        </w:tc>
        <w:tc>
          <w:tcPr>
            <w:tcW w:w="1760" w:type="dxa"/>
            <w:vAlign w:val="bottom"/>
            <w:tcBorders>
              <w:bottom w:val="single" w:sz="8" w:color="3D85C6"/>
              <w:right w:val="single" w:sz="8" w:color="3D85C6"/>
            </w:tcBorders>
            <w:shd w:val="clear" w:color="auto" w:fill="E6E6E6"/>
          </w:tcPr>
          <w:p>
            <w:pPr>
              <w:ind w:left="1420"/>
              <w:spacing w:after="0" w:line="149" w:lineRule="exact"/>
              <w:rPr>
                <w:sz w:val="20"/>
                <w:szCs w:val="20"/>
                <w:color w:val="auto"/>
              </w:rPr>
            </w:pPr>
            <w:r>
              <w:rPr>
                <w:rFonts w:ascii="Arial" w:cs="Arial" w:eastAsia="Arial" w:hAnsi="Arial"/>
                <w:sz w:val="14"/>
                <w:szCs w:val="14"/>
                <w:color w:val="auto"/>
              </w:rPr>
              <w:t>N/A</w:t>
            </w:r>
          </w:p>
        </w:tc>
        <w:tc>
          <w:tcPr>
            <w:tcW w:w="15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1,547,883</w:t>
            </w:r>
          </w:p>
        </w:tc>
      </w:tr>
      <w:tr>
        <w:trPr>
          <w:trHeight w:val="149"/>
        </w:trPr>
        <w:tc>
          <w:tcPr>
            <w:tcW w:w="680" w:type="dxa"/>
            <w:vAlign w:val="bottom"/>
            <w:tcBorders>
              <w:left w:val="single" w:sz="8" w:color="3D85C6"/>
              <w:bottom w:val="single" w:sz="8" w:color="3D85C6"/>
              <w:right w:val="single" w:sz="8" w:color="3D85C6"/>
            </w:tcBorders>
          </w:tcPr>
          <w:p>
            <w:pPr>
              <w:ind w:left="180"/>
              <w:spacing w:after="0" w:line="149" w:lineRule="exact"/>
              <w:rPr>
                <w:sz w:val="20"/>
                <w:szCs w:val="20"/>
                <w:color w:val="auto"/>
              </w:rPr>
            </w:pPr>
            <w:r>
              <w:rPr>
                <w:rFonts w:ascii="Arial" w:cs="Arial" w:eastAsia="Arial" w:hAnsi="Arial"/>
                <w:sz w:val="14"/>
                <w:szCs w:val="14"/>
                <w:color w:val="auto"/>
              </w:rPr>
              <w:t>2021</w:t>
            </w:r>
          </w:p>
        </w:tc>
        <w:tc>
          <w:tcPr>
            <w:tcW w:w="182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1,360,173</w:t>
            </w:r>
          </w:p>
        </w:tc>
        <w:tc>
          <w:tcPr>
            <w:tcW w:w="1820" w:type="dxa"/>
            <w:vAlign w:val="bottom"/>
            <w:tcBorders>
              <w:bottom w:val="single" w:sz="8" w:color="3D85C6"/>
              <w:right w:val="single" w:sz="8" w:color="3D85C6"/>
            </w:tcBorders>
          </w:tcPr>
          <w:p>
            <w:pPr>
              <w:jc w:val="right"/>
              <w:ind w:right="11"/>
              <w:spacing w:after="0" w:line="149" w:lineRule="exact"/>
              <w:rPr>
                <w:sz w:val="20"/>
                <w:szCs w:val="20"/>
                <w:color w:val="auto"/>
              </w:rPr>
            </w:pPr>
            <w:r>
              <w:rPr>
                <w:rFonts w:ascii="Arial" w:cs="Arial" w:eastAsia="Arial" w:hAnsi="Arial"/>
                <w:sz w:val="14"/>
                <w:szCs w:val="14"/>
                <w:color w:val="auto"/>
              </w:rPr>
              <w:t>(610,078)</w:t>
            </w:r>
          </w:p>
        </w:tc>
        <w:tc>
          <w:tcPr>
            <w:tcW w:w="1820" w:type="dxa"/>
            <w:vAlign w:val="bottom"/>
            <w:tcBorders>
              <w:bottom w:val="single" w:sz="8" w:color="3D85C6"/>
              <w:right w:val="single" w:sz="8" w:color="3D85C6"/>
            </w:tcBorders>
          </w:tcPr>
          <w:p>
            <w:pPr>
              <w:jc w:val="right"/>
              <w:ind w:right="12"/>
              <w:spacing w:after="0" w:line="149" w:lineRule="exact"/>
              <w:rPr>
                <w:sz w:val="20"/>
                <w:szCs w:val="20"/>
                <w:color w:val="auto"/>
              </w:rPr>
            </w:pPr>
            <w:r>
              <w:rPr>
                <w:rFonts w:ascii="Arial" w:cs="Arial" w:eastAsia="Arial" w:hAnsi="Arial"/>
                <w:sz w:val="14"/>
                <w:szCs w:val="14"/>
                <w:color w:val="auto"/>
              </w:rPr>
              <w:t>(152,107)</w:t>
            </w:r>
          </w:p>
        </w:tc>
        <w:tc>
          <w:tcPr>
            <w:tcW w:w="1800" w:type="dxa"/>
            <w:vAlign w:val="bottom"/>
            <w:tcBorders>
              <w:bottom w:val="single" w:sz="8" w:color="3D85C6"/>
              <w:right w:val="single" w:sz="8" w:color="3D85C6"/>
            </w:tcBorders>
          </w:tcPr>
          <w:p>
            <w:pPr>
              <w:ind w:left="1460"/>
              <w:spacing w:after="0" w:line="149" w:lineRule="exact"/>
              <w:rPr>
                <w:sz w:val="20"/>
                <w:szCs w:val="20"/>
                <w:color w:val="auto"/>
              </w:rPr>
            </w:pPr>
            <w:r>
              <w:rPr>
                <w:rFonts w:ascii="Arial" w:cs="Arial" w:eastAsia="Arial" w:hAnsi="Arial"/>
                <w:sz w:val="14"/>
                <w:szCs w:val="14"/>
                <w:color w:val="auto"/>
              </w:rPr>
              <w:t>N/A</w:t>
            </w:r>
          </w:p>
        </w:tc>
        <w:tc>
          <w:tcPr>
            <w:tcW w:w="1760" w:type="dxa"/>
            <w:vAlign w:val="bottom"/>
            <w:tcBorders>
              <w:bottom w:val="single" w:sz="8" w:color="3D85C6"/>
              <w:right w:val="single" w:sz="8" w:color="3D85C6"/>
            </w:tcBorders>
          </w:tcPr>
          <w:p>
            <w:pPr>
              <w:ind w:left="1420"/>
              <w:spacing w:after="0" w:line="149" w:lineRule="exact"/>
              <w:rPr>
                <w:sz w:val="20"/>
                <w:szCs w:val="20"/>
                <w:color w:val="auto"/>
              </w:rPr>
            </w:pPr>
            <w:r>
              <w:rPr>
                <w:rFonts w:ascii="Arial" w:cs="Arial" w:eastAsia="Arial" w:hAnsi="Arial"/>
                <w:sz w:val="14"/>
                <w:szCs w:val="14"/>
                <w:color w:val="auto"/>
              </w:rPr>
              <w:t>N/A</w:t>
            </w:r>
          </w:p>
        </w:tc>
        <w:tc>
          <w:tcPr>
            <w:tcW w:w="15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597,988</w:t>
            </w:r>
          </w:p>
        </w:tc>
      </w:tr>
    </w:tbl>
    <w:p>
      <w:pPr>
        <w:spacing w:after="0" w:line="187" w:lineRule="exact"/>
        <w:rPr>
          <w:sz w:val="20"/>
          <w:szCs w:val="20"/>
          <w:color w:val="auto"/>
        </w:rPr>
      </w:pPr>
    </w:p>
    <w:p>
      <w:pPr>
        <w:ind w:left="320" w:hanging="316"/>
        <w:spacing w:after="0"/>
        <w:tabs>
          <w:tab w:leader="none" w:pos="32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amounts deducted or added in calculating the equity award adjustments are detailed in the Equity Component of CAP Reconciliation tables that follow.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06" w:name="page107"/>
    <w:bookmarkEnd w:id="106"/>
    <w:p>
      <w:pPr>
        <w:spacing w:after="0"/>
        <w:rPr>
          <w:sz w:val="20"/>
          <w:szCs w:val="20"/>
          <w:color w:val="auto"/>
        </w:rPr>
      </w:pPr>
      <w:r>
        <w:rPr>
          <w:rFonts w:ascii="Arial" w:cs="Arial" w:eastAsia="Arial" w:hAnsi="Arial"/>
          <w:sz w:val="19"/>
          <w:szCs w:val="19"/>
          <w:b w:val="1"/>
          <w:bCs w:val="1"/>
          <w:color w:val="auto"/>
        </w:rPr>
        <w:t>Other NEO Equity Component of CAP Reconciliation</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680" w:type="dxa"/>
            <w:vAlign w:val="bottom"/>
            <w:tcBorders>
              <w:left w:val="single" w:sz="8" w:color="3D85C6"/>
              <w:right w:val="single" w:sz="8" w:color="3D85C6"/>
            </w:tcBorders>
            <w:shd w:val="clear" w:color="auto" w:fill="2D53A6"/>
          </w:tcPr>
          <w:p>
            <w:pPr>
              <w:spacing w:after="0"/>
              <w:rPr>
                <w:sz w:val="14"/>
                <w:szCs w:val="14"/>
                <w:color w:val="auto"/>
              </w:rPr>
            </w:pPr>
          </w:p>
        </w:tc>
        <w:tc>
          <w:tcPr>
            <w:tcW w:w="1820" w:type="dxa"/>
            <w:vAlign w:val="bottom"/>
            <w:tcBorders>
              <w:right w:val="single" w:sz="8" w:color="3D85C6"/>
            </w:tcBorders>
            <w:shd w:val="clear" w:color="auto" w:fill="2D53A6"/>
          </w:tcPr>
          <w:p>
            <w:pPr>
              <w:spacing w:after="0"/>
              <w:rPr>
                <w:sz w:val="14"/>
                <w:szCs w:val="14"/>
                <w:color w:val="auto"/>
              </w:rPr>
            </w:pPr>
          </w:p>
        </w:tc>
        <w:tc>
          <w:tcPr>
            <w:tcW w:w="1820" w:type="dxa"/>
            <w:vAlign w:val="bottom"/>
            <w:tcBorders>
              <w:right w:val="single" w:sz="8" w:color="3D85C6"/>
            </w:tcBorders>
            <w:shd w:val="clear" w:color="auto" w:fill="2D53A6"/>
          </w:tcPr>
          <w:p>
            <w:pPr>
              <w:spacing w:after="0"/>
              <w:rPr>
                <w:sz w:val="14"/>
                <w:szCs w:val="14"/>
                <w:color w:val="auto"/>
              </w:rPr>
            </w:pPr>
          </w:p>
        </w:tc>
        <w:tc>
          <w:tcPr>
            <w:tcW w:w="1820" w:type="dxa"/>
            <w:vAlign w:val="bottom"/>
            <w:tcBorders>
              <w:right w:val="single" w:sz="8" w:color="3D85C6"/>
            </w:tcBorders>
            <w:shd w:val="clear" w:color="auto" w:fill="2D53A6"/>
          </w:tcPr>
          <w:p>
            <w:pPr>
              <w:spacing w:after="0"/>
              <w:rPr>
                <w:sz w:val="14"/>
                <w:szCs w:val="14"/>
                <w:color w:val="auto"/>
              </w:rPr>
            </w:pPr>
          </w:p>
        </w:tc>
        <w:tc>
          <w:tcPr>
            <w:tcW w:w="1800" w:type="dxa"/>
            <w:vAlign w:val="bottom"/>
            <w:tcBorders>
              <w:right w:val="single" w:sz="8" w:color="3D85C6"/>
            </w:tcBorders>
            <w:shd w:val="clear" w:color="auto" w:fill="2D53A6"/>
          </w:tcPr>
          <w:p>
            <w:pPr>
              <w:spacing w:after="0"/>
              <w:rPr>
                <w:sz w:val="14"/>
                <w:szCs w:val="14"/>
                <w:color w:val="auto"/>
              </w:rPr>
            </w:pPr>
          </w:p>
        </w:tc>
        <w:tc>
          <w:tcPr>
            <w:tcW w:w="176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7"/>
              </w:rPr>
              <w:t>Fair Value at the</w:t>
            </w:r>
          </w:p>
        </w:tc>
        <w:tc>
          <w:tcPr>
            <w:tcW w:w="1560" w:type="dxa"/>
            <w:vAlign w:val="bottom"/>
            <w:tcBorders>
              <w:right w:val="single" w:sz="8" w:color="3D85C6"/>
            </w:tcBorders>
            <w:shd w:val="clear" w:color="auto" w:fill="2D53A6"/>
          </w:tcPr>
          <w:p>
            <w:pPr>
              <w:spacing w:after="0"/>
              <w:rPr>
                <w:sz w:val="14"/>
                <w:szCs w:val="14"/>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spacing w:after="0"/>
              <w:rPr>
                <w:sz w:val="13"/>
                <w:szCs w:val="13"/>
                <w:color w:val="auto"/>
              </w:rPr>
            </w:pPr>
          </w:p>
        </w:tc>
        <w:tc>
          <w:tcPr>
            <w:tcW w:w="1800" w:type="dxa"/>
            <w:vAlign w:val="bottom"/>
            <w:tcBorders>
              <w:right w:val="single" w:sz="8" w:color="3D85C6"/>
            </w:tcBorders>
            <w:shd w:val="clear" w:color="auto" w:fill="2D53A6"/>
          </w:tcPr>
          <w:p>
            <w:pPr>
              <w:spacing w:after="0"/>
              <w:rPr>
                <w:sz w:val="13"/>
                <w:szCs w:val="13"/>
                <w:color w:val="auto"/>
              </w:rPr>
            </w:pPr>
          </w:p>
        </w:tc>
        <w:tc>
          <w:tcPr>
            <w:tcW w:w="17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End of the Prior</w:t>
            </w:r>
          </w:p>
        </w:tc>
        <w:tc>
          <w:tcPr>
            <w:tcW w:w="1560" w:type="dxa"/>
            <w:vAlign w:val="bottom"/>
            <w:tcBorders>
              <w:right w:val="single" w:sz="8" w:color="3D85C6"/>
            </w:tcBorders>
            <w:shd w:val="clear" w:color="auto" w:fill="2D53A6"/>
          </w:tcPr>
          <w:p>
            <w:pPr>
              <w:spacing w:after="0"/>
              <w:rPr>
                <w:sz w:val="13"/>
                <w:szCs w:val="13"/>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5"/>
              </w:rPr>
              <w:t>Year over Year</w:t>
            </w:r>
          </w:p>
        </w:tc>
        <w:tc>
          <w:tcPr>
            <w:tcW w:w="1820" w:type="dxa"/>
            <w:vAlign w:val="bottom"/>
            <w:tcBorders>
              <w:right w:val="single" w:sz="8" w:color="3D85C6"/>
            </w:tcBorders>
            <w:shd w:val="clear" w:color="auto" w:fill="2D53A6"/>
          </w:tcPr>
          <w:p>
            <w:pPr>
              <w:spacing w:after="0"/>
              <w:rPr>
                <w:sz w:val="13"/>
                <w:szCs w:val="13"/>
                <w:color w:val="auto"/>
              </w:rPr>
            </w:pPr>
          </w:p>
        </w:tc>
        <w:tc>
          <w:tcPr>
            <w:tcW w:w="18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Year over Year</w:t>
            </w:r>
          </w:p>
        </w:tc>
        <w:tc>
          <w:tcPr>
            <w:tcW w:w="17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Year of Equity</w:t>
            </w:r>
          </w:p>
        </w:tc>
        <w:tc>
          <w:tcPr>
            <w:tcW w:w="1560" w:type="dxa"/>
            <w:vAlign w:val="bottom"/>
            <w:tcBorders>
              <w:right w:val="single" w:sz="8" w:color="3D85C6"/>
            </w:tcBorders>
            <w:shd w:val="clear" w:color="auto" w:fill="2D53A6"/>
          </w:tcPr>
          <w:p>
            <w:pPr>
              <w:spacing w:after="0"/>
              <w:rPr>
                <w:sz w:val="13"/>
                <w:szCs w:val="13"/>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Change in Fair</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Fair Value as of</w:t>
            </w:r>
          </w:p>
        </w:tc>
        <w:tc>
          <w:tcPr>
            <w:tcW w:w="18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Change in Fair</w:t>
            </w:r>
          </w:p>
        </w:tc>
        <w:tc>
          <w:tcPr>
            <w:tcW w:w="17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Awards that</w:t>
            </w:r>
          </w:p>
        </w:tc>
        <w:tc>
          <w:tcPr>
            <w:tcW w:w="1560" w:type="dxa"/>
            <w:vAlign w:val="bottom"/>
            <w:tcBorders>
              <w:right w:val="single" w:sz="8" w:color="3D85C6"/>
            </w:tcBorders>
            <w:shd w:val="clear" w:color="auto" w:fill="2D53A6"/>
          </w:tcPr>
          <w:p>
            <w:pPr>
              <w:spacing w:after="0"/>
              <w:rPr>
                <w:sz w:val="13"/>
                <w:szCs w:val="13"/>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Value of</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Vesting Date of</w:t>
            </w:r>
          </w:p>
        </w:tc>
        <w:tc>
          <w:tcPr>
            <w:tcW w:w="18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Value of Equity</w:t>
            </w:r>
          </w:p>
        </w:tc>
        <w:tc>
          <w:tcPr>
            <w:tcW w:w="17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Failed to Meet</w:t>
            </w:r>
          </w:p>
        </w:tc>
        <w:tc>
          <w:tcPr>
            <w:tcW w:w="1560" w:type="dxa"/>
            <w:vAlign w:val="bottom"/>
            <w:tcBorders>
              <w:right w:val="single" w:sz="8" w:color="3D85C6"/>
            </w:tcBorders>
            <w:shd w:val="clear" w:color="auto" w:fill="2D53A6"/>
          </w:tcPr>
          <w:p>
            <w:pPr>
              <w:spacing w:after="0"/>
              <w:rPr>
                <w:sz w:val="13"/>
                <w:szCs w:val="13"/>
                <w:color w:val="auto"/>
              </w:rPr>
            </w:pP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Year End Fair</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Outstanding and</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Equity Awards</w:t>
            </w:r>
          </w:p>
        </w:tc>
        <w:tc>
          <w:tcPr>
            <w:tcW w:w="18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Awards Granted</w:t>
            </w:r>
          </w:p>
        </w:tc>
        <w:tc>
          <w:tcPr>
            <w:tcW w:w="17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Vesting</w:t>
            </w:r>
          </w:p>
        </w:tc>
        <w:tc>
          <w:tcPr>
            <w:tcW w:w="15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Total Equity</w:t>
            </w:r>
          </w:p>
        </w:tc>
      </w:tr>
      <w:tr>
        <w:trPr>
          <w:trHeight w:val="156"/>
        </w:trPr>
        <w:tc>
          <w:tcPr>
            <w:tcW w:w="680" w:type="dxa"/>
            <w:vAlign w:val="bottom"/>
            <w:tcBorders>
              <w:left w:val="single" w:sz="8" w:color="3D85C6"/>
              <w:right w:val="single" w:sz="8" w:color="3D85C6"/>
            </w:tcBorders>
            <w:shd w:val="clear" w:color="auto" w:fill="2D53A6"/>
          </w:tcPr>
          <w:p>
            <w:pPr>
              <w:spacing w:after="0"/>
              <w:rPr>
                <w:sz w:val="13"/>
                <w:szCs w:val="13"/>
                <w:color w:val="auto"/>
              </w:rPr>
            </w:pP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6"/>
              </w:rPr>
              <w:t>Value of Equity</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Unvested Equity</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Granted and</w:t>
            </w:r>
          </w:p>
        </w:tc>
        <w:tc>
          <w:tcPr>
            <w:tcW w:w="18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in Prior Years that</w:t>
            </w:r>
          </w:p>
        </w:tc>
        <w:tc>
          <w:tcPr>
            <w:tcW w:w="17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Conditions in the</w:t>
            </w:r>
          </w:p>
        </w:tc>
        <w:tc>
          <w:tcPr>
            <w:tcW w:w="15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Award</w:t>
            </w:r>
          </w:p>
        </w:tc>
      </w:tr>
      <w:tr>
        <w:trPr>
          <w:trHeight w:val="165"/>
        </w:trPr>
        <w:tc>
          <w:tcPr>
            <w:tcW w:w="680" w:type="dxa"/>
            <w:vAlign w:val="bottom"/>
            <w:tcBorders>
              <w:left w:val="single" w:sz="8" w:color="3D85C6"/>
              <w:right w:val="single" w:sz="8" w:color="3D85C6"/>
            </w:tcBorders>
            <w:shd w:val="clear" w:color="auto" w:fill="2D53A6"/>
          </w:tcPr>
          <w:p>
            <w:pPr>
              <w:ind w:left="200"/>
              <w:spacing w:after="0"/>
              <w:rPr>
                <w:sz w:val="20"/>
                <w:szCs w:val="20"/>
                <w:color w:val="auto"/>
              </w:rPr>
            </w:pPr>
            <w:r>
              <w:rPr>
                <w:rFonts w:ascii="Arial" w:cs="Arial" w:eastAsia="Arial" w:hAnsi="Arial"/>
                <w:sz w:val="14"/>
                <w:szCs w:val="14"/>
                <w:b w:val="1"/>
                <w:bCs w:val="1"/>
                <w:color w:val="FFFFFF"/>
              </w:rPr>
              <w:t>Year</w:t>
            </w:r>
          </w:p>
        </w:tc>
        <w:tc>
          <w:tcPr>
            <w:tcW w:w="182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82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182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7"/>
              </w:rPr>
              <w:t>Vested in the Year</w:t>
            </w:r>
          </w:p>
        </w:tc>
        <w:tc>
          <w:tcPr>
            <w:tcW w:w="180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Vested in the Year</w:t>
            </w:r>
          </w:p>
        </w:tc>
        <w:tc>
          <w:tcPr>
            <w:tcW w:w="176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56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4"/>
                <w:szCs w:val="14"/>
                <w:b w:val="1"/>
                <w:bCs w:val="1"/>
                <w:color w:val="FFFFFF"/>
                <w:w w:val="99"/>
              </w:rPr>
              <w:t>Adjustments</w:t>
            </w:r>
          </w:p>
        </w:tc>
      </w:tr>
      <w:tr>
        <w:trPr>
          <w:trHeight w:val="169"/>
        </w:trPr>
        <w:tc>
          <w:tcPr>
            <w:tcW w:w="680" w:type="dxa"/>
            <w:vAlign w:val="bottom"/>
            <w:tcBorders>
              <w:left w:val="single" w:sz="8" w:color="3D85C6"/>
              <w:right w:val="single" w:sz="8" w:color="3D85C6"/>
            </w:tcBorders>
            <w:shd w:val="clear" w:color="auto" w:fill="2D53A6"/>
          </w:tcPr>
          <w:p>
            <w:pPr>
              <w:spacing w:after="0"/>
              <w:rPr>
                <w:sz w:val="14"/>
                <w:szCs w:val="14"/>
                <w:color w:val="auto"/>
              </w:rPr>
            </w:pP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c>
          <w:tcPr>
            <w:tcW w:w="182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c>
          <w:tcPr>
            <w:tcW w:w="180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3"/>
              </w:rPr>
              <w:t>($)</w:t>
            </w:r>
          </w:p>
        </w:tc>
        <w:tc>
          <w:tcPr>
            <w:tcW w:w="17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c>
          <w:tcPr>
            <w:tcW w:w="1560" w:type="dxa"/>
            <w:vAlign w:val="bottom"/>
            <w:tcBorders>
              <w:right w:val="single" w:sz="8" w:color="3D85C6"/>
            </w:tcBorders>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w:t>
            </w:r>
          </w:p>
        </w:tc>
      </w:tr>
      <w:tr>
        <w:trPr>
          <w:trHeight w:val="156"/>
        </w:trPr>
        <w:tc>
          <w:tcPr>
            <w:tcW w:w="680" w:type="dxa"/>
            <w:vAlign w:val="bottom"/>
            <w:tcBorders>
              <w:left w:val="single" w:sz="8" w:color="3D85C6"/>
              <w:bottom w:val="single" w:sz="8" w:color="3D85C6"/>
              <w:right w:val="single" w:sz="8" w:color="3D85C6"/>
            </w:tcBorders>
          </w:tcPr>
          <w:p>
            <w:pPr>
              <w:ind w:left="180"/>
              <w:spacing w:after="0" w:line="156" w:lineRule="exact"/>
              <w:rPr>
                <w:sz w:val="20"/>
                <w:szCs w:val="20"/>
                <w:color w:val="auto"/>
              </w:rPr>
            </w:pPr>
            <w:r>
              <w:rPr>
                <w:rFonts w:ascii="Arial" w:cs="Arial" w:eastAsia="Arial" w:hAnsi="Arial"/>
                <w:sz w:val="14"/>
                <w:szCs w:val="14"/>
                <w:color w:val="auto"/>
              </w:rPr>
              <w:t>2025</w:t>
            </w:r>
          </w:p>
        </w:tc>
        <w:tc>
          <w:tcPr>
            <w:tcW w:w="1820" w:type="dxa"/>
            <w:vAlign w:val="bottom"/>
            <w:tcBorders>
              <w:bottom w:val="single" w:sz="8" w:color="3D85C6"/>
              <w:right w:val="single" w:sz="8" w:color="3D85C6"/>
            </w:tcBorders>
          </w:tcPr>
          <w:p>
            <w:pPr>
              <w:jc w:val="right"/>
              <w:ind w:right="51"/>
              <w:spacing w:after="0" w:line="156" w:lineRule="exact"/>
              <w:rPr>
                <w:sz w:val="20"/>
                <w:szCs w:val="20"/>
                <w:color w:val="auto"/>
              </w:rPr>
            </w:pPr>
            <w:r>
              <w:rPr>
                <w:rFonts w:ascii="Arial" w:cs="Arial" w:eastAsia="Arial" w:hAnsi="Arial"/>
                <w:sz w:val="14"/>
                <w:szCs w:val="14"/>
                <w:color w:val="auto"/>
              </w:rPr>
              <w:t>1,271,554</w:t>
            </w:r>
          </w:p>
        </w:tc>
        <w:tc>
          <w:tcPr>
            <w:tcW w:w="1820" w:type="dxa"/>
            <w:vAlign w:val="bottom"/>
            <w:tcBorders>
              <w:bottom w:val="single" w:sz="8" w:color="3D85C6"/>
              <w:right w:val="single" w:sz="8" w:color="3D85C6"/>
            </w:tcBorders>
          </w:tcPr>
          <w:p>
            <w:pPr>
              <w:jc w:val="right"/>
              <w:ind w:right="11"/>
              <w:spacing w:after="0" w:line="156" w:lineRule="exact"/>
              <w:rPr>
                <w:sz w:val="20"/>
                <w:szCs w:val="20"/>
                <w:color w:val="auto"/>
              </w:rPr>
            </w:pPr>
            <w:r>
              <w:rPr>
                <w:rFonts w:ascii="Arial" w:cs="Arial" w:eastAsia="Arial" w:hAnsi="Arial"/>
                <w:sz w:val="14"/>
                <w:szCs w:val="14"/>
                <w:color w:val="auto"/>
              </w:rPr>
              <w:t>(341,642)</w:t>
            </w:r>
          </w:p>
        </w:tc>
        <w:tc>
          <w:tcPr>
            <w:tcW w:w="1820" w:type="dxa"/>
            <w:vAlign w:val="bottom"/>
            <w:tcBorders>
              <w:bottom w:val="single" w:sz="8" w:color="3D85C6"/>
              <w:right w:val="single" w:sz="8" w:color="3D85C6"/>
            </w:tcBorders>
          </w:tcPr>
          <w:p>
            <w:pPr>
              <w:jc w:val="right"/>
              <w:ind w:right="51"/>
              <w:spacing w:after="0" w:line="156" w:lineRule="exact"/>
              <w:rPr>
                <w:sz w:val="20"/>
                <w:szCs w:val="20"/>
                <w:color w:val="auto"/>
              </w:rPr>
            </w:pPr>
            <w:r>
              <w:rPr>
                <w:rFonts w:ascii="Arial" w:cs="Arial" w:eastAsia="Arial" w:hAnsi="Arial"/>
                <w:sz w:val="14"/>
                <w:szCs w:val="14"/>
                <w:color w:val="auto"/>
              </w:rPr>
              <w:t>-</w:t>
            </w:r>
          </w:p>
        </w:tc>
        <w:tc>
          <w:tcPr>
            <w:tcW w:w="1800" w:type="dxa"/>
            <w:vAlign w:val="bottom"/>
            <w:tcBorders>
              <w:bottom w:val="single" w:sz="8" w:color="3D85C6"/>
              <w:right w:val="single" w:sz="8" w:color="3D85C6"/>
            </w:tcBorders>
          </w:tcPr>
          <w:p>
            <w:pPr>
              <w:jc w:val="right"/>
              <w:spacing w:after="0" w:line="156" w:lineRule="exact"/>
              <w:rPr>
                <w:sz w:val="20"/>
                <w:szCs w:val="20"/>
                <w:color w:val="auto"/>
              </w:rPr>
            </w:pPr>
            <w:r>
              <w:rPr>
                <w:rFonts w:ascii="Arial" w:cs="Arial" w:eastAsia="Arial" w:hAnsi="Arial"/>
                <w:sz w:val="14"/>
                <w:szCs w:val="14"/>
                <w:color w:val="auto"/>
              </w:rPr>
              <w:t>(124,833)</w:t>
            </w:r>
          </w:p>
        </w:tc>
        <w:tc>
          <w:tcPr>
            <w:tcW w:w="1760" w:type="dxa"/>
            <w:vAlign w:val="bottom"/>
            <w:tcBorders>
              <w:bottom w:val="single" w:sz="8" w:color="3D85C6"/>
              <w:right w:val="single" w:sz="8" w:color="3D85C6"/>
            </w:tcBorders>
          </w:tcPr>
          <w:p>
            <w:pPr>
              <w:jc w:val="right"/>
              <w:ind w:right="31"/>
              <w:spacing w:after="0" w:line="156"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3D85C6"/>
              <w:right w:val="single" w:sz="8" w:color="3D85C6"/>
            </w:tcBorders>
          </w:tcPr>
          <w:p>
            <w:pPr>
              <w:jc w:val="right"/>
              <w:ind w:right="51"/>
              <w:spacing w:after="0" w:line="156" w:lineRule="exact"/>
              <w:rPr>
                <w:sz w:val="20"/>
                <w:szCs w:val="20"/>
                <w:color w:val="auto"/>
              </w:rPr>
            </w:pPr>
            <w:r>
              <w:rPr>
                <w:rFonts w:ascii="Arial" w:cs="Arial" w:eastAsia="Arial" w:hAnsi="Arial"/>
                <w:sz w:val="14"/>
                <w:szCs w:val="14"/>
                <w:color w:val="auto"/>
              </w:rPr>
              <w:t>805,079</w:t>
            </w:r>
          </w:p>
        </w:tc>
      </w:tr>
      <w:tr>
        <w:trPr>
          <w:trHeight w:val="149"/>
        </w:trPr>
        <w:tc>
          <w:tcPr>
            <w:tcW w:w="680" w:type="dxa"/>
            <w:vAlign w:val="bottom"/>
            <w:tcBorders>
              <w:left w:val="single" w:sz="8" w:color="3D85C6"/>
              <w:bottom w:val="single" w:sz="8" w:color="3D85C6"/>
              <w:right w:val="single" w:sz="8" w:color="3D85C6"/>
            </w:tcBorders>
            <w:shd w:val="clear" w:color="auto" w:fill="E6E6E6"/>
          </w:tcPr>
          <w:p>
            <w:pPr>
              <w:ind w:left="180"/>
              <w:spacing w:after="0" w:line="149" w:lineRule="exact"/>
              <w:rPr>
                <w:sz w:val="20"/>
                <w:szCs w:val="20"/>
                <w:color w:val="auto"/>
              </w:rPr>
            </w:pPr>
            <w:r>
              <w:rPr>
                <w:rFonts w:ascii="Arial" w:cs="Arial" w:eastAsia="Arial" w:hAnsi="Arial"/>
                <w:sz w:val="14"/>
                <w:szCs w:val="14"/>
                <w:color w:val="auto"/>
              </w:rPr>
              <w:t>2024</w:t>
            </w:r>
          </w:p>
        </w:tc>
        <w:tc>
          <w:tcPr>
            <w:tcW w:w="182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518,278</w:t>
            </w:r>
          </w:p>
        </w:tc>
        <w:tc>
          <w:tcPr>
            <w:tcW w:w="1820" w:type="dxa"/>
            <w:vAlign w:val="bottom"/>
            <w:tcBorders>
              <w:bottom w:val="single" w:sz="8" w:color="3D85C6"/>
              <w:right w:val="single" w:sz="8" w:color="3D85C6"/>
            </w:tcBorders>
            <w:shd w:val="clear" w:color="auto" w:fill="E6E6E6"/>
          </w:tcPr>
          <w:p>
            <w:pPr>
              <w:jc w:val="right"/>
              <w:ind w:right="11"/>
              <w:spacing w:after="0" w:line="149" w:lineRule="exact"/>
              <w:rPr>
                <w:sz w:val="20"/>
                <w:szCs w:val="20"/>
                <w:color w:val="auto"/>
              </w:rPr>
            </w:pPr>
            <w:r>
              <w:rPr>
                <w:rFonts w:ascii="Arial" w:cs="Arial" w:eastAsia="Arial" w:hAnsi="Arial"/>
                <w:sz w:val="14"/>
                <w:szCs w:val="14"/>
                <w:color w:val="auto"/>
              </w:rPr>
              <w:t>(1,039,301)</w:t>
            </w:r>
          </w:p>
        </w:tc>
        <w:tc>
          <w:tcPr>
            <w:tcW w:w="182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800" w:type="dxa"/>
            <w:vAlign w:val="bottom"/>
            <w:tcBorders>
              <w:bottom w:val="single" w:sz="8" w:color="3D85C6"/>
              <w:right w:val="single" w:sz="8" w:color="3D85C6"/>
            </w:tcBorders>
            <w:shd w:val="clear" w:color="auto" w:fill="E6E6E6"/>
          </w:tcPr>
          <w:p>
            <w:pPr>
              <w:jc w:val="right"/>
              <w:spacing w:after="0" w:line="149" w:lineRule="exact"/>
              <w:rPr>
                <w:sz w:val="20"/>
                <w:szCs w:val="20"/>
                <w:color w:val="auto"/>
              </w:rPr>
            </w:pPr>
            <w:r>
              <w:rPr>
                <w:rFonts w:ascii="Arial" w:cs="Arial" w:eastAsia="Arial" w:hAnsi="Arial"/>
                <w:sz w:val="14"/>
                <w:szCs w:val="14"/>
                <w:color w:val="auto"/>
              </w:rPr>
              <w:t>(47,300)</w:t>
            </w:r>
          </w:p>
        </w:tc>
        <w:tc>
          <w:tcPr>
            <w:tcW w:w="1760" w:type="dxa"/>
            <w:vAlign w:val="bottom"/>
            <w:tcBorders>
              <w:bottom w:val="single" w:sz="8" w:color="3D85C6"/>
              <w:right w:val="single" w:sz="8" w:color="3D85C6"/>
            </w:tcBorders>
            <w:shd w:val="clear" w:color="auto" w:fill="E6E6E6"/>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3D85C6"/>
              <w:right w:val="single" w:sz="8" w:color="3D85C6"/>
            </w:tcBorders>
            <w:shd w:val="clear" w:color="auto" w:fill="E6E6E6"/>
          </w:tcPr>
          <w:p>
            <w:pPr>
              <w:jc w:val="right"/>
              <w:ind w:right="11"/>
              <w:spacing w:after="0" w:line="149" w:lineRule="exact"/>
              <w:rPr>
                <w:sz w:val="20"/>
                <w:szCs w:val="20"/>
                <w:color w:val="auto"/>
              </w:rPr>
            </w:pPr>
            <w:r>
              <w:rPr>
                <w:rFonts w:ascii="Arial" w:cs="Arial" w:eastAsia="Arial" w:hAnsi="Arial"/>
                <w:sz w:val="14"/>
                <w:szCs w:val="14"/>
                <w:color w:val="auto"/>
              </w:rPr>
              <w:t>(568,323)</w:t>
            </w:r>
          </w:p>
        </w:tc>
      </w:tr>
      <w:tr>
        <w:trPr>
          <w:trHeight w:val="149"/>
        </w:trPr>
        <w:tc>
          <w:tcPr>
            <w:tcW w:w="680" w:type="dxa"/>
            <w:vAlign w:val="bottom"/>
            <w:tcBorders>
              <w:left w:val="single" w:sz="8" w:color="3D85C6"/>
              <w:bottom w:val="single" w:sz="8" w:color="3D85C6"/>
              <w:right w:val="single" w:sz="8" w:color="3D85C6"/>
            </w:tcBorders>
          </w:tcPr>
          <w:p>
            <w:pPr>
              <w:ind w:left="180"/>
              <w:spacing w:after="0" w:line="149" w:lineRule="exact"/>
              <w:rPr>
                <w:sz w:val="20"/>
                <w:szCs w:val="20"/>
                <w:color w:val="auto"/>
              </w:rPr>
            </w:pPr>
            <w:r>
              <w:rPr>
                <w:rFonts w:ascii="Arial" w:cs="Arial" w:eastAsia="Arial" w:hAnsi="Arial"/>
                <w:sz w:val="14"/>
                <w:szCs w:val="14"/>
                <w:color w:val="auto"/>
              </w:rPr>
              <w:t>2023</w:t>
            </w:r>
          </w:p>
        </w:tc>
        <w:tc>
          <w:tcPr>
            <w:tcW w:w="182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391,724</w:t>
            </w:r>
          </w:p>
        </w:tc>
        <w:tc>
          <w:tcPr>
            <w:tcW w:w="182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46,783</w:t>
            </w:r>
          </w:p>
        </w:tc>
        <w:tc>
          <w:tcPr>
            <w:tcW w:w="182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80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357,261</w:t>
            </w:r>
          </w:p>
        </w:tc>
        <w:tc>
          <w:tcPr>
            <w:tcW w:w="1760" w:type="dxa"/>
            <w:vAlign w:val="bottom"/>
            <w:tcBorders>
              <w:bottom w:val="single" w:sz="8" w:color="3D85C6"/>
              <w:right w:val="single" w:sz="8" w:color="3D85C6"/>
            </w:tcBorders>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795,768</w:t>
            </w:r>
          </w:p>
        </w:tc>
      </w:tr>
      <w:tr>
        <w:trPr>
          <w:trHeight w:val="149"/>
        </w:trPr>
        <w:tc>
          <w:tcPr>
            <w:tcW w:w="680" w:type="dxa"/>
            <w:vAlign w:val="bottom"/>
            <w:tcBorders>
              <w:left w:val="single" w:sz="8" w:color="3D85C6"/>
              <w:bottom w:val="single" w:sz="8" w:color="3D85C6"/>
              <w:right w:val="single" w:sz="8" w:color="3D85C6"/>
            </w:tcBorders>
            <w:shd w:val="clear" w:color="auto" w:fill="E6E6E6"/>
          </w:tcPr>
          <w:p>
            <w:pPr>
              <w:ind w:left="180"/>
              <w:spacing w:after="0" w:line="149" w:lineRule="exact"/>
              <w:rPr>
                <w:sz w:val="20"/>
                <w:szCs w:val="20"/>
                <w:color w:val="auto"/>
              </w:rPr>
            </w:pPr>
            <w:r>
              <w:rPr>
                <w:rFonts w:ascii="Arial" w:cs="Arial" w:eastAsia="Arial" w:hAnsi="Arial"/>
                <w:sz w:val="14"/>
                <w:szCs w:val="14"/>
                <w:color w:val="auto"/>
              </w:rPr>
              <w:t>2022</w:t>
            </w:r>
          </w:p>
        </w:tc>
        <w:tc>
          <w:tcPr>
            <w:tcW w:w="182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873,864</w:t>
            </w:r>
          </w:p>
        </w:tc>
        <w:tc>
          <w:tcPr>
            <w:tcW w:w="1820" w:type="dxa"/>
            <w:vAlign w:val="bottom"/>
            <w:tcBorders>
              <w:bottom w:val="single" w:sz="8" w:color="3D85C6"/>
              <w:right w:val="single" w:sz="8" w:color="3D85C6"/>
            </w:tcBorders>
            <w:shd w:val="clear" w:color="auto" w:fill="E6E6E6"/>
          </w:tcPr>
          <w:p>
            <w:pPr>
              <w:jc w:val="right"/>
              <w:ind w:right="11"/>
              <w:spacing w:after="0" w:line="149" w:lineRule="exact"/>
              <w:rPr>
                <w:sz w:val="20"/>
                <w:szCs w:val="20"/>
                <w:color w:val="auto"/>
              </w:rPr>
            </w:pPr>
            <w:r>
              <w:rPr>
                <w:rFonts w:ascii="Arial" w:cs="Arial" w:eastAsia="Arial" w:hAnsi="Arial"/>
                <w:sz w:val="14"/>
                <w:szCs w:val="14"/>
                <w:color w:val="auto"/>
              </w:rPr>
              <w:t>(61,393)</w:t>
            </w:r>
          </w:p>
        </w:tc>
        <w:tc>
          <w:tcPr>
            <w:tcW w:w="182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800" w:type="dxa"/>
            <w:vAlign w:val="bottom"/>
            <w:tcBorders>
              <w:bottom w:val="single" w:sz="8" w:color="3D85C6"/>
              <w:right w:val="single" w:sz="8" w:color="3D85C6"/>
            </w:tcBorders>
            <w:shd w:val="clear" w:color="auto" w:fill="E6E6E6"/>
          </w:tcPr>
          <w:p>
            <w:pPr>
              <w:jc w:val="right"/>
              <w:spacing w:after="0" w:line="149" w:lineRule="exact"/>
              <w:rPr>
                <w:sz w:val="20"/>
                <w:szCs w:val="20"/>
                <w:color w:val="auto"/>
              </w:rPr>
            </w:pPr>
            <w:r>
              <w:rPr>
                <w:rFonts w:ascii="Arial" w:cs="Arial" w:eastAsia="Arial" w:hAnsi="Arial"/>
                <w:sz w:val="14"/>
                <w:szCs w:val="14"/>
                <w:color w:val="auto"/>
              </w:rPr>
              <w:t>(1,846)</w:t>
            </w:r>
          </w:p>
        </w:tc>
        <w:tc>
          <w:tcPr>
            <w:tcW w:w="1760" w:type="dxa"/>
            <w:vAlign w:val="bottom"/>
            <w:tcBorders>
              <w:bottom w:val="single" w:sz="8" w:color="3D85C6"/>
              <w:right w:val="single" w:sz="8" w:color="3D85C6"/>
            </w:tcBorders>
            <w:shd w:val="clear" w:color="auto" w:fill="E6E6E6"/>
          </w:tcPr>
          <w:p>
            <w:pPr>
              <w:jc w:val="right"/>
              <w:spacing w:after="0" w:line="149" w:lineRule="exact"/>
              <w:rPr>
                <w:sz w:val="20"/>
                <w:szCs w:val="20"/>
                <w:color w:val="auto"/>
              </w:rPr>
            </w:pPr>
            <w:r>
              <w:rPr>
                <w:rFonts w:ascii="Arial" w:cs="Arial" w:eastAsia="Arial" w:hAnsi="Arial"/>
                <w:sz w:val="14"/>
                <w:szCs w:val="14"/>
                <w:color w:val="auto"/>
              </w:rPr>
              <w:t>(115,343)</w:t>
            </w:r>
          </w:p>
        </w:tc>
        <w:tc>
          <w:tcPr>
            <w:tcW w:w="15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695,282</w:t>
            </w:r>
          </w:p>
        </w:tc>
      </w:tr>
      <w:tr>
        <w:trPr>
          <w:trHeight w:val="149"/>
        </w:trPr>
        <w:tc>
          <w:tcPr>
            <w:tcW w:w="680" w:type="dxa"/>
            <w:vAlign w:val="bottom"/>
            <w:tcBorders>
              <w:left w:val="single" w:sz="8" w:color="3D85C6"/>
              <w:bottom w:val="single" w:sz="8" w:color="3D85C6"/>
              <w:right w:val="single" w:sz="8" w:color="3D85C6"/>
            </w:tcBorders>
          </w:tcPr>
          <w:p>
            <w:pPr>
              <w:ind w:left="180"/>
              <w:spacing w:after="0" w:line="149" w:lineRule="exact"/>
              <w:rPr>
                <w:sz w:val="20"/>
                <w:szCs w:val="20"/>
                <w:color w:val="auto"/>
              </w:rPr>
            </w:pPr>
            <w:r>
              <w:rPr>
                <w:rFonts w:ascii="Arial" w:cs="Arial" w:eastAsia="Arial" w:hAnsi="Arial"/>
                <w:sz w:val="14"/>
                <w:szCs w:val="14"/>
                <w:color w:val="auto"/>
              </w:rPr>
              <w:t>2021</w:t>
            </w:r>
          </w:p>
        </w:tc>
        <w:tc>
          <w:tcPr>
            <w:tcW w:w="182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507,725</w:t>
            </w:r>
          </w:p>
        </w:tc>
        <w:tc>
          <w:tcPr>
            <w:tcW w:w="1820" w:type="dxa"/>
            <w:vAlign w:val="bottom"/>
            <w:tcBorders>
              <w:bottom w:val="single" w:sz="8" w:color="3D85C6"/>
              <w:right w:val="single" w:sz="8" w:color="3D85C6"/>
            </w:tcBorders>
          </w:tcPr>
          <w:p>
            <w:pPr>
              <w:jc w:val="right"/>
              <w:ind w:right="11"/>
              <w:spacing w:after="0" w:line="149" w:lineRule="exact"/>
              <w:rPr>
                <w:sz w:val="20"/>
                <w:szCs w:val="20"/>
                <w:color w:val="auto"/>
              </w:rPr>
            </w:pPr>
            <w:r>
              <w:rPr>
                <w:rFonts w:ascii="Arial" w:cs="Arial" w:eastAsia="Arial" w:hAnsi="Arial"/>
                <w:sz w:val="14"/>
                <w:szCs w:val="14"/>
                <w:color w:val="auto"/>
              </w:rPr>
              <w:t>(695,566)</w:t>
            </w:r>
          </w:p>
        </w:tc>
        <w:tc>
          <w:tcPr>
            <w:tcW w:w="182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80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35,734</w:t>
            </w:r>
          </w:p>
        </w:tc>
        <w:tc>
          <w:tcPr>
            <w:tcW w:w="1760" w:type="dxa"/>
            <w:vAlign w:val="bottom"/>
            <w:tcBorders>
              <w:bottom w:val="single" w:sz="8" w:color="3D85C6"/>
              <w:right w:val="single" w:sz="8" w:color="3D85C6"/>
            </w:tcBorders>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3D85C6"/>
              <w:right w:val="single" w:sz="8" w:color="3D85C6"/>
            </w:tcBorders>
          </w:tcPr>
          <w:p>
            <w:pPr>
              <w:jc w:val="right"/>
              <w:ind w:right="11"/>
              <w:spacing w:after="0" w:line="149" w:lineRule="exact"/>
              <w:rPr>
                <w:sz w:val="20"/>
                <w:szCs w:val="20"/>
                <w:color w:val="auto"/>
              </w:rPr>
            </w:pPr>
            <w:r>
              <w:rPr>
                <w:rFonts w:ascii="Arial" w:cs="Arial" w:eastAsia="Arial" w:hAnsi="Arial"/>
                <w:sz w:val="14"/>
                <w:szCs w:val="14"/>
                <w:color w:val="auto"/>
              </w:rPr>
              <w:t>(152,107)</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2025 Tabular List of Financial Performance Measures</w:t>
      </w:r>
    </w:p>
    <w:p>
      <w:pPr>
        <w:spacing w:after="0" w:line="19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As described in greater detail in the CD&amp;A, Cohu’s executive compensation program reflects a variable pay-for-performance philosophy. The metrics used for both our long-term and short-term incentive programs are selected to incentivize our NEOs to increase the value of our enterprise to our stockholders. We use three financial performance measures to determine the compensation of our CEO and all other NEOs as discussed in the CD&amp;A above. The most important financial performance measures used by Cohu to link executive compensation actually paid to the NEOs for the most recently completed fiscal year are:</w:t>
      </w:r>
    </w:p>
    <w:p>
      <w:pPr>
        <w:ind w:left="740" w:hanging="320"/>
        <w:spacing w:after="0"/>
        <w:tabs>
          <w:tab w:leader="none" w:pos="7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Relative Total Stockholder Return (RTSR) of Cohu stock versus the Russel 2000 Index</w:t>
      </w:r>
    </w:p>
    <w:p>
      <w:pPr>
        <w:ind w:left="740" w:hanging="320"/>
        <w:spacing w:after="0"/>
        <w:tabs>
          <w:tab w:leader="none" w:pos="7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Non-GAAP Pretax Income</w:t>
      </w:r>
    </w:p>
    <w:p>
      <w:pPr>
        <w:ind w:left="740" w:hanging="320"/>
        <w:spacing w:after="0"/>
        <w:tabs>
          <w:tab w:leader="none" w:pos="7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Both one-year and four-year Rolling Sales Growth</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Non-GAAP Pretax Income and the Four-year Rolling Sales metrics are used to determine the Short-Term Incentive Program and the RTSR versus the Russel 2000 Index is used in the to determine the Long-Term Incentive Program earned Performance Share Units. These two programs determine a significant proportion of our CEO and other NEO’s annual compensation earned.</w:t>
      </w: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Relationship of Financial Performance Measures to Compensation Actually Paid</w:t>
      </w:r>
    </w:p>
    <w:p>
      <w:pPr>
        <w:spacing w:after="0" w:line="191"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These financial performance measures are not all reflected in the Pay versus Performance table above and as Cohu generally seeks to incentivize long-term performance, we do not specifically align performance measures with compensation actually paid (as computed in accordance with Item 402(v) of Regulation S-K) for a particular year. As the table and subsequent charts show, the required equity adjustments to determine CAP results in yearly swings in CAP levels that are heavily influenced by timing of past equity awards and stock price fluctuations rather than actual company or executive performance in any given year. We are providing the following required descriptions of the relationships between information presented in the Pay versus Performance table.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7" w:name="page108"/>
    <w:bookmarkEnd w:id="107"/>
    <w:p>
      <w:pPr>
        <w:spacing w:after="0" w:line="247" w:lineRule="auto"/>
        <w:rPr>
          <w:sz w:val="20"/>
          <w:szCs w:val="20"/>
          <w:color w:val="auto"/>
        </w:rPr>
      </w:pPr>
      <w:r>
        <w:rPr>
          <w:rFonts w:ascii="Arial" w:cs="Arial" w:eastAsia="Arial" w:hAnsi="Arial"/>
          <w:sz w:val="17"/>
          <w:szCs w:val="17"/>
          <w:color w:val="auto"/>
        </w:rPr>
        <w:t>We selected our Comparative Stock Performance Graph custom Peer Group Index for the Cumulative TSR metric as it is comprised from companies within our industry and we believe reflects an appropriate comparison group for executive compensation. As discussed above, due to one of the Peer Group companies being acquired in 2025, we are illustrating both the historical Peer Group Index Cumulative TSR and the current Peer Group Index Cumulative TSR. Cohu’s Cumulative TSR (calculated assuming a $100 investment in Cohu’s common stock, on December 24, 2020) has outperformed our current peer group for two of the five years being compared. There does not appear to be a direct correlation between the performance of Cumulative TSR to CAP as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110490</wp:posOffset>
            </wp:positionV>
            <wp:extent cx="4942840" cy="2846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42840" cy="284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Cohu does not use GAAP Net Income in determining compensation paid to any of our CEO and other NEOs. This data is reported to comply with the requirements of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92075</wp:posOffset>
            </wp:positionV>
            <wp:extent cx="4975860" cy="26568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75860" cy="2656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E-30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08" w:name="page109"/>
    <w:bookmarkEnd w:id="108"/>
    <w:p>
      <w:pPr>
        <w:spacing w:after="0" w:line="249" w:lineRule="auto"/>
        <w:rPr>
          <w:sz w:val="20"/>
          <w:szCs w:val="20"/>
          <w:color w:val="auto"/>
        </w:rPr>
      </w:pPr>
      <w:r>
        <w:rPr>
          <w:rFonts w:ascii="Arial" w:cs="Arial" w:eastAsia="Arial" w:hAnsi="Arial"/>
          <w:sz w:val="17"/>
          <w:szCs w:val="17"/>
          <w:color w:val="auto"/>
        </w:rPr>
        <w:t>Cohu uses its results in non-GAAP pretax income to determine 50% of the compensation earned under the 2025 STI plan as discussed in the Short-Term Incentive Plan section of the CD&amp;A. We selected this metric as we feel it has the most direct impact on compensation levels earned by our CEO and other NEOs. Cohu’s non-GAAP pretax income performance exceeded the target level of 15% in three of the four years presented below. While there is a general directional relationship of CAP to the performance of non-GAAP pretax income, the amplitude of CAP does not appear to have a direct correlation to the level of non-GAAP pretax income for the reasons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1108075</wp:posOffset>
            </wp:positionH>
            <wp:positionV relativeFrom="paragraph">
              <wp:posOffset>109220</wp:posOffset>
            </wp:positionV>
            <wp:extent cx="4926330" cy="23348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26330" cy="2334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2025 CEO Pay Ratio</w:t>
      </w:r>
    </w:p>
    <w:p>
      <w:pPr>
        <w:spacing w:after="0" w:line="191"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As required by Item 402(u) of Regulation S-K, we are providing the following information about the relationship of the annual total compensation of our employees and the annual total compensation of Dr. Luis Müller, our CEO.</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For 2025, our last completed fiscal year:</w:t>
      </w:r>
    </w:p>
    <w:p>
      <w:pPr>
        <w:spacing w:after="0" w:line="15" w:lineRule="exact"/>
        <w:rPr>
          <w:sz w:val="20"/>
          <w:szCs w:val="20"/>
          <w:color w:val="auto"/>
        </w:rPr>
      </w:pPr>
    </w:p>
    <w:p>
      <w:pPr>
        <w:ind w:left="620" w:hanging="304"/>
        <w:spacing w:after="0"/>
        <w:tabs>
          <w:tab w:leader="none" w:pos="6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median of the annual total compensation of all employees of our company (other than our CEO), was $26,620; and</w:t>
      </w:r>
    </w:p>
    <w:p>
      <w:pPr>
        <w:ind w:left="620" w:right="780" w:hanging="304"/>
        <w:spacing w:after="0" w:line="260" w:lineRule="auto"/>
        <w:tabs>
          <w:tab w:leader="none" w:pos="6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annual total compensation of our CEO, as reported in the Summary Compensation Table presented elsewhere in this Proxy Statement, was $4,498,059.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7137400" cy="907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7400" cy="90741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left="380" w:right="1820"/>
        <w:spacing w:after="0" w:line="273" w:lineRule="auto"/>
        <w:rPr>
          <w:sz w:val="20"/>
          <w:szCs w:val="20"/>
          <w:color w:val="auto"/>
        </w:rPr>
      </w:pPr>
      <w:r>
        <w:rPr>
          <w:rFonts w:ascii="Arial" w:cs="Arial" w:eastAsia="Arial" w:hAnsi="Arial"/>
          <w:sz w:val="24"/>
          <w:szCs w:val="24"/>
          <w:b w:val="1"/>
          <w:bCs w:val="1"/>
          <w:color w:val="FFFFFF"/>
        </w:rPr>
        <w:t>Based on this information, for 2025 the ratio of the annual total compensation of Dr. Müller, our CEO, to the median of the annual total compensation of all our employees was 169 to 1.</w:t>
      </w:r>
    </w:p>
    <w:p>
      <w:pPr>
        <w:spacing w:after="0" w:line="200" w:lineRule="exact"/>
        <w:rPr>
          <w:sz w:val="20"/>
          <w:szCs w:val="20"/>
          <w:color w:val="auto"/>
        </w:rPr>
      </w:pPr>
    </w:p>
    <w:p>
      <w:pPr>
        <w:spacing w:after="0" w:line="202"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We believe that 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57" w:lineRule="exact"/>
        <w:rPr>
          <w:sz w:val="20"/>
          <w:szCs w:val="20"/>
          <w:color w:val="auto"/>
        </w:rPr>
      </w:pPr>
    </w:p>
    <w:p>
      <w:pPr>
        <w:jc w:val="both"/>
        <w:ind w:right="480"/>
        <w:spacing w:after="0" w:line="259" w:lineRule="auto"/>
        <w:rPr>
          <w:sz w:val="20"/>
          <w:szCs w:val="20"/>
          <w:color w:val="auto"/>
        </w:rPr>
      </w:pPr>
      <w:r>
        <w:rPr>
          <w:rFonts w:ascii="Arial" w:cs="Arial" w:eastAsia="Arial" w:hAnsi="Arial"/>
          <w:sz w:val="17"/>
          <w:szCs w:val="17"/>
          <w:color w:val="auto"/>
        </w:rPr>
        <w:t>To identify the median compensated employee in 2025, we determined that, as of November 1, 2025, our employee population consisted of approximately 2,800 individuals globally, with 15% of these individuals located in the Americas (primarily in the U.S.), 10% located in Europe (primarily in Germany and Switzerland), and 75% located in Asia (primarily in Malaysia and the Philippines).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We selected November 1, 2025, which is within the last three months of 2025, as the date upon which we would identify the “median employee” to</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allow sufficient time to identify the median employee given the global scope of our operations. We excluded equity compensation as a factor in</w:t>
      </w:r>
    </w:p>
    <w:p>
      <w:pPr>
        <w:spacing w:after="0"/>
        <w:rPr>
          <w:sz w:val="20"/>
          <w:szCs w:val="20"/>
          <w:color w:val="auto"/>
        </w:rPr>
      </w:pPr>
      <w:r>
        <w:rPr>
          <w:rFonts w:ascii="Arial" w:cs="Arial" w:eastAsia="Arial" w:hAnsi="Arial"/>
          <w:sz w:val="17"/>
          <w:szCs w:val="17"/>
          <w:color w:val="auto"/>
        </w:rPr>
        <w:t>identifying the median employee as less than 10% of our employee population receives equity grants as part of their compensation. Additionally,</w:t>
      </w:r>
    </w:p>
    <w:p>
      <w:pPr>
        <w:spacing w:after="0"/>
        <w:rPr>
          <w:sz w:val="20"/>
          <w:szCs w:val="20"/>
          <w:color w:val="auto"/>
        </w:rPr>
      </w:pPr>
      <w:r>
        <w:rPr>
          <w:rFonts w:ascii="Arial" w:cs="Arial" w:eastAsia="Arial" w:hAnsi="Arial"/>
          <w:sz w:val="17"/>
          <w:szCs w:val="17"/>
          <w:color w:val="auto"/>
        </w:rPr>
        <w:t>we used forecasted 2025 compensation (actual compensation paid January through October 2025 plus estimated compensation for</w:t>
      </w:r>
    </w:p>
    <w:p>
      <w:pPr>
        <w:spacing w:after="0"/>
        <w:rPr>
          <w:sz w:val="20"/>
          <w:szCs w:val="20"/>
          <w:color w:val="auto"/>
        </w:rPr>
      </w:pPr>
      <w:r>
        <w:rPr>
          <w:rFonts w:ascii="Arial" w:cs="Arial" w:eastAsia="Arial" w:hAnsi="Arial"/>
          <w:sz w:val="17"/>
          <w:szCs w:val="17"/>
          <w:color w:val="auto"/>
        </w:rPr>
        <w:t>November through December 2025) based on salary or wages, overtime pay, monthly allowances, statutory bonuses, and incentive pay received.</w:t>
      </w:r>
    </w:p>
    <w:p>
      <w:pPr>
        <w:spacing w:after="0"/>
        <w:rPr>
          <w:sz w:val="20"/>
          <w:szCs w:val="20"/>
          <w:color w:val="auto"/>
        </w:rPr>
      </w:pPr>
      <w:r>
        <w:rPr>
          <w:rFonts w:ascii="Arial" w:cs="Arial" w:eastAsia="Arial" w:hAnsi="Arial"/>
          <w:sz w:val="17"/>
          <w:szCs w:val="17"/>
          <w:color w:val="auto"/>
        </w:rPr>
        <w:t>Due to the geographical distribution of our employee populations, we also excluded social program contributions and other benefits as these vary</w:t>
      </w:r>
    </w:p>
    <w:p>
      <w:pPr>
        <w:spacing w:after="0"/>
        <w:rPr>
          <w:sz w:val="20"/>
          <w:szCs w:val="20"/>
          <w:color w:val="auto"/>
        </w:rPr>
      </w:pPr>
      <w:r>
        <w:rPr>
          <w:rFonts w:ascii="Arial" w:cs="Arial" w:eastAsia="Arial" w:hAnsi="Arial"/>
          <w:sz w:val="17"/>
          <w:szCs w:val="17"/>
          <w:color w:val="auto"/>
        </w:rPr>
        <w:t>greatly from country to country.</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Using this methodology, we determined that the “median employee” was a full-time, salaried employee located in the Philippines. The median employee’s actual annual total compensation for the 12-month period ending December 31, 2025, was $26,620. This amount includes all wages, overtime pay, statutory and variable incentive payments, allowances and localized personal benefits converted to U.S. Dollars.</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E-31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00"/>
          </w:cols>
          <w:pgMar w:left="320" w:top="798" w:right="37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b w:val="1"/>
          <w:bCs w:val="1"/>
          <w:color w:val="auto"/>
        </w:rPr>
        <w:t>2025 Grants of Plan-Based Awards</w:t>
      </w:r>
    </w:p>
    <w:p>
      <w:pPr>
        <w:spacing w:after="0" w:line="191"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The following table shows all plan-based awards granted to our NEOs during fiscal year 2025, which ended on December 27, 2025. The stock awards identified in the table below are also reported in the “Outstanding Equity Awards on December 27, 2025” table included herein. Cohu did not grant any stock options to NEOs under the 2005 Plan in fiscal year 2025.</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129"/>
        </w:trPr>
        <w:tc>
          <w:tcPr>
            <w:tcW w:w="680" w:type="dxa"/>
            <w:vAlign w:val="bottom"/>
            <w:tcBorders>
              <w:top w:val="single" w:sz="8" w:color="3D85C6"/>
              <w:left w:val="single" w:sz="8" w:color="3D85C6"/>
              <w:right w:val="single" w:sz="8" w:color="3D85C6"/>
            </w:tcBorders>
            <w:shd w:val="clear" w:color="auto" w:fill="2D53A6"/>
          </w:tcPr>
          <w:p>
            <w:pPr>
              <w:spacing w:after="0"/>
              <w:rPr>
                <w:sz w:val="11"/>
                <w:szCs w:val="11"/>
                <w:color w:val="auto"/>
              </w:rPr>
            </w:pPr>
          </w:p>
        </w:tc>
        <w:tc>
          <w:tcPr>
            <w:tcW w:w="880" w:type="dxa"/>
            <w:vAlign w:val="bottom"/>
            <w:tcBorders>
              <w:top w:val="single" w:sz="8" w:color="2D53A6"/>
            </w:tcBorders>
            <w:shd w:val="clear" w:color="auto" w:fill="2D53A6"/>
          </w:tcPr>
          <w:p>
            <w:pPr>
              <w:spacing w:after="0"/>
              <w:rPr>
                <w:sz w:val="11"/>
                <w:szCs w:val="11"/>
                <w:color w:val="auto"/>
              </w:rPr>
            </w:pPr>
          </w:p>
        </w:tc>
        <w:tc>
          <w:tcPr>
            <w:tcW w:w="100" w:type="dxa"/>
            <w:vAlign w:val="bottom"/>
            <w:tcBorders>
              <w:top w:val="single" w:sz="8" w:color="2D53A6"/>
              <w:right w:val="single" w:sz="8" w:color="3D85C6"/>
            </w:tcBorders>
            <w:shd w:val="clear" w:color="auto" w:fill="2D53A6"/>
          </w:tcPr>
          <w:p>
            <w:pPr>
              <w:spacing w:after="0"/>
              <w:rPr>
                <w:sz w:val="11"/>
                <w:szCs w:val="11"/>
                <w:color w:val="auto"/>
              </w:rPr>
            </w:pPr>
          </w:p>
        </w:tc>
        <w:tc>
          <w:tcPr>
            <w:tcW w:w="980" w:type="dxa"/>
            <w:vAlign w:val="bottom"/>
            <w:tcBorders>
              <w:top w:val="single" w:sz="8" w:color="2D53A6"/>
              <w:right w:val="single" w:sz="8" w:color="3D85C6"/>
            </w:tcBorders>
            <w:shd w:val="clear" w:color="auto" w:fill="2D53A6"/>
          </w:tcPr>
          <w:p>
            <w:pPr>
              <w:spacing w:after="0"/>
              <w:rPr>
                <w:sz w:val="11"/>
                <w:szCs w:val="11"/>
                <w:color w:val="auto"/>
              </w:rPr>
            </w:pPr>
          </w:p>
        </w:tc>
        <w:tc>
          <w:tcPr>
            <w:tcW w:w="100" w:type="dxa"/>
            <w:vAlign w:val="bottom"/>
            <w:tcBorders>
              <w:top w:val="single" w:sz="8" w:color="2D53A6"/>
            </w:tcBorders>
            <w:shd w:val="clear" w:color="auto" w:fill="2D53A6"/>
          </w:tcPr>
          <w:p>
            <w:pPr>
              <w:spacing w:after="0"/>
              <w:rPr>
                <w:sz w:val="11"/>
                <w:szCs w:val="11"/>
                <w:color w:val="auto"/>
              </w:rPr>
            </w:pPr>
          </w:p>
        </w:tc>
        <w:tc>
          <w:tcPr>
            <w:tcW w:w="2320" w:type="dxa"/>
            <w:vAlign w:val="bottom"/>
            <w:tcBorders>
              <w:top w:val="single" w:sz="8" w:color="2D53A6"/>
            </w:tcBorders>
            <w:gridSpan w:val="3"/>
            <w:vMerge w:val="restart"/>
            <w:shd w:val="clear" w:color="auto" w:fill="2D53A6"/>
          </w:tcPr>
          <w:p>
            <w:pPr>
              <w:jc w:val="center"/>
              <w:ind w:left="679"/>
              <w:spacing w:after="0"/>
              <w:rPr>
                <w:sz w:val="20"/>
                <w:szCs w:val="20"/>
                <w:color w:val="auto"/>
              </w:rPr>
            </w:pPr>
            <w:r>
              <w:rPr>
                <w:rFonts w:ascii="Arial" w:cs="Arial" w:eastAsia="Arial" w:hAnsi="Arial"/>
                <w:sz w:val="12"/>
                <w:szCs w:val="12"/>
                <w:b w:val="1"/>
                <w:bCs w:val="1"/>
                <w:color w:val="FFFFFF"/>
              </w:rPr>
              <w:t>Estimated Future Payouts</w:t>
            </w:r>
          </w:p>
        </w:tc>
        <w:tc>
          <w:tcPr>
            <w:tcW w:w="860" w:type="dxa"/>
            <w:vAlign w:val="bottom"/>
            <w:tcBorders>
              <w:top w:val="single" w:sz="8" w:color="2D53A6"/>
              <w:right w:val="single" w:sz="8" w:color="3D85C6"/>
            </w:tcBorders>
            <w:shd w:val="clear" w:color="auto" w:fill="2D53A6"/>
          </w:tcPr>
          <w:p>
            <w:pPr>
              <w:spacing w:after="0"/>
              <w:rPr>
                <w:sz w:val="11"/>
                <w:szCs w:val="11"/>
                <w:color w:val="auto"/>
              </w:rPr>
            </w:pPr>
          </w:p>
        </w:tc>
        <w:tc>
          <w:tcPr>
            <w:tcW w:w="2440" w:type="dxa"/>
            <w:vAlign w:val="bottom"/>
            <w:tcBorders>
              <w:top w:val="single" w:sz="8" w:color="2D53A6"/>
            </w:tcBorders>
            <w:gridSpan w:val="3"/>
            <w:vMerge w:val="restart"/>
            <w:shd w:val="clear" w:color="auto" w:fill="2D53A6"/>
          </w:tcPr>
          <w:p>
            <w:pPr>
              <w:jc w:val="center"/>
              <w:ind w:left="619"/>
              <w:spacing w:after="0"/>
              <w:rPr>
                <w:sz w:val="20"/>
                <w:szCs w:val="20"/>
                <w:color w:val="auto"/>
              </w:rPr>
            </w:pPr>
            <w:r>
              <w:rPr>
                <w:rFonts w:ascii="Arial" w:cs="Arial" w:eastAsia="Arial" w:hAnsi="Arial"/>
                <w:sz w:val="12"/>
                <w:szCs w:val="12"/>
                <w:b w:val="1"/>
                <w:bCs w:val="1"/>
                <w:color w:val="FFFFFF"/>
                <w:w w:val="99"/>
              </w:rPr>
              <w:t>Estimated Future Payouts</w:t>
            </w:r>
          </w:p>
        </w:tc>
        <w:tc>
          <w:tcPr>
            <w:tcW w:w="600" w:type="dxa"/>
            <w:vAlign w:val="bottom"/>
            <w:tcBorders>
              <w:top w:val="single" w:sz="8" w:color="2D53A6"/>
            </w:tcBorders>
            <w:shd w:val="clear" w:color="auto" w:fill="2D53A6"/>
          </w:tcPr>
          <w:p>
            <w:pPr>
              <w:spacing w:after="0"/>
              <w:rPr>
                <w:sz w:val="11"/>
                <w:szCs w:val="11"/>
                <w:color w:val="auto"/>
              </w:rPr>
            </w:pPr>
          </w:p>
        </w:tc>
        <w:tc>
          <w:tcPr>
            <w:tcW w:w="100" w:type="dxa"/>
            <w:vAlign w:val="bottom"/>
            <w:tcBorders>
              <w:top w:val="single" w:sz="8" w:color="2D53A6"/>
              <w:right w:val="single" w:sz="8" w:color="3D85C6"/>
            </w:tcBorders>
            <w:shd w:val="clear" w:color="auto" w:fill="2D53A6"/>
          </w:tcPr>
          <w:p>
            <w:pPr>
              <w:spacing w:after="0"/>
              <w:rPr>
                <w:sz w:val="11"/>
                <w:szCs w:val="11"/>
                <w:color w:val="auto"/>
              </w:rPr>
            </w:pPr>
          </w:p>
        </w:tc>
        <w:tc>
          <w:tcPr>
            <w:tcW w:w="1100" w:type="dxa"/>
            <w:vAlign w:val="bottom"/>
            <w:tcBorders>
              <w:top w:val="single" w:sz="8" w:color="2D53A6"/>
              <w:right w:val="single" w:sz="8" w:color="3D85C6"/>
            </w:tcBorders>
            <w:shd w:val="clear" w:color="auto" w:fill="2D53A6"/>
          </w:tcPr>
          <w:p>
            <w:pPr>
              <w:jc w:val="center"/>
              <w:spacing w:after="0" w:line="129" w:lineRule="exact"/>
              <w:rPr>
                <w:sz w:val="20"/>
                <w:szCs w:val="20"/>
                <w:color w:val="auto"/>
              </w:rPr>
            </w:pPr>
            <w:r>
              <w:rPr>
                <w:rFonts w:ascii="Arial" w:cs="Arial" w:eastAsia="Arial" w:hAnsi="Arial"/>
                <w:sz w:val="12"/>
                <w:szCs w:val="12"/>
                <w:b w:val="1"/>
                <w:bCs w:val="1"/>
                <w:color w:val="FFFFFF"/>
              </w:rPr>
              <w:t>All</w:t>
            </w:r>
          </w:p>
        </w:tc>
        <w:tc>
          <w:tcPr>
            <w:tcW w:w="1100" w:type="dxa"/>
            <w:vAlign w:val="bottom"/>
            <w:tcBorders>
              <w:top w:val="single" w:sz="8" w:color="2D53A6"/>
              <w:right w:val="single" w:sz="8" w:color="3D85C6"/>
            </w:tcBorders>
            <w:shd w:val="clear" w:color="auto" w:fill="2D53A6"/>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680" w:type="dxa"/>
            <w:vAlign w:val="bottom"/>
            <w:tcBorders>
              <w:left w:val="single" w:sz="8" w:color="3D85C6"/>
              <w:right w:val="single" w:sz="8" w:color="3D85C6"/>
            </w:tcBorders>
            <w:shd w:val="clear" w:color="auto" w:fill="2D53A6"/>
          </w:tcPr>
          <w:p>
            <w:pPr>
              <w:spacing w:after="0"/>
              <w:rPr>
                <w:sz w:val="4"/>
                <w:szCs w:val="4"/>
                <w:color w:val="auto"/>
              </w:rPr>
            </w:pPr>
          </w:p>
        </w:tc>
        <w:tc>
          <w:tcPr>
            <w:tcW w:w="880" w:type="dxa"/>
            <w:vAlign w:val="bottom"/>
            <w:shd w:val="clear" w:color="auto" w:fill="2D53A6"/>
          </w:tcPr>
          <w:p>
            <w:pPr>
              <w:spacing w:after="0"/>
              <w:rPr>
                <w:sz w:val="4"/>
                <w:szCs w:val="4"/>
                <w:color w:val="auto"/>
              </w:rPr>
            </w:pPr>
          </w:p>
        </w:tc>
        <w:tc>
          <w:tcPr>
            <w:tcW w:w="100" w:type="dxa"/>
            <w:vAlign w:val="bottom"/>
            <w:tcBorders>
              <w:right w:val="single" w:sz="8" w:color="3D85C6"/>
            </w:tcBorders>
            <w:shd w:val="clear" w:color="auto" w:fill="2D53A6"/>
          </w:tcPr>
          <w:p>
            <w:pPr>
              <w:spacing w:after="0"/>
              <w:rPr>
                <w:sz w:val="4"/>
                <w:szCs w:val="4"/>
                <w:color w:val="auto"/>
              </w:rPr>
            </w:pPr>
          </w:p>
        </w:tc>
        <w:tc>
          <w:tcPr>
            <w:tcW w:w="980" w:type="dxa"/>
            <w:vAlign w:val="bottom"/>
            <w:tcBorders>
              <w:right w:val="single" w:sz="8" w:color="3D85C6"/>
            </w:tcBorders>
            <w:shd w:val="clear" w:color="auto" w:fill="2D53A6"/>
          </w:tcPr>
          <w:p>
            <w:pPr>
              <w:spacing w:after="0"/>
              <w:rPr>
                <w:sz w:val="4"/>
                <w:szCs w:val="4"/>
                <w:color w:val="auto"/>
              </w:rPr>
            </w:pPr>
          </w:p>
        </w:tc>
        <w:tc>
          <w:tcPr>
            <w:tcW w:w="100" w:type="dxa"/>
            <w:vAlign w:val="bottom"/>
            <w:shd w:val="clear" w:color="auto" w:fill="2D53A6"/>
          </w:tcPr>
          <w:p>
            <w:pPr>
              <w:spacing w:after="0"/>
              <w:rPr>
                <w:sz w:val="4"/>
                <w:szCs w:val="4"/>
                <w:color w:val="auto"/>
              </w:rPr>
            </w:pPr>
          </w:p>
        </w:tc>
        <w:tc>
          <w:tcPr>
            <w:tcW w:w="2320" w:type="dxa"/>
            <w:vAlign w:val="bottom"/>
            <w:gridSpan w:val="3"/>
            <w:vMerge w:val="continue"/>
            <w:shd w:val="clear" w:color="auto" w:fill="2D53A6"/>
          </w:tcPr>
          <w:p>
            <w:pPr>
              <w:spacing w:after="0"/>
              <w:rPr>
                <w:sz w:val="4"/>
                <w:szCs w:val="4"/>
                <w:color w:val="auto"/>
              </w:rPr>
            </w:pPr>
          </w:p>
        </w:tc>
        <w:tc>
          <w:tcPr>
            <w:tcW w:w="860" w:type="dxa"/>
            <w:vAlign w:val="bottom"/>
            <w:tcBorders>
              <w:right w:val="single" w:sz="8" w:color="3D85C6"/>
            </w:tcBorders>
            <w:shd w:val="clear" w:color="auto" w:fill="2D53A6"/>
          </w:tcPr>
          <w:p>
            <w:pPr>
              <w:spacing w:after="0"/>
              <w:rPr>
                <w:sz w:val="4"/>
                <w:szCs w:val="4"/>
                <w:color w:val="auto"/>
              </w:rPr>
            </w:pPr>
          </w:p>
        </w:tc>
        <w:tc>
          <w:tcPr>
            <w:tcW w:w="2440" w:type="dxa"/>
            <w:vAlign w:val="bottom"/>
            <w:gridSpan w:val="3"/>
            <w:vMerge w:val="continue"/>
            <w:shd w:val="clear" w:color="auto" w:fill="2D53A6"/>
          </w:tcPr>
          <w:p>
            <w:pPr>
              <w:spacing w:after="0"/>
              <w:rPr>
                <w:sz w:val="4"/>
                <w:szCs w:val="4"/>
                <w:color w:val="auto"/>
              </w:rPr>
            </w:pPr>
          </w:p>
        </w:tc>
        <w:tc>
          <w:tcPr>
            <w:tcW w:w="600" w:type="dxa"/>
            <w:vAlign w:val="bottom"/>
            <w:shd w:val="clear" w:color="auto" w:fill="2D53A6"/>
          </w:tcPr>
          <w:p>
            <w:pPr>
              <w:spacing w:after="0"/>
              <w:rPr>
                <w:sz w:val="4"/>
                <w:szCs w:val="4"/>
                <w:color w:val="auto"/>
              </w:rPr>
            </w:pPr>
          </w:p>
        </w:tc>
        <w:tc>
          <w:tcPr>
            <w:tcW w:w="100" w:type="dxa"/>
            <w:vAlign w:val="bottom"/>
            <w:tcBorders>
              <w:right w:val="single" w:sz="8" w:color="3D85C6"/>
            </w:tcBorders>
            <w:shd w:val="clear" w:color="auto" w:fill="2D53A6"/>
          </w:tcPr>
          <w:p>
            <w:pPr>
              <w:spacing w:after="0"/>
              <w:rPr>
                <w:sz w:val="4"/>
                <w:szCs w:val="4"/>
                <w:color w:val="auto"/>
              </w:rPr>
            </w:pPr>
          </w:p>
        </w:tc>
        <w:tc>
          <w:tcPr>
            <w:tcW w:w="1100" w:type="dxa"/>
            <w:vAlign w:val="bottom"/>
            <w:tcBorders>
              <w:right w:val="single" w:sz="8" w:color="3D85C6"/>
            </w:tcBorders>
            <w:vMerge w:val="restart"/>
            <w:shd w:val="clear" w:color="auto" w:fill="2D53A6"/>
          </w:tcPr>
          <w:p>
            <w:pPr>
              <w:jc w:val="center"/>
              <w:spacing w:after="0" w:line="117" w:lineRule="exact"/>
              <w:rPr>
                <w:sz w:val="20"/>
                <w:szCs w:val="20"/>
                <w:color w:val="auto"/>
              </w:rPr>
            </w:pPr>
            <w:r>
              <w:rPr>
                <w:rFonts w:ascii="Arial" w:cs="Arial" w:eastAsia="Arial" w:hAnsi="Arial"/>
                <w:sz w:val="12"/>
                <w:szCs w:val="12"/>
                <w:b w:val="1"/>
                <w:bCs w:val="1"/>
                <w:color w:val="FFFFFF"/>
                <w:w w:val="99"/>
              </w:rPr>
              <w:t>Other</w:t>
            </w:r>
          </w:p>
        </w:tc>
        <w:tc>
          <w:tcPr>
            <w:tcW w:w="1100" w:type="dxa"/>
            <w:vAlign w:val="bottom"/>
            <w:tcBorders>
              <w:right w:val="single" w:sz="8" w:color="3D85C6"/>
            </w:tcBorders>
            <w:shd w:val="clear" w:color="auto" w:fill="2D53A6"/>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680" w:type="dxa"/>
            <w:vAlign w:val="bottom"/>
            <w:tcBorders>
              <w:left w:val="single" w:sz="8" w:color="3D85C6"/>
              <w:right w:val="single" w:sz="8" w:color="3D85C6"/>
            </w:tcBorders>
            <w:shd w:val="clear" w:color="auto" w:fill="2D53A6"/>
          </w:tcPr>
          <w:p>
            <w:pPr>
              <w:spacing w:after="0"/>
              <w:rPr>
                <w:sz w:val="5"/>
                <w:szCs w:val="5"/>
                <w:color w:val="auto"/>
              </w:rPr>
            </w:pPr>
          </w:p>
        </w:tc>
        <w:tc>
          <w:tcPr>
            <w:tcW w:w="880" w:type="dxa"/>
            <w:vAlign w:val="bottom"/>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980" w:type="dxa"/>
            <w:vAlign w:val="bottom"/>
            <w:tcBorders>
              <w:right w:val="single" w:sz="8" w:color="3D85C6"/>
            </w:tcBorders>
            <w:shd w:val="clear" w:color="auto" w:fill="2D53A6"/>
          </w:tcPr>
          <w:p>
            <w:pPr>
              <w:spacing w:after="0"/>
              <w:rPr>
                <w:sz w:val="5"/>
                <w:szCs w:val="5"/>
                <w:color w:val="auto"/>
              </w:rPr>
            </w:pPr>
          </w:p>
        </w:tc>
        <w:tc>
          <w:tcPr>
            <w:tcW w:w="100" w:type="dxa"/>
            <w:vAlign w:val="bottom"/>
            <w:shd w:val="clear" w:color="auto" w:fill="2D53A6"/>
          </w:tcPr>
          <w:p>
            <w:pPr>
              <w:spacing w:after="0"/>
              <w:rPr>
                <w:sz w:val="5"/>
                <w:szCs w:val="5"/>
                <w:color w:val="auto"/>
              </w:rPr>
            </w:pPr>
          </w:p>
        </w:tc>
        <w:tc>
          <w:tcPr>
            <w:tcW w:w="980" w:type="dxa"/>
            <w:vAlign w:val="bottom"/>
            <w:tcBorders>
              <w:right w:val="single" w:sz="8" w:color="2D53A6"/>
            </w:tcBorders>
            <w:shd w:val="clear" w:color="auto" w:fill="2D53A6"/>
          </w:tcPr>
          <w:p>
            <w:pPr>
              <w:spacing w:after="0"/>
              <w:rPr>
                <w:sz w:val="5"/>
                <w:szCs w:val="5"/>
                <w:color w:val="auto"/>
              </w:rPr>
            </w:pPr>
          </w:p>
        </w:tc>
        <w:tc>
          <w:tcPr>
            <w:tcW w:w="1340" w:type="dxa"/>
            <w:vAlign w:val="bottom"/>
            <w:gridSpan w:val="2"/>
            <w:vMerge w:val="restart"/>
            <w:shd w:val="clear" w:color="auto" w:fill="2D53A6"/>
          </w:tcPr>
          <w:p>
            <w:pPr>
              <w:jc w:val="center"/>
              <w:ind w:right="240"/>
              <w:spacing w:after="0" w:line="135" w:lineRule="exact"/>
              <w:rPr>
                <w:sz w:val="20"/>
                <w:szCs w:val="20"/>
                <w:color w:val="auto"/>
              </w:rPr>
            </w:pPr>
            <w:r>
              <w:rPr>
                <w:rFonts w:ascii="Arial" w:cs="Arial" w:eastAsia="Arial" w:hAnsi="Arial"/>
                <w:sz w:val="12"/>
                <w:szCs w:val="12"/>
                <w:b w:val="1"/>
                <w:bCs w:val="1"/>
                <w:color w:val="FFFFFF"/>
                <w:w w:val="97"/>
              </w:rPr>
              <w:t>Under</w:t>
            </w:r>
          </w:p>
        </w:tc>
        <w:tc>
          <w:tcPr>
            <w:tcW w:w="860" w:type="dxa"/>
            <w:vAlign w:val="bottom"/>
            <w:tcBorders>
              <w:right w:val="single" w:sz="8" w:color="3D85C6"/>
            </w:tcBorders>
            <w:shd w:val="clear" w:color="auto" w:fill="2D53A6"/>
          </w:tcPr>
          <w:p>
            <w:pPr>
              <w:spacing w:after="0"/>
              <w:rPr>
                <w:sz w:val="5"/>
                <w:szCs w:val="5"/>
                <w:color w:val="auto"/>
              </w:rPr>
            </w:pPr>
          </w:p>
        </w:tc>
        <w:tc>
          <w:tcPr>
            <w:tcW w:w="2440" w:type="dxa"/>
            <w:vAlign w:val="bottom"/>
            <w:gridSpan w:val="3"/>
            <w:vMerge w:val="continue"/>
            <w:shd w:val="clear" w:color="auto" w:fill="2D53A6"/>
          </w:tcPr>
          <w:p>
            <w:pPr>
              <w:spacing w:after="0"/>
              <w:rPr>
                <w:sz w:val="5"/>
                <w:szCs w:val="5"/>
                <w:color w:val="auto"/>
              </w:rPr>
            </w:pPr>
          </w:p>
        </w:tc>
        <w:tc>
          <w:tcPr>
            <w:tcW w:w="600" w:type="dxa"/>
            <w:vAlign w:val="bottom"/>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1100" w:type="dxa"/>
            <w:vAlign w:val="bottom"/>
            <w:tcBorders>
              <w:right w:val="single" w:sz="8" w:color="3D85C6"/>
            </w:tcBorders>
            <w:vMerge w:val="continue"/>
            <w:shd w:val="clear" w:color="auto" w:fill="2D53A6"/>
          </w:tcPr>
          <w:p>
            <w:pPr>
              <w:spacing w:after="0"/>
              <w:rPr>
                <w:sz w:val="5"/>
                <w:szCs w:val="5"/>
                <w:color w:val="auto"/>
              </w:rPr>
            </w:pPr>
          </w:p>
        </w:tc>
        <w:tc>
          <w:tcPr>
            <w:tcW w:w="1100" w:type="dxa"/>
            <w:vAlign w:val="bottom"/>
            <w:tcBorders>
              <w:right w:val="single" w:sz="8" w:color="3D85C6"/>
            </w:tcBorders>
            <w:vMerge w:val="restart"/>
            <w:shd w:val="clear" w:color="auto" w:fill="2D53A6"/>
          </w:tcPr>
          <w:p>
            <w:pPr>
              <w:jc w:val="center"/>
              <w:spacing w:after="0" w:line="135" w:lineRule="exact"/>
              <w:rPr>
                <w:sz w:val="20"/>
                <w:szCs w:val="20"/>
                <w:color w:val="auto"/>
              </w:rPr>
            </w:pPr>
            <w:r>
              <w:rPr>
                <w:rFonts w:ascii="Arial" w:cs="Arial" w:eastAsia="Arial" w:hAnsi="Arial"/>
                <w:sz w:val="12"/>
                <w:szCs w:val="12"/>
                <w:b w:val="1"/>
                <w:bCs w:val="1"/>
                <w:color w:val="FFFFFF"/>
                <w:w w:val="99"/>
              </w:rPr>
              <w:t>Grant</w:t>
            </w:r>
          </w:p>
        </w:tc>
        <w:tc>
          <w:tcPr>
            <w:tcW w:w="0" w:type="dxa"/>
            <w:vAlign w:val="bottom"/>
          </w:tcPr>
          <w:p>
            <w:pPr>
              <w:spacing w:after="0"/>
              <w:rPr>
                <w:sz w:val="1"/>
                <w:szCs w:val="1"/>
                <w:color w:val="auto"/>
              </w:rPr>
            </w:pPr>
          </w:p>
        </w:tc>
      </w:tr>
      <w:tr>
        <w:trPr>
          <w:trHeight w:val="70"/>
        </w:trPr>
        <w:tc>
          <w:tcPr>
            <w:tcW w:w="680" w:type="dxa"/>
            <w:vAlign w:val="bottom"/>
            <w:tcBorders>
              <w:left w:val="single" w:sz="8" w:color="3D85C6"/>
              <w:right w:val="single" w:sz="8" w:color="3D85C6"/>
            </w:tcBorders>
            <w:shd w:val="clear" w:color="auto" w:fill="2D53A6"/>
          </w:tcPr>
          <w:p>
            <w:pPr>
              <w:spacing w:after="0"/>
              <w:rPr>
                <w:sz w:val="6"/>
                <w:szCs w:val="6"/>
                <w:color w:val="auto"/>
              </w:rPr>
            </w:pPr>
          </w:p>
        </w:tc>
        <w:tc>
          <w:tcPr>
            <w:tcW w:w="880" w:type="dxa"/>
            <w:vAlign w:val="bottom"/>
            <w:shd w:val="clear" w:color="auto" w:fill="2D53A6"/>
          </w:tcPr>
          <w:p>
            <w:pPr>
              <w:spacing w:after="0"/>
              <w:rPr>
                <w:sz w:val="6"/>
                <w:szCs w:val="6"/>
                <w:color w:val="auto"/>
              </w:rPr>
            </w:pPr>
          </w:p>
        </w:tc>
        <w:tc>
          <w:tcPr>
            <w:tcW w:w="100" w:type="dxa"/>
            <w:vAlign w:val="bottom"/>
            <w:tcBorders>
              <w:right w:val="single" w:sz="8" w:color="3D85C6"/>
            </w:tcBorders>
            <w:shd w:val="clear" w:color="auto" w:fill="2D53A6"/>
          </w:tcPr>
          <w:p>
            <w:pPr>
              <w:spacing w:after="0"/>
              <w:rPr>
                <w:sz w:val="6"/>
                <w:szCs w:val="6"/>
                <w:color w:val="auto"/>
              </w:rPr>
            </w:pPr>
          </w:p>
        </w:tc>
        <w:tc>
          <w:tcPr>
            <w:tcW w:w="980" w:type="dxa"/>
            <w:vAlign w:val="bottom"/>
            <w:tcBorders>
              <w:right w:val="single" w:sz="8" w:color="3D85C6"/>
            </w:tcBorders>
            <w:shd w:val="clear" w:color="auto" w:fill="2D53A6"/>
          </w:tcPr>
          <w:p>
            <w:pPr>
              <w:spacing w:after="0"/>
              <w:rPr>
                <w:sz w:val="6"/>
                <w:szCs w:val="6"/>
                <w:color w:val="auto"/>
              </w:rPr>
            </w:pPr>
          </w:p>
        </w:tc>
        <w:tc>
          <w:tcPr>
            <w:tcW w:w="100" w:type="dxa"/>
            <w:vAlign w:val="bottom"/>
            <w:shd w:val="clear" w:color="auto" w:fill="2D53A6"/>
          </w:tcPr>
          <w:p>
            <w:pPr>
              <w:spacing w:after="0"/>
              <w:rPr>
                <w:sz w:val="6"/>
                <w:szCs w:val="6"/>
                <w:color w:val="auto"/>
              </w:rPr>
            </w:pPr>
          </w:p>
        </w:tc>
        <w:tc>
          <w:tcPr>
            <w:tcW w:w="980" w:type="dxa"/>
            <w:vAlign w:val="bottom"/>
            <w:tcBorders>
              <w:right w:val="single" w:sz="8" w:color="2D53A6"/>
            </w:tcBorders>
            <w:shd w:val="clear" w:color="auto" w:fill="2D53A6"/>
          </w:tcPr>
          <w:p>
            <w:pPr>
              <w:spacing w:after="0"/>
              <w:rPr>
                <w:sz w:val="6"/>
                <w:szCs w:val="6"/>
                <w:color w:val="auto"/>
              </w:rPr>
            </w:pPr>
          </w:p>
        </w:tc>
        <w:tc>
          <w:tcPr>
            <w:tcW w:w="1340" w:type="dxa"/>
            <w:vAlign w:val="bottom"/>
            <w:gridSpan w:val="2"/>
            <w:vMerge w:val="continue"/>
            <w:shd w:val="clear" w:color="auto" w:fill="2D53A6"/>
          </w:tcPr>
          <w:p>
            <w:pPr>
              <w:spacing w:after="0"/>
              <w:rPr>
                <w:sz w:val="6"/>
                <w:szCs w:val="6"/>
                <w:color w:val="auto"/>
              </w:rPr>
            </w:pPr>
          </w:p>
        </w:tc>
        <w:tc>
          <w:tcPr>
            <w:tcW w:w="860" w:type="dxa"/>
            <w:vAlign w:val="bottom"/>
            <w:tcBorders>
              <w:right w:val="single" w:sz="8" w:color="3D85C6"/>
            </w:tcBorders>
            <w:shd w:val="clear" w:color="auto" w:fill="2D53A6"/>
          </w:tcPr>
          <w:p>
            <w:pPr>
              <w:spacing w:after="0"/>
              <w:rPr>
                <w:sz w:val="6"/>
                <w:szCs w:val="6"/>
                <w:color w:val="auto"/>
              </w:rPr>
            </w:pPr>
          </w:p>
        </w:tc>
        <w:tc>
          <w:tcPr>
            <w:tcW w:w="2440" w:type="dxa"/>
            <w:vAlign w:val="bottom"/>
            <w:gridSpan w:val="3"/>
            <w:vMerge w:val="restart"/>
            <w:shd w:val="clear" w:color="auto" w:fill="2D53A6"/>
          </w:tcPr>
          <w:p>
            <w:pPr>
              <w:jc w:val="center"/>
              <w:ind w:left="619"/>
              <w:spacing w:after="0" w:line="135" w:lineRule="exact"/>
              <w:rPr>
                <w:sz w:val="20"/>
                <w:szCs w:val="20"/>
                <w:color w:val="auto"/>
              </w:rPr>
            </w:pPr>
            <w:r>
              <w:rPr>
                <w:rFonts w:ascii="Arial" w:cs="Arial" w:eastAsia="Arial" w:hAnsi="Arial"/>
                <w:sz w:val="12"/>
                <w:szCs w:val="12"/>
                <w:b w:val="1"/>
                <w:bCs w:val="1"/>
                <w:color w:val="FFFFFF"/>
              </w:rPr>
              <w:t>Under Equity Incentive Plan</w:t>
            </w:r>
          </w:p>
        </w:tc>
        <w:tc>
          <w:tcPr>
            <w:tcW w:w="600" w:type="dxa"/>
            <w:vAlign w:val="bottom"/>
            <w:shd w:val="clear" w:color="auto" w:fill="2D53A6"/>
          </w:tcPr>
          <w:p>
            <w:pPr>
              <w:spacing w:after="0"/>
              <w:rPr>
                <w:sz w:val="6"/>
                <w:szCs w:val="6"/>
                <w:color w:val="auto"/>
              </w:rPr>
            </w:pPr>
          </w:p>
        </w:tc>
        <w:tc>
          <w:tcPr>
            <w:tcW w:w="100" w:type="dxa"/>
            <w:vAlign w:val="bottom"/>
            <w:tcBorders>
              <w:right w:val="single" w:sz="8" w:color="3D85C6"/>
            </w:tcBorders>
            <w:shd w:val="clear" w:color="auto" w:fill="2D53A6"/>
          </w:tcPr>
          <w:p>
            <w:pPr>
              <w:spacing w:after="0"/>
              <w:rPr>
                <w:sz w:val="6"/>
                <w:szCs w:val="6"/>
                <w:color w:val="auto"/>
              </w:rPr>
            </w:pPr>
          </w:p>
        </w:tc>
        <w:tc>
          <w:tcPr>
            <w:tcW w:w="1100" w:type="dxa"/>
            <w:vAlign w:val="bottom"/>
            <w:tcBorders>
              <w:right w:val="single" w:sz="8" w:color="3D85C6"/>
            </w:tcBorders>
            <w:vMerge w:val="restart"/>
            <w:shd w:val="clear" w:color="auto" w:fill="2D53A6"/>
          </w:tcPr>
          <w:p>
            <w:pPr>
              <w:jc w:val="center"/>
              <w:spacing w:after="0" w:line="135" w:lineRule="exact"/>
              <w:rPr>
                <w:sz w:val="20"/>
                <w:szCs w:val="20"/>
                <w:color w:val="auto"/>
              </w:rPr>
            </w:pPr>
            <w:r>
              <w:rPr>
                <w:rFonts w:ascii="Arial" w:cs="Arial" w:eastAsia="Arial" w:hAnsi="Arial"/>
                <w:sz w:val="12"/>
                <w:szCs w:val="12"/>
                <w:b w:val="1"/>
                <w:bCs w:val="1"/>
                <w:color w:val="FFFFFF"/>
              </w:rPr>
              <w:t>Stock</w:t>
            </w:r>
          </w:p>
        </w:tc>
        <w:tc>
          <w:tcPr>
            <w:tcW w:w="1100" w:type="dxa"/>
            <w:vAlign w:val="bottom"/>
            <w:tcBorders>
              <w:right w:val="single" w:sz="8" w:color="3D85C6"/>
            </w:tcBorders>
            <w:vMerge w:val="continue"/>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80" w:type="dxa"/>
            <w:vAlign w:val="bottom"/>
            <w:tcBorders>
              <w:left w:val="single" w:sz="8" w:color="3D85C6"/>
              <w:right w:val="single" w:sz="8" w:color="3D85C6"/>
            </w:tcBorders>
            <w:shd w:val="clear" w:color="auto" w:fill="2D53A6"/>
          </w:tcPr>
          <w:p>
            <w:pPr>
              <w:spacing w:after="0"/>
              <w:rPr>
                <w:sz w:val="5"/>
                <w:szCs w:val="5"/>
                <w:color w:val="auto"/>
              </w:rPr>
            </w:pPr>
          </w:p>
        </w:tc>
        <w:tc>
          <w:tcPr>
            <w:tcW w:w="880" w:type="dxa"/>
            <w:vAlign w:val="bottom"/>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980" w:type="dxa"/>
            <w:vAlign w:val="bottom"/>
            <w:tcBorders>
              <w:right w:val="single" w:sz="8" w:color="3D85C6"/>
            </w:tcBorders>
            <w:shd w:val="clear" w:color="auto" w:fill="2D53A6"/>
          </w:tcPr>
          <w:p>
            <w:pPr>
              <w:spacing w:after="0"/>
              <w:rPr>
                <w:sz w:val="5"/>
                <w:szCs w:val="5"/>
                <w:color w:val="auto"/>
              </w:rPr>
            </w:pPr>
          </w:p>
        </w:tc>
        <w:tc>
          <w:tcPr>
            <w:tcW w:w="100" w:type="dxa"/>
            <w:vAlign w:val="bottom"/>
            <w:shd w:val="clear" w:color="auto" w:fill="2D53A6"/>
          </w:tcPr>
          <w:p>
            <w:pPr>
              <w:spacing w:after="0"/>
              <w:rPr>
                <w:sz w:val="5"/>
                <w:szCs w:val="5"/>
                <w:color w:val="auto"/>
              </w:rPr>
            </w:pPr>
          </w:p>
        </w:tc>
        <w:tc>
          <w:tcPr>
            <w:tcW w:w="2320" w:type="dxa"/>
            <w:vAlign w:val="bottom"/>
            <w:gridSpan w:val="3"/>
            <w:vMerge w:val="restart"/>
            <w:shd w:val="clear" w:color="auto" w:fill="2D53A6"/>
          </w:tcPr>
          <w:p>
            <w:pPr>
              <w:jc w:val="center"/>
              <w:ind w:left="679"/>
              <w:spacing w:after="0" w:line="130" w:lineRule="exact"/>
              <w:rPr>
                <w:sz w:val="20"/>
                <w:szCs w:val="20"/>
                <w:color w:val="auto"/>
              </w:rPr>
            </w:pPr>
            <w:r>
              <w:rPr>
                <w:rFonts w:ascii="Arial" w:cs="Arial" w:eastAsia="Arial" w:hAnsi="Arial"/>
                <w:sz w:val="12"/>
                <w:szCs w:val="12"/>
                <w:b w:val="1"/>
                <w:bCs w:val="1"/>
                <w:color w:val="FFFFFF"/>
              </w:rPr>
              <w:t>Non-Equity Incentive Plan</w:t>
            </w:r>
          </w:p>
        </w:tc>
        <w:tc>
          <w:tcPr>
            <w:tcW w:w="860" w:type="dxa"/>
            <w:vAlign w:val="bottom"/>
            <w:tcBorders>
              <w:right w:val="single" w:sz="8" w:color="3D85C6"/>
            </w:tcBorders>
            <w:shd w:val="clear" w:color="auto" w:fill="2D53A6"/>
          </w:tcPr>
          <w:p>
            <w:pPr>
              <w:spacing w:after="0"/>
              <w:rPr>
                <w:sz w:val="5"/>
                <w:szCs w:val="5"/>
                <w:color w:val="auto"/>
              </w:rPr>
            </w:pPr>
          </w:p>
        </w:tc>
        <w:tc>
          <w:tcPr>
            <w:tcW w:w="2440" w:type="dxa"/>
            <w:vAlign w:val="bottom"/>
            <w:gridSpan w:val="3"/>
            <w:vMerge w:val="continue"/>
            <w:shd w:val="clear" w:color="auto" w:fill="2D53A6"/>
          </w:tcPr>
          <w:p>
            <w:pPr>
              <w:spacing w:after="0"/>
              <w:rPr>
                <w:sz w:val="5"/>
                <w:szCs w:val="5"/>
                <w:color w:val="auto"/>
              </w:rPr>
            </w:pPr>
          </w:p>
        </w:tc>
        <w:tc>
          <w:tcPr>
            <w:tcW w:w="600" w:type="dxa"/>
            <w:vAlign w:val="bottom"/>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1100" w:type="dxa"/>
            <w:vAlign w:val="bottom"/>
            <w:tcBorders>
              <w:right w:val="single" w:sz="8" w:color="3D85C6"/>
            </w:tcBorders>
            <w:vMerge w:val="continue"/>
            <w:shd w:val="clear" w:color="auto" w:fill="2D53A6"/>
          </w:tcPr>
          <w:p>
            <w:pPr>
              <w:spacing w:after="0"/>
              <w:rPr>
                <w:sz w:val="5"/>
                <w:szCs w:val="5"/>
                <w:color w:val="auto"/>
              </w:rPr>
            </w:pPr>
          </w:p>
        </w:tc>
        <w:tc>
          <w:tcPr>
            <w:tcW w:w="1100" w:type="dxa"/>
            <w:vAlign w:val="bottom"/>
            <w:tcBorders>
              <w:right w:val="single" w:sz="8" w:color="3D85C6"/>
            </w:tcBorders>
            <w:vMerge w:val="restart"/>
            <w:shd w:val="clear" w:color="auto" w:fill="2D53A6"/>
          </w:tcPr>
          <w:p>
            <w:pPr>
              <w:jc w:val="center"/>
              <w:spacing w:after="0" w:line="130" w:lineRule="exact"/>
              <w:rPr>
                <w:sz w:val="20"/>
                <w:szCs w:val="20"/>
                <w:color w:val="auto"/>
              </w:rPr>
            </w:pPr>
            <w:r>
              <w:rPr>
                <w:rFonts w:ascii="Arial" w:cs="Arial" w:eastAsia="Arial" w:hAnsi="Arial"/>
                <w:sz w:val="12"/>
                <w:szCs w:val="12"/>
                <w:b w:val="1"/>
                <w:bCs w:val="1"/>
                <w:color w:val="FFFFFF"/>
              </w:rPr>
              <w:t>Date Fair</w:t>
            </w:r>
          </w:p>
        </w:tc>
        <w:tc>
          <w:tcPr>
            <w:tcW w:w="0" w:type="dxa"/>
            <w:vAlign w:val="bottom"/>
          </w:tcPr>
          <w:p>
            <w:pPr>
              <w:spacing w:after="0"/>
              <w:rPr>
                <w:sz w:val="1"/>
                <w:szCs w:val="1"/>
                <w:color w:val="auto"/>
              </w:rPr>
            </w:pPr>
          </w:p>
        </w:tc>
      </w:tr>
      <w:tr>
        <w:trPr>
          <w:trHeight w:val="65"/>
        </w:trPr>
        <w:tc>
          <w:tcPr>
            <w:tcW w:w="680" w:type="dxa"/>
            <w:vAlign w:val="bottom"/>
            <w:tcBorders>
              <w:left w:val="single" w:sz="8" w:color="3D85C6"/>
              <w:right w:val="single" w:sz="8" w:color="3D85C6"/>
            </w:tcBorders>
            <w:shd w:val="clear" w:color="auto" w:fill="2D53A6"/>
          </w:tcPr>
          <w:p>
            <w:pPr>
              <w:spacing w:after="0"/>
              <w:rPr>
                <w:sz w:val="5"/>
                <w:szCs w:val="5"/>
                <w:color w:val="auto"/>
              </w:rPr>
            </w:pPr>
          </w:p>
        </w:tc>
        <w:tc>
          <w:tcPr>
            <w:tcW w:w="880" w:type="dxa"/>
            <w:vAlign w:val="bottom"/>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980" w:type="dxa"/>
            <w:vAlign w:val="bottom"/>
            <w:tcBorders>
              <w:right w:val="single" w:sz="8" w:color="3D85C6"/>
            </w:tcBorders>
            <w:shd w:val="clear" w:color="auto" w:fill="2D53A6"/>
          </w:tcPr>
          <w:p>
            <w:pPr>
              <w:spacing w:after="0"/>
              <w:rPr>
                <w:sz w:val="5"/>
                <w:szCs w:val="5"/>
                <w:color w:val="auto"/>
              </w:rPr>
            </w:pPr>
          </w:p>
        </w:tc>
        <w:tc>
          <w:tcPr>
            <w:tcW w:w="100" w:type="dxa"/>
            <w:vAlign w:val="bottom"/>
            <w:shd w:val="clear" w:color="auto" w:fill="2D53A6"/>
          </w:tcPr>
          <w:p>
            <w:pPr>
              <w:spacing w:after="0"/>
              <w:rPr>
                <w:sz w:val="5"/>
                <w:szCs w:val="5"/>
                <w:color w:val="auto"/>
              </w:rPr>
            </w:pPr>
          </w:p>
        </w:tc>
        <w:tc>
          <w:tcPr>
            <w:tcW w:w="2320" w:type="dxa"/>
            <w:vAlign w:val="bottom"/>
            <w:gridSpan w:val="3"/>
            <w:vMerge w:val="continue"/>
            <w:shd w:val="clear" w:color="auto" w:fill="2D53A6"/>
          </w:tcPr>
          <w:p>
            <w:pPr>
              <w:spacing w:after="0"/>
              <w:rPr>
                <w:sz w:val="5"/>
                <w:szCs w:val="5"/>
                <w:color w:val="auto"/>
              </w:rPr>
            </w:pPr>
          </w:p>
        </w:tc>
        <w:tc>
          <w:tcPr>
            <w:tcW w:w="860" w:type="dxa"/>
            <w:vAlign w:val="bottom"/>
            <w:tcBorders>
              <w:right w:val="single" w:sz="8" w:color="3D85C6"/>
            </w:tcBorders>
            <w:shd w:val="clear" w:color="auto" w:fill="2D53A6"/>
          </w:tcPr>
          <w:p>
            <w:pPr>
              <w:spacing w:after="0"/>
              <w:rPr>
                <w:sz w:val="5"/>
                <w:szCs w:val="5"/>
                <w:color w:val="auto"/>
              </w:rPr>
            </w:pPr>
          </w:p>
        </w:tc>
        <w:tc>
          <w:tcPr>
            <w:tcW w:w="1080" w:type="dxa"/>
            <w:vAlign w:val="bottom"/>
            <w:tcBorders>
              <w:right w:val="single" w:sz="8" w:color="2D53A6"/>
            </w:tcBorders>
            <w:shd w:val="clear" w:color="auto" w:fill="2D53A6"/>
          </w:tcPr>
          <w:p>
            <w:pPr>
              <w:spacing w:after="0"/>
              <w:rPr>
                <w:sz w:val="5"/>
                <w:szCs w:val="5"/>
                <w:color w:val="auto"/>
              </w:rPr>
            </w:pPr>
          </w:p>
        </w:tc>
        <w:tc>
          <w:tcPr>
            <w:tcW w:w="1360" w:type="dxa"/>
            <w:vAlign w:val="bottom"/>
            <w:gridSpan w:val="2"/>
            <w:vMerge w:val="restart"/>
            <w:shd w:val="clear" w:color="auto" w:fill="2D53A6"/>
          </w:tcPr>
          <w:p>
            <w:pPr>
              <w:jc w:val="center"/>
              <w:ind w:right="400"/>
              <w:spacing w:after="0"/>
              <w:rPr>
                <w:sz w:val="20"/>
                <w:szCs w:val="20"/>
                <w:color w:val="auto"/>
              </w:rPr>
            </w:pPr>
            <w:r>
              <w:rPr>
                <w:rFonts w:ascii="Arial" w:cs="Arial" w:eastAsia="Arial" w:hAnsi="Arial"/>
                <w:sz w:val="12"/>
                <w:szCs w:val="12"/>
                <w:b w:val="1"/>
                <w:bCs w:val="1"/>
                <w:color w:val="FFFFFF"/>
              </w:rPr>
              <w:t>Awards</w:t>
            </w:r>
            <w:r>
              <w:rPr>
                <w:rFonts w:ascii="Arial" w:cs="Arial" w:eastAsia="Arial" w:hAnsi="Arial"/>
                <w:sz w:val="10"/>
                <w:szCs w:val="10"/>
                <w:b w:val="1"/>
                <w:bCs w:val="1"/>
                <w:color w:val="FFFFFF"/>
              </w:rPr>
              <w:t>(2)</w:t>
            </w:r>
          </w:p>
        </w:tc>
        <w:tc>
          <w:tcPr>
            <w:tcW w:w="600" w:type="dxa"/>
            <w:vAlign w:val="bottom"/>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110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2"/>
                <w:szCs w:val="12"/>
                <w:b w:val="1"/>
                <w:bCs w:val="1"/>
                <w:color w:val="FFFFFF"/>
              </w:rPr>
              <w:t>Awards:</w:t>
            </w:r>
          </w:p>
        </w:tc>
        <w:tc>
          <w:tcPr>
            <w:tcW w:w="1100" w:type="dxa"/>
            <w:vAlign w:val="bottom"/>
            <w:tcBorders>
              <w:right w:val="single" w:sz="8" w:color="3D85C6"/>
            </w:tcBorders>
            <w:vMerge w:val="continue"/>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80" w:type="dxa"/>
            <w:vAlign w:val="bottom"/>
            <w:tcBorders>
              <w:left w:val="single" w:sz="8" w:color="3D85C6"/>
              <w:right w:val="single" w:sz="8" w:color="3D85C6"/>
            </w:tcBorders>
            <w:vMerge w:val="restart"/>
            <w:shd w:val="clear" w:color="auto" w:fill="2D53A6"/>
          </w:tcPr>
          <w:p>
            <w:pPr>
              <w:ind w:left="20"/>
              <w:spacing w:after="0"/>
              <w:rPr>
                <w:sz w:val="20"/>
                <w:szCs w:val="20"/>
                <w:color w:val="auto"/>
              </w:rPr>
            </w:pPr>
            <w:r>
              <w:rPr>
                <w:rFonts w:ascii="Arial" w:cs="Arial" w:eastAsia="Arial" w:hAnsi="Arial"/>
                <w:sz w:val="12"/>
                <w:szCs w:val="12"/>
                <w:b w:val="1"/>
                <w:bCs w:val="1"/>
                <w:color w:val="FFFFFF"/>
              </w:rPr>
              <w:t>Named</w:t>
            </w:r>
          </w:p>
        </w:tc>
        <w:tc>
          <w:tcPr>
            <w:tcW w:w="880" w:type="dxa"/>
            <w:vAlign w:val="bottom"/>
            <w:shd w:val="clear" w:color="auto" w:fill="2D53A6"/>
          </w:tcPr>
          <w:p>
            <w:pPr>
              <w:spacing w:after="0"/>
              <w:rPr>
                <w:sz w:val="6"/>
                <w:szCs w:val="6"/>
                <w:color w:val="auto"/>
              </w:rPr>
            </w:pPr>
          </w:p>
        </w:tc>
        <w:tc>
          <w:tcPr>
            <w:tcW w:w="100" w:type="dxa"/>
            <w:vAlign w:val="bottom"/>
            <w:tcBorders>
              <w:right w:val="single" w:sz="8" w:color="3D85C6"/>
            </w:tcBorders>
            <w:shd w:val="clear" w:color="auto" w:fill="2D53A6"/>
          </w:tcPr>
          <w:p>
            <w:pPr>
              <w:spacing w:after="0"/>
              <w:rPr>
                <w:sz w:val="6"/>
                <w:szCs w:val="6"/>
                <w:color w:val="auto"/>
              </w:rPr>
            </w:pPr>
          </w:p>
        </w:tc>
        <w:tc>
          <w:tcPr>
            <w:tcW w:w="980" w:type="dxa"/>
            <w:vAlign w:val="bottom"/>
            <w:tcBorders>
              <w:right w:val="single" w:sz="8" w:color="3D85C6"/>
            </w:tcBorders>
            <w:shd w:val="clear" w:color="auto" w:fill="2D53A6"/>
          </w:tcPr>
          <w:p>
            <w:pPr>
              <w:spacing w:after="0"/>
              <w:rPr>
                <w:sz w:val="6"/>
                <w:szCs w:val="6"/>
                <w:color w:val="auto"/>
              </w:rPr>
            </w:pPr>
          </w:p>
        </w:tc>
        <w:tc>
          <w:tcPr>
            <w:tcW w:w="100" w:type="dxa"/>
            <w:vAlign w:val="bottom"/>
            <w:shd w:val="clear" w:color="auto" w:fill="2D53A6"/>
          </w:tcPr>
          <w:p>
            <w:pPr>
              <w:spacing w:after="0"/>
              <w:rPr>
                <w:sz w:val="6"/>
                <w:szCs w:val="6"/>
                <w:color w:val="auto"/>
              </w:rPr>
            </w:pPr>
          </w:p>
        </w:tc>
        <w:tc>
          <w:tcPr>
            <w:tcW w:w="980" w:type="dxa"/>
            <w:vAlign w:val="bottom"/>
            <w:tcBorders>
              <w:right w:val="single" w:sz="8" w:color="2D53A6"/>
            </w:tcBorders>
            <w:shd w:val="clear" w:color="auto" w:fill="2D53A6"/>
          </w:tcPr>
          <w:p>
            <w:pPr>
              <w:spacing w:after="0"/>
              <w:rPr>
                <w:sz w:val="6"/>
                <w:szCs w:val="6"/>
                <w:color w:val="auto"/>
              </w:rPr>
            </w:pPr>
          </w:p>
        </w:tc>
        <w:tc>
          <w:tcPr>
            <w:tcW w:w="1340" w:type="dxa"/>
            <w:vAlign w:val="bottom"/>
            <w:gridSpan w:val="2"/>
            <w:vMerge w:val="restart"/>
            <w:shd w:val="clear" w:color="auto" w:fill="2D53A6"/>
          </w:tcPr>
          <w:p>
            <w:pPr>
              <w:jc w:val="center"/>
              <w:ind w:right="260"/>
              <w:spacing w:after="0"/>
              <w:rPr>
                <w:sz w:val="20"/>
                <w:szCs w:val="20"/>
                <w:color w:val="auto"/>
              </w:rPr>
            </w:pPr>
            <w:r>
              <w:rPr>
                <w:rFonts w:ascii="Arial" w:cs="Arial" w:eastAsia="Arial" w:hAnsi="Arial"/>
                <w:sz w:val="12"/>
                <w:szCs w:val="12"/>
                <w:b w:val="1"/>
                <w:bCs w:val="1"/>
                <w:color w:val="FFFFFF"/>
              </w:rPr>
              <w:t>Awards</w:t>
            </w:r>
            <w:r>
              <w:rPr>
                <w:rFonts w:ascii="Arial" w:cs="Arial" w:eastAsia="Arial" w:hAnsi="Arial"/>
                <w:sz w:val="10"/>
                <w:szCs w:val="10"/>
                <w:b w:val="1"/>
                <w:bCs w:val="1"/>
                <w:color w:val="FFFFFF"/>
              </w:rPr>
              <w:t>(1)</w:t>
            </w:r>
          </w:p>
        </w:tc>
        <w:tc>
          <w:tcPr>
            <w:tcW w:w="860" w:type="dxa"/>
            <w:vAlign w:val="bottom"/>
            <w:tcBorders>
              <w:right w:val="single" w:sz="8" w:color="3D85C6"/>
            </w:tcBorders>
            <w:shd w:val="clear" w:color="auto" w:fill="2D53A6"/>
          </w:tcPr>
          <w:p>
            <w:pPr>
              <w:spacing w:after="0"/>
              <w:rPr>
                <w:sz w:val="6"/>
                <w:szCs w:val="6"/>
                <w:color w:val="auto"/>
              </w:rPr>
            </w:pPr>
          </w:p>
        </w:tc>
        <w:tc>
          <w:tcPr>
            <w:tcW w:w="1080" w:type="dxa"/>
            <w:vAlign w:val="bottom"/>
            <w:tcBorders>
              <w:right w:val="single" w:sz="8" w:color="2D53A6"/>
            </w:tcBorders>
            <w:shd w:val="clear" w:color="auto" w:fill="2D53A6"/>
          </w:tcPr>
          <w:p>
            <w:pPr>
              <w:spacing w:after="0"/>
              <w:rPr>
                <w:sz w:val="6"/>
                <w:szCs w:val="6"/>
                <w:color w:val="auto"/>
              </w:rPr>
            </w:pPr>
          </w:p>
        </w:tc>
        <w:tc>
          <w:tcPr>
            <w:tcW w:w="1360" w:type="dxa"/>
            <w:vAlign w:val="bottom"/>
            <w:gridSpan w:val="2"/>
            <w:vMerge w:val="continue"/>
            <w:shd w:val="clear" w:color="auto" w:fill="2D53A6"/>
          </w:tcPr>
          <w:p>
            <w:pPr>
              <w:spacing w:after="0"/>
              <w:rPr>
                <w:sz w:val="6"/>
                <w:szCs w:val="6"/>
                <w:color w:val="auto"/>
              </w:rPr>
            </w:pPr>
          </w:p>
        </w:tc>
        <w:tc>
          <w:tcPr>
            <w:tcW w:w="600" w:type="dxa"/>
            <w:vAlign w:val="bottom"/>
            <w:shd w:val="clear" w:color="auto" w:fill="2D53A6"/>
          </w:tcPr>
          <w:p>
            <w:pPr>
              <w:spacing w:after="0"/>
              <w:rPr>
                <w:sz w:val="6"/>
                <w:szCs w:val="6"/>
                <w:color w:val="auto"/>
              </w:rPr>
            </w:pPr>
          </w:p>
        </w:tc>
        <w:tc>
          <w:tcPr>
            <w:tcW w:w="100" w:type="dxa"/>
            <w:vAlign w:val="bottom"/>
            <w:tcBorders>
              <w:right w:val="single" w:sz="8" w:color="3D85C6"/>
            </w:tcBorders>
            <w:shd w:val="clear" w:color="auto" w:fill="2D53A6"/>
          </w:tcPr>
          <w:p>
            <w:pPr>
              <w:spacing w:after="0"/>
              <w:rPr>
                <w:sz w:val="6"/>
                <w:szCs w:val="6"/>
                <w:color w:val="auto"/>
              </w:rPr>
            </w:pPr>
          </w:p>
        </w:tc>
        <w:tc>
          <w:tcPr>
            <w:tcW w:w="1100" w:type="dxa"/>
            <w:vAlign w:val="bottom"/>
            <w:tcBorders>
              <w:right w:val="single" w:sz="8" w:color="3D85C6"/>
            </w:tcBorders>
            <w:vMerge w:val="continue"/>
            <w:shd w:val="clear" w:color="auto" w:fill="2D53A6"/>
          </w:tcPr>
          <w:p>
            <w:pPr>
              <w:spacing w:after="0"/>
              <w:rPr>
                <w:sz w:val="6"/>
                <w:szCs w:val="6"/>
                <w:color w:val="auto"/>
              </w:rPr>
            </w:pPr>
          </w:p>
        </w:tc>
        <w:tc>
          <w:tcPr>
            <w:tcW w:w="110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2"/>
                <w:szCs w:val="12"/>
                <w:b w:val="1"/>
                <w:bCs w:val="1"/>
                <w:color w:val="FFFFFF"/>
              </w:rPr>
              <w:t>Value of</w:t>
            </w:r>
          </w:p>
        </w:tc>
        <w:tc>
          <w:tcPr>
            <w:tcW w:w="0" w:type="dxa"/>
            <w:vAlign w:val="bottom"/>
          </w:tcPr>
          <w:p>
            <w:pPr>
              <w:spacing w:after="0"/>
              <w:rPr>
                <w:sz w:val="1"/>
                <w:szCs w:val="1"/>
                <w:color w:val="auto"/>
              </w:rPr>
            </w:pPr>
          </w:p>
        </w:tc>
      </w:tr>
      <w:tr>
        <w:trPr>
          <w:trHeight w:val="65"/>
        </w:trPr>
        <w:tc>
          <w:tcPr>
            <w:tcW w:w="680" w:type="dxa"/>
            <w:vAlign w:val="bottom"/>
            <w:tcBorders>
              <w:left w:val="single" w:sz="8" w:color="3D85C6"/>
              <w:right w:val="single" w:sz="8" w:color="3D85C6"/>
            </w:tcBorders>
            <w:vMerge w:val="continue"/>
            <w:shd w:val="clear" w:color="auto" w:fill="2D53A6"/>
          </w:tcPr>
          <w:p>
            <w:pPr>
              <w:spacing w:after="0"/>
              <w:rPr>
                <w:sz w:val="5"/>
                <w:szCs w:val="5"/>
                <w:color w:val="auto"/>
              </w:rPr>
            </w:pPr>
          </w:p>
        </w:tc>
        <w:tc>
          <w:tcPr>
            <w:tcW w:w="880" w:type="dxa"/>
            <w:vAlign w:val="bottom"/>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980" w:type="dxa"/>
            <w:vAlign w:val="bottom"/>
            <w:tcBorders>
              <w:right w:val="single" w:sz="8" w:color="3D85C6"/>
            </w:tcBorders>
            <w:vMerge w:val="restart"/>
            <w:shd w:val="clear" w:color="auto" w:fill="2D53A6"/>
          </w:tcPr>
          <w:p>
            <w:pPr>
              <w:jc w:val="right"/>
              <w:ind w:right="321"/>
              <w:spacing w:after="0" w:line="135" w:lineRule="exact"/>
              <w:rPr>
                <w:sz w:val="20"/>
                <w:szCs w:val="20"/>
                <w:color w:val="auto"/>
              </w:rPr>
            </w:pPr>
            <w:r>
              <w:rPr>
                <w:rFonts w:ascii="Arial" w:cs="Arial" w:eastAsia="Arial" w:hAnsi="Arial"/>
                <w:sz w:val="12"/>
                <w:szCs w:val="12"/>
                <w:b w:val="1"/>
                <w:bCs w:val="1"/>
                <w:color w:val="FFFFFF"/>
              </w:rPr>
              <w:t>Grant</w:t>
            </w:r>
          </w:p>
        </w:tc>
        <w:tc>
          <w:tcPr>
            <w:tcW w:w="100" w:type="dxa"/>
            <w:vAlign w:val="bottom"/>
            <w:shd w:val="clear" w:color="auto" w:fill="2D53A6"/>
          </w:tcPr>
          <w:p>
            <w:pPr>
              <w:spacing w:after="0"/>
              <w:rPr>
                <w:sz w:val="5"/>
                <w:szCs w:val="5"/>
                <w:color w:val="auto"/>
              </w:rPr>
            </w:pPr>
          </w:p>
        </w:tc>
        <w:tc>
          <w:tcPr>
            <w:tcW w:w="980" w:type="dxa"/>
            <w:vAlign w:val="bottom"/>
            <w:tcBorders>
              <w:right w:val="single" w:sz="8" w:color="2D53A6"/>
            </w:tcBorders>
            <w:shd w:val="clear" w:color="auto" w:fill="2D53A6"/>
          </w:tcPr>
          <w:p>
            <w:pPr>
              <w:spacing w:after="0"/>
              <w:rPr>
                <w:sz w:val="5"/>
                <w:szCs w:val="5"/>
                <w:color w:val="auto"/>
              </w:rPr>
            </w:pPr>
          </w:p>
        </w:tc>
        <w:tc>
          <w:tcPr>
            <w:tcW w:w="1340" w:type="dxa"/>
            <w:vAlign w:val="bottom"/>
            <w:gridSpan w:val="2"/>
            <w:vMerge w:val="continue"/>
            <w:shd w:val="clear" w:color="auto" w:fill="2D53A6"/>
          </w:tcPr>
          <w:p>
            <w:pPr>
              <w:spacing w:after="0"/>
              <w:rPr>
                <w:sz w:val="5"/>
                <w:szCs w:val="5"/>
                <w:color w:val="auto"/>
              </w:rPr>
            </w:pPr>
          </w:p>
        </w:tc>
        <w:tc>
          <w:tcPr>
            <w:tcW w:w="860" w:type="dxa"/>
            <w:vAlign w:val="bottom"/>
            <w:tcBorders>
              <w:right w:val="single" w:sz="8" w:color="3D85C6"/>
            </w:tcBorders>
            <w:shd w:val="clear" w:color="auto" w:fill="2D53A6"/>
          </w:tcPr>
          <w:p>
            <w:pPr>
              <w:spacing w:after="0"/>
              <w:rPr>
                <w:sz w:val="5"/>
                <w:szCs w:val="5"/>
                <w:color w:val="auto"/>
              </w:rPr>
            </w:pPr>
          </w:p>
        </w:tc>
        <w:tc>
          <w:tcPr>
            <w:tcW w:w="1080" w:type="dxa"/>
            <w:vAlign w:val="bottom"/>
            <w:tcBorders>
              <w:right w:val="single" w:sz="8" w:color="2D53A6"/>
            </w:tcBorders>
            <w:shd w:val="clear" w:color="auto" w:fill="2D53A6"/>
          </w:tcPr>
          <w:p>
            <w:pPr>
              <w:spacing w:after="0"/>
              <w:rPr>
                <w:sz w:val="5"/>
                <w:szCs w:val="5"/>
                <w:color w:val="auto"/>
              </w:rPr>
            </w:pPr>
          </w:p>
        </w:tc>
        <w:tc>
          <w:tcPr>
            <w:tcW w:w="1100" w:type="dxa"/>
            <w:vAlign w:val="bottom"/>
            <w:tcBorders>
              <w:right w:val="single" w:sz="8" w:color="2D53A6"/>
            </w:tcBorders>
            <w:shd w:val="clear" w:color="auto" w:fill="2D53A6"/>
          </w:tcPr>
          <w:p>
            <w:pPr>
              <w:spacing w:after="0"/>
              <w:rPr>
                <w:sz w:val="5"/>
                <w:szCs w:val="5"/>
                <w:color w:val="auto"/>
              </w:rPr>
            </w:pPr>
          </w:p>
        </w:tc>
        <w:tc>
          <w:tcPr>
            <w:tcW w:w="260" w:type="dxa"/>
            <w:vAlign w:val="bottom"/>
            <w:shd w:val="clear" w:color="auto" w:fill="2D53A6"/>
          </w:tcPr>
          <w:p>
            <w:pPr>
              <w:spacing w:after="0"/>
              <w:rPr>
                <w:sz w:val="5"/>
                <w:szCs w:val="5"/>
                <w:color w:val="auto"/>
              </w:rPr>
            </w:pPr>
          </w:p>
        </w:tc>
        <w:tc>
          <w:tcPr>
            <w:tcW w:w="600" w:type="dxa"/>
            <w:vAlign w:val="bottom"/>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1100" w:type="dxa"/>
            <w:vAlign w:val="bottom"/>
            <w:tcBorders>
              <w:right w:val="single" w:sz="8" w:color="3D85C6"/>
            </w:tcBorders>
            <w:vMerge w:val="restart"/>
            <w:shd w:val="clear" w:color="auto" w:fill="2D53A6"/>
          </w:tcPr>
          <w:p>
            <w:pPr>
              <w:jc w:val="center"/>
              <w:spacing w:after="0" w:line="135" w:lineRule="exact"/>
              <w:rPr>
                <w:sz w:val="20"/>
                <w:szCs w:val="20"/>
                <w:color w:val="auto"/>
              </w:rPr>
            </w:pPr>
            <w:r>
              <w:rPr>
                <w:rFonts w:ascii="Arial" w:cs="Arial" w:eastAsia="Arial" w:hAnsi="Arial"/>
                <w:sz w:val="12"/>
                <w:szCs w:val="12"/>
                <w:b w:val="1"/>
                <w:bCs w:val="1"/>
                <w:color w:val="FFFFFF"/>
              </w:rPr>
              <w:t>Number</w:t>
            </w:r>
          </w:p>
        </w:tc>
        <w:tc>
          <w:tcPr>
            <w:tcW w:w="1100" w:type="dxa"/>
            <w:vAlign w:val="bottom"/>
            <w:tcBorders>
              <w:right w:val="single" w:sz="8" w:color="3D85C6"/>
            </w:tcBorders>
            <w:vMerge w:val="continue"/>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680" w:type="dxa"/>
            <w:vAlign w:val="bottom"/>
            <w:tcBorders>
              <w:left w:val="single" w:sz="8" w:color="3D85C6"/>
              <w:bottom w:val="single" w:sz="8" w:color="2D53A6"/>
              <w:right w:val="single" w:sz="8" w:color="3D85C6"/>
            </w:tcBorders>
            <w:shd w:val="clear" w:color="auto" w:fill="2D53A6"/>
          </w:tcPr>
          <w:p>
            <w:pPr>
              <w:ind w:left="20"/>
              <w:spacing w:after="0" w:line="110" w:lineRule="exact"/>
              <w:rPr>
                <w:sz w:val="20"/>
                <w:szCs w:val="20"/>
                <w:color w:val="auto"/>
              </w:rPr>
            </w:pPr>
            <w:r>
              <w:rPr>
                <w:rFonts w:ascii="Arial" w:cs="Arial" w:eastAsia="Arial" w:hAnsi="Arial"/>
                <w:sz w:val="12"/>
                <w:szCs w:val="12"/>
                <w:b w:val="1"/>
                <w:bCs w:val="1"/>
                <w:color w:val="FFFFFF"/>
              </w:rPr>
              <w:t>Executive</w:t>
            </w:r>
          </w:p>
        </w:tc>
        <w:tc>
          <w:tcPr>
            <w:tcW w:w="880" w:type="dxa"/>
            <w:vAlign w:val="bottom"/>
            <w:tcBorders>
              <w:bottom w:val="single" w:sz="8" w:color="2D53A6"/>
            </w:tcBorders>
            <w:shd w:val="clear" w:color="auto" w:fill="2D53A6"/>
          </w:tcPr>
          <w:p>
            <w:pPr>
              <w:ind w:left="100"/>
              <w:spacing w:after="0" w:line="110" w:lineRule="exact"/>
              <w:rPr>
                <w:sz w:val="20"/>
                <w:szCs w:val="20"/>
                <w:color w:val="auto"/>
              </w:rPr>
            </w:pPr>
            <w:r>
              <w:rPr>
                <w:rFonts w:ascii="Arial" w:cs="Arial" w:eastAsia="Arial" w:hAnsi="Arial"/>
                <w:sz w:val="12"/>
                <w:szCs w:val="12"/>
                <w:b w:val="1"/>
                <w:bCs w:val="1"/>
                <w:color w:val="FFFFFF"/>
              </w:rPr>
              <w:t>Award Type</w:t>
            </w:r>
          </w:p>
        </w:tc>
        <w:tc>
          <w:tcPr>
            <w:tcW w:w="100" w:type="dxa"/>
            <w:vAlign w:val="bottom"/>
            <w:tcBorders>
              <w:bottom w:val="single" w:sz="8" w:color="2D53A6"/>
              <w:right w:val="single" w:sz="8" w:color="3D85C6"/>
            </w:tcBorders>
            <w:shd w:val="clear" w:color="auto" w:fill="2D53A6"/>
          </w:tcPr>
          <w:p>
            <w:pPr>
              <w:spacing w:after="0"/>
              <w:rPr>
                <w:sz w:val="9"/>
                <w:szCs w:val="9"/>
                <w:color w:val="auto"/>
              </w:rPr>
            </w:pPr>
          </w:p>
        </w:tc>
        <w:tc>
          <w:tcPr>
            <w:tcW w:w="980" w:type="dxa"/>
            <w:vAlign w:val="bottom"/>
            <w:tcBorders>
              <w:bottom w:val="single" w:sz="8" w:color="2D53A6"/>
              <w:right w:val="single" w:sz="8" w:color="3D85C6"/>
            </w:tcBorders>
            <w:vMerge w:val="continue"/>
            <w:shd w:val="clear" w:color="auto" w:fill="2D53A6"/>
          </w:tcPr>
          <w:p>
            <w:pPr>
              <w:spacing w:after="0"/>
              <w:rPr>
                <w:sz w:val="9"/>
                <w:szCs w:val="9"/>
                <w:color w:val="auto"/>
              </w:rPr>
            </w:pPr>
          </w:p>
        </w:tc>
        <w:tc>
          <w:tcPr>
            <w:tcW w:w="100" w:type="dxa"/>
            <w:vAlign w:val="bottom"/>
            <w:tcBorders>
              <w:bottom w:val="single" w:sz="8" w:color="2D53A6"/>
            </w:tcBorders>
            <w:shd w:val="clear" w:color="auto" w:fill="2D53A6"/>
          </w:tcPr>
          <w:p>
            <w:pPr>
              <w:spacing w:after="0"/>
              <w:rPr>
                <w:sz w:val="9"/>
                <w:szCs w:val="9"/>
                <w:color w:val="auto"/>
              </w:rPr>
            </w:pPr>
          </w:p>
        </w:tc>
        <w:tc>
          <w:tcPr>
            <w:tcW w:w="980" w:type="dxa"/>
            <w:vAlign w:val="bottom"/>
            <w:tcBorders>
              <w:bottom w:val="single" w:sz="8" w:color="3D85C6"/>
              <w:right w:val="single" w:sz="8" w:color="2D53A6"/>
            </w:tcBorders>
            <w:shd w:val="clear" w:color="auto" w:fill="2D53A6"/>
          </w:tcPr>
          <w:p>
            <w:pPr>
              <w:spacing w:after="0"/>
              <w:rPr>
                <w:sz w:val="9"/>
                <w:szCs w:val="9"/>
                <w:color w:val="auto"/>
              </w:rPr>
            </w:pPr>
          </w:p>
        </w:tc>
        <w:tc>
          <w:tcPr>
            <w:tcW w:w="1100" w:type="dxa"/>
            <w:vAlign w:val="bottom"/>
            <w:tcBorders>
              <w:bottom w:val="single" w:sz="8" w:color="3D85C6"/>
              <w:right w:val="single" w:sz="8" w:color="2D53A6"/>
            </w:tcBorders>
            <w:shd w:val="clear" w:color="auto" w:fill="2D53A6"/>
          </w:tcPr>
          <w:p>
            <w:pPr>
              <w:spacing w:after="0"/>
              <w:rPr>
                <w:sz w:val="9"/>
                <w:szCs w:val="9"/>
                <w:color w:val="auto"/>
              </w:rPr>
            </w:pPr>
          </w:p>
        </w:tc>
        <w:tc>
          <w:tcPr>
            <w:tcW w:w="240" w:type="dxa"/>
            <w:vAlign w:val="bottom"/>
            <w:tcBorders>
              <w:bottom w:val="single" w:sz="8" w:color="3D85C6"/>
            </w:tcBorders>
            <w:shd w:val="clear" w:color="auto" w:fill="2D53A6"/>
          </w:tcPr>
          <w:p>
            <w:pPr>
              <w:spacing w:after="0"/>
              <w:rPr>
                <w:sz w:val="9"/>
                <w:szCs w:val="9"/>
                <w:color w:val="auto"/>
              </w:rPr>
            </w:pPr>
          </w:p>
        </w:tc>
        <w:tc>
          <w:tcPr>
            <w:tcW w:w="860" w:type="dxa"/>
            <w:vAlign w:val="bottom"/>
            <w:tcBorders>
              <w:bottom w:val="single" w:sz="8" w:color="3D85C6"/>
              <w:right w:val="single" w:sz="8" w:color="3D85C6"/>
            </w:tcBorders>
            <w:shd w:val="clear" w:color="auto" w:fill="2D53A6"/>
          </w:tcPr>
          <w:p>
            <w:pPr>
              <w:spacing w:after="0"/>
              <w:rPr>
                <w:sz w:val="9"/>
                <w:szCs w:val="9"/>
                <w:color w:val="auto"/>
              </w:rPr>
            </w:pPr>
          </w:p>
        </w:tc>
        <w:tc>
          <w:tcPr>
            <w:tcW w:w="1080" w:type="dxa"/>
            <w:vAlign w:val="bottom"/>
            <w:tcBorders>
              <w:bottom w:val="single" w:sz="8" w:color="3D85C6"/>
              <w:right w:val="single" w:sz="8" w:color="2D53A6"/>
            </w:tcBorders>
            <w:shd w:val="clear" w:color="auto" w:fill="2D53A6"/>
          </w:tcPr>
          <w:p>
            <w:pPr>
              <w:spacing w:after="0"/>
              <w:rPr>
                <w:sz w:val="9"/>
                <w:szCs w:val="9"/>
                <w:color w:val="auto"/>
              </w:rPr>
            </w:pPr>
          </w:p>
        </w:tc>
        <w:tc>
          <w:tcPr>
            <w:tcW w:w="1100" w:type="dxa"/>
            <w:vAlign w:val="bottom"/>
            <w:tcBorders>
              <w:bottom w:val="single" w:sz="8" w:color="3D85C6"/>
              <w:right w:val="single" w:sz="8" w:color="2D53A6"/>
            </w:tcBorders>
            <w:shd w:val="clear" w:color="auto" w:fill="2D53A6"/>
          </w:tcPr>
          <w:p>
            <w:pPr>
              <w:spacing w:after="0"/>
              <w:rPr>
                <w:sz w:val="9"/>
                <w:szCs w:val="9"/>
                <w:color w:val="auto"/>
              </w:rPr>
            </w:pPr>
          </w:p>
        </w:tc>
        <w:tc>
          <w:tcPr>
            <w:tcW w:w="260" w:type="dxa"/>
            <w:vAlign w:val="bottom"/>
            <w:tcBorders>
              <w:bottom w:val="single" w:sz="8" w:color="3D85C6"/>
            </w:tcBorders>
            <w:shd w:val="clear" w:color="auto" w:fill="2D53A6"/>
          </w:tcPr>
          <w:p>
            <w:pPr>
              <w:spacing w:after="0"/>
              <w:rPr>
                <w:sz w:val="9"/>
                <w:szCs w:val="9"/>
                <w:color w:val="auto"/>
              </w:rPr>
            </w:pPr>
          </w:p>
        </w:tc>
        <w:tc>
          <w:tcPr>
            <w:tcW w:w="600" w:type="dxa"/>
            <w:vAlign w:val="bottom"/>
            <w:tcBorders>
              <w:bottom w:val="single" w:sz="8" w:color="3D85C6"/>
            </w:tcBorders>
            <w:shd w:val="clear" w:color="auto" w:fill="2D53A6"/>
          </w:tcPr>
          <w:p>
            <w:pPr>
              <w:spacing w:after="0"/>
              <w:rPr>
                <w:sz w:val="9"/>
                <w:szCs w:val="9"/>
                <w:color w:val="auto"/>
              </w:rPr>
            </w:pPr>
          </w:p>
        </w:tc>
        <w:tc>
          <w:tcPr>
            <w:tcW w:w="100" w:type="dxa"/>
            <w:vAlign w:val="bottom"/>
            <w:tcBorders>
              <w:bottom w:val="single" w:sz="8" w:color="2D53A6"/>
              <w:right w:val="single" w:sz="8" w:color="3D85C6"/>
            </w:tcBorders>
            <w:shd w:val="clear" w:color="auto" w:fill="2D53A6"/>
          </w:tcPr>
          <w:p>
            <w:pPr>
              <w:spacing w:after="0"/>
              <w:rPr>
                <w:sz w:val="9"/>
                <w:szCs w:val="9"/>
                <w:color w:val="auto"/>
              </w:rPr>
            </w:pPr>
          </w:p>
        </w:tc>
        <w:tc>
          <w:tcPr>
            <w:tcW w:w="1100" w:type="dxa"/>
            <w:vAlign w:val="bottom"/>
            <w:tcBorders>
              <w:bottom w:val="single" w:sz="8" w:color="2D53A6"/>
              <w:right w:val="single" w:sz="8" w:color="3D85C6"/>
            </w:tcBorders>
            <w:vMerge w:val="continue"/>
            <w:shd w:val="clear" w:color="auto" w:fill="2D53A6"/>
          </w:tcPr>
          <w:p>
            <w:pPr>
              <w:spacing w:after="0"/>
              <w:rPr>
                <w:sz w:val="9"/>
                <w:szCs w:val="9"/>
                <w:color w:val="auto"/>
              </w:rPr>
            </w:pPr>
          </w:p>
        </w:tc>
        <w:tc>
          <w:tcPr>
            <w:tcW w:w="1100" w:type="dxa"/>
            <w:vAlign w:val="bottom"/>
            <w:tcBorders>
              <w:bottom w:val="single" w:sz="8" w:color="2D53A6"/>
              <w:right w:val="single" w:sz="8" w:color="3D85C6"/>
            </w:tcBorders>
            <w:shd w:val="clear" w:color="auto" w:fill="2D53A6"/>
          </w:tcPr>
          <w:p>
            <w:pPr>
              <w:jc w:val="center"/>
              <w:spacing w:after="0" w:line="110" w:lineRule="exact"/>
              <w:rPr>
                <w:sz w:val="20"/>
                <w:szCs w:val="20"/>
                <w:color w:val="auto"/>
              </w:rPr>
            </w:pPr>
            <w:r>
              <w:rPr>
                <w:rFonts w:ascii="Arial" w:cs="Arial" w:eastAsia="Arial" w:hAnsi="Arial"/>
                <w:sz w:val="12"/>
                <w:szCs w:val="12"/>
                <w:b w:val="1"/>
                <w:bCs w:val="1"/>
                <w:color w:val="FFFFFF"/>
              </w:rPr>
              <w:t>Stock and</w:t>
            </w:r>
          </w:p>
        </w:tc>
        <w:tc>
          <w:tcPr>
            <w:tcW w:w="0" w:type="dxa"/>
            <w:vAlign w:val="bottom"/>
          </w:tcPr>
          <w:p>
            <w:pPr>
              <w:spacing w:after="0"/>
              <w:rPr>
                <w:sz w:val="1"/>
                <w:szCs w:val="1"/>
                <w:color w:val="auto"/>
              </w:rPr>
            </w:pPr>
          </w:p>
        </w:tc>
      </w:tr>
      <w:tr>
        <w:trPr>
          <w:trHeight w:val="65"/>
        </w:trPr>
        <w:tc>
          <w:tcPr>
            <w:tcW w:w="680" w:type="dxa"/>
            <w:vAlign w:val="bottom"/>
            <w:tcBorders>
              <w:top w:val="single" w:sz="8" w:color="2D53A6"/>
              <w:left w:val="single" w:sz="8" w:color="3D85C6"/>
              <w:right w:val="single" w:sz="8" w:color="3D85C6"/>
            </w:tcBorders>
            <w:vMerge w:val="restart"/>
            <w:shd w:val="clear" w:color="auto" w:fill="2D53A6"/>
          </w:tcPr>
          <w:p>
            <w:pPr>
              <w:ind w:left="20"/>
              <w:spacing w:after="0" w:line="130" w:lineRule="exact"/>
              <w:rPr>
                <w:sz w:val="20"/>
                <w:szCs w:val="20"/>
                <w:color w:val="auto"/>
              </w:rPr>
            </w:pPr>
            <w:r>
              <w:rPr>
                <w:rFonts w:ascii="Arial" w:cs="Arial" w:eastAsia="Arial" w:hAnsi="Arial"/>
                <w:sz w:val="12"/>
                <w:szCs w:val="12"/>
                <w:b w:val="1"/>
                <w:bCs w:val="1"/>
                <w:color w:val="FFFFFF"/>
              </w:rPr>
              <w:t>Officer</w:t>
            </w:r>
          </w:p>
        </w:tc>
        <w:tc>
          <w:tcPr>
            <w:tcW w:w="880" w:type="dxa"/>
            <w:vAlign w:val="bottom"/>
            <w:tcBorders>
              <w:top w:val="single" w:sz="8" w:color="2D53A6"/>
            </w:tcBorders>
            <w:shd w:val="clear" w:color="auto" w:fill="2D53A6"/>
          </w:tcPr>
          <w:p>
            <w:pPr>
              <w:spacing w:after="0"/>
              <w:rPr>
                <w:sz w:val="5"/>
                <w:szCs w:val="5"/>
                <w:color w:val="auto"/>
              </w:rPr>
            </w:pPr>
          </w:p>
        </w:tc>
        <w:tc>
          <w:tcPr>
            <w:tcW w:w="100" w:type="dxa"/>
            <w:vAlign w:val="bottom"/>
            <w:tcBorders>
              <w:top w:val="single" w:sz="8" w:color="2D53A6"/>
              <w:right w:val="single" w:sz="8" w:color="3D85C6"/>
            </w:tcBorders>
            <w:shd w:val="clear" w:color="auto" w:fill="2D53A6"/>
          </w:tcPr>
          <w:p>
            <w:pPr>
              <w:spacing w:after="0"/>
              <w:rPr>
                <w:sz w:val="5"/>
                <w:szCs w:val="5"/>
                <w:color w:val="auto"/>
              </w:rPr>
            </w:pPr>
          </w:p>
        </w:tc>
        <w:tc>
          <w:tcPr>
            <w:tcW w:w="980" w:type="dxa"/>
            <w:vAlign w:val="bottom"/>
            <w:tcBorders>
              <w:top w:val="single" w:sz="8" w:color="2D53A6"/>
              <w:right w:val="single" w:sz="8" w:color="3D85C6"/>
            </w:tcBorders>
            <w:shd w:val="clear" w:color="auto" w:fill="2D53A6"/>
          </w:tcPr>
          <w:p>
            <w:pPr>
              <w:jc w:val="right"/>
              <w:ind w:right="361"/>
              <w:spacing w:after="0" w:line="65" w:lineRule="exact"/>
              <w:rPr>
                <w:sz w:val="20"/>
                <w:szCs w:val="20"/>
                <w:color w:val="auto"/>
              </w:rPr>
            </w:pPr>
            <w:r>
              <w:rPr>
                <w:rFonts w:ascii="Arial" w:cs="Arial" w:eastAsia="Arial" w:hAnsi="Arial"/>
                <w:sz w:val="7"/>
                <w:szCs w:val="7"/>
                <w:b w:val="1"/>
                <w:bCs w:val="1"/>
                <w:color w:val="FFFFFF"/>
              </w:rPr>
              <w:t>Date</w:t>
            </w:r>
          </w:p>
        </w:tc>
        <w:tc>
          <w:tcPr>
            <w:tcW w:w="100" w:type="dxa"/>
            <w:vAlign w:val="bottom"/>
            <w:tcBorders>
              <w:top w:val="single" w:sz="8" w:color="2D53A6"/>
            </w:tcBorders>
            <w:shd w:val="clear" w:color="auto" w:fill="2D53A6"/>
          </w:tcPr>
          <w:p>
            <w:pPr>
              <w:spacing w:after="0"/>
              <w:rPr>
                <w:sz w:val="5"/>
                <w:szCs w:val="5"/>
                <w:color w:val="auto"/>
              </w:rPr>
            </w:pPr>
          </w:p>
        </w:tc>
        <w:tc>
          <w:tcPr>
            <w:tcW w:w="980" w:type="dxa"/>
            <w:vAlign w:val="bottom"/>
            <w:tcBorders>
              <w:top w:val="single" w:sz="8" w:color="2D53A6"/>
              <w:right w:val="single" w:sz="8" w:color="3D85C6"/>
            </w:tcBorders>
            <w:shd w:val="clear" w:color="auto" w:fill="2D53A6"/>
          </w:tcPr>
          <w:p>
            <w:pPr>
              <w:spacing w:after="0"/>
              <w:rPr>
                <w:sz w:val="5"/>
                <w:szCs w:val="5"/>
                <w:color w:val="auto"/>
              </w:rPr>
            </w:pPr>
          </w:p>
        </w:tc>
        <w:tc>
          <w:tcPr>
            <w:tcW w:w="1100" w:type="dxa"/>
            <w:vAlign w:val="bottom"/>
            <w:tcBorders>
              <w:top w:val="single" w:sz="8" w:color="2D53A6"/>
              <w:right w:val="single" w:sz="8" w:color="3D85C6"/>
            </w:tcBorders>
            <w:shd w:val="clear" w:color="auto" w:fill="2D53A6"/>
          </w:tcPr>
          <w:p>
            <w:pPr>
              <w:spacing w:after="0"/>
              <w:rPr>
                <w:sz w:val="5"/>
                <w:szCs w:val="5"/>
                <w:color w:val="auto"/>
              </w:rPr>
            </w:pPr>
          </w:p>
        </w:tc>
        <w:tc>
          <w:tcPr>
            <w:tcW w:w="240" w:type="dxa"/>
            <w:vAlign w:val="bottom"/>
            <w:tcBorders>
              <w:top w:val="single" w:sz="8" w:color="2D53A6"/>
            </w:tcBorders>
            <w:shd w:val="clear" w:color="auto" w:fill="2D53A6"/>
          </w:tcPr>
          <w:p>
            <w:pPr>
              <w:spacing w:after="0"/>
              <w:rPr>
                <w:sz w:val="5"/>
                <w:szCs w:val="5"/>
                <w:color w:val="auto"/>
              </w:rPr>
            </w:pPr>
          </w:p>
        </w:tc>
        <w:tc>
          <w:tcPr>
            <w:tcW w:w="860" w:type="dxa"/>
            <w:vAlign w:val="bottom"/>
            <w:tcBorders>
              <w:top w:val="single" w:sz="8" w:color="2D53A6"/>
              <w:right w:val="single" w:sz="8" w:color="3D85C6"/>
            </w:tcBorders>
            <w:shd w:val="clear" w:color="auto" w:fill="2D53A6"/>
          </w:tcPr>
          <w:p>
            <w:pPr>
              <w:spacing w:after="0"/>
              <w:rPr>
                <w:sz w:val="5"/>
                <w:szCs w:val="5"/>
                <w:color w:val="auto"/>
              </w:rPr>
            </w:pPr>
          </w:p>
        </w:tc>
        <w:tc>
          <w:tcPr>
            <w:tcW w:w="1080" w:type="dxa"/>
            <w:vAlign w:val="bottom"/>
            <w:tcBorders>
              <w:top w:val="single" w:sz="8" w:color="2D53A6"/>
              <w:right w:val="single" w:sz="8" w:color="3D85C6"/>
            </w:tcBorders>
            <w:vMerge w:val="restart"/>
            <w:shd w:val="clear" w:color="auto" w:fill="2D53A6"/>
          </w:tcPr>
          <w:p>
            <w:pPr>
              <w:jc w:val="right"/>
              <w:ind w:right="319"/>
              <w:spacing w:after="0" w:line="130" w:lineRule="exact"/>
              <w:rPr>
                <w:sz w:val="20"/>
                <w:szCs w:val="20"/>
                <w:color w:val="auto"/>
              </w:rPr>
            </w:pPr>
            <w:r>
              <w:rPr>
                <w:rFonts w:ascii="Arial" w:cs="Arial" w:eastAsia="Arial" w:hAnsi="Arial"/>
                <w:sz w:val="12"/>
                <w:szCs w:val="12"/>
                <w:b w:val="1"/>
                <w:bCs w:val="1"/>
                <w:color w:val="FFFFFF"/>
              </w:rPr>
              <w:t>Thres</w:t>
            </w:r>
          </w:p>
        </w:tc>
        <w:tc>
          <w:tcPr>
            <w:tcW w:w="1100" w:type="dxa"/>
            <w:vAlign w:val="bottom"/>
            <w:tcBorders>
              <w:top w:val="single" w:sz="8" w:color="2D53A6"/>
              <w:right w:val="single" w:sz="8" w:color="3D85C6"/>
            </w:tcBorders>
            <w:shd w:val="clear" w:color="auto" w:fill="2D53A6"/>
          </w:tcPr>
          <w:p>
            <w:pPr>
              <w:spacing w:after="0"/>
              <w:rPr>
                <w:sz w:val="5"/>
                <w:szCs w:val="5"/>
                <w:color w:val="auto"/>
              </w:rPr>
            </w:pPr>
          </w:p>
        </w:tc>
        <w:tc>
          <w:tcPr>
            <w:tcW w:w="260" w:type="dxa"/>
            <w:vAlign w:val="bottom"/>
            <w:tcBorders>
              <w:top w:val="single" w:sz="8" w:color="2D53A6"/>
            </w:tcBorders>
            <w:shd w:val="clear" w:color="auto" w:fill="2D53A6"/>
          </w:tcPr>
          <w:p>
            <w:pPr>
              <w:spacing w:after="0"/>
              <w:rPr>
                <w:sz w:val="5"/>
                <w:szCs w:val="5"/>
                <w:color w:val="auto"/>
              </w:rPr>
            </w:pPr>
          </w:p>
        </w:tc>
        <w:tc>
          <w:tcPr>
            <w:tcW w:w="600" w:type="dxa"/>
            <w:vAlign w:val="bottom"/>
            <w:tcBorders>
              <w:top w:val="single" w:sz="8" w:color="2D53A6"/>
            </w:tcBorders>
            <w:shd w:val="clear" w:color="auto" w:fill="2D53A6"/>
          </w:tcPr>
          <w:p>
            <w:pPr>
              <w:spacing w:after="0"/>
              <w:rPr>
                <w:sz w:val="5"/>
                <w:szCs w:val="5"/>
                <w:color w:val="auto"/>
              </w:rPr>
            </w:pPr>
          </w:p>
        </w:tc>
        <w:tc>
          <w:tcPr>
            <w:tcW w:w="100" w:type="dxa"/>
            <w:vAlign w:val="bottom"/>
            <w:tcBorders>
              <w:top w:val="single" w:sz="8" w:color="2D53A6"/>
              <w:right w:val="single" w:sz="8" w:color="3D85C6"/>
            </w:tcBorders>
            <w:shd w:val="clear" w:color="auto" w:fill="2D53A6"/>
          </w:tcPr>
          <w:p>
            <w:pPr>
              <w:spacing w:after="0"/>
              <w:rPr>
                <w:sz w:val="5"/>
                <w:szCs w:val="5"/>
                <w:color w:val="auto"/>
              </w:rPr>
            </w:pPr>
          </w:p>
        </w:tc>
        <w:tc>
          <w:tcPr>
            <w:tcW w:w="1100" w:type="dxa"/>
            <w:vAlign w:val="bottom"/>
            <w:tcBorders>
              <w:top w:val="single" w:sz="8" w:color="2D53A6"/>
              <w:right w:val="single" w:sz="8" w:color="3D85C6"/>
            </w:tcBorders>
            <w:shd w:val="clear" w:color="auto" w:fill="2D53A6"/>
          </w:tcPr>
          <w:p>
            <w:pPr>
              <w:jc w:val="center"/>
              <w:spacing w:after="0" w:line="65" w:lineRule="exact"/>
              <w:rPr>
                <w:sz w:val="20"/>
                <w:szCs w:val="20"/>
                <w:color w:val="auto"/>
              </w:rPr>
            </w:pPr>
            <w:r>
              <w:rPr>
                <w:rFonts w:ascii="Arial" w:cs="Arial" w:eastAsia="Arial" w:hAnsi="Arial"/>
                <w:sz w:val="7"/>
                <w:szCs w:val="7"/>
                <w:b w:val="1"/>
                <w:bCs w:val="1"/>
                <w:color w:val="FFFFFF"/>
              </w:rPr>
              <w:t>of</w:t>
            </w:r>
          </w:p>
        </w:tc>
        <w:tc>
          <w:tcPr>
            <w:tcW w:w="1100" w:type="dxa"/>
            <w:vAlign w:val="bottom"/>
            <w:tcBorders>
              <w:top w:val="single" w:sz="8" w:color="2D53A6"/>
              <w:right w:val="single" w:sz="8" w:color="3D85C6"/>
            </w:tcBorders>
            <w:vMerge w:val="restart"/>
            <w:shd w:val="clear" w:color="auto" w:fill="2D53A6"/>
          </w:tcPr>
          <w:p>
            <w:pPr>
              <w:jc w:val="center"/>
              <w:spacing w:after="0" w:line="130" w:lineRule="exact"/>
              <w:rPr>
                <w:sz w:val="20"/>
                <w:szCs w:val="20"/>
                <w:color w:val="auto"/>
              </w:rPr>
            </w:pPr>
            <w:r>
              <w:rPr>
                <w:rFonts w:ascii="Arial" w:cs="Arial" w:eastAsia="Arial" w:hAnsi="Arial"/>
                <w:sz w:val="12"/>
                <w:szCs w:val="12"/>
                <w:b w:val="1"/>
                <w:bCs w:val="1"/>
                <w:color w:val="FFFFFF"/>
              </w:rPr>
              <w:t>Option</w:t>
            </w:r>
          </w:p>
        </w:tc>
        <w:tc>
          <w:tcPr>
            <w:tcW w:w="0" w:type="dxa"/>
            <w:vAlign w:val="bottom"/>
          </w:tcPr>
          <w:p>
            <w:pPr>
              <w:spacing w:after="0"/>
              <w:rPr>
                <w:sz w:val="1"/>
                <w:szCs w:val="1"/>
                <w:color w:val="auto"/>
              </w:rPr>
            </w:pPr>
          </w:p>
        </w:tc>
      </w:tr>
      <w:tr>
        <w:trPr>
          <w:trHeight w:val="65"/>
        </w:trPr>
        <w:tc>
          <w:tcPr>
            <w:tcW w:w="680" w:type="dxa"/>
            <w:vAlign w:val="bottom"/>
            <w:tcBorders>
              <w:left w:val="single" w:sz="8" w:color="3D85C6"/>
              <w:right w:val="single" w:sz="8" w:color="3D85C6"/>
            </w:tcBorders>
            <w:vMerge w:val="continue"/>
            <w:shd w:val="clear" w:color="auto" w:fill="2D53A6"/>
          </w:tcPr>
          <w:p>
            <w:pPr>
              <w:spacing w:after="0"/>
              <w:rPr>
                <w:sz w:val="5"/>
                <w:szCs w:val="5"/>
                <w:color w:val="auto"/>
              </w:rPr>
            </w:pPr>
          </w:p>
        </w:tc>
        <w:tc>
          <w:tcPr>
            <w:tcW w:w="880" w:type="dxa"/>
            <w:vAlign w:val="bottom"/>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980" w:type="dxa"/>
            <w:vAlign w:val="bottom"/>
            <w:tcBorders>
              <w:right w:val="single" w:sz="8" w:color="3D85C6"/>
            </w:tcBorders>
            <w:shd w:val="clear" w:color="auto" w:fill="2D53A6"/>
          </w:tcPr>
          <w:p>
            <w:pPr>
              <w:spacing w:after="0"/>
              <w:rPr>
                <w:sz w:val="5"/>
                <w:szCs w:val="5"/>
                <w:color w:val="auto"/>
              </w:rPr>
            </w:pPr>
          </w:p>
        </w:tc>
        <w:tc>
          <w:tcPr>
            <w:tcW w:w="100" w:type="dxa"/>
            <w:vAlign w:val="bottom"/>
            <w:shd w:val="clear" w:color="auto" w:fill="2D53A6"/>
          </w:tcPr>
          <w:p>
            <w:pPr>
              <w:spacing w:after="0"/>
              <w:rPr>
                <w:sz w:val="5"/>
                <w:szCs w:val="5"/>
                <w:color w:val="auto"/>
              </w:rPr>
            </w:pPr>
          </w:p>
        </w:tc>
        <w:tc>
          <w:tcPr>
            <w:tcW w:w="980" w:type="dxa"/>
            <w:vAlign w:val="bottom"/>
            <w:tcBorders>
              <w:right w:val="single" w:sz="8" w:color="3D85C6"/>
            </w:tcBorders>
            <w:vMerge w:val="restart"/>
            <w:shd w:val="clear" w:color="auto" w:fill="2D53A6"/>
          </w:tcPr>
          <w:p>
            <w:pPr>
              <w:jc w:val="center"/>
              <w:ind w:right="59"/>
              <w:spacing w:after="0" w:line="130" w:lineRule="exact"/>
              <w:rPr>
                <w:sz w:val="20"/>
                <w:szCs w:val="20"/>
                <w:color w:val="auto"/>
              </w:rPr>
            </w:pPr>
            <w:r>
              <w:rPr>
                <w:rFonts w:ascii="Arial" w:cs="Arial" w:eastAsia="Arial" w:hAnsi="Arial"/>
                <w:sz w:val="12"/>
                <w:szCs w:val="12"/>
                <w:b w:val="1"/>
                <w:bCs w:val="1"/>
                <w:color w:val="FFFFFF"/>
              </w:rPr>
              <w:t>Thres-</w:t>
            </w:r>
          </w:p>
        </w:tc>
        <w:tc>
          <w:tcPr>
            <w:tcW w:w="1100" w:type="dxa"/>
            <w:vAlign w:val="bottom"/>
            <w:tcBorders>
              <w:right w:val="single" w:sz="8" w:color="3D85C6"/>
            </w:tcBorders>
            <w:shd w:val="clear" w:color="auto" w:fill="2D53A6"/>
          </w:tcPr>
          <w:p>
            <w:pPr>
              <w:spacing w:after="0"/>
              <w:rPr>
                <w:sz w:val="5"/>
                <w:szCs w:val="5"/>
                <w:color w:val="auto"/>
              </w:rPr>
            </w:pPr>
          </w:p>
        </w:tc>
        <w:tc>
          <w:tcPr>
            <w:tcW w:w="240" w:type="dxa"/>
            <w:vAlign w:val="bottom"/>
            <w:shd w:val="clear" w:color="auto" w:fill="2D53A6"/>
          </w:tcPr>
          <w:p>
            <w:pPr>
              <w:spacing w:after="0"/>
              <w:rPr>
                <w:sz w:val="5"/>
                <w:szCs w:val="5"/>
                <w:color w:val="auto"/>
              </w:rPr>
            </w:pPr>
          </w:p>
        </w:tc>
        <w:tc>
          <w:tcPr>
            <w:tcW w:w="860" w:type="dxa"/>
            <w:vAlign w:val="bottom"/>
            <w:tcBorders>
              <w:right w:val="single" w:sz="8" w:color="3D85C6"/>
            </w:tcBorders>
            <w:shd w:val="clear" w:color="auto" w:fill="2D53A6"/>
          </w:tcPr>
          <w:p>
            <w:pPr>
              <w:spacing w:after="0"/>
              <w:rPr>
                <w:sz w:val="5"/>
                <w:szCs w:val="5"/>
                <w:color w:val="auto"/>
              </w:rPr>
            </w:pPr>
          </w:p>
        </w:tc>
        <w:tc>
          <w:tcPr>
            <w:tcW w:w="1080" w:type="dxa"/>
            <w:vAlign w:val="bottom"/>
            <w:tcBorders>
              <w:right w:val="single" w:sz="8" w:color="3D85C6"/>
            </w:tcBorders>
            <w:vMerge w:val="continue"/>
            <w:shd w:val="clear" w:color="auto" w:fill="2D53A6"/>
          </w:tcPr>
          <w:p>
            <w:pPr>
              <w:spacing w:after="0"/>
              <w:rPr>
                <w:sz w:val="5"/>
                <w:szCs w:val="5"/>
                <w:color w:val="auto"/>
              </w:rPr>
            </w:pPr>
          </w:p>
        </w:tc>
        <w:tc>
          <w:tcPr>
            <w:tcW w:w="1100" w:type="dxa"/>
            <w:vAlign w:val="bottom"/>
            <w:tcBorders>
              <w:right w:val="single" w:sz="8" w:color="3D85C6"/>
            </w:tcBorders>
            <w:shd w:val="clear" w:color="auto" w:fill="2D53A6"/>
          </w:tcPr>
          <w:p>
            <w:pPr>
              <w:spacing w:after="0"/>
              <w:rPr>
                <w:sz w:val="5"/>
                <w:szCs w:val="5"/>
                <w:color w:val="auto"/>
              </w:rPr>
            </w:pPr>
          </w:p>
        </w:tc>
        <w:tc>
          <w:tcPr>
            <w:tcW w:w="260" w:type="dxa"/>
            <w:vAlign w:val="bottom"/>
            <w:shd w:val="clear" w:color="auto" w:fill="2D53A6"/>
          </w:tcPr>
          <w:p>
            <w:pPr>
              <w:spacing w:after="0"/>
              <w:rPr>
                <w:sz w:val="5"/>
                <w:szCs w:val="5"/>
                <w:color w:val="auto"/>
              </w:rPr>
            </w:pPr>
          </w:p>
        </w:tc>
        <w:tc>
          <w:tcPr>
            <w:tcW w:w="700" w:type="dxa"/>
            <w:vAlign w:val="bottom"/>
            <w:tcBorders>
              <w:right w:val="single" w:sz="8" w:color="3D85C6"/>
            </w:tcBorders>
            <w:gridSpan w:val="2"/>
            <w:vMerge w:val="restart"/>
            <w:shd w:val="clear" w:color="auto" w:fill="2D53A6"/>
          </w:tcPr>
          <w:p>
            <w:pPr>
              <w:jc w:val="center"/>
              <w:ind w:right="280"/>
              <w:spacing w:after="0" w:line="130" w:lineRule="exact"/>
              <w:rPr>
                <w:sz w:val="20"/>
                <w:szCs w:val="20"/>
                <w:color w:val="auto"/>
              </w:rPr>
            </w:pPr>
            <w:r>
              <w:rPr>
                <w:rFonts w:ascii="Arial" w:cs="Arial" w:eastAsia="Arial" w:hAnsi="Arial"/>
                <w:sz w:val="12"/>
                <w:szCs w:val="12"/>
                <w:b w:val="1"/>
                <w:bCs w:val="1"/>
                <w:color w:val="FFFFFF"/>
                <w:w w:val="97"/>
              </w:rPr>
              <w:t>Maxi-</w:t>
            </w:r>
          </w:p>
        </w:tc>
        <w:tc>
          <w:tcPr>
            <w:tcW w:w="1100" w:type="dxa"/>
            <w:vAlign w:val="bottom"/>
            <w:tcBorders>
              <w:right w:val="single" w:sz="8" w:color="3D85C6"/>
            </w:tcBorders>
            <w:vMerge w:val="restart"/>
            <w:shd w:val="clear" w:color="auto" w:fill="2D53A6"/>
          </w:tcPr>
          <w:p>
            <w:pPr>
              <w:jc w:val="center"/>
              <w:spacing w:after="0" w:line="130" w:lineRule="exact"/>
              <w:rPr>
                <w:sz w:val="20"/>
                <w:szCs w:val="20"/>
                <w:color w:val="auto"/>
              </w:rPr>
            </w:pPr>
            <w:r>
              <w:rPr>
                <w:rFonts w:ascii="Arial" w:cs="Arial" w:eastAsia="Arial" w:hAnsi="Arial"/>
                <w:sz w:val="12"/>
                <w:szCs w:val="12"/>
                <w:b w:val="1"/>
                <w:bCs w:val="1"/>
                <w:color w:val="FFFFFF"/>
                <w:w w:val="99"/>
              </w:rPr>
              <w:t>Shares</w:t>
            </w:r>
          </w:p>
        </w:tc>
        <w:tc>
          <w:tcPr>
            <w:tcW w:w="1100" w:type="dxa"/>
            <w:vAlign w:val="bottom"/>
            <w:tcBorders>
              <w:right w:val="single" w:sz="8" w:color="3D85C6"/>
            </w:tcBorders>
            <w:vMerge w:val="continue"/>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80" w:type="dxa"/>
            <w:vAlign w:val="bottom"/>
            <w:tcBorders>
              <w:left w:val="single" w:sz="8" w:color="3D85C6"/>
              <w:right w:val="single" w:sz="8" w:color="3D85C6"/>
            </w:tcBorders>
            <w:shd w:val="clear" w:color="auto" w:fill="2D53A6"/>
          </w:tcPr>
          <w:p>
            <w:pPr>
              <w:spacing w:after="0"/>
              <w:rPr>
                <w:sz w:val="5"/>
                <w:szCs w:val="5"/>
                <w:color w:val="auto"/>
              </w:rPr>
            </w:pPr>
          </w:p>
        </w:tc>
        <w:tc>
          <w:tcPr>
            <w:tcW w:w="880" w:type="dxa"/>
            <w:vAlign w:val="bottom"/>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980" w:type="dxa"/>
            <w:vAlign w:val="bottom"/>
            <w:tcBorders>
              <w:right w:val="single" w:sz="8" w:color="3D85C6"/>
            </w:tcBorders>
            <w:shd w:val="clear" w:color="auto" w:fill="2D53A6"/>
          </w:tcPr>
          <w:p>
            <w:pPr>
              <w:spacing w:after="0"/>
              <w:rPr>
                <w:sz w:val="5"/>
                <w:szCs w:val="5"/>
                <w:color w:val="auto"/>
              </w:rPr>
            </w:pPr>
          </w:p>
        </w:tc>
        <w:tc>
          <w:tcPr>
            <w:tcW w:w="100" w:type="dxa"/>
            <w:vAlign w:val="bottom"/>
            <w:shd w:val="clear" w:color="auto" w:fill="2D53A6"/>
          </w:tcPr>
          <w:p>
            <w:pPr>
              <w:spacing w:after="0"/>
              <w:rPr>
                <w:sz w:val="5"/>
                <w:szCs w:val="5"/>
                <w:color w:val="auto"/>
              </w:rPr>
            </w:pPr>
          </w:p>
        </w:tc>
        <w:tc>
          <w:tcPr>
            <w:tcW w:w="980" w:type="dxa"/>
            <w:vAlign w:val="bottom"/>
            <w:tcBorders>
              <w:right w:val="single" w:sz="8" w:color="3D85C6"/>
            </w:tcBorders>
            <w:vMerge w:val="continue"/>
            <w:shd w:val="clear" w:color="auto" w:fill="2D53A6"/>
          </w:tcPr>
          <w:p>
            <w:pPr>
              <w:spacing w:after="0"/>
              <w:rPr>
                <w:sz w:val="5"/>
                <w:szCs w:val="5"/>
                <w:color w:val="auto"/>
              </w:rPr>
            </w:pPr>
          </w:p>
        </w:tc>
        <w:tc>
          <w:tcPr>
            <w:tcW w:w="1100" w:type="dxa"/>
            <w:vAlign w:val="bottom"/>
            <w:tcBorders>
              <w:right w:val="single" w:sz="8" w:color="3D85C6"/>
            </w:tcBorders>
            <w:vMerge w:val="restart"/>
            <w:shd w:val="clear" w:color="auto" w:fill="2D53A6"/>
          </w:tcPr>
          <w:p>
            <w:pPr>
              <w:jc w:val="center"/>
              <w:spacing w:after="0" w:line="130" w:lineRule="exact"/>
              <w:rPr>
                <w:sz w:val="20"/>
                <w:szCs w:val="20"/>
                <w:color w:val="auto"/>
              </w:rPr>
            </w:pPr>
            <w:r>
              <w:rPr>
                <w:rFonts w:ascii="Arial" w:cs="Arial" w:eastAsia="Arial" w:hAnsi="Arial"/>
                <w:sz w:val="12"/>
                <w:szCs w:val="12"/>
                <w:b w:val="1"/>
                <w:bCs w:val="1"/>
                <w:color w:val="FFFFFF"/>
                <w:w w:val="98"/>
              </w:rPr>
              <w:t>Target</w:t>
            </w:r>
          </w:p>
        </w:tc>
        <w:tc>
          <w:tcPr>
            <w:tcW w:w="240" w:type="dxa"/>
            <w:vAlign w:val="bottom"/>
            <w:shd w:val="clear" w:color="auto" w:fill="2D53A6"/>
          </w:tcPr>
          <w:p>
            <w:pPr>
              <w:spacing w:after="0"/>
              <w:rPr>
                <w:sz w:val="5"/>
                <w:szCs w:val="5"/>
                <w:color w:val="auto"/>
              </w:rPr>
            </w:pPr>
          </w:p>
        </w:tc>
        <w:tc>
          <w:tcPr>
            <w:tcW w:w="860" w:type="dxa"/>
            <w:vAlign w:val="bottom"/>
            <w:tcBorders>
              <w:right w:val="single" w:sz="8" w:color="3D85C6"/>
            </w:tcBorders>
            <w:vMerge w:val="restart"/>
            <w:shd w:val="clear" w:color="auto" w:fill="2D53A6"/>
          </w:tcPr>
          <w:p>
            <w:pPr>
              <w:jc w:val="right"/>
              <w:ind w:right="339"/>
              <w:spacing w:after="0" w:line="130" w:lineRule="exact"/>
              <w:rPr>
                <w:sz w:val="20"/>
                <w:szCs w:val="20"/>
                <w:color w:val="auto"/>
              </w:rPr>
            </w:pPr>
            <w:r>
              <w:rPr>
                <w:rFonts w:ascii="Arial" w:cs="Arial" w:eastAsia="Arial" w:hAnsi="Arial"/>
                <w:sz w:val="12"/>
                <w:szCs w:val="12"/>
                <w:b w:val="1"/>
                <w:bCs w:val="1"/>
                <w:color w:val="FFFFFF"/>
              </w:rPr>
              <w:t>Maxi-</w:t>
            </w:r>
          </w:p>
        </w:tc>
        <w:tc>
          <w:tcPr>
            <w:tcW w:w="1080" w:type="dxa"/>
            <w:vAlign w:val="bottom"/>
            <w:tcBorders>
              <w:right w:val="single" w:sz="8" w:color="3D85C6"/>
            </w:tcBorders>
            <w:vMerge w:val="restart"/>
            <w:shd w:val="clear" w:color="auto" w:fill="2D53A6"/>
          </w:tcPr>
          <w:p>
            <w:pPr>
              <w:jc w:val="right"/>
              <w:ind w:right="479"/>
              <w:spacing w:after="0" w:line="130" w:lineRule="exact"/>
              <w:rPr>
                <w:sz w:val="20"/>
                <w:szCs w:val="20"/>
                <w:color w:val="auto"/>
              </w:rPr>
            </w:pPr>
            <w:r>
              <w:rPr>
                <w:rFonts w:ascii="Arial" w:cs="Arial" w:eastAsia="Arial" w:hAnsi="Arial"/>
                <w:sz w:val="12"/>
                <w:szCs w:val="12"/>
                <w:b w:val="1"/>
                <w:bCs w:val="1"/>
                <w:color w:val="FFFFFF"/>
              </w:rPr>
              <w:t>-</w:t>
            </w:r>
          </w:p>
        </w:tc>
        <w:tc>
          <w:tcPr>
            <w:tcW w:w="1100" w:type="dxa"/>
            <w:vAlign w:val="bottom"/>
            <w:tcBorders>
              <w:right w:val="single" w:sz="8" w:color="3D85C6"/>
            </w:tcBorders>
            <w:vMerge w:val="restart"/>
            <w:shd w:val="clear" w:color="auto" w:fill="2D53A6"/>
          </w:tcPr>
          <w:p>
            <w:pPr>
              <w:jc w:val="right"/>
              <w:ind w:right="319"/>
              <w:spacing w:after="0" w:line="130" w:lineRule="exact"/>
              <w:rPr>
                <w:sz w:val="20"/>
                <w:szCs w:val="20"/>
                <w:color w:val="auto"/>
              </w:rPr>
            </w:pPr>
            <w:r>
              <w:rPr>
                <w:rFonts w:ascii="Arial" w:cs="Arial" w:eastAsia="Arial" w:hAnsi="Arial"/>
                <w:sz w:val="12"/>
                <w:szCs w:val="12"/>
                <w:b w:val="1"/>
                <w:bCs w:val="1"/>
                <w:color w:val="FFFFFF"/>
              </w:rPr>
              <w:t>Target</w:t>
            </w:r>
          </w:p>
        </w:tc>
        <w:tc>
          <w:tcPr>
            <w:tcW w:w="260" w:type="dxa"/>
            <w:vAlign w:val="bottom"/>
            <w:shd w:val="clear" w:color="auto" w:fill="2D53A6"/>
          </w:tcPr>
          <w:p>
            <w:pPr>
              <w:spacing w:after="0"/>
              <w:rPr>
                <w:sz w:val="5"/>
                <w:szCs w:val="5"/>
                <w:color w:val="auto"/>
              </w:rPr>
            </w:pPr>
          </w:p>
        </w:tc>
        <w:tc>
          <w:tcPr>
            <w:tcW w:w="700" w:type="dxa"/>
            <w:vAlign w:val="bottom"/>
            <w:tcBorders>
              <w:right w:val="single" w:sz="8" w:color="3D85C6"/>
            </w:tcBorders>
            <w:gridSpan w:val="2"/>
            <w:vMerge w:val="continue"/>
            <w:shd w:val="clear" w:color="auto" w:fill="2D53A6"/>
          </w:tcPr>
          <w:p>
            <w:pPr>
              <w:spacing w:after="0"/>
              <w:rPr>
                <w:sz w:val="5"/>
                <w:szCs w:val="5"/>
                <w:color w:val="auto"/>
              </w:rPr>
            </w:pPr>
          </w:p>
        </w:tc>
        <w:tc>
          <w:tcPr>
            <w:tcW w:w="1100" w:type="dxa"/>
            <w:vAlign w:val="bottom"/>
            <w:tcBorders>
              <w:right w:val="single" w:sz="8" w:color="3D85C6"/>
            </w:tcBorders>
            <w:vMerge w:val="continue"/>
            <w:shd w:val="clear" w:color="auto" w:fill="2D53A6"/>
          </w:tcPr>
          <w:p>
            <w:pPr>
              <w:spacing w:after="0"/>
              <w:rPr>
                <w:sz w:val="5"/>
                <w:szCs w:val="5"/>
                <w:color w:val="auto"/>
              </w:rPr>
            </w:pPr>
          </w:p>
        </w:tc>
        <w:tc>
          <w:tcPr>
            <w:tcW w:w="1100" w:type="dxa"/>
            <w:vAlign w:val="bottom"/>
            <w:tcBorders>
              <w:right w:val="single" w:sz="8" w:color="3D85C6"/>
            </w:tcBorders>
            <w:vMerge w:val="restart"/>
            <w:shd w:val="clear" w:color="auto" w:fill="2D53A6"/>
          </w:tcPr>
          <w:p>
            <w:pPr>
              <w:jc w:val="center"/>
              <w:spacing w:after="0" w:line="130" w:lineRule="exact"/>
              <w:rPr>
                <w:sz w:val="20"/>
                <w:szCs w:val="20"/>
                <w:color w:val="auto"/>
              </w:rPr>
            </w:pPr>
            <w:r>
              <w:rPr>
                <w:rFonts w:ascii="Arial" w:cs="Arial" w:eastAsia="Arial" w:hAnsi="Arial"/>
                <w:sz w:val="12"/>
                <w:szCs w:val="12"/>
                <w:b w:val="1"/>
                <w:bCs w:val="1"/>
                <w:color w:val="FFFFFF"/>
              </w:rPr>
              <w:t>Awards</w:t>
            </w:r>
          </w:p>
        </w:tc>
        <w:tc>
          <w:tcPr>
            <w:tcW w:w="0" w:type="dxa"/>
            <w:vAlign w:val="bottom"/>
          </w:tcPr>
          <w:p>
            <w:pPr>
              <w:spacing w:after="0"/>
              <w:rPr>
                <w:sz w:val="1"/>
                <w:szCs w:val="1"/>
                <w:color w:val="auto"/>
              </w:rPr>
            </w:pPr>
          </w:p>
        </w:tc>
      </w:tr>
      <w:tr>
        <w:trPr>
          <w:trHeight w:val="65"/>
        </w:trPr>
        <w:tc>
          <w:tcPr>
            <w:tcW w:w="680" w:type="dxa"/>
            <w:vAlign w:val="bottom"/>
            <w:tcBorders>
              <w:left w:val="single" w:sz="8" w:color="3D85C6"/>
              <w:right w:val="single" w:sz="8" w:color="3D85C6"/>
            </w:tcBorders>
            <w:shd w:val="clear" w:color="auto" w:fill="2D53A6"/>
          </w:tcPr>
          <w:p>
            <w:pPr>
              <w:spacing w:after="0"/>
              <w:rPr>
                <w:sz w:val="5"/>
                <w:szCs w:val="5"/>
                <w:color w:val="auto"/>
              </w:rPr>
            </w:pPr>
          </w:p>
        </w:tc>
        <w:tc>
          <w:tcPr>
            <w:tcW w:w="880" w:type="dxa"/>
            <w:vAlign w:val="bottom"/>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980" w:type="dxa"/>
            <w:vAlign w:val="bottom"/>
            <w:tcBorders>
              <w:right w:val="single" w:sz="8" w:color="3D85C6"/>
            </w:tcBorders>
            <w:shd w:val="clear" w:color="auto" w:fill="2D53A6"/>
          </w:tcPr>
          <w:p>
            <w:pPr>
              <w:spacing w:after="0"/>
              <w:rPr>
                <w:sz w:val="5"/>
                <w:szCs w:val="5"/>
                <w:color w:val="auto"/>
              </w:rPr>
            </w:pPr>
          </w:p>
        </w:tc>
        <w:tc>
          <w:tcPr>
            <w:tcW w:w="100" w:type="dxa"/>
            <w:vAlign w:val="bottom"/>
            <w:shd w:val="clear" w:color="auto" w:fill="2D53A6"/>
          </w:tcPr>
          <w:p>
            <w:pPr>
              <w:spacing w:after="0"/>
              <w:rPr>
                <w:sz w:val="5"/>
                <w:szCs w:val="5"/>
                <w:color w:val="auto"/>
              </w:rPr>
            </w:pPr>
          </w:p>
        </w:tc>
        <w:tc>
          <w:tcPr>
            <w:tcW w:w="980" w:type="dxa"/>
            <w:vAlign w:val="bottom"/>
            <w:tcBorders>
              <w:right w:val="single" w:sz="8" w:color="3D85C6"/>
            </w:tcBorders>
            <w:vMerge w:val="restart"/>
            <w:shd w:val="clear" w:color="auto" w:fill="2D53A6"/>
          </w:tcPr>
          <w:p>
            <w:pPr>
              <w:jc w:val="center"/>
              <w:ind w:right="59"/>
              <w:spacing w:after="0" w:line="130" w:lineRule="exact"/>
              <w:rPr>
                <w:sz w:val="20"/>
                <w:szCs w:val="20"/>
                <w:color w:val="auto"/>
              </w:rPr>
            </w:pPr>
            <w:r>
              <w:rPr>
                <w:rFonts w:ascii="Arial" w:cs="Arial" w:eastAsia="Arial" w:hAnsi="Arial"/>
                <w:sz w:val="12"/>
                <w:szCs w:val="12"/>
                <w:b w:val="1"/>
                <w:bCs w:val="1"/>
                <w:color w:val="FFFFFF"/>
              </w:rPr>
              <w:t>hold</w:t>
            </w:r>
          </w:p>
        </w:tc>
        <w:tc>
          <w:tcPr>
            <w:tcW w:w="1100" w:type="dxa"/>
            <w:vAlign w:val="bottom"/>
            <w:tcBorders>
              <w:right w:val="single" w:sz="8" w:color="3D85C6"/>
            </w:tcBorders>
            <w:vMerge w:val="continue"/>
            <w:shd w:val="clear" w:color="auto" w:fill="2D53A6"/>
          </w:tcPr>
          <w:p>
            <w:pPr>
              <w:spacing w:after="0"/>
              <w:rPr>
                <w:sz w:val="5"/>
                <w:szCs w:val="5"/>
                <w:color w:val="auto"/>
              </w:rPr>
            </w:pPr>
          </w:p>
        </w:tc>
        <w:tc>
          <w:tcPr>
            <w:tcW w:w="240" w:type="dxa"/>
            <w:vAlign w:val="bottom"/>
            <w:shd w:val="clear" w:color="auto" w:fill="2D53A6"/>
          </w:tcPr>
          <w:p>
            <w:pPr>
              <w:spacing w:after="0"/>
              <w:rPr>
                <w:sz w:val="5"/>
                <w:szCs w:val="5"/>
                <w:color w:val="auto"/>
              </w:rPr>
            </w:pPr>
          </w:p>
        </w:tc>
        <w:tc>
          <w:tcPr>
            <w:tcW w:w="860" w:type="dxa"/>
            <w:vAlign w:val="bottom"/>
            <w:tcBorders>
              <w:right w:val="single" w:sz="8" w:color="3D85C6"/>
            </w:tcBorders>
            <w:vMerge w:val="continue"/>
            <w:shd w:val="clear" w:color="auto" w:fill="2D53A6"/>
          </w:tcPr>
          <w:p>
            <w:pPr>
              <w:spacing w:after="0"/>
              <w:rPr>
                <w:sz w:val="5"/>
                <w:szCs w:val="5"/>
                <w:color w:val="auto"/>
              </w:rPr>
            </w:pPr>
          </w:p>
        </w:tc>
        <w:tc>
          <w:tcPr>
            <w:tcW w:w="1080" w:type="dxa"/>
            <w:vAlign w:val="bottom"/>
            <w:tcBorders>
              <w:right w:val="single" w:sz="8" w:color="3D85C6"/>
            </w:tcBorders>
            <w:vMerge w:val="continue"/>
            <w:shd w:val="clear" w:color="auto" w:fill="2D53A6"/>
          </w:tcPr>
          <w:p>
            <w:pPr>
              <w:spacing w:after="0"/>
              <w:rPr>
                <w:sz w:val="5"/>
                <w:szCs w:val="5"/>
                <w:color w:val="auto"/>
              </w:rPr>
            </w:pPr>
          </w:p>
        </w:tc>
        <w:tc>
          <w:tcPr>
            <w:tcW w:w="1100" w:type="dxa"/>
            <w:vAlign w:val="bottom"/>
            <w:tcBorders>
              <w:right w:val="single" w:sz="8" w:color="3D85C6"/>
            </w:tcBorders>
            <w:vMerge w:val="continue"/>
            <w:shd w:val="clear" w:color="auto" w:fill="2D53A6"/>
          </w:tcPr>
          <w:p>
            <w:pPr>
              <w:spacing w:after="0"/>
              <w:rPr>
                <w:sz w:val="5"/>
                <w:szCs w:val="5"/>
                <w:color w:val="auto"/>
              </w:rPr>
            </w:pPr>
          </w:p>
        </w:tc>
        <w:tc>
          <w:tcPr>
            <w:tcW w:w="260" w:type="dxa"/>
            <w:vAlign w:val="bottom"/>
            <w:shd w:val="clear" w:color="auto" w:fill="2D53A6"/>
          </w:tcPr>
          <w:p>
            <w:pPr>
              <w:spacing w:after="0"/>
              <w:rPr>
                <w:sz w:val="5"/>
                <w:szCs w:val="5"/>
                <w:color w:val="auto"/>
              </w:rPr>
            </w:pPr>
          </w:p>
        </w:tc>
        <w:tc>
          <w:tcPr>
            <w:tcW w:w="700" w:type="dxa"/>
            <w:vAlign w:val="bottom"/>
            <w:tcBorders>
              <w:right w:val="single" w:sz="8" w:color="3D85C6"/>
            </w:tcBorders>
            <w:gridSpan w:val="2"/>
            <w:vMerge w:val="restart"/>
            <w:shd w:val="clear" w:color="auto" w:fill="2D53A6"/>
          </w:tcPr>
          <w:p>
            <w:pPr>
              <w:jc w:val="center"/>
              <w:ind w:right="280"/>
              <w:spacing w:after="0" w:line="130" w:lineRule="exact"/>
              <w:rPr>
                <w:sz w:val="20"/>
                <w:szCs w:val="20"/>
                <w:color w:val="auto"/>
              </w:rPr>
            </w:pPr>
            <w:r>
              <w:rPr>
                <w:rFonts w:ascii="Arial" w:cs="Arial" w:eastAsia="Arial" w:hAnsi="Arial"/>
                <w:sz w:val="12"/>
                <w:szCs w:val="12"/>
                <w:b w:val="1"/>
                <w:bCs w:val="1"/>
                <w:color w:val="FFFFFF"/>
              </w:rPr>
              <w:t>mum</w:t>
            </w:r>
          </w:p>
        </w:tc>
        <w:tc>
          <w:tcPr>
            <w:tcW w:w="1100" w:type="dxa"/>
            <w:vAlign w:val="bottom"/>
            <w:tcBorders>
              <w:right w:val="single" w:sz="8" w:color="3D85C6"/>
            </w:tcBorders>
            <w:vMerge w:val="restart"/>
            <w:shd w:val="clear" w:color="auto" w:fill="2D53A6"/>
          </w:tcPr>
          <w:p>
            <w:pPr>
              <w:jc w:val="center"/>
              <w:spacing w:after="0" w:line="130" w:lineRule="exact"/>
              <w:rPr>
                <w:sz w:val="20"/>
                <w:szCs w:val="20"/>
                <w:color w:val="auto"/>
              </w:rPr>
            </w:pPr>
            <w:r>
              <w:rPr>
                <w:rFonts w:ascii="Arial" w:cs="Arial" w:eastAsia="Arial" w:hAnsi="Arial"/>
                <w:sz w:val="12"/>
                <w:szCs w:val="12"/>
                <w:b w:val="1"/>
                <w:bCs w:val="1"/>
                <w:color w:val="FFFFFF"/>
              </w:rPr>
              <w:t>of Stock</w:t>
            </w:r>
          </w:p>
        </w:tc>
        <w:tc>
          <w:tcPr>
            <w:tcW w:w="1100" w:type="dxa"/>
            <w:vAlign w:val="bottom"/>
            <w:tcBorders>
              <w:right w:val="single" w:sz="8" w:color="3D85C6"/>
            </w:tcBorders>
            <w:vMerge w:val="continue"/>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80" w:type="dxa"/>
            <w:vAlign w:val="bottom"/>
            <w:tcBorders>
              <w:left w:val="single" w:sz="8" w:color="3D85C6"/>
              <w:right w:val="single" w:sz="8" w:color="3D85C6"/>
            </w:tcBorders>
            <w:shd w:val="clear" w:color="auto" w:fill="2D53A6"/>
          </w:tcPr>
          <w:p>
            <w:pPr>
              <w:spacing w:after="0"/>
              <w:rPr>
                <w:sz w:val="5"/>
                <w:szCs w:val="5"/>
                <w:color w:val="auto"/>
              </w:rPr>
            </w:pPr>
          </w:p>
        </w:tc>
        <w:tc>
          <w:tcPr>
            <w:tcW w:w="880" w:type="dxa"/>
            <w:vAlign w:val="bottom"/>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980" w:type="dxa"/>
            <w:vAlign w:val="bottom"/>
            <w:tcBorders>
              <w:right w:val="single" w:sz="8" w:color="3D85C6"/>
            </w:tcBorders>
            <w:shd w:val="clear" w:color="auto" w:fill="2D53A6"/>
          </w:tcPr>
          <w:p>
            <w:pPr>
              <w:spacing w:after="0"/>
              <w:rPr>
                <w:sz w:val="5"/>
                <w:szCs w:val="5"/>
                <w:color w:val="auto"/>
              </w:rPr>
            </w:pPr>
          </w:p>
        </w:tc>
        <w:tc>
          <w:tcPr>
            <w:tcW w:w="100" w:type="dxa"/>
            <w:vAlign w:val="bottom"/>
            <w:shd w:val="clear" w:color="auto" w:fill="2D53A6"/>
          </w:tcPr>
          <w:p>
            <w:pPr>
              <w:spacing w:after="0"/>
              <w:rPr>
                <w:sz w:val="5"/>
                <w:szCs w:val="5"/>
                <w:color w:val="auto"/>
              </w:rPr>
            </w:pPr>
          </w:p>
        </w:tc>
        <w:tc>
          <w:tcPr>
            <w:tcW w:w="980" w:type="dxa"/>
            <w:vAlign w:val="bottom"/>
            <w:tcBorders>
              <w:right w:val="single" w:sz="8" w:color="3D85C6"/>
            </w:tcBorders>
            <w:vMerge w:val="continue"/>
            <w:shd w:val="clear" w:color="auto" w:fill="2D53A6"/>
          </w:tcPr>
          <w:p>
            <w:pPr>
              <w:spacing w:after="0"/>
              <w:rPr>
                <w:sz w:val="5"/>
                <w:szCs w:val="5"/>
                <w:color w:val="auto"/>
              </w:rPr>
            </w:pPr>
          </w:p>
        </w:tc>
        <w:tc>
          <w:tcPr>
            <w:tcW w:w="1100" w:type="dxa"/>
            <w:vAlign w:val="bottom"/>
            <w:tcBorders>
              <w:right w:val="single" w:sz="8" w:color="3D85C6"/>
            </w:tcBorders>
            <w:vMerge w:val="restart"/>
            <w:shd w:val="clear" w:color="auto" w:fill="2D53A6"/>
          </w:tcPr>
          <w:p>
            <w:pPr>
              <w:jc w:val="center"/>
              <w:spacing w:after="0" w:line="130" w:lineRule="exact"/>
              <w:rPr>
                <w:sz w:val="20"/>
                <w:szCs w:val="20"/>
                <w:color w:val="auto"/>
              </w:rPr>
            </w:pPr>
            <w:r>
              <w:rPr>
                <w:rFonts w:ascii="Arial" w:cs="Arial" w:eastAsia="Arial" w:hAnsi="Arial"/>
                <w:sz w:val="12"/>
                <w:szCs w:val="12"/>
                <w:b w:val="1"/>
                <w:bCs w:val="1"/>
                <w:color w:val="FFFFFF"/>
                <w:w w:val="95"/>
              </w:rPr>
              <w:t>($)</w:t>
            </w:r>
          </w:p>
        </w:tc>
        <w:tc>
          <w:tcPr>
            <w:tcW w:w="240" w:type="dxa"/>
            <w:vAlign w:val="bottom"/>
            <w:shd w:val="clear" w:color="auto" w:fill="2D53A6"/>
          </w:tcPr>
          <w:p>
            <w:pPr>
              <w:spacing w:after="0"/>
              <w:rPr>
                <w:sz w:val="5"/>
                <w:szCs w:val="5"/>
                <w:color w:val="auto"/>
              </w:rPr>
            </w:pPr>
          </w:p>
        </w:tc>
        <w:tc>
          <w:tcPr>
            <w:tcW w:w="860" w:type="dxa"/>
            <w:vAlign w:val="bottom"/>
            <w:tcBorders>
              <w:right w:val="single" w:sz="8" w:color="3D85C6"/>
            </w:tcBorders>
            <w:vMerge w:val="restart"/>
            <w:shd w:val="clear" w:color="auto" w:fill="2D53A6"/>
          </w:tcPr>
          <w:p>
            <w:pPr>
              <w:jc w:val="right"/>
              <w:ind w:right="259"/>
              <w:spacing w:after="0" w:line="130" w:lineRule="exact"/>
              <w:rPr>
                <w:sz w:val="20"/>
                <w:szCs w:val="20"/>
                <w:color w:val="auto"/>
              </w:rPr>
            </w:pPr>
            <w:r>
              <w:rPr>
                <w:rFonts w:ascii="Arial" w:cs="Arial" w:eastAsia="Arial" w:hAnsi="Arial"/>
                <w:sz w:val="12"/>
                <w:szCs w:val="12"/>
                <w:b w:val="1"/>
                <w:bCs w:val="1"/>
                <w:color w:val="FFFFFF"/>
              </w:rPr>
              <w:t>mum ($)</w:t>
            </w:r>
          </w:p>
        </w:tc>
        <w:tc>
          <w:tcPr>
            <w:tcW w:w="1080" w:type="dxa"/>
            <w:vAlign w:val="bottom"/>
            <w:tcBorders>
              <w:right w:val="single" w:sz="8" w:color="3D85C6"/>
            </w:tcBorders>
            <w:vMerge w:val="restart"/>
            <w:shd w:val="clear" w:color="auto" w:fill="2D53A6"/>
          </w:tcPr>
          <w:p>
            <w:pPr>
              <w:jc w:val="right"/>
              <w:ind w:right="359"/>
              <w:spacing w:after="0" w:line="130" w:lineRule="exact"/>
              <w:rPr>
                <w:sz w:val="20"/>
                <w:szCs w:val="20"/>
                <w:color w:val="auto"/>
              </w:rPr>
            </w:pPr>
            <w:r>
              <w:rPr>
                <w:rFonts w:ascii="Arial" w:cs="Arial" w:eastAsia="Arial" w:hAnsi="Arial"/>
                <w:sz w:val="12"/>
                <w:szCs w:val="12"/>
                <w:b w:val="1"/>
                <w:bCs w:val="1"/>
                <w:color w:val="FFFFFF"/>
              </w:rPr>
              <w:t>hold</w:t>
            </w:r>
          </w:p>
        </w:tc>
        <w:tc>
          <w:tcPr>
            <w:tcW w:w="1100" w:type="dxa"/>
            <w:vAlign w:val="bottom"/>
            <w:tcBorders>
              <w:right w:val="single" w:sz="8" w:color="3D85C6"/>
            </w:tcBorders>
            <w:vMerge w:val="restart"/>
            <w:shd w:val="clear" w:color="auto" w:fill="2D53A6"/>
          </w:tcPr>
          <w:p>
            <w:pPr>
              <w:jc w:val="right"/>
              <w:ind w:right="419"/>
              <w:spacing w:after="0" w:line="130" w:lineRule="exact"/>
              <w:rPr>
                <w:sz w:val="20"/>
                <w:szCs w:val="20"/>
                <w:color w:val="auto"/>
              </w:rPr>
            </w:pPr>
            <w:r>
              <w:rPr>
                <w:rFonts w:ascii="Arial" w:cs="Arial" w:eastAsia="Arial" w:hAnsi="Arial"/>
                <w:sz w:val="12"/>
                <w:szCs w:val="12"/>
                <w:b w:val="1"/>
                <w:bCs w:val="1"/>
                <w:color w:val="FFFFFF"/>
              </w:rPr>
              <w:t>(#)</w:t>
            </w:r>
          </w:p>
        </w:tc>
        <w:tc>
          <w:tcPr>
            <w:tcW w:w="260" w:type="dxa"/>
            <w:vAlign w:val="bottom"/>
            <w:shd w:val="clear" w:color="auto" w:fill="2D53A6"/>
          </w:tcPr>
          <w:p>
            <w:pPr>
              <w:spacing w:after="0"/>
              <w:rPr>
                <w:sz w:val="5"/>
                <w:szCs w:val="5"/>
                <w:color w:val="auto"/>
              </w:rPr>
            </w:pPr>
          </w:p>
        </w:tc>
        <w:tc>
          <w:tcPr>
            <w:tcW w:w="700" w:type="dxa"/>
            <w:vAlign w:val="bottom"/>
            <w:tcBorders>
              <w:right w:val="single" w:sz="8" w:color="3D85C6"/>
            </w:tcBorders>
            <w:gridSpan w:val="2"/>
            <w:vMerge w:val="continue"/>
            <w:shd w:val="clear" w:color="auto" w:fill="2D53A6"/>
          </w:tcPr>
          <w:p>
            <w:pPr>
              <w:spacing w:after="0"/>
              <w:rPr>
                <w:sz w:val="5"/>
                <w:szCs w:val="5"/>
                <w:color w:val="auto"/>
              </w:rPr>
            </w:pPr>
          </w:p>
        </w:tc>
        <w:tc>
          <w:tcPr>
            <w:tcW w:w="1100" w:type="dxa"/>
            <w:vAlign w:val="bottom"/>
            <w:tcBorders>
              <w:right w:val="single" w:sz="8" w:color="3D85C6"/>
            </w:tcBorders>
            <w:vMerge w:val="continue"/>
            <w:shd w:val="clear" w:color="auto" w:fill="2D53A6"/>
          </w:tcPr>
          <w:p>
            <w:pPr>
              <w:spacing w:after="0"/>
              <w:rPr>
                <w:sz w:val="5"/>
                <w:szCs w:val="5"/>
                <w:color w:val="auto"/>
              </w:rPr>
            </w:pPr>
          </w:p>
        </w:tc>
        <w:tc>
          <w:tcPr>
            <w:tcW w:w="1100" w:type="dxa"/>
            <w:vAlign w:val="bottom"/>
            <w:tcBorders>
              <w:right w:val="single" w:sz="8" w:color="3D85C6"/>
            </w:tcBorders>
            <w:vMerge w:val="restart"/>
            <w:shd w:val="clear" w:color="auto" w:fill="2D53A6"/>
          </w:tcPr>
          <w:p>
            <w:pPr>
              <w:jc w:val="center"/>
              <w:spacing w:after="0" w:line="130"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0"/>
                <w:szCs w:val="10"/>
                <w:b w:val="1"/>
                <w:bCs w:val="1"/>
                <w:color w:val="FFFFFF"/>
              </w:rPr>
              <w:t>(4)</w:t>
            </w:r>
          </w:p>
        </w:tc>
        <w:tc>
          <w:tcPr>
            <w:tcW w:w="0" w:type="dxa"/>
            <w:vAlign w:val="bottom"/>
          </w:tcPr>
          <w:p>
            <w:pPr>
              <w:spacing w:after="0"/>
              <w:rPr>
                <w:sz w:val="1"/>
                <w:szCs w:val="1"/>
                <w:color w:val="auto"/>
              </w:rPr>
            </w:pPr>
          </w:p>
        </w:tc>
      </w:tr>
      <w:tr>
        <w:trPr>
          <w:trHeight w:val="65"/>
        </w:trPr>
        <w:tc>
          <w:tcPr>
            <w:tcW w:w="680" w:type="dxa"/>
            <w:vAlign w:val="bottom"/>
            <w:tcBorders>
              <w:left w:val="single" w:sz="8" w:color="3D85C6"/>
              <w:right w:val="single" w:sz="8" w:color="3D85C6"/>
            </w:tcBorders>
            <w:shd w:val="clear" w:color="auto" w:fill="2D53A6"/>
          </w:tcPr>
          <w:p>
            <w:pPr>
              <w:spacing w:after="0"/>
              <w:rPr>
                <w:sz w:val="5"/>
                <w:szCs w:val="5"/>
                <w:color w:val="auto"/>
              </w:rPr>
            </w:pPr>
          </w:p>
        </w:tc>
        <w:tc>
          <w:tcPr>
            <w:tcW w:w="880" w:type="dxa"/>
            <w:vAlign w:val="bottom"/>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980" w:type="dxa"/>
            <w:vAlign w:val="bottom"/>
            <w:tcBorders>
              <w:right w:val="single" w:sz="8" w:color="3D85C6"/>
            </w:tcBorders>
            <w:shd w:val="clear" w:color="auto" w:fill="2D53A6"/>
          </w:tcPr>
          <w:p>
            <w:pPr>
              <w:spacing w:after="0"/>
              <w:rPr>
                <w:sz w:val="5"/>
                <w:szCs w:val="5"/>
                <w:color w:val="auto"/>
              </w:rPr>
            </w:pPr>
          </w:p>
        </w:tc>
        <w:tc>
          <w:tcPr>
            <w:tcW w:w="100" w:type="dxa"/>
            <w:vAlign w:val="bottom"/>
            <w:shd w:val="clear" w:color="auto" w:fill="2D53A6"/>
          </w:tcPr>
          <w:p>
            <w:pPr>
              <w:spacing w:after="0"/>
              <w:rPr>
                <w:sz w:val="5"/>
                <w:szCs w:val="5"/>
                <w:color w:val="auto"/>
              </w:rPr>
            </w:pPr>
          </w:p>
        </w:tc>
        <w:tc>
          <w:tcPr>
            <w:tcW w:w="980" w:type="dxa"/>
            <w:vAlign w:val="bottom"/>
            <w:tcBorders>
              <w:right w:val="single" w:sz="8" w:color="3D85C6"/>
            </w:tcBorders>
            <w:vMerge w:val="restart"/>
            <w:shd w:val="clear" w:color="auto" w:fill="2D53A6"/>
          </w:tcPr>
          <w:p>
            <w:pPr>
              <w:jc w:val="center"/>
              <w:ind w:right="59"/>
              <w:spacing w:after="0" w:line="130" w:lineRule="exact"/>
              <w:rPr>
                <w:sz w:val="20"/>
                <w:szCs w:val="20"/>
                <w:color w:val="auto"/>
              </w:rPr>
            </w:pPr>
            <w:r>
              <w:rPr>
                <w:rFonts w:ascii="Arial" w:cs="Arial" w:eastAsia="Arial" w:hAnsi="Arial"/>
                <w:sz w:val="12"/>
                <w:szCs w:val="12"/>
                <w:b w:val="1"/>
                <w:bCs w:val="1"/>
                <w:color w:val="FFFFFF"/>
                <w:w w:val="95"/>
              </w:rPr>
              <w:t>($)</w:t>
            </w:r>
          </w:p>
        </w:tc>
        <w:tc>
          <w:tcPr>
            <w:tcW w:w="1100" w:type="dxa"/>
            <w:vAlign w:val="bottom"/>
            <w:tcBorders>
              <w:right w:val="single" w:sz="8" w:color="3D85C6"/>
            </w:tcBorders>
            <w:vMerge w:val="continue"/>
            <w:shd w:val="clear" w:color="auto" w:fill="2D53A6"/>
          </w:tcPr>
          <w:p>
            <w:pPr>
              <w:spacing w:after="0"/>
              <w:rPr>
                <w:sz w:val="5"/>
                <w:szCs w:val="5"/>
                <w:color w:val="auto"/>
              </w:rPr>
            </w:pPr>
          </w:p>
        </w:tc>
        <w:tc>
          <w:tcPr>
            <w:tcW w:w="240" w:type="dxa"/>
            <w:vAlign w:val="bottom"/>
            <w:shd w:val="clear" w:color="auto" w:fill="2D53A6"/>
          </w:tcPr>
          <w:p>
            <w:pPr>
              <w:spacing w:after="0"/>
              <w:rPr>
                <w:sz w:val="5"/>
                <w:szCs w:val="5"/>
                <w:color w:val="auto"/>
              </w:rPr>
            </w:pPr>
          </w:p>
        </w:tc>
        <w:tc>
          <w:tcPr>
            <w:tcW w:w="860" w:type="dxa"/>
            <w:vAlign w:val="bottom"/>
            <w:tcBorders>
              <w:right w:val="single" w:sz="8" w:color="3D85C6"/>
            </w:tcBorders>
            <w:vMerge w:val="continue"/>
            <w:shd w:val="clear" w:color="auto" w:fill="2D53A6"/>
          </w:tcPr>
          <w:p>
            <w:pPr>
              <w:spacing w:after="0"/>
              <w:rPr>
                <w:sz w:val="5"/>
                <w:szCs w:val="5"/>
                <w:color w:val="auto"/>
              </w:rPr>
            </w:pPr>
          </w:p>
        </w:tc>
        <w:tc>
          <w:tcPr>
            <w:tcW w:w="1080" w:type="dxa"/>
            <w:vAlign w:val="bottom"/>
            <w:tcBorders>
              <w:right w:val="single" w:sz="8" w:color="3D85C6"/>
            </w:tcBorders>
            <w:vMerge w:val="continue"/>
            <w:shd w:val="clear" w:color="auto" w:fill="2D53A6"/>
          </w:tcPr>
          <w:p>
            <w:pPr>
              <w:spacing w:after="0"/>
              <w:rPr>
                <w:sz w:val="5"/>
                <w:szCs w:val="5"/>
                <w:color w:val="auto"/>
              </w:rPr>
            </w:pPr>
          </w:p>
        </w:tc>
        <w:tc>
          <w:tcPr>
            <w:tcW w:w="1100" w:type="dxa"/>
            <w:vAlign w:val="bottom"/>
            <w:tcBorders>
              <w:right w:val="single" w:sz="8" w:color="3D85C6"/>
            </w:tcBorders>
            <w:vMerge w:val="continue"/>
            <w:shd w:val="clear" w:color="auto" w:fill="2D53A6"/>
          </w:tcPr>
          <w:p>
            <w:pPr>
              <w:spacing w:after="0"/>
              <w:rPr>
                <w:sz w:val="5"/>
                <w:szCs w:val="5"/>
                <w:color w:val="auto"/>
              </w:rPr>
            </w:pPr>
          </w:p>
        </w:tc>
        <w:tc>
          <w:tcPr>
            <w:tcW w:w="260" w:type="dxa"/>
            <w:vAlign w:val="bottom"/>
            <w:shd w:val="clear" w:color="auto" w:fill="2D53A6"/>
          </w:tcPr>
          <w:p>
            <w:pPr>
              <w:spacing w:after="0"/>
              <w:rPr>
                <w:sz w:val="5"/>
                <w:szCs w:val="5"/>
                <w:color w:val="auto"/>
              </w:rPr>
            </w:pPr>
          </w:p>
        </w:tc>
        <w:tc>
          <w:tcPr>
            <w:tcW w:w="600" w:type="dxa"/>
            <w:vAlign w:val="bottom"/>
            <w:vMerge w:val="restart"/>
            <w:shd w:val="clear" w:color="auto" w:fill="2D53A6"/>
          </w:tcPr>
          <w:p>
            <w:pPr>
              <w:jc w:val="center"/>
              <w:ind w:right="119"/>
              <w:spacing w:after="0" w:line="130" w:lineRule="exact"/>
              <w:rPr>
                <w:sz w:val="20"/>
                <w:szCs w:val="20"/>
                <w:color w:val="auto"/>
              </w:rPr>
            </w:pPr>
            <w:r>
              <w:rPr>
                <w:rFonts w:ascii="Arial" w:cs="Arial" w:eastAsia="Arial" w:hAnsi="Arial"/>
                <w:sz w:val="12"/>
                <w:szCs w:val="12"/>
                <w:b w:val="1"/>
                <w:bCs w:val="1"/>
                <w:color w:val="FFFFFF"/>
                <w:w w:val="95"/>
              </w:rPr>
              <w:t>(#)</w:t>
            </w:r>
          </w:p>
        </w:tc>
        <w:tc>
          <w:tcPr>
            <w:tcW w:w="100" w:type="dxa"/>
            <w:vAlign w:val="bottom"/>
            <w:tcBorders>
              <w:right w:val="single" w:sz="8" w:color="3D85C6"/>
            </w:tcBorders>
            <w:shd w:val="clear" w:color="auto" w:fill="2D53A6"/>
          </w:tcPr>
          <w:p>
            <w:pPr>
              <w:spacing w:after="0"/>
              <w:rPr>
                <w:sz w:val="5"/>
                <w:szCs w:val="5"/>
                <w:color w:val="auto"/>
              </w:rPr>
            </w:pPr>
          </w:p>
        </w:tc>
        <w:tc>
          <w:tcPr>
            <w:tcW w:w="1100" w:type="dxa"/>
            <w:vAlign w:val="bottom"/>
            <w:tcBorders>
              <w:right w:val="single" w:sz="8" w:color="3D85C6"/>
            </w:tcBorders>
            <w:vMerge w:val="restart"/>
            <w:shd w:val="clear" w:color="auto" w:fill="2D53A6"/>
          </w:tcPr>
          <w:p>
            <w:pPr>
              <w:jc w:val="center"/>
              <w:spacing w:after="0" w:line="130" w:lineRule="exact"/>
              <w:rPr>
                <w:sz w:val="20"/>
                <w:szCs w:val="20"/>
                <w:color w:val="auto"/>
              </w:rPr>
            </w:pPr>
            <w:r>
              <w:rPr>
                <w:rFonts w:ascii="Arial" w:cs="Arial" w:eastAsia="Arial" w:hAnsi="Arial"/>
                <w:sz w:val="12"/>
                <w:szCs w:val="12"/>
                <w:b w:val="1"/>
                <w:bCs w:val="1"/>
                <w:color w:val="FFFFFF"/>
              </w:rPr>
              <w:t>or Units</w:t>
            </w:r>
          </w:p>
        </w:tc>
        <w:tc>
          <w:tcPr>
            <w:tcW w:w="1100" w:type="dxa"/>
            <w:vAlign w:val="bottom"/>
            <w:tcBorders>
              <w:right w:val="single" w:sz="8" w:color="3D85C6"/>
            </w:tcBorders>
            <w:vMerge w:val="continue"/>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80" w:type="dxa"/>
            <w:vAlign w:val="bottom"/>
            <w:tcBorders>
              <w:left w:val="single" w:sz="8" w:color="3D85C6"/>
              <w:right w:val="single" w:sz="8" w:color="3D85C6"/>
            </w:tcBorders>
            <w:shd w:val="clear" w:color="auto" w:fill="2D53A6"/>
          </w:tcPr>
          <w:p>
            <w:pPr>
              <w:spacing w:after="0"/>
              <w:rPr>
                <w:sz w:val="5"/>
                <w:szCs w:val="5"/>
                <w:color w:val="auto"/>
              </w:rPr>
            </w:pPr>
          </w:p>
        </w:tc>
        <w:tc>
          <w:tcPr>
            <w:tcW w:w="880" w:type="dxa"/>
            <w:vAlign w:val="bottom"/>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980" w:type="dxa"/>
            <w:vAlign w:val="bottom"/>
            <w:tcBorders>
              <w:right w:val="single" w:sz="8" w:color="3D85C6"/>
            </w:tcBorders>
            <w:shd w:val="clear" w:color="auto" w:fill="2D53A6"/>
          </w:tcPr>
          <w:p>
            <w:pPr>
              <w:spacing w:after="0"/>
              <w:rPr>
                <w:sz w:val="5"/>
                <w:szCs w:val="5"/>
                <w:color w:val="auto"/>
              </w:rPr>
            </w:pPr>
          </w:p>
        </w:tc>
        <w:tc>
          <w:tcPr>
            <w:tcW w:w="100" w:type="dxa"/>
            <w:vAlign w:val="bottom"/>
            <w:shd w:val="clear" w:color="auto" w:fill="2D53A6"/>
          </w:tcPr>
          <w:p>
            <w:pPr>
              <w:spacing w:after="0"/>
              <w:rPr>
                <w:sz w:val="5"/>
                <w:szCs w:val="5"/>
                <w:color w:val="auto"/>
              </w:rPr>
            </w:pPr>
          </w:p>
        </w:tc>
        <w:tc>
          <w:tcPr>
            <w:tcW w:w="980" w:type="dxa"/>
            <w:vAlign w:val="bottom"/>
            <w:tcBorders>
              <w:right w:val="single" w:sz="8" w:color="3D85C6"/>
            </w:tcBorders>
            <w:vMerge w:val="continue"/>
            <w:shd w:val="clear" w:color="auto" w:fill="2D53A6"/>
          </w:tcPr>
          <w:p>
            <w:pPr>
              <w:spacing w:after="0"/>
              <w:rPr>
                <w:sz w:val="5"/>
                <w:szCs w:val="5"/>
                <w:color w:val="auto"/>
              </w:rPr>
            </w:pPr>
          </w:p>
        </w:tc>
        <w:tc>
          <w:tcPr>
            <w:tcW w:w="1100" w:type="dxa"/>
            <w:vAlign w:val="bottom"/>
            <w:tcBorders>
              <w:right w:val="single" w:sz="8" w:color="3D85C6"/>
            </w:tcBorders>
            <w:shd w:val="clear" w:color="auto" w:fill="2D53A6"/>
          </w:tcPr>
          <w:p>
            <w:pPr>
              <w:spacing w:after="0"/>
              <w:rPr>
                <w:sz w:val="5"/>
                <w:szCs w:val="5"/>
                <w:color w:val="auto"/>
              </w:rPr>
            </w:pPr>
          </w:p>
        </w:tc>
        <w:tc>
          <w:tcPr>
            <w:tcW w:w="240" w:type="dxa"/>
            <w:vAlign w:val="bottom"/>
            <w:shd w:val="clear" w:color="auto" w:fill="2D53A6"/>
          </w:tcPr>
          <w:p>
            <w:pPr>
              <w:spacing w:after="0"/>
              <w:rPr>
                <w:sz w:val="5"/>
                <w:szCs w:val="5"/>
                <w:color w:val="auto"/>
              </w:rPr>
            </w:pPr>
          </w:p>
        </w:tc>
        <w:tc>
          <w:tcPr>
            <w:tcW w:w="860" w:type="dxa"/>
            <w:vAlign w:val="bottom"/>
            <w:tcBorders>
              <w:right w:val="single" w:sz="8" w:color="3D85C6"/>
            </w:tcBorders>
            <w:shd w:val="clear" w:color="auto" w:fill="2D53A6"/>
          </w:tcPr>
          <w:p>
            <w:pPr>
              <w:spacing w:after="0"/>
              <w:rPr>
                <w:sz w:val="5"/>
                <w:szCs w:val="5"/>
                <w:color w:val="auto"/>
              </w:rPr>
            </w:pPr>
          </w:p>
        </w:tc>
        <w:tc>
          <w:tcPr>
            <w:tcW w:w="1080" w:type="dxa"/>
            <w:vAlign w:val="bottom"/>
            <w:tcBorders>
              <w:right w:val="single" w:sz="8" w:color="3D85C6"/>
            </w:tcBorders>
            <w:vMerge w:val="restart"/>
            <w:shd w:val="clear" w:color="auto" w:fill="2D53A6"/>
          </w:tcPr>
          <w:p>
            <w:pPr>
              <w:jc w:val="right"/>
              <w:ind w:right="419"/>
              <w:spacing w:after="0"/>
              <w:rPr>
                <w:sz w:val="20"/>
                <w:szCs w:val="20"/>
                <w:color w:val="auto"/>
              </w:rPr>
            </w:pPr>
            <w:r>
              <w:rPr>
                <w:rFonts w:ascii="Arial" w:cs="Arial" w:eastAsia="Arial" w:hAnsi="Arial"/>
                <w:sz w:val="12"/>
                <w:szCs w:val="12"/>
                <w:b w:val="1"/>
                <w:bCs w:val="1"/>
                <w:color w:val="FFFFFF"/>
              </w:rPr>
              <w:t>(#)</w:t>
            </w:r>
          </w:p>
        </w:tc>
        <w:tc>
          <w:tcPr>
            <w:tcW w:w="1100" w:type="dxa"/>
            <w:vAlign w:val="bottom"/>
            <w:tcBorders>
              <w:right w:val="single" w:sz="8" w:color="3D85C6"/>
            </w:tcBorders>
            <w:shd w:val="clear" w:color="auto" w:fill="2D53A6"/>
          </w:tcPr>
          <w:p>
            <w:pPr>
              <w:spacing w:after="0"/>
              <w:rPr>
                <w:sz w:val="5"/>
                <w:szCs w:val="5"/>
                <w:color w:val="auto"/>
              </w:rPr>
            </w:pPr>
          </w:p>
        </w:tc>
        <w:tc>
          <w:tcPr>
            <w:tcW w:w="260" w:type="dxa"/>
            <w:vAlign w:val="bottom"/>
            <w:shd w:val="clear" w:color="auto" w:fill="2D53A6"/>
          </w:tcPr>
          <w:p>
            <w:pPr>
              <w:spacing w:after="0"/>
              <w:rPr>
                <w:sz w:val="5"/>
                <w:szCs w:val="5"/>
                <w:color w:val="auto"/>
              </w:rPr>
            </w:pPr>
          </w:p>
        </w:tc>
        <w:tc>
          <w:tcPr>
            <w:tcW w:w="600" w:type="dxa"/>
            <w:vAlign w:val="bottom"/>
            <w:vMerge w:val="continue"/>
            <w:shd w:val="clear" w:color="auto" w:fill="2D53A6"/>
          </w:tcPr>
          <w:p>
            <w:pPr>
              <w:spacing w:after="0"/>
              <w:rPr>
                <w:sz w:val="5"/>
                <w:szCs w:val="5"/>
                <w:color w:val="auto"/>
              </w:rPr>
            </w:pPr>
          </w:p>
        </w:tc>
        <w:tc>
          <w:tcPr>
            <w:tcW w:w="100" w:type="dxa"/>
            <w:vAlign w:val="bottom"/>
            <w:tcBorders>
              <w:right w:val="single" w:sz="8" w:color="3D85C6"/>
            </w:tcBorders>
            <w:shd w:val="clear" w:color="auto" w:fill="2D53A6"/>
          </w:tcPr>
          <w:p>
            <w:pPr>
              <w:spacing w:after="0"/>
              <w:rPr>
                <w:sz w:val="5"/>
                <w:szCs w:val="5"/>
                <w:color w:val="auto"/>
              </w:rPr>
            </w:pPr>
          </w:p>
        </w:tc>
        <w:tc>
          <w:tcPr>
            <w:tcW w:w="1100" w:type="dxa"/>
            <w:vAlign w:val="bottom"/>
            <w:tcBorders>
              <w:right w:val="single" w:sz="8" w:color="3D85C6"/>
            </w:tcBorders>
            <w:vMerge w:val="continue"/>
            <w:shd w:val="clear" w:color="auto" w:fill="2D53A6"/>
          </w:tcPr>
          <w:p>
            <w:pPr>
              <w:spacing w:after="0"/>
              <w:rPr>
                <w:sz w:val="5"/>
                <w:szCs w:val="5"/>
                <w:color w:val="auto"/>
              </w:rPr>
            </w:pPr>
          </w:p>
        </w:tc>
        <w:tc>
          <w:tcPr>
            <w:tcW w:w="1100" w:type="dxa"/>
            <w:vAlign w:val="bottom"/>
            <w:tcBorders>
              <w:right w:val="single" w:sz="8" w:color="3D85C6"/>
            </w:tcBorders>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680" w:type="dxa"/>
            <w:vAlign w:val="bottom"/>
            <w:tcBorders>
              <w:left w:val="single" w:sz="8" w:color="3D85C6"/>
              <w:bottom w:val="single" w:sz="8" w:color="2D53A6"/>
              <w:right w:val="single" w:sz="8" w:color="3D85C6"/>
            </w:tcBorders>
            <w:shd w:val="clear" w:color="auto" w:fill="2D53A6"/>
          </w:tcPr>
          <w:p>
            <w:pPr>
              <w:spacing w:after="0"/>
              <w:rPr>
                <w:sz w:val="14"/>
                <w:szCs w:val="14"/>
                <w:color w:val="auto"/>
              </w:rPr>
            </w:pPr>
          </w:p>
        </w:tc>
        <w:tc>
          <w:tcPr>
            <w:tcW w:w="880" w:type="dxa"/>
            <w:vAlign w:val="bottom"/>
            <w:tcBorders>
              <w:bottom w:val="single" w:sz="8" w:color="2D53A6"/>
            </w:tcBorders>
            <w:shd w:val="clear" w:color="auto" w:fill="2D53A6"/>
          </w:tcPr>
          <w:p>
            <w:pPr>
              <w:spacing w:after="0"/>
              <w:rPr>
                <w:sz w:val="14"/>
                <w:szCs w:val="14"/>
                <w:color w:val="auto"/>
              </w:rPr>
            </w:pPr>
          </w:p>
        </w:tc>
        <w:tc>
          <w:tcPr>
            <w:tcW w:w="100" w:type="dxa"/>
            <w:vAlign w:val="bottom"/>
            <w:tcBorders>
              <w:bottom w:val="single" w:sz="8" w:color="2D53A6"/>
              <w:right w:val="single" w:sz="8" w:color="3D85C6"/>
            </w:tcBorders>
            <w:shd w:val="clear" w:color="auto" w:fill="2D53A6"/>
          </w:tcPr>
          <w:p>
            <w:pPr>
              <w:spacing w:after="0"/>
              <w:rPr>
                <w:sz w:val="14"/>
                <w:szCs w:val="14"/>
                <w:color w:val="auto"/>
              </w:rPr>
            </w:pPr>
          </w:p>
        </w:tc>
        <w:tc>
          <w:tcPr>
            <w:tcW w:w="980" w:type="dxa"/>
            <w:vAlign w:val="bottom"/>
            <w:tcBorders>
              <w:bottom w:val="single" w:sz="8" w:color="2D53A6"/>
              <w:right w:val="single" w:sz="8" w:color="3D85C6"/>
            </w:tcBorders>
            <w:shd w:val="clear" w:color="auto" w:fill="2D53A6"/>
          </w:tcPr>
          <w:p>
            <w:pPr>
              <w:spacing w:after="0"/>
              <w:rPr>
                <w:sz w:val="14"/>
                <w:szCs w:val="14"/>
                <w:color w:val="auto"/>
              </w:rPr>
            </w:pPr>
          </w:p>
        </w:tc>
        <w:tc>
          <w:tcPr>
            <w:tcW w:w="100" w:type="dxa"/>
            <w:vAlign w:val="bottom"/>
            <w:tcBorders>
              <w:bottom w:val="single" w:sz="8" w:color="2D53A6"/>
            </w:tcBorders>
            <w:shd w:val="clear" w:color="auto" w:fill="2D53A6"/>
          </w:tcPr>
          <w:p>
            <w:pPr>
              <w:spacing w:after="0"/>
              <w:rPr>
                <w:sz w:val="14"/>
                <w:szCs w:val="14"/>
                <w:color w:val="auto"/>
              </w:rPr>
            </w:pPr>
          </w:p>
        </w:tc>
        <w:tc>
          <w:tcPr>
            <w:tcW w:w="980" w:type="dxa"/>
            <w:vAlign w:val="bottom"/>
            <w:tcBorders>
              <w:bottom w:val="single" w:sz="8" w:color="2D53A6"/>
              <w:right w:val="single" w:sz="8" w:color="3D85C6"/>
            </w:tcBorders>
            <w:shd w:val="clear" w:color="auto" w:fill="2D53A6"/>
          </w:tcPr>
          <w:p>
            <w:pPr>
              <w:spacing w:after="0"/>
              <w:rPr>
                <w:sz w:val="14"/>
                <w:szCs w:val="14"/>
                <w:color w:val="auto"/>
              </w:rPr>
            </w:pPr>
          </w:p>
        </w:tc>
        <w:tc>
          <w:tcPr>
            <w:tcW w:w="1100" w:type="dxa"/>
            <w:vAlign w:val="bottom"/>
            <w:tcBorders>
              <w:bottom w:val="single" w:sz="8" w:color="2D53A6"/>
              <w:right w:val="single" w:sz="8" w:color="3D85C6"/>
            </w:tcBorders>
            <w:shd w:val="clear" w:color="auto" w:fill="2D53A6"/>
          </w:tcPr>
          <w:p>
            <w:pPr>
              <w:spacing w:after="0"/>
              <w:rPr>
                <w:sz w:val="14"/>
                <w:szCs w:val="14"/>
                <w:color w:val="auto"/>
              </w:rPr>
            </w:pPr>
          </w:p>
        </w:tc>
        <w:tc>
          <w:tcPr>
            <w:tcW w:w="240" w:type="dxa"/>
            <w:vAlign w:val="bottom"/>
            <w:tcBorders>
              <w:bottom w:val="single" w:sz="8" w:color="2D53A6"/>
            </w:tcBorders>
            <w:shd w:val="clear" w:color="auto" w:fill="2D53A6"/>
          </w:tcPr>
          <w:p>
            <w:pPr>
              <w:spacing w:after="0"/>
              <w:rPr>
                <w:sz w:val="14"/>
                <w:szCs w:val="14"/>
                <w:color w:val="auto"/>
              </w:rPr>
            </w:pPr>
          </w:p>
        </w:tc>
        <w:tc>
          <w:tcPr>
            <w:tcW w:w="860" w:type="dxa"/>
            <w:vAlign w:val="bottom"/>
            <w:tcBorders>
              <w:bottom w:val="single" w:sz="8" w:color="2D53A6"/>
              <w:right w:val="single" w:sz="8" w:color="3D85C6"/>
            </w:tcBorders>
            <w:shd w:val="clear" w:color="auto" w:fill="2D53A6"/>
          </w:tcPr>
          <w:p>
            <w:pPr>
              <w:spacing w:after="0"/>
              <w:rPr>
                <w:sz w:val="14"/>
                <w:szCs w:val="14"/>
                <w:color w:val="auto"/>
              </w:rPr>
            </w:pPr>
          </w:p>
        </w:tc>
        <w:tc>
          <w:tcPr>
            <w:tcW w:w="1080" w:type="dxa"/>
            <w:vAlign w:val="bottom"/>
            <w:tcBorders>
              <w:bottom w:val="single" w:sz="8" w:color="2D53A6"/>
              <w:right w:val="single" w:sz="8" w:color="3D85C6"/>
            </w:tcBorders>
            <w:vMerge w:val="continue"/>
            <w:shd w:val="clear" w:color="auto" w:fill="2D53A6"/>
          </w:tcPr>
          <w:p>
            <w:pPr>
              <w:spacing w:after="0"/>
              <w:rPr>
                <w:sz w:val="14"/>
                <w:szCs w:val="14"/>
                <w:color w:val="auto"/>
              </w:rPr>
            </w:pPr>
          </w:p>
        </w:tc>
        <w:tc>
          <w:tcPr>
            <w:tcW w:w="1100" w:type="dxa"/>
            <w:vAlign w:val="bottom"/>
            <w:tcBorders>
              <w:bottom w:val="single" w:sz="8" w:color="2D53A6"/>
              <w:right w:val="single" w:sz="8" w:color="3D85C6"/>
            </w:tcBorders>
            <w:shd w:val="clear" w:color="auto" w:fill="2D53A6"/>
          </w:tcPr>
          <w:p>
            <w:pPr>
              <w:spacing w:after="0"/>
              <w:rPr>
                <w:sz w:val="14"/>
                <w:szCs w:val="14"/>
                <w:color w:val="auto"/>
              </w:rPr>
            </w:pPr>
          </w:p>
        </w:tc>
        <w:tc>
          <w:tcPr>
            <w:tcW w:w="260" w:type="dxa"/>
            <w:vAlign w:val="bottom"/>
            <w:tcBorders>
              <w:bottom w:val="single" w:sz="8" w:color="2D53A6"/>
            </w:tcBorders>
            <w:shd w:val="clear" w:color="auto" w:fill="2D53A6"/>
          </w:tcPr>
          <w:p>
            <w:pPr>
              <w:spacing w:after="0"/>
              <w:rPr>
                <w:sz w:val="14"/>
                <w:szCs w:val="14"/>
                <w:color w:val="auto"/>
              </w:rPr>
            </w:pPr>
          </w:p>
        </w:tc>
        <w:tc>
          <w:tcPr>
            <w:tcW w:w="600" w:type="dxa"/>
            <w:vAlign w:val="bottom"/>
            <w:tcBorders>
              <w:bottom w:val="single" w:sz="8" w:color="2D53A6"/>
            </w:tcBorders>
            <w:shd w:val="clear" w:color="auto" w:fill="2D53A6"/>
          </w:tcPr>
          <w:p>
            <w:pPr>
              <w:spacing w:after="0"/>
              <w:rPr>
                <w:sz w:val="14"/>
                <w:szCs w:val="14"/>
                <w:color w:val="auto"/>
              </w:rPr>
            </w:pPr>
          </w:p>
        </w:tc>
        <w:tc>
          <w:tcPr>
            <w:tcW w:w="100" w:type="dxa"/>
            <w:vAlign w:val="bottom"/>
            <w:tcBorders>
              <w:bottom w:val="single" w:sz="8" w:color="2D53A6"/>
              <w:right w:val="single" w:sz="8" w:color="3D85C6"/>
            </w:tcBorders>
            <w:shd w:val="clear" w:color="auto" w:fill="2D53A6"/>
          </w:tcPr>
          <w:p>
            <w:pPr>
              <w:spacing w:after="0"/>
              <w:rPr>
                <w:sz w:val="14"/>
                <w:szCs w:val="14"/>
                <w:color w:val="auto"/>
              </w:rPr>
            </w:pPr>
          </w:p>
        </w:tc>
        <w:tc>
          <w:tcPr>
            <w:tcW w:w="1100" w:type="dxa"/>
            <w:vAlign w:val="bottom"/>
            <w:tcBorders>
              <w:bottom w:val="single" w:sz="8" w:color="2D53A6"/>
              <w:right w:val="single" w:sz="8" w:color="3D85C6"/>
            </w:tcBorders>
            <w:shd w:val="clear" w:color="auto" w:fill="2D53A6"/>
          </w:tcPr>
          <w:p>
            <w:pPr>
              <w:jc w:val="center"/>
              <w:spacing w:after="0"/>
              <w:rPr>
                <w:sz w:val="20"/>
                <w:szCs w:val="20"/>
                <w:color w:val="auto"/>
              </w:rPr>
            </w:pPr>
            <w:r>
              <w:rPr>
                <w:rFonts w:ascii="Arial" w:cs="Arial" w:eastAsia="Arial" w:hAnsi="Arial"/>
                <w:sz w:val="12"/>
                <w:szCs w:val="12"/>
                <w:b w:val="1"/>
                <w:bCs w:val="1"/>
                <w:color w:val="FFFFFF"/>
                <w:w w:val="96"/>
              </w:rPr>
              <w:t>(#)</w:t>
            </w:r>
            <w:r>
              <w:rPr>
                <w:rFonts w:ascii="Arial" w:cs="Arial" w:eastAsia="Arial" w:hAnsi="Arial"/>
                <w:sz w:val="10"/>
                <w:szCs w:val="10"/>
                <w:b w:val="1"/>
                <w:bCs w:val="1"/>
                <w:color w:val="FFFFFF"/>
                <w:w w:val="96"/>
              </w:rPr>
              <w:t>(3)</w:t>
            </w:r>
          </w:p>
        </w:tc>
        <w:tc>
          <w:tcPr>
            <w:tcW w:w="1100" w:type="dxa"/>
            <w:vAlign w:val="bottom"/>
            <w:tcBorders>
              <w:bottom w:val="single" w:sz="8" w:color="2D53A6"/>
              <w:right w:val="single" w:sz="8" w:color="3D85C6"/>
            </w:tcBorders>
            <w:shd w:val="clear" w:color="auto" w:fill="2D53A6"/>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680" w:type="dxa"/>
            <w:vAlign w:val="bottom"/>
            <w:tcBorders>
              <w:top w:val="single" w:sz="8" w:color="3D85C6"/>
              <w:left w:val="single" w:sz="8" w:color="3D85C6"/>
              <w:right w:val="single" w:sz="8" w:color="3D85C6"/>
            </w:tcBorders>
          </w:tcPr>
          <w:p>
            <w:pPr>
              <w:spacing w:after="0"/>
              <w:rPr>
                <w:sz w:val="7"/>
                <w:szCs w:val="7"/>
                <w:color w:val="auto"/>
              </w:rPr>
            </w:pPr>
          </w:p>
        </w:tc>
        <w:tc>
          <w:tcPr>
            <w:tcW w:w="880" w:type="dxa"/>
            <w:vAlign w:val="bottom"/>
            <w:tcBorders>
              <w:top w:val="single" w:sz="8" w:color="3D85C6"/>
            </w:tcBorders>
          </w:tcPr>
          <w:p>
            <w:pPr>
              <w:ind w:left="140"/>
              <w:spacing w:after="0" w:line="85" w:lineRule="exact"/>
              <w:rPr>
                <w:sz w:val="20"/>
                <w:szCs w:val="20"/>
                <w:color w:val="auto"/>
              </w:rPr>
            </w:pPr>
            <w:r>
              <w:rPr>
                <w:rFonts w:ascii="Arial" w:cs="Arial" w:eastAsia="Arial" w:hAnsi="Arial"/>
                <w:sz w:val="9"/>
                <w:szCs w:val="9"/>
                <w:color w:val="auto"/>
              </w:rPr>
              <w:t>Cash</w:t>
            </w:r>
          </w:p>
        </w:tc>
        <w:tc>
          <w:tcPr>
            <w:tcW w:w="100" w:type="dxa"/>
            <w:vAlign w:val="bottom"/>
            <w:tcBorders>
              <w:top w:val="single" w:sz="8" w:color="3D85C6"/>
              <w:right w:val="single" w:sz="8" w:color="3D85C6"/>
            </w:tcBorders>
          </w:tcPr>
          <w:p>
            <w:pPr>
              <w:spacing w:after="0"/>
              <w:rPr>
                <w:sz w:val="7"/>
                <w:szCs w:val="7"/>
                <w:color w:val="auto"/>
              </w:rPr>
            </w:pPr>
          </w:p>
        </w:tc>
        <w:tc>
          <w:tcPr>
            <w:tcW w:w="980" w:type="dxa"/>
            <w:vAlign w:val="bottom"/>
            <w:tcBorders>
              <w:top w:val="single" w:sz="8" w:color="3D85C6"/>
              <w:right w:val="single" w:sz="8" w:color="3D85C6"/>
            </w:tcBorders>
          </w:tcPr>
          <w:p>
            <w:pPr>
              <w:spacing w:after="0"/>
              <w:rPr>
                <w:sz w:val="7"/>
                <w:szCs w:val="7"/>
                <w:color w:val="auto"/>
              </w:rPr>
            </w:pPr>
          </w:p>
        </w:tc>
        <w:tc>
          <w:tcPr>
            <w:tcW w:w="100" w:type="dxa"/>
            <w:vAlign w:val="bottom"/>
            <w:tcBorders>
              <w:top w:val="single" w:sz="8" w:color="3D85C6"/>
            </w:tcBorders>
          </w:tcPr>
          <w:p>
            <w:pPr>
              <w:spacing w:after="0"/>
              <w:rPr>
                <w:sz w:val="7"/>
                <w:szCs w:val="7"/>
                <w:color w:val="auto"/>
              </w:rPr>
            </w:pPr>
          </w:p>
        </w:tc>
        <w:tc>
          <w:tcPr>
            <w:tcW w:w="980" w:type="dxa"/>
            <w:vAlign w:val="bottom"/>
            <w:tcBorders>
              <w:top w:val="single" w:sz="8" w:color="3D85C6"/>
              <w:right w:val="single" w:sz="8" w:color="3D85C6"/>
            </w:tcBorders>
          </w:tcPr>
          <w:p>
            <w:pPr>
              <w:spacing w:after="0"/>
              <w:rPr>
                <w:sz w:val="7"/>
                <w:szCs w:val="7"/>
                <w:color w:val="auto"/>
              </w:rPr>
            </w:pPr>
          </w:p>
        </w:tc>
        <w:tc>
          <w:tcPr>
            <w:tcW w:w="1100" w:type="dxa"/>
            <w:vAlign w:val="bottom"/>
            <w:tcBorders>
              <w:top w:val="single" w:sz="8" w:color="3D85C6"/>
              <w:right w:val="single" w:sz="8" w:color="3D85C6"/>
            </w:tcBorders>
          </w:tcPr>
          <w:p>
            <w:pPr>
              <w:spacing w:after="0"/>
              <w:rPr>
                <w:sz w:val="7"/>
                <w:szCs w:val="7"/>
                <w:color w:val="auto"/>
              </w:rPr>
            </w:pPr>
          </w:p>
        </w:tc>
        <w:tc>
          <w:tcPr>
            <w:tcW w:w="240" w:type="dxa"/>
            <w:vAlign w:val="bottom"/>
            <w:tcBorders>
              <w:top w:val="single" w:sz="8" w:color="3D85C6"/>
            </w:tcBorders>
          </w:tcPr>
          <w:p>
            <w:pPr>
              <w:spacing w:after="0"/>
              <w:rPr>
                <w:sz w:val="7"/>
                <w:szCs w:val="7"/>
                <w:color w:val="auto"/>
              </w:rPr>
            </w:pPr>
          </w:p>
        </w:tc>
        <w:tc>
          <w:tcPr>
            <w:tcW w:w="860" w:type="dxa"/>
            <w:vAlign w:val="bottom"/>
            <w:tcBorders>
              <w:top w:val="single" w:sz="8" w:color="3D85C6"/>
              <w:right w:val="single" w:sz="8" w:color="3D85C6"/>
            </w:tcBorders>
          </w:tcPr>
          <w:p>
            <w:pPr>
              <w:spacing w:after="0"/>
              <w:rPr>
                <w:sz w:val="7"/>
                <w:szCs w:val="7"/>
                <w:color w:val="auto"/>
              </w:rPr>
            </w:pPr>
          </w:p>
        </w:tc>
        <w:tc>
          <w:tcPr>
            <w:tcW w:w="1080" w:type="dxa"/>
            <w:vAlign w:val="bottom"/>
            <w:tcBorders>
              <w:top w:val="single" w:sz="8" w:color="3D85C6"/>
              <w:right w:val="single" w:sz="8" w:color="3D85C6"/>
            </w:tcBorders>
          </w:tcPr>
          <w:p>
            <w:pPr>
              <w:spacing w:after="0"/>
              <w:rPr>
                <w:sz w:val="7"/>
                <w:szCs w:val="7"/>
                <w:color w:val="auto"/>
              </w:rPr>
            </w:pPr>
          </w:p>
        </w:tc>
        <w:tc>
          <w:tcPr>
            <w:tcW w:w="1100" w:type="dxa"/>
            <w:vAlign w:val="bottom"/>
            <w:tcBorders>
              <w:top w:val="single" w:sz="8" w:color="3D85C6"/>
              <w:right w:val="single" w:sz="8" w:color="3D85C6"/>
            </w:tcBorders>
          </w:tcPr>
          <w:p>
            <w:pPr>
              <w:spacing w:after="0"/>
              <w:rPr>
                <w:sz w:val="7"/>
                <w:szCs w:val="7"/>
                <w:color w:val="auto"/>
              </w:rPr>
            </w:pPr>
          </w:p>
        </w:tc>
        <w:tc>
          <w:tcPr>
            <w:tcW w:w="260" w:type="dxa"/>
            <w:vAlign w:val="bottom"/>
            <w:tcBorders>
              <w:top w:val="single" w:sz="8" w:color="3D85C6"/>
            </w:tcBorders>
          </w:tcPr>
          <w:p>
            <w:pPr>
              <w:spacing w:after="0"/>
              <w:rPr>
                <w:sz w:val="7"/>
                <w:szCs w:val="7"/>
                <w:color w:val="auto"/>
              </w:rPr>
            </w:pPr>
          </w:p>
        </w:tc>
        <w:tc>
          <w:tcPr>
            <w:tcW w:w="600" w:type="dxa"/>
            <w:vAlign w:val="bottom"/>
            <w:tcBorders>
              <w:top w:val="single" w:sz="8" w:color="3D85C6"/>
            </w:tcBorders>
          </w:tcPr>
          <w:p>
            <w:pPr>
              <w:spacing w:after="0"/>
              <w:rPr>
                <w:sz w:val="7"/>
                <w:szCs w:val="7"/>
                <w:color w:val="auto"/>
              </w:rPr>
            </w:pPr>
          </w:p>
        </w:tc>
        <w:tc>
          <w:tcPr>
            <w:tcW w:w="100" w:type="dxa"/>
            <w:vAlign w:val="bottom"/>
            <w:tcBorders>
              <w:top w:val="single" w:sz="8" w:color="3D85C6"/>
              <w:right w:val="single" w:sz="8" w:color="3D85C6"/>
            </w:tcBorders>
          </w:tcPr>
          <w:p>
            <w:pPr>
              <w:spacing w:after="0"/>
              <w:rPr>
                <w:sz w:val="7"/>
                <w:szCs w:val="7"/>
                <w:color w:val="auto"/>
              </w:rPr>
            </w:pPr>
          </w:p>
        </w:tc>
        <w:tc>
          <w:tcPr>
            <w:tcW w:w="1100" w:type="dxa"/>
            <w:vAlign w:val="bottom"/>
            <w:tcBorders>
              <w:top w:val="single" w:sz="8" w:color="3D85C6"/>
              <w:right w:val="single" w:sz="8" w:color="3D85C6"/>
            </w:tcBorders>
          </w:tcPr>
          <w:p>
            <w:pPr>
              <w:spacing w:after="0"/>
              <w:rPr>
                <w:sz w:val="7"/>
                <w:szCs w:val="7"/>
                <w:color w:val="auto"/>
              </w:rPr>
            </w:pPr>
          </w:p>
        </w:tc>
        <w:tc>
          <w:tcPr>
            <w:tcW w:w="1100" w:type="dxa"/>
            <w:vAlign w:val="bottom"/>
            <w:tcBorders>
              <w:top w:val="single" w:sz="8" w:color="3D85C6"/>
              <w:right w:val="single" w:sz="8" w:color="3D85C6"/>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80" w:type="dxa"/>
            <w:vAlign w:val="bottom"/>
            <w:tcBorders>
              <w:left w:val="single" w:sz="8" w:color="3D85C6"/>
              <w:right w:val="single" w:sz="8" w:color="3D85C6"/>
            </w:tcBorders>
          </w:tcPr>
          <w:p>
            <w:pPr>
              <w:spacing w:after="0"/>
              <w:rPr>
                <w:sz w:val="12"/>
                <w:szCs w:val="12"/>
                <w:color w:val="auto"/>
              </w:rPr>
            </w:pPr>
          </w:p>
        </w:tc>
        <w:tc>
          <w:tcPr>
            <w:tcW w:w="880" w:type="dxa"/>
            <w:vAlign w:val="bottom"/>
            <w:tcBorders>
              <w:bottom w:val="single" w:sz="8" w:color="3D85C6"/>
            </w:tcBorders>
          </w:tcPr>
          <w:p>
            <w:pPr>
              <w:ind w:left="140"/>
              <w:spacing w:after="0"/>
              <w:rPr>
                <w:sz w:val="20"/>
                <w:szCs w:val="20"/>
                <w:color w:val="auto"/>
              </w:rPr>
            </w:pPr>
            <w:r>
              <w:rPr>
                <w:rFonts w:ascii="Arial" w:cs="Arial" w:eastAsia="Arial" w:hAnsi="Arial"/>
                <w:sz w:val="12"/>
                <w:szCs w:val="12"/>
                <w:color w:val="auto"/>
              </w:rPr>
              <w:t>Incentives</w:t>
            </w:r>
          </w:p>
        </w:tc>
        <w:tc>
          <w:tcPr>
            <w:tcW w:w="100" w:type="dxa"/>
            <w:vAlign w:val="bottom"/>
            <w:tcBorders>
              <w:bottom w:val="single" w:sz="8" w:color="3D85C6"/>
              <w:right w:val="single" w:sz="8" w:color="3D85C6"/>
            </w:tcBorders>
          </w:tcPr>
          <w:p>
            <w:pPr>
              <w:spacing w:after="0"/>
              <w:rPr>
                <w:sz w:val="12"/>
                <w:szCs w:val="12"/>
                <w:color w:val="auto"/>
              </w:rPr>
            </w:pPr>
          </w:p>
        </w:tc>
        <w:tc>
          <w:tcPr>
            <w:tcW w:w="980" w:type="dxa"/>
            <w:vAlign w:val="bottom"/>
            <w:tcBorders>
              <w:bottom w:val="single" w:sz="8" w:color="3D85C6"/>
              <w:right w:val="single" w:sz="8" w:color="3D85C6"/>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3D85C6"/>
            </w:tcBorders>
          </w:tcPr>
          <w:p>
            <w:pPr>
              <w:spacing w:after="0"/>
              <w:rPr>
                <w:sz w:val="12"/>
                <w:szCs w:val="12"/>
                <w:color w:val="auto"/>
              </w:rPr>
            </w:pPr>
          </w:p>
        </w:tc>
        <w:tc>
          <w:tcPr>
            <w:tcW w:w="980" w:type="dxa"/>
            <w:vAlign w:val="bottom"/>
            <w:tcBorders>
              <w:bottom w:val="single" w:sz="8" w:color="3D85C6"/>
              <w:right w:val="single" w:sz="8" w:color="3D85C6"/>
            </w:tcBorders>
          </w:tcPr>
          <w:p>
            <w:pPr>
              <w:jc w:val="right"/>
              <w:ind w:right="39"/>
              <w:spacing w:after="0"/>
              <w:rPr>
                <w:sz w:val="20"/>
                <w:szCs w:val="20"/>
                <w:color w:val="auto"/>
              </w:rPr>
            </w:pPr>
            <w:r>
              <w:rPr>
                <w:rFonts w:ascii="Arial" w:cs="Arial" w:eastAsia="Arial" w:hAnsi="Arial"/>
                <w:sz w:val="12"/>
                <w:szCs w:val="12"/>
                <w:color w:val="auto"/>
              </w:rPr>
              <w:t>0</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786,500</w:t>
            </w:r>
          </w:p>
        </w:tc>
        <w:tc>
          <w:tcPr>
            <w:tcW w:w="240" w:type="dxa"/>
            <w:vAlign w:val="bottom"/>
            <w:tcBorders>
              <w:bottom w:val="single" w:sz="8" w:color="3D85C6"/>
            </w:tcBorders>
          </w:tcPr>
          <w:p>
            <w:pPr>
              <w:spacing w:after="0"/>
              <w:rPr>
                <w:sz w:val="12"/>
                <w:szCs w:val="12"/>
                <w:color w:val="auto"/>
              </w:rPr>
            </w:pPr>
          </w:p>
        </w:tc>
        <w:tc>
          <w:tcPr>
            <w:tcW w:w="86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1,573,000</w:t>
            </w:r>
          </w:p>
        </w:tc>
        <w:tc>
          <w:tcPr>
            <w:tcW w:w="1080" w:type="dxa"/>
            <w:vAlign w:val="bottom"/>
            <w:tcBorders>
              <w:bottom w:val="single" w:sz="8" w:color="3D85C6"/>
              <w:right w:val="single" w:sz="8" w:color="3D85C6"/>
            </w:tcBorders>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3D85C6"/>
            </w:tcBorders>
          </w:tcPr>
          <w:p>
            <w:pPr>
              <w:spacing w:after="0"/>
              <w:rPr>
                <w:sz w:val="12"/>
                <w:szCs w:val="12"/>
                <w:color w:val="auto"/>
              </w:rPr>
            </w:pPr>
          </w:p>
        </w:tc>
        <w:tc>
          <w:tcPr>
            <w:tcW w:w="700" w:type="dxa"/>
            <w:vAlign w:val="bottom"/>
            <w:tcBorders>
              <w:bottom w:val="single" w:sz="8" w:color="3D85C6"/>
              <w:right w:val="single" w:sz="8" w:color="3D85C6"/>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61"/>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5"/>
        </w:trPr>
        <w:tc>
          <w:tcPr>
            <w:tcW w:w="680" w:type="dxa"/>
            <w:vAlign w:val="bottom"/>
            <w:tcBorders>
              <w:left w:val="single" w:sz="8" w:color="3D85C6"/>
              <w:right w:val="single" w:sz="8" w:color="3D85C6"/>
            </w:tcBorders>
          </w:tcPr>
          <w:p>
            <w:pPr>
              <w:spacing w:after="0"/>
              <w:rPr>
                <w:sz w:val="9"/>
                <w:szCs w:val="9"/>
                <w:color w:val="auto"/>
              </w:rPr>
            </w:pPr>
          </w:p>
        </w:tc>
        <w:tc>
          <w:tcPr>
            <w:tcW w:w="880" w:type="dxa"/>
            <w:vAlign w:val="bottom"/>
          </w:tcPr>
          <w:p>
            <w:pPr>
              <w:ind w:left="140"/>
              <w:spacing w:after="0" w:line="105" w:lineRule="exact"/>
              <w:rPr>
                <w:sz w:val="20"/>
                <w:szCs w:val="20"/>
                <w:color w:val="auto"/>
              </w:rPr>
            </w:pPr>
            <w:r>
              <w:rPr>
                <w:rFonts w:ascii="Arial" w:cs="Arial" w:eastAsia="Arial" w:hAnsi="Arial"/>
                <w:sz w:val="12"/>
                <w:szCs w:val="12"/>
                <w:color w:val="auto"/>
              </w:rPr>
              <w:t>Time-based</w:t>
            </w:r>
          </w:p>
        </w:tc>
        <w:tc>
          <w:tcPr>
            <w:tcW w:w="100" w:type="dxa"/>
            <w:vAlign w:val="bottom"/>
            <w:tcBorders>
              <w:right w:val="single" w:sz="8" w:color="3D85C6"/>
            </w:tcBorders>
          </w:tcPr>
          <w:p>
            <w:pPr>
              <w:spacing w:after="0"/>
              <w:rPr>
                <w:sz w:val="9"/>
                <w:szCs w:val="9"/>
                <w:color w:val="auto"/>
              </w:rPr>
            </w:pPr>
          </w:p>
        </w:tc>
        <w:tc>
          <w:tcPr>
            <w:tcW w:w="980" w:type="dxa"/>
            <w:vAlign w:val="bottom"/>
            <w:tcBorders>
              <w:right w:val="single" w:sz="8" w:color="3D85C6"/>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right w:val="single" w:sz="8" w:color="3D85C6"/>
            </w:tcBorders>
          </w:tcPr>
          <w:p>
            <w:pPr>
              <w:spacing w:after="0"/>
              <w:rPr>
                <w:sz w:val="9"/>
                <w:szCs w:val="9"/>
                <w:color w:val="auto"/>
              </w:rPr>
            </w:pPr>
          </w:p>
        </w:tc>
        <w:tc>
          <w:tcPr>
            <w:tcW w:w="108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Borders>
              <w:left w:val="single" w:sz="8" w:color="3D85C6"/>
              <w:right w:val="single" w:sz="8" w:color="3D85C6"/>
            </w:tcBorders>
          </w:tcPr>
          <w:p>
            <w:pPr>
              <w:ind w:left="20"/>
              <w:spacing w:after="0"/>
              <w:rPr>
                <w:sz w:val="20"/>
                <w:szCs w:val="20"/>
                <w:color w:val="auto"/>
              </w:rPr>
            </w:pPr>
            <w:r>
              <w:rPr>
                <w:rFonts w:ascii="Arial" w:cs="Arial" w:eastAsia="Arial" w:hAnsi="Arial"/>
                <w:sz w:val="12"/>
                <w:szCs w:val="12"/>
                <w:color w:val="auto"/>
              </w:rPr>
              <w:t>Luis A.</w:t>
            </w:r>
          </w:p>
        </w:tc>
        <w:tc>
          <w:tcPr>
            <w:tcW w:w="880" w:type="dxa"/>
            <w:vAlign w:val="bottom"/>
            <w:tcBorders>
              <w:bottom w:val="single" w:sz="8" w:color="3D85C6"/>
            </w:tcBorders>
          </w:tcPr>
          <w:p>
            <w:pPr>
              <w:ind w:left="140"/>
              <w:spacing w:after="0"/>
              <w:rPr>
                <w:sz w:val="20"/>
                <w:szCs w:val="20"/>
                <w:color w:val="auto"/>
              </w:rPr>
            </w:pPr>
            <w:r>
              <w:rPr>
                <w:rFonts w:ascii="Arial" w:cs="Arial" w:eastAsia="Arial" w:hAnsi="Arial"/>
                <w:sz w:val="12"/>
                <w:szCs w:val="12"/>
                <w:color w:val="auto"/>
              </w:rPr>
              <w:t>RSUs</w:t>
            </w:r>
          </w:p>
        </w:tc>
        <w:tc>
          <w:tcPr>
            <w:tcW w:w="100" w:type="dxa"/>
            <w:vAlign w:val="bottom"/>
            <w:tcBorders>
              <w:bottom w:val="single" w:sz="8" w:color="3D85C6"/>
              <w:right w:val="single" w:sz="8" w:color="3D85C6"/>
            </w:tcBorders>
          </w:tcPr>
          <w:p>
            <w:pPr>
              <w:spacing w:after="0"/>
              <w:rPr>
                <w:sz w:val="12"/>
                <w:szCs w:val="12"/>
                <w:color w:val="auto"/>
              </w:rPr>
            </w:pPr>
          </w:p>
        </w:tc>
        <w:tc>
          <w:tcPr>
            <w:tcW w:w="980" w:type="dxa"/>
            <w:vAlign w:val="bottom"/>
            <w:tcBorders>
              <w:bottom w:val="single" w:sz="8" w:color="3D85C6"/>
              <w:right w:val="single" w:sz="8" w:color="3D85C6"/>
            </w:tcBorders>
          </w:tcPr>
          <w:p>
            <w:pPr>
              <w:jc w:val="right"/>
              <w:ind w:right="61"/>
              <w:spacing w:after="0"/>
              <w:rPr>
                <w:sz w:val="20"/>
                <w:szCs w:val="20"/>
                <w:color w:val="auto"/>
              </w:rPr>
            </w:pPr>
            <w:r>
              <w:rPr>
                <w:rFonts w:ascii="Arial" w:cs="Arial" w:eastAsia="Arial" w:hAnsi="Arial"/>
                <w:sz w:val="12"/>
                <w:szCs w:val="12"/>
                <w:color w:val="auto"/>
              </w:rPr>
              <w:t>3/11/2025</w:t>
            </w:r>
          </w:p>
        </w:tc>
        <w:tc>
          <w:tcPr>
            <w:tcW w:w="100" w:type="dxa"/>
            <w:vAlign w:val="bottom"/>
            <w:tcBorders>
              <w:bottom w:val="single" w:sz="8" w:color="3D85C6"/>
            </w:tcBorders>
          </w:tcPr>
          <w:p>
            <w:pPr>
              <w:spacing w:after="0"/>
              <w:rPr>
                <w:sz w:val="12"/>
                <w:szCs w:val="12"/>
                <w:color w:val="auto"/>
              </w:rPr>
            </w:pPr>
          </w:p>
        </w:tc>
        <w:tc>
          <w:tcPr>
            <w:tcW w:w="980" w:type="dxa"/>
            <w:vAlign w:val="bottom"/>
            <w:tcBorders>
              <w:bottom w:val="single" w:sz="8" w:color="3D85C6"/>
              <w:right w:val="single" w:sz="8" w:color="3D85C6"/>
            </w:tcBorders>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3D85C6"/>
            </w:tcBorders>
          </w:tcPr>
          <w:p>
            <w:pPr>
              <w:spacing w:after="0"/>
              <w:rPr>
                <w:sz w:val="12"/>
                <w:szCs w:val="12"/>
                <w:color w:val="auto"/>
              </w:rPr>
            </w:pPr>
          </w:p>
        </w:tc>
        <w:tc>
          <w:tcPr>
            <w:tcW w:w="86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3D85C6"/>
              <w:right w:val="single" w:sz="8" w:color="3D85C6"/>
            </w:tcBorders>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3D85C6"/>
            </w:tcBorders>
          </w:tcPr>
          <w:p>
            <w:pPr>
              <w:spacing w:after="0"/>
              <w:rPr>
                <w:sz w:val="12"/>
                <w:szCs w:val="12"/>
                <w:color w:val="auto"/>
              </w:rPr>
            </w:pPr>
          </w:p>
        </w:tc>
        <w:tc>
          <w:tcPr>
            <w:tcW w:w="700" w:type="dxa"/>
            <w:vAlign w:val="bottom"/>
            <w:tcBorders>
              <w:bottom w:val="single" w:sz="8" w:color="3D85C6"/>
              <w:right w:val="single" w:sz="8" w:color="3D85C6"/>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61"/>
              <w:spacing w:after="0"/>
              <w:rPr>
                <w:sz w:val="20"/>
                <w:szCs w:val="20"/>
                <w:color w:val="auto"/>
              </w:rPr>
            </w:pPr>
            <w:r>
              <w:rPr>
                <w:rFonts w:ascii="Arial" w:cs="Arial" w:eastAsia="Arial" w:hAnsi="Arial"/>
                <w:sz w:val="12"/>
                <w:szCs w:val="12"/>
                <w:color w:val="auto"/>
              </w:rPr>
              <w:t>97,067</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1,602,576</w:t>
            </w:r>
          </w:p>
        </w:tc>
        <w:tc>
          <w:tcPr>
            <w:tcW w:w="0" w:type="dxa"/>
            <w:vAlign w:val="bottom"/>
          </w:tcPr>
          <w:p>
            <w:pPr>
              <w:spacing w:after="0"/>
              <w:rPr>
                <w:sz w:val="1"/>
                <w:szCs w:val="1"/>
                <w:color w:val="auto"/>
              </w:rPr>
            </w:pPr>
          </w:p>
        </w:tc>
      </w:tr>
      <w:tr>
        <w:trPr>
          <w:trHeight w:val="105"/>
        </w:trPr>
        <w:tc>
          <w:tcPr>
            <w:tcW w:w="680" w:type="dxa"/>
            <w:vAlign w:val="bottom"/>
            <w:tcBorders>
              <w:left w:val="single" w:sz="8" w:color="3D85C6"/>
              <w:right w:val="single" w:sz="8" w:color="3D85C6"/>
            </w:tcBorders>
          </w:tcPr>
          <w:p>
            <w:pPr>
              <w:ind w:left="20"/>
              <w:spacing w:after="0" w:line="105" w:lineRule="exact"/>
              <w:rPr>
                <w:sz w:val="20"/>
                <w:szCs w:val="20"/>
                <w:color w:val="auto"/>
              </w:rPr>
            </w:pPr>
            <w:r>
              <w:rPr>
                <w:rFonts w:ascii="Arial" w:cs="Arial" w:eastAsia="Arial" w:hAnsi="Arial"/>
                <w:sz w:val="12"/>
                <w:szCs w:val="12"/>
                <w:color w:val="auto"/>
              </w:rPr>
              <w:t>Müller</w:t>
            </w:r>
          </w:p>
        </w:tc>
        <w:tc>
          <w:tcPr>
            <w:tcW w:w="880" w:type="dxa"/>
            <w:vAlign w:val="bottom"/>
          </w:tcPr>
          <w:p>
            <w:pPr>
              <w:ind w:left="140"/>
              <w:spacing w:after="0" w:line="105" w:lineRule="exact"/>
              <w:rPr>
                <w:sz w:val="20"/>
                <w:szCs w:val="20"/>
                <w:color w:val="auto"/>
              </w:rPr>
            </w:pPr>
            <w:r>
              <w:rPr>
                <w:rFonts w:ascii="Arial" w:cs="Arial" w:eastAsia="Arial" w:hAnsi="Arial"/>
                <w:sz w:val="12"/>
                <w:szCs w:val="12"/>
                <w:color w:val="auto"/>
                <w:w w:val="98"/>
              </w:rPr>
              <w:t>Performance-</w:t>
            </w:r>
          </w:p>
        </w:tc>
        <w:tc>
          <w:tcPr>
            <w:tcW w:w="100" w:type="dxa"/>
            <w:vAlign w:val="bottom"/>
            <w:tcBorders>
              <w:right w:val="single" w:sz="8" w:color="3D85C6"/>
            </w:tcBorders>
          </w:tcPr>
          <w:p>
            <w:pPr>
              <w:spacing w:after="0"/>
              <w:rPr>
                <w:sz w:val="9"/>
                <w:szCs w:val="9"/>
                <w:color w:val="auto"/>
              </w:rPr>
            </w:pPr>
          </w:p>
        </w:tc>
        <w:tc>
          <w:tcPr>
            <w:tcW w:w="980" w:type="dxa"/>
            <w:vAlign w:val="bottom"/>
            <w:tcBorders>
              <w:right w:val="single" w:sz="8" w:color="3D85C6"/>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right w:val="single" w:sz="8" w:color="3D85C6"/>
            </w:tcBorders>
          </w:tcPr>
          <w:p>
            <w:pPr>
              <w:spacing w:after="0"/>
              <w:rPr>
                <w:sz w:val="9"/>
                <w:szCs w:val="9"/>
                <w:color w:val="auto"/>
              </w:rPr>
            </w:pPr>
          </w:p>
        </w:tc>
        <w:tc>
          <w:tcPr>
            <w:tcW w:w="108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Borders>
              <w:left w:val="single" w:sz="8" w:color="3D85C6"/>
              <w:bottom w:val="single" w:sz="8" w:color="3D85C6"/>
              <w:right w:val="single" w:sz="8" w:color="3D85C6"/>
            </w:tcBorders>
          </w:tcPr>
          <w:p>
            <w:pPr>
              <w:spacing w:after="0"/>
              <w:rPr>
                <w:sz w:val="12"/>
                <w:szCs w:val="12"/>
                <w:color w:val="auto"/>
              </w:rPr>
            </w:pPr>
          </w:p>
        </w:tc>
        <w:tc>
          <w:tcPr>
            <w:tcW w:w="880" w:type="dxa"/>
            <w:vAlign w:val="bottom"/>
            <w:tcBorders>
              <w:bottom w:val="single" w:sz="8" w:color="3D85C6"/>
            </w:tcBorders>
          </w:tcPr>
          <w:p>
            <w:pPr>
              <w:ind w:left="140"/>
              <w:spacing w:after="0"/>
              <w:rPr>
                <w:sz w:val="20"/>
                <w:szCs w:val="20"/>
                <w:color w:val="auto"/>
              </w:rPr>
            </w:pPr>
            <w:r>
              <w:rPr>
                <w:rFonts w:ascii="Arial" w:cs="Arial" w:eastAsia="Arial" w:hAnsi="Arial"/>
                <w:sz w:val="12"/>
                <w:szCs w:val="12"/>
                <w:color w:val="auto"/>
              </w:rPr>
              <w:t>based RSUs</w:t>
            </w:r>
          </w:p>
        </w:tc>
        <w:tc>
          <w:tcPr>
            <w:tcW w:w="100" w:type="dxa"/>
            <w:vAlign w:val="bottom"/>
            <w:tcBorders>
              <w:bottom w:val="single" w:sz="8" w:color="3D85C6"/>
              <w:right w:val="single" w:sz="8" w:color="3D85C6"/>
            </w:tcBorders>
          </w:tcPr>
          <w:p>
            <w:pPr>
              <w:spacing w:after="0"/>
              <w:rPr>
                <w:sz w:val="12"/>
                <w:szCs w:val="12"/>
                <w:color w:val="auto"/>
              </w:rPr>
            </w:pPr>
          </w:p>
        </w:tc>
        <w:tc>
          <w:tcPr>
            <w:tcW w:w="980" w:type="dxa"/>
            <w:vAlign w:val="bottom"/>
            <w:tcBorders>
              <w:bottom w:val="single" w:sz="8" w:color="3D85C6"/>
              <w:right w:val="single" w:sz="8" w:color="3D85C6"/>
            </w:tcBorders>
          </w:tcPr>
          <w:p>
            <w:pPr>
              <w:jc w:val="right"/>
              <w:ind w:right="61"/>
              <w:spacing w:after="0"/>
              <w:rPr>
                <w:sz w:val="20"/>
                <w:szCs w:val="20"/>
                <w:color w:val="auto"/>
              </w:rPr>
            </w:pPr>
            <w:r>
              <w:rPr>
                <w:rFonts w:ascii="Arial" w:cs="Arial" w:eastAsia="Arial" w:hAnsi="Arial"/>
                <w:sz w:val="12"/>
                <w:szCs w:val="12"/>
                <w:color w:val="auto"/>
              </w:rPr>
              <w:t>3/11/2025</w:t>
            </w:r>
          </w:p>
        </w:tc>
        <w:tc>
          <w:tcPr>
            <w:tcW w:w="100" w:type="dxa"/>
            <w:vAlign w:val="bottom"/>
            <w:tcBorders>
              <w:bottom w:val="single" w:sz="8" w:color="3D85C6"/>
            </w:tcBorders>
          </w:tcPr>
          <w:p>
            <w:pPr>
              <w:spacing w:after="0"/>
              <w:rPr>
                <w:sz w:val="12"/>
                <w:szCs w:val="12"/>
                <w:color w:val="auto"/>
              </w:rPr>
            </w:pPr>
          </w:p>
        </w:tc>
        <w:tc>
          <w:tcPr>
            <w:tcW w:w="980" w:type="dxa"/>
            <w:vAlign w:val="bottom"/>
            <w:tcBorders>
              <w:bottom w:val="single" w:sz="8" w:color="3D85C6"/>
              <w:right w:val="single" w:sz="8" w:color="3D85C6"/>
            </w:tcBorders>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3D85C6"/>
            </w:tcBorders>
          </w:tcPr>
          <w:p>
            <w:pPr>
              <w:spacing w:after="0"/>
              <w:rPr>
                <w:sz w:val="12"/>
                <w:szCs w:val="12"/>
                <w:color w:val="auto"/>
              </w:rPr>
            </w:pPr>
          </w:p>
        </w:tc>
        <w:tc>
          <w:tcPr>
            <w:tcW w:w="86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3D85C6"/>
              <w:right w:val="single" w:sz="8" w:color="3D85C6"/>
            </w:tcBorders>
          </w:tcPr>
          <w:p>
            <w:pPr>
              <w:jc w:val="right"/>
              <w:ind w:right="39"/>
              <w:spacing w:after="0"/>
              <w:rPr>
                <w:sz w:val="20"/>
                <w:szCs w:val="20"/>
                <w:color w:val="auto"/>
              </w:rPr>
            </w:pPr>
            <w:r>
              <w:rPr>
                <w:rFonts w:ascii="Arial" w:cs="Arial" w:eastAsia="Arial" w:hAnsi="Arial"/>
                <w:sz w:val="12"/>
                <w:szCs w:val="12"/>
                <w:color w:val="auto"/>
              </w:rPr>
              <w:t>0</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145,601</w:t>
            </w:r>
          </w:p>
        </w:tc>
        <w:tc>
          <w:tcPr>
            <w:tcW w:w="260" w:type="dxa"/>
            <w:vAlign w:val="bottom"/>
            <w:tcBorders>
              <w:bottom w:val="single" w:sz="8" w:color="3D85C6"/>
            </w:tcBorders>
          </w:tcPr>
          <w:p>
            <w:pPr>
              <w:spacing w:after="0"/>
              <w:rPr>
                <w:sz w:val="12"/>
                <w:szCs w:val="12"/>
                <w:color w:val="auto"/>
              </w:rPr>
            </w:pPr>
          </w:p>
        </w:tc>
        <w:tc>
          <w:tcPr>
            <w:tcW w:w="600" w:type="dxa"/>
            <w:vAlign w:val="bottom"/>
            <w:tcBorders>
              <w:bottom w:val="single" w:sz="8" w:color="3D85C6"/>
            </w:tcBorders>
          </w:tcPr>
          <w:p>
            <w:pPr>
              <w:jc w:val="right"/>
              <w:spacing w:after="0"/>
              <w:rPr>
                <w:sz w:val="20"/>
                <w:szCs w:val="20"/>
                <w:color w:val="auto"/>
              </w:rPr>
            </w:pPr>
            <w:r>
              <w:rPr>
                <w:rFonts w:ascii="Arial" w:cs="Arial" w:eastAsia="Arial" w:hAnsi="Arial"/>
                <w:sz w:val="12"/>
                <w:szCs w:val="12"/>
                <w:color w:val="auto"/>
              </w:rPr>
              <w:t>291,202</w:t>
            </w:r>
          </w:p>
        </w:tc>
        <w:tc>
          <w:tcPr>
            <w:tcW w:w="100" w:type="dxa"/>
            <w:vAlign w:val="bottom"/>
            <w:tcBorders>
              <w:bottom w:val="single" w:sz="8" w:color="3D85C6"/>
              <w:right w:val="single" w:sz="8" w:color="3D85C6"/>
            </w:tcBorders>
          </w:tcPr>
          <w:p>
            <w:pPr>
              <w:spacing w:after="0"/>
              <w:rPr>
                <w:sz w:val="12"/>
                <w:szCs w:val="12"/>
                <w:color w:val="auto"/>
              </w:rPr>
            </w:pPr>
          </w:p>
        </w:tc>
        <w:tc>
          <w:tcPr>
            <w:tcW w:w="1100" w:type="dxa"/>
            <w:vAlign w:val="bottom"/>
            <w:tcBorders>
              <w:bottom w:val="single" w:sz="8" w:color="3D85C6"/>
              <w:right w:val="single" w:sz="8" w:color="3D85C6"/>
            </w:tcBorders>
          </w:tcPr>
          <w:p>
            <w:pPr>
              <w:jc w:val="right"/>
              <w:ind w:right="61"/>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1,905,917</w:t>
            </w:r>
          </w:p>
        </w:tc>
        <w:tc>
          <w:tcPr>
            <w:tcW w:w="0" w:type="dxa"/>
            <w:vAlign w:val="bottom"/>
          </w:tcPr>
          <w:p>
            <w:pPr>
              <w:spacing w:after="0"/>
              <w:rPr>
                <w:sz w:val="1"/>
                <w:szCs w:val="1"/>
                <w:color w:val="auto"/>
              </w:rPr>
            </w:pPr>
          </w:p>
        </w:tc>
      </w:tr>
      <w:tr>
        <w:trPr>
          <w:trHeight w:val="105"/>
        </w:trPr>
        <w:tc>
          <w:tcPr>
            <w:tcW w:w="680" w:type="dxa"/>
            <w:vAlign w:val="bottom"/>
            <w:tcBorders>
              <w:left w:val="single" w:sz="8" w:color="3D85C6"/>
              <w:right w:val="single" w:sz="8" w:color="3D85C6"/>
            </w:tcBorders>
            <w:shd w:val="clear" w:color="auto" w:fill="E6E6E6"/>
          </w:tcPr>
          <w:p>
            <w:pPr>
              <w:spacing w:after="0"/>
              <w:rPr>
                <w:sz w:val="9"/>
                <w:szCs w:val="9"/>
                <w:color w:val="auto"/>
              </w:rPr>
            </w:pPr>
          </w:p>
        </w:tc>
        <w:tc>
          <w:tcPr>
            <w:tcW w:w="880" w:type="dxa"/>
            <w:vAlign w:val="bottom"/>
            <w:shd w:val="clear" w:color="auto" w:fill="E6E6E6"/>
          </w:tcPr>
          <w:p>
            <w:pPr>
              <w:ind w:left="140"/>
              <w:spacing w:after="0" w:line="105" w:lineRule="exact"/>
              <w:rPr>
                <w:sz w:val="20"/>
                <w:szCs w:val="20"/>
                <w:color w:val="auto"/>
              </w:rPr>
            </w:pPr>
            <w:r>
              <w:rPr>
                <w:rFonts w:ascii="Arial" w:cs="Arial" w:eastAsia="Arial" w:hAnsi="Arial"/>
                <w:sz w:val="12"/>
                <w:szCs w:val="12"/>
                <w:color w:val="auto"/>
              </w:rPr>
              <w:t>Cash</w:t>
            </w:r>
          </w:p>
        </w:tc>
        <w:tc>
          <w:tcPr>
            <w:tcW w:w="100" w:type="dxa"/>
            <w:vAlign w:val="bottom"/>
            <w:tcBorders>
              <w:right w:val="single" w:sz="8" w:color="3D85C6"/>
            </w:tcBorders>
            <w:shd w:val="clear" w:color="auto" w:fill="E6E6E6"/>
          </w:tcPr>
          <w:p>
            <w:pPr>
              <w:spacing w:after="0"/>
              <w:rPr>
                <w:sz w:val="9"/>
                <w:szCs w:val="9"/>
                <w:color w:val="auto"/>
              </w:rPr>
            </w:pPr>
          </w:p>
        </w:tc>
        <w:tc>
          <w:tcPr>
            <w:tcW w:w="980" w:type="dxa"/>
            <w:vAlign w:val="bottom"/>
            <w:tcBorders>
              <w:right w:val="single" w:sz="8" w:color="3D85C6"/>
            </w:tcBorders>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98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860" w:type="dxa"/>
            <w:vAlign w:val="bottom"/>
            <w:tcBorders>
              <w:right w:val="single" w:sz="8" w:color="3D85C6"/>
            </w:tcBorders>
            <w:shd w:val="clear" w:color="auto" w:fill="E6E6E6"/>
          </w:tcPr>
          <w:p>
            <w:pPr>
              <w:spacing w:after="0"/>
              <w:rPr>
                <w:sz w:val="9"/>
                <w:szCs w:val="9"/>
                <w:color w:val="auto"/>
              </w:rPr>
            </w:pPr>
          </w:p>
        </w:tc>
        <w:tc>
          <w:tcPr>
            <w:tcW w:w="108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260" w:type="dxa"/>
            <w:vAlign w:val="bottom"/>
            <w:shd w:val="clear" w:color="auto" w:fill="E6E6E6"/>
          </w:tcPr>
          <w:p>
            <w:pPr>
              <w:spacing w:after="0"/>
              <w:rPr>
                <w:sz w:val="9"/>
                <w:szCs w:val="9"/>
                <w:color w:val="auto"/>
              </w:rPr>
            </w:pPr>
          </w:p>
        </w:tc>
        <w:tc>
          <w:tcPr>
            <w:tcW w:w="600" w:type="dxa"/>
            <w:vAlign w:val="bottom"/>
            <w:shd w:val="clear" w:color="auto" w:fill="E6E6E6"/>
          </w:tcPr>
          <w:p>
            <w:pPr>
              <w:spacing w:after="0"/>
              <w:rPr>
                <w:sz w:val="9"/>
                <w:szCs w:val="9"/>
                <w:color w:val="auto"/>
              </w:rPr>
            </w:pPr>
          </w:p>
        </w:tc>
        <w:tc>
          <w:tcPr>
            <w:tcW w:w="10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Borders>
              <w:left w:val="single" w:sz="8" w:color="3D85C6"/>
              <w:bottom w:val="single" w:sz="8" w:color="E6E6E6"/>
              <w:right w:val="single" w:sz="8" w:color="3D85C6"/>
            </w:tcBorders>
            <w:vMerge w:val="restart"/>
            <w:shd w:val="clear" w:color="auto" w:fill="E6E6E6"/>
          </w:tcPr>
          <w:p>
            <w:pPr>
              <w:ind w:left="20"/>
              <w:spacing w:after="0"/>
              <w:rPr>
                <w:sz w:val="20"/>
                <w:szCs w:val="20"/>
                <w:color w:val="auto"/>
              </w:rPr>
            </w:pPr>
            <w:r>
              <w:rPr>
                <w:rFonts w:ascii="Arial" w:cs="Arial" w:eastAsia="Arial" w:hAnsi="Arial"/>
                <w:sz w:val="12"/>
                <w:szCs w:val="12"/>
                <w:color w:val="auto"/>
              </w:rPr>
              <w:t>Jeffrey D.</w:t>
            </w:r>
          </w:p>
        </w:tc>
        <w:tc>
          <w:tcPr>
            <w:tcW w:w="880" w:type="dxa"/>
            <w:vAlign w:val="bottom"/>
            <w:tcBorders>
              <w:bottom w:val="single" w:sz="8" w:color="3D85C6"/>
            </w:tcBorders>
            <w:shd w:val="clear" w:color="auto" w:fill="E6E6E6"/>
          </w:tcPr>
          <w:p>
            <w:pPr>
              <w:ind w:left="140"/>
              <w:spacing w:after="0"/>
              <w:rPr>
                <w:sz w:val="20"/>
                <w:szCs w:val="20"/>
                <w:color w:val="auto"/>
              </w:rPr>
            </w:pPr>
            <w:r>
              <w:rPr>
                <w:rFonts w:ascii="Arial" w:cs="Arial" w:eastAsia="Arial" w:hAnsi="Arial"/>
                <w:sz w:val="12"/>
                <w:szCs w:val="12"/>
                <w:color w:val="auto"/>
              </w:rPr>
              <w:t>Incentives</w:t>
            </w:r>
          </w:p>
        </w:tc>
        <w:tc>
          <w:tcPr>
            <w:tcW w:w="100" w:type="dxa"/>
            <w:vAlign w:val="bottom"/>
            <w:tcBorders>
              <w:bottom w:val="single" w:sz="8" w:color="3D85C6"/>
              <w:right w:val="single" w:sz="8" w:color="3D85C6"/>
            </w:tcBorders>
            <w:shd w:val="clear" w:color="auto" w:fill="E6E6E6"/>
          </w:tcPr>
          <w:p>
            <w:pPr>
              <w:spacing w:after="0"/>
              <w:rPr>
                <w:sz w:val="12"/>
                <w:szCs w:val="12"/>
                <w:color w:val="auto"/>
              </w:rPr>
            </w:pPr>
          </w:p>
        </w:tc>
        <w:tc>
          <w:tcPr>
            <w:tcW w:w="980" w:type="dxa"/>
            <w:vAlign w:val="bottom"/>
            <w:tcBorders>
              <w:bottom w:val="single" w:sz="8" w:color="3D85C6"/>
              <w:right w:val="single" w:sz="8" w:color="3D85C6"/>
            </w:tcBorders>
            <w:shd w:val="clear" w:color="auto" w:fill="E6E6E6"/>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3D85C6"/>
            </w:tcBorders>
            <w:shd w:val="clear" w:color="auto" w:fill="E6E6E6"/>
          </w:tcPr>
          <w:p>
            <w:pPr>
              <w:spacing w:after="0"/>
              <w:rPr>
                <w:sz w:val="12"/>
                <w:szCs w:val="12"/>
                <w:color w:val="auto"/>
              </w:rPr>
            </w:pPr>
          </w:p>
        </w:tc>
        <w:tc>
          <w:tcPr>
            <w:tcW w:w="980" w:type="dxa"/>
            <w:vAlign w:val="bottom"/>
            <w:tcBorders>
              <w:bottom w:val="single" w:sz="8" w:color="3D85C6"/>
              <w:right w:val="single" w:sz="8" w:color="3D85C6"/>
            </w:tcBorders>
            <w:shd w:val="clear" w:color="auto" w:fill="E6E6E6"/>
          </w:tcPr>
          <w:p>
            <w:pPr>
              <w:jc w:val="right"/>
              <w:ind w:right="39"/>
              <w:spacing w:after="0"/>
              <w:rPr>
                <w:sz w:val="20"/>
                <w:szCs w:val="20"/>
                <w:color w:val="auto"/>
              </w:rPr>
            </w:pPr>
            <w:r>
              <w:rPr>
                <w:rFonts w:ascii="Arial" w:cs="Arial" w:eastAsia="Arial" w:hAnsi="Arial"/>
                <w:sz w:val="12"/>
                <w:szCs w:val="12"/>
                <w:color w:val="auto"/>
              </w:rPr>
              <w:t>0</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341,250</w:t>
            </w:r>
          </w:p>
        </w:tc>
        <w:tc>
          <w:tcPr>
            <w:tcW w:w="240" w:type="dxa"/>
            <w:vAlign w:val="bottom"/>
            <w:tcBorders>
              <w:bottom w:val="single" w:sz="8" w:color="3D85C6"/>
            </w:tcBorders>
            <w:shd w:val="clear" w:color="auto" w:fill="E6E6E6"/>
          </w:tcPr>
          <w:p>
            <w:pPr>
              <w:spacing w:after="0"/>
              <w:rPr>
                <w:sz w:val="12"/>
                <w:szCs w:val="12"/>
                <w:color w:val="auto"/>
              </w:rPr>
            </w:pPr>
          </w:p>
        </w:tc>
        <w:tc>
          <w:tcPr>
            <w:tcW w:w="86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682,500</w:t>
            </w:r>
          </w:p>
        </w:tc>
        <w:tc>
          <w:tcPr>
            <w:tcW w:w="1080" w:type="dxa"/>
            <w:vAlign w:val="bottom"/>
            <w:tcBorders>
              <w:bottom w:val="single" w:sz="8" w:color="3D85C6"/>
              <w:right w:val="single" w:sz="8" w:color="3D85C6"/>
            </w:tcBorders>
            <w:shd w:val="clear" w:color="auto" w:fill="E6E6E6"/>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3D85C6"/>
            </w:tcBorders>
            <w:shd w:val="clear" w:color="auto" w:fill="E6E6E6"/>
          </w:tcPr>
          <w:p>
            <w:pPr>
              <w:spacing w:after="0"/>
              <w:rPr>
                <w:sz w:val="12"/>
                <w:szCs w:val="12"/>
                <w:color w:val="auto"/>
              </w:rPr>
            </w:pPr>
          </w:p>
        </w:tc>
        <w:tc>
          <w:tcPr>
            <w:tcW w:w="700" w:type="dxa"/>
            <w:vAlign w:val="bottom"/>
            <w:tcBorders>
              <w:bottom w:val="single" w:sz="8" w:color="3D85C6"/>
              <w:right w:val="single" w:sz="8" w:color="3D85C6"/>
            </w:tcBorders>
            <w:gridSpan w:val="2"/>
            <w:shd w:val="clear" w:color="auto" w:fill="E6E6E6"/>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61"/>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5"/>
        </w:trPr>
        <w:tc>
          <w:tcPr>
            <w:tcW w:w="680" w:type="dxa"/>
            <w:vAlign w:val="bottom"/>
            <w:tcBorders>
              <w:left w:val="single" w:sz="8" w:color="3D85C6"/>
              <w:right w:val="single" w:sz="8" w:color="3D85C6"/>
            </w:tcBorders>
            <w:vMerge w:val="continue"/>
            <w:shd w:val="clear" w:color="auto" w:fill="E6E6E6"/>
          </w:tcPr>
          <w:p>
            <w:pPr>
              <w:spacing w:after="0"/>
              <w:rPr>
                <w:sz w:val="9"/>
                <w:szCs w:val="9"/>
                <w:color w:val="auto"/>
              </w:rPr>
            </w:pPr>
          </w:p>
        </w:tc>
        <w:tc>
          <w:tcPr>
            <w:tcW w:w="880" w:type="dxa"/>
            <w:vAlign w:val="bottom"/>
            <w:shd w:val="clear" w:color="auto" w:fill="E6E6E6"/>
          </w:tcPr>
          <w:p>
            <w:pPr>
              <w:ind w:left="140"/>
              <w:spacing w:after="0" w:line="105" w:lineRule="exact"/>
              <w:rPr>
                <w:sz w:val="20"/>
                <w:szCs w:val="20"/>
                <w:color w:val="auto"/>
              </w:rPr>
            </w:pPr>
            <w:r>
              <w:rPr>
                <w:rFonts w:ascii="Arial" w:cs="Arial" w:eastAsia="Arial" w:hAnsi="Arial"/>
                <w:sz w:val="12"/>
                <w:szCs w:val="12"/>
                <w:color w:val="auto"/>
              </w:rPr>
              <w:t>Time-based</w:t>
            </w:r>
          </w:p>
        </w:tc>
        <w:tc>
          <w:tcPr>
            <w:tcW w:w="100" w:type="dxa"/>
            <w:vAlign w:val="bottom"/>
            <w:tcBorders>
              <w:right w:val="single" w:sz="8" w:color="3D85C6"/>
            </w:tcBorders>
            <w:shd w:val="clear" w:color="auto" w:fill="E6E6E6"/>
          </w:tcPr>
          <w:p>
            <w:pPr>
              <w:spacing w:after="0"/>
              <w:rPr>
                <w:sz w:val="9"/>
                <w:szCs w:val="9"/>
                <w:color w:val="auto"/>
              </w:rPr>
            </w:pPr>
          </w:p>
        </w:tc>
        <w:tc>
          <w:tcPr>
            <w:tcW w:w="980" w:type="dxa"/>
            <w:vAlign w:val="bottom"/>
            <w:tcBorders>
              <w:right w:val="single" w:sz="8" w:color="3D85C6"/>
            </w:tcBorders>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98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860" w:type="dxa"/>
            <w:vAlign w:val="bottom"/>
            <w:tcBorders>
              <w:right w:val="single" w:sz="8" w:color="3D85C6"/>
            </w:tcBorders>
            <w:shd w:val="clear" w:color="auto" w:fill="E6E6E6"/>
          </w:tcPr>
          <w:p>
            <w:pPr>
              <w:spacing w:after="0"/>
              <w:rPr>
                <w:sz w:val="9"/>
                <w:szCs w:val="9"/>
                <w:color w:val="auto"/>
              </w:rPr>
            </w:pPr>
          </w:p>
        </w:tc>
        <w:tc>
          <w:tcPr>
            <w:tcW w:w="108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260" w:type="dxa"/>
            <w:vAlign w:val="bottom"/>
            <w:shd w:val="clear" w:color="auto" w:fill="E6E6E6"/>
          </w:tcPr>
          <w:p>
            <w:pPr>
              <w:spacing w:after="0"/>
              <w:rPr>
                <w:sz w:val="9"/>
                <w:szCs w:val="9"/>
                <w:color w:val="auto"/>
              </w:rPr>
            </w:pPr>
          </w:p>
        </w:tc>
        <w:tc>
          <w:tcPr>
            <w:tcW w:w="600" w:type="dxa"/>
            <w:vAlign w:val="bottom"/>
            <w:shd w:val="clear" w:color="auto" w:fill="E6E6E6"/>
          </w:tcPr>
          <w:p>
            <w:pPr>
              <w:spacing w:after="0"/>
              <w:rPr>
                <w:sz w:val="9"/>
                <w:szCs w:val="9"/>
                <w:color w:val="auto"/>
              </w:rPr>
            </w:pPr>
          </w:p>
        </w:tc>
        <w:tc>
          <w:tcPr>
            <w:tcW w:w="10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Borders>
              <w:left w:val="single" w:sz="8" w:color="3D85C6"/>
              <w:bottom w:val="single" w:sz="8" w:color="E6E6E6"/>
              <w:right w:val="single" w:sz="8" w:color="3D85C6"/>
            </w:tcBorders>
            <w:shd w:val="clear" w:color="auto" w:fill="E6E6E6"/>
          </w:tcPr>
          <w:p>
            <w:pPr>
              <w:ind w:left="20"/>
              <w:spacing w:after="0"/>
              <w:rPr>
                <w:sz w:val="20"/>
                <w:szCs w:val="20"/>
                <w:color w:val="auto"/>
              </w:rPr>
            </w:pPr>
            <w:r>
              <w:rPr>
                <w:rFonts w:ascii="Arial" w:cs="Arial" w:eastAsia="Arial" w:hAnsi="Arial"/>
                <w:sz w:val="12"/>
                <w:szCs w:val="12"/>
                <w:color w:val="auto"/>
              </w:rPr>
              <w:t>Jones</w:t>
            </w:r>
          </w:p>
        </w:tc>
        <w:tc>
          <w:tcPr>
            <w:tcW w:w="880" w:type="dxa"/>
            <w:vAlign w:val="bottom"/>
            <w:tcBorders>
              <w:bottom w:val="single" w:sz="8" w:color="3D85C6"/>
            </w:tcBorders>
            <w:shd w:val="clear" w:color="auto" w:fill="E6E6E6"/>
          </w:tcPr>
          <w:p>
            <w:pPr>
              <w:ind w:left="140"/>
              <w:spacing w:after="0"/>
              <w:rPr>
                <w:sz w:val="20"/>
                <w:szCs w:val="20"/>
                <w:color w:val="auto"/>
              </w:rPr>
            </w:pPr>
            <w:r>
              <w:rPr>
                <w:rFonts w:ascii="Arial" w:cs="Arial" w:eastAsia="Arial" w:hAnsi="Arial"/>
                <w:sz w:val="12"/>
                <w:szCs w:val="12"/>
                <w:color w:val="auto"/>
              </w:rPr>
              <w:t>RSUs</w:t>
            </w:r>
          </w:p>
        </w:tc>
        <w:tc>
          <w:tcPr>
            <w:tcW w:w="100" w:type="dxa"/>
            <w:vAlign w:val="bottom"/>
            <w:tcBorders>
              <w:bottom w:val="single" w:sz="8" w:color="3D85C6"/>
              <w:right w:val="single" w:sz="8" w:color="3D85C6"/>
            </w:tcBorders>
            <w:shd w:val="clear" w:color="auto" w:fill="E6E6E6"/>
          </w:tcPr>
          <w:p>
            <w:pPr>
              <w:spacing w:after="0"/>
              <w:rPr>
                <w:sz w:val="12"/>
                <w:szCs w:val="12"/>
                <w:color w:val="auto"/>
              </w:rPr>
            </w:pPr>
          </w:p>
        </w:tc>
        <w:tc>
          <w:tcPr>
            <w:tcW w:w="980" w:type="dxa"/>
            <w:vAlign w:val="bottom"/>
            <w:tcBorders>
              <w:bottom w:val="single" w:sz="8" w:color="3D85C6"/>
              <w:right w:val="single" w:sz="8" w:color="3D85C6"/>
            </w:tcBorders>
            <w:shd w:val="clear" w:color="auto" w:fill="E6E6E6"/>
          </w:tcPr>
          <w:p>
            <w:pPr>
              <w:jc w:val="right"/>
              <w:ind w:right="61"/>
              <w:spacing w:after="0"/>
              <w:rPr>
                <w:sz w:val="20"/>
                <w:szCs w:val="20"/>
                <w:color w:val="auto"/>
              </w:rPr>
            </w:pPr>
            <w:r>
              <w:rPr>
                <w:rFonts w:ascii="Arial" w:cs="Arial" w:eastAsia="Arial" w:hAnsi="Arial"/>
                <w:sz w:val="12"/>
                <w:szCs w:val="12"/>
                <w:color w:val="auto"/>
              </w:rPr>
              <w:t>3/11/2025</w:t>
            </w:r>
          </w:p>
        </w:tc>
        <w:tc>
          <w:tcPr>
            <w:tcW w:w="100" w:type="dxa"/>
            <w:vAlign w:val="bottom"/>
            <w:tcBorders>
              <w:bottom w:val="single" w:sz="8" w:color="3D85C6"/>
            </w:tcBorders>
            <w:shd w:val="clear" w:color="auto" w:fill="E6E6E6"/>
          </w:tcPr>
          <w:p>
            <w:pPr>
              <w:spacing w:after="0"/>
              <w:rPr>
                <w:sz w:val="12"/>
                <w:szCs w:val="12"/>
                <w:color w:val="auto"/>
              </w:rPr>
            </w:pPr>
          </w:p>
        </w:tc>
        <w:tc>
          <w:tcPr>
            <w:tcW w:w="980" w:type="dxa"/>
            <w:vAlign w:val="bottom"/>
            <w:tcBorders>
              <w:bottom w:val="single" w:sz="8" w:color="3D85C6"/>
              <w:right w:val="single" w:sz="8" w:color="3D85C6"/>
            </w:tcBorders>
            <w:shd w:val="clear" w:color="auto" w:fill="E6E6E6"/>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3D85C6"/>
            </w:tcBorders>
            <w:shd w:val="clear" w:color="auto" w:fill="E6E6E6"/>
          </w:tcPr>
          <w:p>
            <w:pPr>
              <w:spacing w:after="0"/>
              <w:rPr>
                <w:sz w:val="12"/>
                <w:szCs w:val="12"/>
                <w:color w:val="auto"/>
              </w:rPr>
            </w:pPr>
          </w:p>
        </w:tc>
        <w:tc>
          <w:tcPr>
            <w:tcW w:w="86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3D85C6"/>
              <w:right w:val="single" w:sz="8" w:color="3D85C6"/>
            </w:tcBorders>
            <w:shd w:val="clear" w:color="auto" w:fill="E6E6E6"/>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3D85C6"/>
            </w:tcBorders>
            <w:shd w:val="clear" w:color="auto" w:fill="E6E6E6"/>
          </w:tcPr>
          <w:p>
            <w:pPr>
              <w:spacing w:after="0"/>
              <w:rPr>
                <w:sz w:val="12"/>
                <w:szCs w:val="12"/>
                <w:color w:val="auto"/>
              </w:rPr>
            </w:pPr>
          </w:p>
        </w:tc>
        <w:tc>
          <w:tcPr>
            <w:tcW w:w="700" w:type="dxa"/>
            <w:vAlign w:val="bottom"/>
            <w:tcBorders>
              <w:bottom w:val="single" w:sz="8" w:color="3D85C6"/>
              <w:right w:val="single" w:sz="8" w:color="3D85C6"/>
            </w:tcBorders>
            <w:gridSpan w:val="2"/>
            <w:shd w:val="clear" w:color="auto" w:fill="E6E6E6"/>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61"/>
              <w:spacing w:after="0"/>
              <w:rPr>
                <w:sz w:val="20"/>
                <w:szCs w:val="20"/>
                <w:color w:val="auto"/>
              </w:rPr>
            </w:pPr>
            <w:r>
              <w:rPr>
                <w:rFonts w:ascii="Arial" w:cs="Arial" w:eastAsia="Arial" w:hAnsi="Arial"/>
                <w:sz w:val="12"/>
                <w:szCs w:val="12"/>
                <w:color w:val="auto"/>
              </w:rPr>
              <w:t>30,333</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500,798</w:t>
            </w:r>
          </w:p>
        </w:tc>
        <w:tc>
          <w:tcPr>
            <w:tcW w:w="0" w:type="dxa"/>
            <w:vAlign w:val="bottom"/>
          </w:tcPr>
          <w:p>
            <w:pPr>
              <w:spacing w:after="0"/>
              <w:rPr>
                <w:sz w:val="1"/>
                <w:szCs w:val="1"/>
                <w:color w:val="auto"/>
              </w:rPr>
            </w:pPr>
          </w:p>
        </w:tc>
      </w:tr>
      <w:tr>
        <w:trPr>
          <w:trHeight w:val="105"/>
        </w:trPr>
        <w:tc>
          <w:tcPr>
            <w:tcW w:w="680" w:type="dxa"/>
            <w:vAlign w:val="bottom"/>
            <w:tcBorders>
              <w:left w:val="single" w:sz="8" w:color="3D85C6"/>
              <w:right w:val="single" w:sz="8" w:color="3D85C6"/>
            </w:tcBorders>
            <w:shd w:val="clear" w:color="auto" w:fill="E6E6E6"/>
          </w:tcPr>
          <w:p>
            <w:pPr>
              <w:spacing w:after="0"/>
              <w:rPr>
                <w:sz w:val="9"/>
                <w:szCs w:val="9"/>
                <w:color w:val="auto"/>
              </w:rPr>
            </w:pPr>
          </w:p>
        </w:tc>
        <w:tc>
          <w:tcPr>
            <w:tcW w:w="880" w:type="dxa"/>
            <w:vAlign w:val="bottom"/>
            <w:shd w:val="clear" w:color="auto" w:fill="E6E6E6"/>
          </w:tcPr>
          <w:p>
            <w:pPr>
              <w:ind w:left="140"/>
              <w:spacing w:after="0" w:line="105" w:lineRule="exact"/>
              <w:rPr>
                <w:sz w:val="20"/>
                <w:szCs w:val="20"/>
                <w:color w:val="auto"/>
              </w:rPr>
            </w:pPr>
            <w:r>
              <w:rPr>
                <w:rFonts w:ascii="Arial" w:cs="Arial" w:eastAsia="Arial" w:hAnsi="Arial"/>
                <w:sz w:val="12"/>
                <w:szCs w:val="12"/>
                <w:color w:val="auto"/>
                <w:w w:val="98"/>
              </w:rPr>
              <w:t>Performance-</w:t>
            </w:r>
          </w:p>
        </w:tc>
        <w:tc>
          <w:tcPr>
            <w:tcW w:w="100" w:type="dxa"/>
            <w:vAlign w:val="bottom"/>
            <w:tcBorders>
              <w:right w:val="single" w:sz="8" w:color="3D85C6"/>
            </w:tcBorders>
            <w:shd w:val="clear" w:color="auto" w:fill="E6E6E6"/>
          </w:tcPr>
          <w:p>
            <w:pPr>
              <w:spacing w:after="0"/>
              <w:rPr>
                <w:sz w:val="9"/>
                <w:szCs w:val="9"/>
                <w:color w:val="auto"/>
              </w:rPr>
            </w:pPr>
          </w:p>
        </w:tc>
        <w:tc>
          <w:tcPr>
            <w:tcW w:w="980" w:type="dxa"/>
            <w:vAlign w:val="bottom"/>
            <w:tcBorders>
              <w:right w:val="single" w:sz="8" w:color="3D85C6"/>
            </w:tcBorders>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98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860" w:type="dxa"/>
            <w:vAlign w:val="bottom"/>
            <w:tcBorders>
              <w:right w:val="single" w:sz="8" w:color="3D85C6"/>
            </w:tcBorders>
            <w:shd w:val="clear" w:color="auto" w:fill="E6E6E6"/>
          </w:tcPr>
          <w:p>
            <w:pPr>
              <w:spacing w:after="0"/>
              <w:rPr>
                <w:sz w:val="9"/>
                <w:szCs w:val="9"/>
                <w:color w:val="auto"/>
              </w:rPr>
            </w:pPr>
          </w:p>
        </w:tc>
        <w:tc>
          <w:tcPr>
            <w:tcW w:w="108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260" w:type="dxa"/>
            <w:vAlign w:val="bottom"/>
            <w:shd w:val="clear" w:color="auto" w:fill="E6E6E6"/>
          </w:tcPr>
          <w:p>
            <w:pPr>
              <w:spacing w:after="0"/>
              <w:rPr>
                <w:sz w:val="9"/>
                <w:szCs w:val="9"/>
                <w:color w:val="auto"/>
              </w:rPr>
            </w:pPr>
          </w:p>
        </w:tc>
        <w:tc>
          <w:tcPr>
            <w:tcW w:w="600" w:type="dxa"/>
            <w:vAlign w:val="bottom"/>
            <w:shd w:val="clear" w:color="auto" w:fill="E6E6E6"/>
          </w:tcPr>
          <w:p>
            <w:pPr>
              <w:spacing w:after="0"/>
              <w:rPr>
                <w:sz w:val="9"/>
                <w:szCs w:val="9"/>
                <w:color w:val="auto"/>
              </w:rPr>
            </w:pPr>
          </w:p>
        </w:tc>
        <w:tc>
          <w:tcPr>
            <w:tcW w:w="10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Borders>
              <w:left w:val="single" w:sz="8" w:color="3D85C6"/>
              <w:bottom w:val="single" w:sz="8" w:color="3D85C6"/>
              <w:right w:val="single" w:sz="8" w:color="3D85C6"/>
            </w:tcBorders>
            <w:shd w:val="clear" w:color="auto" w:fill="E6E6E6"/>
          </w:tcPr>
          <w:p>
            <w:pPr>
              <w:spacing w:after="0"/>
              <w:rPr>
                <w:sz w:val="12"/>
                <w:szCs w:val="12"/>
                <w:color w:val="auto"/>
              </w:rPr>
            </w:pPr>
          </w:p>
        </w:tc>
        <w:tc>
          <w:tcPr>
            <w:tcW w:w="880" w:type="dxa"/>
            <w:vAlign w:val="bottom"/>
            <w:tcBorders>
              <w:bottom w:val="single" w:sz="8" w:color="3D85C6"/>
            </w:tcBorders>
            <w:shd w:val="clear" w:color="auto" w:fill="E6E6E6"/>
          </w:tcPr>
          <w:p>
            <w:pPr>
              <w:ind w:left="140"/>
              <w:spacing w:after="0"/>
              <w:rPr>
                <w:sz w:val="20"/>
                <w:szCs w:val="20"/>
                <w:color w:val="auto"/>
              </w:rPr>
            </w:pPr>
            <w:r>
              <w:rPr>
                <w:rFonts w:ascii="Arial" w:cs="Arial" w:eastAsia="Arial" w:hAnsi="Arial"/>
                <w:sz w:val="12"/>
                <w:szCs w:val="12"/>
                <w:color w:val="auto"/>
              </w:rPr>
              <w:t>based RSUs</w:t>
            </w:r>
          </w:p>
        </w:tc>
        <w:tc>
          <w:tcPr>
            <w:tcW w:w="100" w:type="dxa"/>
            <w:vAlign w:val="bottom"/>
            <w:tcBorders>
              <w:bottom w:val="single" w:sz="8" w:color="3D85C6"/>
              <w:right w:val="single" w:sz="8" w:color="3D85C6"/>
            </w:tcBorders>
            <w:shd w:val="clear" w:color="auto" w:fill="E6E6E6"/>
          </w:tcPr>
          <w:p>
            <w:pPr>
              <w:spacing w:after="0"/>
              <w:rPr>
                <w:sz w:val="12"/>
                <w:szCs w:val="12"/>
                <w:color w:val="auto"/>
              </w:rPr>
            </w:pPr>
          </w:p>
        </w:tc>
        <w:tc>
          <w:tcPr>
            <w:tcW w:w="980" w:type="dxa"/>
            <w:vAlign w:val="bottom"/>
            <w:tcBorders>
              <w:bottom w:val="single" w:sz="8" w:color="3D85C6"/>
              <w:right w:val="single" w:sz="8" w:color="3D85C6"/>
            </w:tcBorders>
            <w:shd w:val="clear" w:color="auto" w:fill="E6E6E6"/>
          </w:tcPr>
          <w:p>
            <w:pPr>
              <w:jc w:val="right"/>
              <w:ind w:right="61"/>
              <w:spacing w:after="0"/>
              <w:rPr>
                <w:sz w:val="20"/>
                <w:szCs w:val="20"/>
                <w:color w:val="auto"/>
              </w:rPr>
            </w:pPr>
            <w:r>
              <w:rPr>
                <w:rFonts w:ascii="Arial" w:cs="Arial" w:eastAsia="Arial" w:hAnsi="Arial"/>
                <w:sz w:val="12"/>
                <w:szCs w:val="12"/>
                <w:color w:val="auto"/>
              </w:rPr>
              <w:t>3/11/2025</w:t>
            </w:r>
          </w:p>
        </w:tc>
        <w:tc>
          <w:tcPr>
            <w:tcW w:w="100" w:type="dxa"/>
            <w:vAlign w:val="bottom"/>
            <w:tcBorders>
              <w:bottom w:val="single" w:sz="8" w:color="3D85C6"/>
            </w:tcBorders>
            <w:shd w:val="clear" w:color="auto" w:fill="E6E6E6"/>
          </w:tcPr>
          <w:p>
            <w:pPr>
              <w:spacing w:after="0"/>
              <w:rPr>
                <w:sz w:val="12"/>
                <w:szCs w:val="12"/>
                <w:color w:val="auto"/>
              </w:rPr>
            </w:pPr>
          </w:p>
        </w:tc>
        <w:tc>
          <w:tcPr>
            <w:tcW w:w="980" w:type="dxa"/>
            <w:vAlign w:val="bottom"/>
            <w:tcBorders>
              <w:bottom w:val="single" w:sz="8" w:color="3D85C6"/>
              <w:right w:val="single" w:sz="8" w:color="3D85C6"/>
            </w:tcBorders>
            <w:shd w:val="clear" w:color="auto" w:fill="E6E6E6"/>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3D85C6"/>
            </w:tcBorders>
            <w:shd w:val="clear" w:color="auto" w:fill="E6E6E6"/>
          </w:tcPr>
          <w:p>
            <w:pPr>
              <w:spacing w:after="0"/>
              <w:rPr>
                <w:sz w:val="12"/>
                <w:szCs w:val="12"/>
                <w:color w:val="auto"/>
              </w:rPr>
            </w:pPr>
          </w:p>
        </w:tc>
        <w:tc>
          <w:tcPr>
            <w:tcW w:w="86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3D85C6"/>
              <w:right w:val="single" w:sz="8" w:color="3D85C6"/>
            </w:tcBorders>
            <w:shd w:val="clear" w:color="auto" w:fill="E6E6E6"/>
          </w:tcPr>
          <w:p>
            <w:pPr>
              <w:jc w:val="right"/>
              <w:ind w:right="39"/>
              <w:spacing w:after="0"/>
              <w:rPr>
                <w:sz w:val="20"/>
                <w:szCs w:val="20"/>
                <w:color w:val="auto"/>
              </w:rPr>
            </w:pPr>
            <w:r>
              <w:rPr>
                <w:rFonts w:ascii="Arial" w:cs="Arial" w:eastAsia="Arial" w:hAnsi="Arial"/>
                <w:sz w:val="12"/>
                <w:szCs w:val="12"/>
                <w:color w:val="auto"/>
              </w:rPr>
              <w:t>0</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45,500</w:t>
            </w:r>
          </w:p>
        </w:tc>
        <w:tc>
          <w:tcPr>
            <w:tcW w:w="260" w:type="dxa"/>
            <w:vAlign w:val="bottom"/>
            <w:tcBorders>
              <w:bottom w:val="single" w:sz="8" w:color="3D85C6"/>
            </w:tcBorders>
            <w:shd w:val="clear" w:color="auto" w:fill="E6E6E6"/>
          </w:tcPr>
          <w:p>
            <w:pPr>
              <w:spacing w:after="0"/>
              <w:rPr>
                <w:sz w:val="12"/>
                <w:szCs w:val="12"/>
                <w:color w:val="auto"/>
              </w:rPr>
            </w:pPr>
          </w:p>
        </w:tc>
        <w:tc>
          <w:tcPr>
            <w:tcW w:w="700" w:type="dxa"/>
            <w:vAlign w:val="bottom"/>
            <w:tcBorders>
              <w:bottom w:val="single" w:sz="8" w:color="3D85C6"/>
              <w:right w:val="single" w:sz="8" w:color="3D85C6"/>
            </w:tcBorders>
            <w:gridSpan w:val="2"/>
            <w:shd w:val="clear" w:color="auto" w:fill="E6E6E6"/>
          </w:tcPr>
          <w:p>
            <w:pPr>
              <w:jc w:val="right"/>
              <w:ind w:right="100"/>
              <w:spacing w:after="0"/>
              <w:rPr>
                <w:sz w:val="20"/>
                <w:szCs w:val="20"/>
                <w:color w:val="auto"/>
              </w:rPr>
            </w:pPr>
            <w:r>
              <w:rPr>
                <w:rFonts w:ascii="Arial" w:cs="Arial" w:eastAsia="Arial" w:hAnsi="Arial"/>
                <w:sz w:val="12"/>
                <w:szCs w:val="12"/>
                <w:color w:val="auto"/>
              </w:rPr>
              <w:t>91,000</w:t>
            </w:r>
          </w:p>
        </w:tc>
        <w:tc>
          <w:tcPr>
            <w:tcW w:w="1100" w:type="dxa"/>
            <w:vAlign w:val="bottom"/>
            <w:tcBorders>
              <w:bottom w:val="single" w:sz="8" w:color="3D85C6"/>
              <w:right w:val="single" w:sz="8" w:color="3D85C6"/>
            </w:tcBorders>
            <w:shd w:val="clear" w:color="auto" w:fill="E6E6E6"/>
          </w:tcPr>
          <w:p>
            <w:pPr>
              <w:jc w:val="right"/>
              <w:ind w:right="61"/>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595,595</w:t>
            </w:r>
          </w:p>
        </w:tc>
        <w:tc>
          <w:tcPr>
            <w:tcW w:w="0" w:type="dxa"/>
            <w:vAlign w:val="bottom"/>
          </w:tcPr>
          <w:p>
            <w:pPr>
              <w:spacing w:after="0"/>
              <w:rPr>
                <w:sz w:val="1"/>
                <w:szCs w:val="1"/>
                <w:color w:val="auto"/>
              </w:rPr>
            </w:pPr>
          </w:p>
        </w:tc>
      </w:tr>
      <w:tr>
        <w:trPr>
          <w:trHeight w:val="105"/>
        </w:trPr>
        <w:tc>
          <w:tcPr>
            <w:tcW w:w="680" w:type="dxa"/>
            <w:vAlign w:val="bottom"/>
            <w:tcBorders>
              <w:left w:val="single" w:sz="8" w:color="3D85C6"/>
              <w:right w:val="single" w:sz="8" w:color="3D85C6"/>
            </w:tcBorders>
          </w:tcPr>
          <w:p>
            <w:pPr>
              <w:spacing w:after="0"/>
              <w:rPr>
                <w:sz w:val="9"/>
                <w:szCs w:val="9"/>
                <w:color w:val="auto"/>
              </w:rPr>
            </w:pPr>
          </w:p>
        </w:tc>
        <w:tc>
          <w:tcPr>
            <w:tcW w:w="880" w:type="dxa"/>
            <w:vAlign w:val="bottom"/>
          </w:tcPr>
          <w:p>
            <w:pPr>
              <w:ind w:left="140"/>
              <w:spacing w:after="0" w:line="105" w:lineRule="exact"/>
              <w:rPr>
                <w:sz w:val="20"/>
                <w:szCs w:val="20"/>
                <w:color w:val="auto"/>
              </w:rPr>
            </w:pPr>
            <w:r>
              <w:rPr>
                <w:rFonts w:ascii="Arial" w:cs="Arial" w:eastAsia="Arial" w:hAnsi="Arial"/>
                <w:sz w:val="12"/>
                <w:szCs w:val="12"/>
                <w:color w:val="auto"/>
              </w:rPr>
              <w:t>Cash</w:t>
            </w:r>
          </w:p>
        </w:tc>
        <w:tc>
          <w:tcPr>
            <w:tcW w:w="100" w:type="dxa"/>
            <w:vAlign w:val="bottom"/>
            <w:tcBorders>
              <w:right w:val="single" w:sz="8" w:color="3D85C6"/>
            </w:tcBorders>
          </w:tcPr>
          <w:p>
            <w:pPr>
              <w:spacing w:after="0"/>
              <w:rPr>
                <w:sz w:val="9"/>
                <w:szCs w:val="9"/>
                <w:color w:val="auto"/>
              </w:rPr>
            </w:pPr>
          </w:p>
        </w:tc>
        <w:tc>
          <w:tcPr>
            <w:tcW w:w="980" w:type="dxa"/>
            <w:vAlign w:val="bottom"/>
            <w:tcBorders>
              <w:right w:val="single" w:sz="8" w:color="3D85C6"/>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right w:val="single" w:sz="8" w:color="3D85C6"/>
            </w:tcBorders>
          </w:tcPr>
          <w:p>
            <w:pPr>
              <w:spacing w:after="0"/>
              <w:rPr>
                <w:sz w:val="9"/>
                <w:szCs w:val="9"/>
                <w:color w:val="auto"/>
              </w:rPr>
            </w:pPr>
          </w:p>
        </w:tc>
        <w:tc>
          <w:tcPr>
            <w:tcW w:w="108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Borders>
              <w:left w:val="single" w:sz="8" w:color="3D85C6"/>
              <w:right w:val="single" w:sz="8" w:color="3D85C6"/>
            </w:tcBorders>
            <w:vMerge w:val="restart"/>
          </w:tcPr>
          <w:p>
            <w:pPr>
              <w:ind w:left="20"/>
              <w:spacing w:after="0"/>
              <w:rPr>
                <w:sz w:val="20"/>
                <w:szCs w:val="20"/>
                <w:color w:val="auto"/>
              </w:rPr>
            </w:pPr>
            <w:r>
              <w:rPr>
                <w:rFonts w:ascii="Arial" w:cs="Arial" w:eastAsia="Arial" w:hAnsi="Arial"/>
                <w:sz w:val="12"/>
                <w:szCs w:val="12"/>
                <w:color w:val="auto"/>
                <w:w w:val="99"/>
              </w:rPr>
              <w:t>Christopher</w:t>
            </w:r>
          </w:p>
        </w:tc>
        <w:tc>
          <w:tcPr>
            <w:tcW w:w="880" w:type="dxa"/>
            <w:vAlign w:val="bottom"/>
            <w:tcBorders>
              <w:bottom w:val="single" w:sz="8" w:color="3D85C6"/>
            </w:tcBorders>
          </w:tcPr>
          <w:p>
            <w:pPr>
              <w:ind w:left="140"/>
              <w:spacing w:after="0"/>
              <w:rPr>
                <w:sz w:val="20"/>
                <w:szCs w:val="20"/>
                <w:color w:val="auto"/>
              </w:rPr>
            </w:pPr>
            <w:r>
              <w:rPr>
                <w:rFonts w:ascii="Arial" w:cs="Arial" w:eastAsia="Arial" w:hAnsi="Arial"/>
                <w:sz w:val="12"/>
                <w:szCs w:val="12"/>
                <w:color w:val="auto"/>
              </w:rPr>
              <w:t>Incentives</w:t>
            </w:r>
          </w:p>
        </w:tc>
        <w:tc>
          <w:tcPr>
            <w:tcW w:w="100" w:type="dxa"/>
            <w:vAlign w:val="bottom"/>
            <w:tcBorders>
              <w:bottom w:val="single" w:sz="8" w:color="3D85C6"/>
              <w:right w:val="single" w:sz="8" w:color="3D85C6"/>
            </w:tcBorders>
          </w:tcPr>
          <w:p>
            <w:pPr>
              <w:spacing w:after="0"/>
              <w:rPr>
                <w:sz w:val="12"/>
                <w:szCs w:val="12"/>
                <w:color w:val="auto"/>
              </w:rPr>
            </w:pPr>
          </w:p>
        </w:tc>
        <w:tc>
          <w:tcPr>
            <w:tcW w:w="980" w:type="dxa"/>
            <w:vAlign w:val="bottom"/>
            <w:tcBorders>
              <w:bottom w:val="single" w:sz="8" w:color="3D85C6"/>
              <w:right w:val="single" w:sz="8" w:color="3D85C6"/>
            </w:tcBorders>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3D85C6"/>
            </w:tcBorders>
          </w:tcPr>
          <w:p>
            <w:pPr>
              <w:spacing w:after="0"/>
              <w:rPr>
                <w:sz w:val="12"/>
                <w:szCs w:val="12"/>
                <w:color w:val="auto"/>
              </w:rPr>
            </w:pPr>
          </w:p>
        </w:tc>
        <w:tc>
          <w:tcPr>
            <w:tcW w:w="980" w:type="dxa"/>
            <w:vAlign w:val="bottom"/>
            <w:tcBorders>
              <w:bottom w:val="single" w:sz="8" w:color="3D85C6"/>
              <w:right w:val="single" w:sz="8" w:color="3D85C6"/>
            </w:tcBorders>
          </w:tcPr>
          <w:p>
            <w:pPr>
              <w:jc w:val="right"/>
              <w:ind w:right="39"/>
              <w:spacing w:after="0"/>
              <w:rPr>
                <w:sz w:val="20"/>
                <w:szCs w:val="20"/>
                <w:color w:val="auto"/>
              </w:rPr>
            </w:pPr>
            <w:r>
              <w:rPr>
                <w:rFonts w:ascii="Arial" w:cs="Arial" w:eastAsia="Arial" w:hAnsi="Arial"/>
                <w:sz w:val="12"/>
                <w:szCs w:val="12"/>
                <w:color w:val="auto"/>
              </w:rPr>
              <w:t>0</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318,750</w:t>
            </w:r>
          </w:p>
        </w:tc>
        <w:tc>
          <w:tcPr>
            <w:tcW w:w="240" w:type="dxa"/>
            <w:vAlign w:val="bottom"/>
            <w:tcBorders>
              <w:bottom w:val="single" w:sz="8" w:color="3D85C6"/>
            </w:tcBorders>
          </w:tcPr>
          <w:p>
            <w:pPr>
              <w:spacing w:after="0"/>
              <w:rPr>
                <w:sz w:val="12"/>
                <w:szCs w:val="12"/>
                <w:color w:val="auto"/>
              </w:rPr>
            </w:pPr>
          </w:p>
        </w:tc>
        <w:tc>
          <w:tcPr>
            <w:tcW w:w="86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637,500</w:t>
            </w:r>
          </w:p>
        </w:tc>
        <w:tc>
          <w:tcPr>
            <w:tcW w:w="1080" w:type="dxa"/>
            <w:vAlign w:val="bottom"/>
            <w:tcBorders>
              <w:bottom w:val="single" w:sz="8" w:color="3D85C6"/>
              <w:right w:val="single" w:sz="8" w:color="3D85C6"/>
            </w:tcBorders>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3D85C6"/>
            </w:tcBorders>
          </w:tcPr>
          <w:p>
            <w:pPr>
              <w:spacing w:after="0"/>
              <w:rPr>
                <w:sz w:val="12"/>
                <w:szCs w:val="12"/>
                <w:color w:val="auto"/>
              </w:rPr>
            </w:pPr>
          </w:p>
        </w:tc>
        <w:tc>
          <w:tcPr>
            <w:tcW w:w="700" w:type="dxa"/>
            <w:vAlign w:val="bottom"/>
            <w:tcBorders>
              <w:bottom w:val="single" w:sz="8" w:color="3D85C6"/>
              <w:right w:val="single" w:sz="8" w:color="3D85C6"/>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61"/>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5"/>
        </w:trPr>
        <w:tc>
          <w:tcPr>
            <w:tcW w:w="680" w:type="dxa"/>
            <w:vAlign w:val="bottom"/>
            <w:tcBorders>
              <w:left w:val="single" w:sz="8" w:color="3D85C6"/>
              <w:right w:val="single" w:sz="8" w:color="3D85C6"/>
            </w:tcBorders>
            <w:vMerge w:val="continue"/>
          </w:tcPr>
          <w:p>
            <w:pPr>
              <w:spacing w:after="0"/>
              <w:rPr>
                <w:sz w:val="9"/>
                <w:szCs w:val="9"/>
                <w:color w:val="auto"/>
              </w:rPr>
            </w:pPr>
          </w:p>
        </w:tc>
        <w:tc>
          <w:tcPr>
            <w:tcW w:w="880" w:type="dxa"/>
            <w:vAlign w:val="bottom"/>
          </w:tcPr>
          <w:p>
            <w:pPr>
              <w:ind w:left="140"/>
              <w:spacing w:after="0" w:line="105" w:lineRule="exact"/>
              <w:rPr>
                <w:sz w:val="20"/>
                <w:szCs w:val="20"/>
                <w:color w:val="auto"/>
              </w:rPr>
            </w:pPr>
            <w:r>
              <w:rPr>
                <w:rFonts w:ascii="Arial" w:cs="Arial" w:eastAsia="Arial" w:hAnsi="Arial"/>
                <w:sz w:val="12"/>
                <w:szCs w:val="12"/>
                <w:color w:val="auto"/>
              </w:rPr>
              <w:t>Time-based</w:t>
            </w:r>
          </w:p>
        </w:tc>
        <w:tc>
          <w:tcPr>
            <w:tcW w:w="100" w:type="dxa"/>
            <w:vAlign w:val="bottom"/>
            <w:tcBorders>
              <w:right w:val="single" w:sz="8" w:color="3D85C6"/>
            </w:tcBorders>
          </w:tcPr>
          <w:p>
            <w:pPr>
              <w:spacing w:after="0"/>
              <w:rPr>
                <w:sz w:val="9"/>
                <w:szCs w:val="9"/>
                <w:color w:val="auto"/>
              </w:rPr>
            </w:pPr>
          </w:p>
        </w:tc>
        <w:tc>
          <w:tcPr>
            <w:tcW w:w="980" w:type="dxa"/>
            <w:vAlign w:val="bottom"/>
            <w:tcBorders>
              <w:right w:val="single" w:sz="8" w:color="3D85C6"/>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right w:val="single" w:sz="8" w:color="3D85C6"/>
            </w:tcBorders>
          </w:tcPr>
          <w:p>
            <w:pPr>
              <w:spacing w:after="0"/>
              <w:rPr>
                <w:sz w:val="9"/>
                <w:szCs w:val="9"/>
                <w:color w:val="auto"/>
              </w:rPr>
            </w:pPr>
          </w:p>
        </w:tc>
        <w:tc>
          <w:tcPr>
            <w:tcW w:w="108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Borders>
              <w:left w:val="single" w:sz="8" w:color="3D85C6"/>
              <w:right w:val="single" w:sz="8" w:color="3D85C6"/>
            </w:tcBorders>
          </w:tcPr>
          <w:p>
            <w:pPr>
              <w:ind w:left="20"/>
              <w:spacing w:after="0"/>
              <w:rPr>
                <w:sz w:val="20"/>
                <w:szCs w:val="20"/>
                <w:color w:val="auto"/>
              </w:rPr>
            </w:pPr>
            <w:r>
              <w:rPr>
                <w:rFonts w:ascii="Arial" w:cs="Arial" w:eastAsia="Arial" w:hAnsi="Arial"/>
                <w:sz w:val="12"/>
                <w:szCs w:val="12"/>
                <w:color w:val="auto"/>
              </w:rPr>
              <w:t>G. Bohrson</w:t>
            </w:r>
          </w:p>
        </w:tc>
        <w:tc>
          <w:tcPr>
            <w:tcW w:w="880" w:type="dxa"/>
            <w:vAlign w:val="bottom"/>
            <w:tcBorders>
              <w:bottom w:val="single" w:sz="8" w:color="3D85C6"/>
            </w:tcBorders>
          </w:tcPr>
          <w:p>
            <w:pPr>
              <w:ind w:left="140"/>
              <w:spacing w:after="0"/>
              <w:rPr>
                <w:sz w:val="20"/>
                <w:szCs w:val="20"/>
                <w:color w:val="auto"/>
              </w:rPr>
            </w:pPr>
            <w:r>
              <w:rPr>
                <w:rFonts w:ascii="Arial" w:cs="Arial" w:eastAsia="Arial" w:hAnsi="Arial"/>
                <w:sz w:val="12"/>
                <w:szCs w:val="12"/>
                <w:color w:val="auto"/>
              </w:rPr>
              <w:t>RSUs</w:t>
            </w:r>
          </w:p>
        </w:tc>
        <w:tc>
          <w:tcPr>
            <w:tcW w:w="100" w:type="dxa"/>
            <w:vAlign w:val="bottom"/>
            <w:tcBorders>
              <w:bottom w:val="single" w:sz="8" w:color="3D85C6"/>
              <w:right w:val="single" w:sz="8" w:color="3D85C6"/>
            </w:tcBorders>
          </w:tcPr>
          <w:p>
            <w:pPr>
              <w:spacing w:after="0"/>
              <w:rPr>
                <w:sz w:val="12"/>
                <w:szCs w:val="12"/>
                <w:color w:val="auto"/>
              </w:rPr>
            </w:pPr>
          </w:p>
        </w:tc>
        <w:tc>
          <w:tcPr>
            <w:tcW w:w="980" w:type="dxa"/>
            <w:vAlign w:val="bottom"/>
            <w:tcBorders>
              <w:bottom w:val="single" w:sz="8" w:color="3D85C6"/>
              <w:right w:val="single" w:sz="8" w:color="3D85C6"/>
            </w:tcBorders>
          </w:tcPr>
          <w:p>
            <w:pPr>
              <w:jc w:val="right"/>
              <w:ind w:right="61"/>
              <w:spacing w:after="0"/>
              <w:rPr>
                <w:sz w:val="20"/>
                <w:szCs w:val="20"/>
                <w:color w:val="auto"/>
              </w:rPr>
            </w:pPr>
            <w:r>
              <w:rPr>
                <w:rFonts w:ascii="Arial" w:cs="Arial" w:eastAsia="Arial" w:hAnsi="Arial"/>
                <w:sz w:val="12"/>
                <w:szCs w:val="12"/>
                <w:color w:val="auto"/>
              </w:rPr>
              <w:t>3/11/2025</w:t>
            </w:r>
          </w:p>
        </w:tc>
        <w:tc>
          <w:tcPr>
            <w:tcW w:w="100" w:type="dxa"/>
            <w:vAlign w:val="bottom"/>
            <w:tcBorders>
              <w:bottom w:val="single" w:sz="8" w:color="3D85C6"/>
            </w:tcBorders>
          </w:tcPr>
          <w:p>
            <w:pPr>
              <w:spacing w:after="0"/>
              <w:rPr>
                <w:sz w:val="12"/>
                <w:szCs w:val="12"/>
                <w:color w:val="auto"/>
              </w:rPr>
            </w:pPr>
          </w:p>
        </w:tc>
        <w:tc>
          <w:tcPr>
            <w:tcW w:w="980" w:type="dxa"/>
            <w:vAlign w:val="bottom"/>
            <w:tcBorders>
              <w:bottom w:val="single" w:sz="8" w:color="3D85C6"/>
              <w:right w:val="single" w:sz="8" w:color="3D85C6"/>
            </w:tcBorders>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3D85C6"/>
            </w:tcBorders>
          </w:tcPr>
          <w:p>
            <w:pPr>
              <w:spacing w:after="0"/>
              <w:rPr>
                <w:sz w:val="12"/>
                <w:szCs w:val="12"/>
                <w:color w:val="auto"/>
              </w:rPr>
            </w:pPr>
          </w:p>
        </w:tc>
        <w:tc>
          <w:tcPr>
            <w:tcW w:w="86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3D85C6"/>
              <w:right w:val="single" w:sz="8" w:color="3D85C6"/>
            </w:tcBorders>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3D85C6"/>
            </w:tcBorders>
          </w:tcPr>
          <w:p>
            <w:pPr>
              <w:spacing w:after="0"/>
              <w:rPr>
                <w:sz w:val="12"/>
                <w:szCs w:val="12"/>
                <w:color w:val="auto"/>
              </w:rPr>
            </w:pPr>
          </w:p>
        </w:tc>
        <w:tc>
          <w:tcPr>
            <w:tcW w:w="700" w:type="dxa"/>
            <w:vAlign w:val="bottom"/>
            <w:tcBorders>
              <w:bottom w:val="single" w:sz="8" w:color="3D85C6"/>
              <w:right w:val="single" w:sz="8" w:color="3D85C6"/>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61"/>
              <w:spacing w:after="0"/>
              <w:rPr>
                <w:sz w:val="20"/>
                <w:szCs w:val="20"/>
                <w:color w:val="auto"/>
              </w:rPr>
            </w:pPr>
            <w:r>
              <w:rPr>
                <w:rFonts w:ascii="Arial" w:cs="Arial" w:eastAsia="Arial" w:hAnsi="Arial"/>
                <w:sz w:val="12"/>
                <w:szCs w:val="12"/>
                <w:color w:val="auto"/>
              </w:rPr>
              <w:t>22,244</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367,248</w:t>
            </w:r>
          </w:p>
        </w:tc>
        <w:tc>
          <w:tcPr>
            <w:tcW w:w="0" w:type="dxa"/>
            <w:vAlign w:val="bottom"/>
          </w:tcPr>
          <w:p>
            <w:pPr>
              <w:spacing w:after="0"/>
              <w:rPr>
                <w:sz w:val="1"/>
                <w:szCs w:val="1"/>
                <w:color w:val="auto"/>
              </w:rPr>
            </w:pPr>
          </w:p>
        </w:tc>
      </w:tr>
      <w:tr>
        <w:trPr>
          <w:trHeight w:val="105"/>
        </w:trPr>
        <w:tc>
          <w:tcPr>
            <w:tcW w:w="680" w:type="dxa"/>
            <w:vAlign w:val="bottom"/>
            <w:tcBorders>
              <w:left w:val="single" w:sz="8" w:color="3D85C6"/>
              <w:right w:val="single" w:sz="8" w:color="3D85C6"/>
            </w:tcBorders>
          </w:tcPr>
          <w:p>
            <w:pPr>
              <w:spacing w:after="0"/>
              <w:rPr>
                <w:sz w:val="9"/>
                <w:szCs w:val="9"/>
                <w:color w:val="auto"/>
              </w:rPr>
            </w:pPr>
          </w:p>
        </w:tc>
        <w:tc>
          <w:tcPr>
            <w:tcW w:w="880" w:type="dxa"/>
            <w:vAlign w:val="bottom"/>
          </w:tcPr>
          <w:p>
            <w:pPr>
              <w:ind w:left="140"/>
              <w:spacing w:after="0" w:line="105" w:lineRule="exact"/>
              <w:rPr>
                <w:sz w:val="20"/>
                <w:szCs w:val="20"/>
                <w:color w:val="auto"/>
              </w:rPr>
            </w:pPr>
            <w:r>
              <w:rPr>
                <w:rFonts w:ascii="Arial" w:cs="Arial" w:eastAsia="Arial" w:hAnsi="Arial"/>
                <w:sz w:val="12"/>
                <w:szCs w:val="12"/>
                <w:color w:val="auto"/>
                <w:w w:val="98"/>
              </w:rPr>
              <w:t>Performance-</w:t>
            </w:r>
          </w:p>
        </w:tc>
        <w:tc>
          <w:tcPr>
            <w:tcW w:w="100" w:type="dxa"/>
            <w:vAlign w:val="bottom"/>
            <w:tcBorders>
              <w:right w:val="single" w:sz="8" w:color="3D85C6"/>
            </w:tcBorders>
          </w:tcPr>
          <w:p>
            <w:pPr>
              <w:spacing w:after="0"/>
              <w:rPr>
                <w:sz w:val="9"/>
                <w:szCs w:val="9"/>
                <w:color w:val="auto"/>
              </w:rPr>
            </w:pPr>
          </w:p>
        </w:tc>
        <w:tc>
          <w:tcPr>
            <w:tcW w:w="980" w:type="dxa"/>
            <w:vAlign w:val="bottom"/>
            <w:tcBorders>
              <w:right w:val="single" w:sz="8" w:color="3D85C6"/>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right w:val="single" w:sz="8" w:color="3D85C6"/>
            </w:tcBorders>
          </w:tcPr>
          <w:p>
            <w:pPr>
              <w:spacing w:after="0"/>
              <w:rPr>
                <w:sz w:val="9"/>
                <w:szCs w:val="9"/>
                <w:color w:val="auto"/>
              </w:rPr>
            </w:pPr>
          </w:p>
        </w:tc>
        <w:tc>
          <w:tcPr>
            <w:tcW w:w="108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1100" w:type="dxa"/>
            <w:vAlign w:val="bottom"/>
            <w:tcBorders>
              <w:right w:val="single" w:sz="8" w:color="3D85C6"/>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Borders>
              <w:left w:val="single" w:sz="8" w:color="3D85C6"/>
              <w:bottom w:val="single" w:sz="8" w:color="3D85C6"/>
              <w:right w:val="single" w:sz="8" w:color="3D85C6"/>
            </w:tcBorders>
          </w:tcPr>
          <w:p>
            <w:pPr>
              <w:spacing w:after="0"/>
              <w:rPr>
                <w:sz w:val="12"/>
                <w:szCs w:val="12"/>
                <w:color w:val="auto"/>
              </w:rPr>
            </w:pPr>
          </w:p>
        </w:tc>
        <w:tc>
          <w:tcPr>
            <w:tcW w:w="880" w:type="dxa"/>
            <w:vAlign w:val="bottom"/>
            <w:tcBorders>
              <w:bottom w:val="single" w:sz="8" w:color="3D85C6"/>
            </w:tcBorders>
          </w:tcPr>
          <w:p>
            <w:pPr>
              <w:ind w:left="140"/>
              <w:spacing w:after="0"/>
              <w:rPr>
                <w:sz w:val="20"/>
                <w:szCs w:val="20"/>
                <w:color w:val="auto"/>
              </w:rPr>
            </w:pPr>
            <w:r>
              <w:rPr>
                <w:rFonts w:ascii="Arial" w:cs="Arial" w:eastAsia="Arial" w:hAnsi="Arial"/>
                <w:sz w:val="12"/>
                <w:szCs w:val="12"/>
                <w:color w:val="auto"/>
              </w:rPr>
              <w:t>based RSUs</w:t>
            </w:r>
          </w:p>
        </w:tc>
        <w:tc>
          <w:tcPr>
            <w:tcW w:w="100" w:type="dxa"/>
            <w:vAlign w:val="bottom"/>
            <w:tcBorders>
              <w:bottom w:val="single" w:sz="8" w:color="3D85C6"/>
              <w:right w:val="single" w:sz="8" w:color="3D85C6"/>
            </w:tcBorders>
          </w:tcPr>
          <w:p>
            <w:pPr>
              <w:spacing w:after="0"/>
              <w:rPr>
                <w:sz w:val="12"/>
                <w:szCs w:val="12"/>
                <w:color w:val="auto"/>
              </w:rPr>
            </w:pPr>
          </w:p>
        </w:tc>
        <w:tc>
          <w:tcPr>
            <w:tcW w:w="980" w:type="dxa"/>
            <w:vAlign w:val="bottom"/>
            <w:tcBorders>
              <w:bottom w:val="single" w:sz="8" w:color="3D85C6"/>
              <w:right w:val="single" w:sz="8" w:color="3D85C6"/>
            </w:tcBorders>
          </w:tcPr>
          <w:p>
            <w:pPr>
              <w:jc w:val="right"/>
              <w:ind w:right="61"/>
              <w:spacing w:after="0"/>
              <w:rPr>
                <w:sz w:val="20"/>
                <w:szCs w:val="20"/>
                <w:color w:val="auto"/>
              </w:rPr>
            </w:pPr>
            <w:r>
              <w:rPr>
                <w:rFonts w:ascii="Arial" w:cs="Arial" w:eastAsia="Arial" w:hAnsi="Arial"/>
                <w:sz w:val="12"/>
                <w:szCs w:val="12"/>
                <w:color w:val="auto"/>
              </w:rPr>
              <w:t>3/11/2025</w:t>
            </w:r>
          </w:p>
        </w:tc>
        <w:tc>
          <w:tcPr>
            <w:tcW w:w="100" w:type="dxa"/>
            <w:vAlign w:val="bottom"/>
            <w:tcBorders>
              <w:bottom w:val="single" w:sz="8" w:color="3D85C6"/>
            </w:tcBorders>
          </w:tcPr>
          <w:p>
            <w:pPr>
              <w:spacing w:after="0"/>
              <w:rPr>
                <w:sz w:val="12"/>
                <w:szCs w:val="12"/>
                <w:color w:val="auto"/>
              </w:rPr>
            </w:pPr>
          </w:p>
        </w:tc>
        <w:tc>
          <w:tcPr>
            <w:tcW w:w="980" w:type="dxa"/>
            <w:vAlign w:val="bottom"/>
            <w:tcBorders>
              <w:bottom w:val="single" w:sz="8" w:color="3D85C6"/>
              <w:right w:val="single" w:sz="8" w:color="3D85C6"/>
            </w:tcBorders>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3D85C6"/>
            </w:tcBorders>
          </w:tcPr>
          <w:p>
            <w:pPr>
              <w:spacing w:after="0"/>
              <w:rPr>
                <w:sz w:val="12"/>
                <w:szCs w:val="12"/>
                <w:color w:val="auto"/>
              </w:rPr>
            </w:pPr>
          </w:p>
        </w:tc>
        <w:tc>
          <w:tcPr>
            <w:tcW w:w="86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3D85C6"/>
              <w:right w:val="single" w:sz="8" w:color="3D85C6"/>
            </w:tcBorders>
          </w:tcPr>
          <w:p>
            <w:pPr>
              <w:jc w:val="right"/>
              <w:ind w:right="39"/>
              <w:spacing w:after="0"/>
              <w:rPr>
                <w:sz w:val="20"/>
                <w:szCs w:val="20"/>
                <w:color w:val="auto"/>
              </w:rPr>
            </w:pPr>
            <w:r>
              <w:rPr>
                <w:rFonts w:ascii="Arial" w:cs="Arial" w:eastAsia="Arial" w:hAnsi="Arial"/>
                <w:sz w:val="12"/>
                <w:szCs w:val="12"/>
                <w:color w:val="auto"/>
              </w:rPr>
              <w:t>0</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33,367</w:t>
            </w:r>
          </w:p>
        </w:tc>
        <w:tc>
          <w:tcPr>
            <w:tcW w:w="260" w:type="dxa"/>
            <w:vAlign w:val="bottom"/>
            <w:tcBorders>
              <w:bottom w:val="single" w:sz="8" w:color="3D85C6"/>
            </w:tcBorders>
          </w:tcPr>
          <w:p>
            <w:pPr>
              <w:spacing w:after="0"/>
              <w:rPr>
                <w:sz w:val="12"/>
                <w:szCs w:val="12"/>
                <w:color w:val="auto"/>
              </w:rPr>
            </w:pPr>
          </w:p>
        </w:tc>
        <w:tc>
          <w:tcPr>
            <w:tcW w:w="700" w:type="dxa"/>
            <w:vAlign w:val="bottom"/>
            <w:tcBorders>
              <w:bottom w:val="single" w:sz="8" w:color="3D85C6"/>
              <w:right w:val="single" w:sz="8" w:color="3D85C6"/>
            </w:tcBorders>
            <w:gridSpan w:val="2"/>
          </w:tcPr>
          <w:p>
            <w:pPr>
              <w:jc w:val="right"/>
              <w:ind w:right="100"/>
              <w:spacing w:after="0"/>
              <w:rPr>
                <w:sz w:val="20"/>
                <w:szCs w:val="20"/>
                <w:color w:val="auto"/>
              </w:rPr>
            </w:pPr>
            <w:r>
              <w:rPr>
                <w:rFonts w:ascii="Arial" w:cs="Arial" w:eastAsia="Arial" w:hAnsi="Arial"/>
                <w:sz w:val="12"/>
                <w:szCs w:val="12"/>
                <w:color w:val="auto"/>
              </w:rPr>
              <w:t>66,734</w:t>
            </w:r>
          </w:p>
        </w:tc>
        <w:tc>
          <w:tcPr>
            <w:tcW w:w="1100" w:type="dxa"/>
            <w:vAlign w:val="bottom"/>
            <w:tcBorders>
              <w:bottom w:val="single" w:sz="8" w:color="3D85C6"/>
              <w:right w:val="single" w:sz="8" w:color="3D85C6"/>
            </w:tcBorders>
          </w:tcPr>
          <w:p>
            <w:pPr>
              <w:jc w:val="right"/>
              <w:ind w:right="61"/>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tcPr>
          <w:p>
            <w:pPr>
              <w:jc w:val="right"/>
              <w:ind w:right="59"/>
              <w:spacing w:after="0"/>
              <w:rPr>
                <w:sz w:val="20"/>
                <w:szCs w:val="20"/>
                <w:color w:val="auto"/>
              </w:rPr>
            </w:pPr>
            <w:r>
              <w:rPr>
                <w:rFonts w:ascii="Arial" w:cs="Arial" w:eastAsia="Arial" w:hAnsi="Arial"/>
                <w:sz w:val="12"/>
                <w:szCs w:val="12"/>
                <w:color w:val="auto"/>
              </w:rPr>
              <w:t>436,774</w:t>
            </w:r>
          </w:p>
        </w:tc>
        <w:tc>
          <w:tcPr>
            <w:tcW w:w="0" w:type="dxa"/>
            <w:vAlign w:val="bottom"/>
          </w:tcPr>
          <w:p>
            <w:pPr>
              <w:spacing w:after="0"/>
              <w:rPr>
                <w:sz w:val="1"/>
                <w:szCs w:val="1"/>
                <w:color w:val="auto"/>
              </w:rPr>
            </w:pPr>
          </w:p>
        </w:tc>
      </w:tr>
      <w:tr>
        <w:trPr>
          <w:trHeight w:val="105"/>
        </w:trPr>
        <w:tc>
          <w:tcPr>
            <w:tcW w:w="680" w:type="dxa"/>
            <w:vAlign w:val="bottom"/>
            <w:tcBorders>
              <w:left w:val="single" w:sz="8" w:color="3D85C6"/>
              <w:right w:val="single" w:sz="8" w:color="3D85C6"/>
            </w:tcBorders>
            <w:shd w:val="clear" w:color="auto" w:fill="E6E6E6"/>
          </w:tcPr>
          <w:p>
            <w:pPr>
              <w:spacing w:after="0"/>
              <w:rPr>
                <w:sz w:val="9"/>
                <w:szCs w:val="9"/>
                <w:color w:val="auto"/>
              </w:rPr>
            </w:pPr>
          </w:p>
        </w:tc>
        <w:tc>
          <w:tcPr>
            <w:tcW w:w="880" w:type="dxa"/>
            <w:vAlign w:val="bottom"/>
            <w:shd w:val="clear" w:color="auto" w:fill="E6E6E6"/>
          </w:tcPr>
          <w:p>
            <w:pPr>
              <w:ind w:left="140"/>
              <w:spacing w:after="0" w:line="105" w:lineRule="exact"/>
              <w:rPr>
                <w:sz w:val="20"/>
                <w:szCs w:val="20"/>
                <w:color w:val="auto"/>
              </w:rPr>
            </w:pPr>
            <w:r>
              <w:rPr>
                <w:rFonts w:ascii="Arial" w:cs="Arial" w:eastAsia="Arial" w:hAnsi="Arial"/>
                <w:sz w:val="12"/>
                <w:szCs w:val="12"/>
                <w:color w:val="auto"/>
              </w:rPr>
              <w:t>Cash</w:t>
            </w:r>
          </w:p>
        </w:tc>
        <w:tc>
          <w:tcPr>
            <w:tcW w:w="100" w:type="dxa"/>
            <w:vAlign w:val="bottom"/>
            <w:tcBorders>
              <w:right w:val="single" w:sz="8" w:color="3D85C6"/>
            </w:tcBorders>
            <w:shd w:val="clear" w:color="auto" w:fill="E6E6E6"/>
          </w:tcPr>
          <w:p>
            <w:pPr>
              <w:spacing w:after="0"/>
              <w:rPr>
                <w:sz w:val="9"/>
                <w:szCs w:val="9"/>
                <w:color w:val="auto"/>
              </w:rPr>
            </w:pPr>
          </w:p>
        </w:tc>
        <w:tc>
          <w:tcPr>
            <w:tcW w:w="980" w:type="dxa"/>
            <w:vAlign w:val="bottom"/>
            <w:tcBorders>
              <w:right w:val="single" w:sz="8" w:color="3D85C6"/>
            </w:tcBorders>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98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860" w:type="dxa"/>
            <w:vAlign w:val="bottom"/>
            <w:tcBorders>
              <w:right w:val="single" w:sz="8" w:color="3D85C6"/>
            </w:tcBorders>
            <w:shd w:val="clear" w:color="auto" w:fill="E6E6E6"/>
          </w:tcPr>
          <w:p>
            <w:pPr>
              <w:spacing w:after="0"/>
              <w:rPr>
                <w:sz w:val="9"/>
                <w:szCs w:val="9"/>
                <w:color w:val="auto"/>
              </w:rPr>
            </w:pPr>
          </w:p>
        </w:tc>
        <w:tc>
          <w:tcPr>
            <w:tcW w:w="108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260" w:type="dxa"/>
            <w:vAlign w:val="bottom"/>
            <w:shd w:val="clear" w:color="auto" w:fill="E6E6E6"/>
          </w:tcPr>
          <w:p>
            <w:pPr>
              <w:spacing w:after="0"/>
              <w:rPr>
                <w:sz w:val="9"/>
                <w:szCs w:val="9"/>
                <w:color w:val="auto"/>
              </w:rPr>
            </w:pPr>
          </w:p>
        </w:tc>
        <w:tc>
          <w:tcPr>
            <w:tcW w:w="600" w:type="dxa"/>
            <w:vAlign w:val="bottom"/>
            <w:shd w:val="clear" w:color="auto" w:fill="E6E6E6"/>
          </w:tcPr>
          <w:p>
            <w:pPr>
              <w:spacing w:after="0"/>
              <w:rPr>
                <w:sz w:val="9"/>
                <w:szCs w:val="9"/>
                <w:color w:val="auto"/>
              </w:rPr>
            </w:pPr>
          </w:p>
        </w:tc>
        <w:tc>
          <w:tcPr>
            <w:tcW w:w="10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Borders>
              <w:left w:val="single" w:sz="8" w:color="3D85C6"/>
              <w:bottom w:val="single" w:sz="8" w:color="E6E6E6"/>
              <w:right w:val="single" w:sz="8" w:color="3D85C6"/>
            </w:tcBorders>
            <w:vMerge w:val="restart"/>
            <w:shd w:val="clear" w:color="auto" w:fill="E6E6E6"/>
          </w:tcPr>
          <w:p>
            <w:pPr>
              <w:ind w:left="20"/>
              <w:spacing w:after="0"/>
              <w:rPr>
                <w:sz w:val="20"/>
                <w:szCs w:val="20"/>
                <w:color w:val="auto"/>
              </w:rPr>
            </w:pPr>
            <w:r>
              <w:rPr>
                <w:rFonts w:ascii="Arial" w:cs="Arial" w:eastAsia="Arial" w:hAnsi="Arial"/>
                <w:sz w:val="12"/>
                <w:szCs w:val="12"/>
                <w:color w:val="auto"/>
              </w:rPr>
              <w:t>Klaus</w:t>
            </w:r>
          </w:p>
        </w:tc>
        <w:tc>
          <w:tcPr>
            <w:tcW w:w="880" w:type="dxa"/>
            <w:vAlign w:val="bottom"/>
            <w:tcBorders>
              <w:bottom w:val="single" w:sz="8" w:color="3D85C6"/>
            </w:tcBorders>
            <w:shd w:val="clear" w:color="auto" w:fill="E6E6E6"/>
          </w:tcPr>
          <w:p>
            <w:pPr>
              <w:ind w:left="140"/>
              <w:spacing w:after="0"/>
              <w:rPr>
                <w:sz w:val="20"/>
                <w:szCs w:val="20"/>
                <w:color w:val="auto"/>
              </w:rPr>
            </w:pPr>
            <w:r>
              <w:rPr>
                <w:rFonts w:ascii="Arial" w:cs="Arial" w:eastAsia="Arial" w:hAnsi="Arial"/>
                <w:sz w:val="12"/>
                <w:szCs w:val="12"/>
                <w:color w:val="auto"/>
              </w:rPr>
              <w:t>Incentives</w:t>
            </w:r>
          </w:p>
        </w:tc>
        <w:tc>
          <w:tcPr>
            <w:tcW w:w="100" w:type="dxa"/>
            <w:vAlign w:val="bottom"/>
            <w:tcBorders>
              <w:bottom w:val="single" w:sz="8" w:color="3D85C6"/>
              <w:right w:val="single" w:sz="8" w:color="3D85C6"/>
            </w:tcBorders>
            <w:shd w:val="clear" w:color="auto" w:fill="E6E6E6"/>
          </w:tcPr>
          <w:p>
            <w:pPr>
              <w:spacing w:after="0"/>
              <w:rPr>
                <w:sz w:val="12"/>
                <w:szCs w:val="12"/>
                <w:color w:val="auto"/>
              </w:rPr>
            </w:pPr>
          </w:p>
        </w:tc>
        <w:tc>
          <w:tcPr>
            <w:tcW w:w="980" w:type="dxa"/>
            <w:vAlign w:val="bottom"/>
            <w:tcBorders>
              <w:bottom w:val="single" w:sz="8" w:color="3D85C6"/>
              <w:right w:val="single" w:sz="8" w:color="3D85C6"/>
            </w:tcBorders>
            <w:shd w:val="clear" w:color="auto" w:fill="E6E6E6"/>
          </w:tcPr>
          <w:p>
            <w:pPr>
              <w:jc w:val="right"/>
              <w:ind w:right="6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3D85C6"/>
            </w:tcBorders>
            <w:shd w:val="clear" w:color="auto" w:fill="E6E6E6"/>
          </w:tcPr>
          <w:p>
            <w:pPr>
              <w:spacing w:after="0"/>
              <w:rPr>
                <w:sz w:val="12"/>
                <w:szCs w:val="12"/>
                <w:color w:val="auto"/>
              </w:rPr>
            </w:pPr>
          </w:p>
        </w:tc>
        <w:tc>
          <w:tcPr>
            <w:tcW w:w="980" w:type="dxa"/>
            <w:vAlign w:val="bottom"/>
            <w:tcBorders>
              <w:bottom w:val="single" w:sz="8" w:color="3D85C6"/>
              <w:right w:val="single" w:sz="8" w:color="3D85C6"/>
            </w:tcBorders>
            <w:shd w:val="clear" w:color="auto" w:fill="E6E6E6"/>
          </w:tcPr>
          <w:p>
            <w:pPr>
              <w:jc w:val="right"/>
              <w:ind w:right="39"/>
              <w:spacing w:after="0"/>
              <w:rPr>
                <w:sz w:val="20"/>
                <w:szCs w:val="20"/>
                <w:color w:val="auto"/>
              </w:rPr>
            </w:pPr>
            <w:r>
              <w:rPr>
                <w:rFonts w:ascii="Arial" w:cs="Arial" w:eastAsia="Arial" w:hAnsi="Arial"/>
                <w:sz w:val="12"/>
                <w:szCs w:val="12"/>
                <w:color w:val="auto"/>
              </w:rPr>
              <w:t>0</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254,396</w:t>
            </w:r>
          </w:p>
        </w:tc>
        <w:tc>
          <w:tcPr>
            <w:tcW w:w="240" w:type="dxa"/>
            <w:vAlign w:val="bottom"/>
            <w:tcBorders>
              <w:bottom w:val="single" w:sz="8" w:color="3D85C6"/>
            </w:tcBorders>
            <w:shd w:val="clear" w:color="auto" w:fill="E6E6E6"/>
          </w:tcPr>
          <w:p>
            <w:pPr>
              <w:spacing w:after="0"/>
              <w:rPr>
                <w:sz w:val="12"/>
                <w:szCs w:val="12"/>
                <w:color w:val="auto"/>
              </w:rPr>
            </w:pPr>
          </w:p>
        </w:tc>
        <w:tc>
          <w:tcPr>
            <w:tcW w:w="86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508,792</w:t>
            </w:r>
          </w:p>
        </w:tc>
        <w:tc>
          <w:tcPr>
            <w:tcW w:w="1080" w:type="dxa"/>
            <w:vAlign w:val="bottom"/>
            <w:tcBorders>
              <w:bottom w:val="single" w:sz="8" w:color="3D85C6"/>
              <w:right w:val="single" w:sz="8" w:color="3D85C6"/>
            </w:tcBorders>
            <w:shd w:val="clear" w:color="auto" w:fill="E6E6E6"/>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3D85C6"/>
            </w:tcBorders>
            <w:shd w:val="clear" w:color="auto" w:fill="E6E6E6"/>
          </w:tcPr>
          <w:p>
            <w:pPr>
              <w:spacing w:after="0"/>
              <w:rPr>
                <w:sz w:val="12"/>
                <w:szCs w:val="12"/>
                <w:color w:val="auto"/>
              </w:rPr>
            </w:pPr>
          </w:p>
        </w:tc>
        <w:tc>
          <w:tcPr>
            <w:tcW w:w="700" w:type="dxa"/>
            <w:vAlign w:val="bottom"/>
            <w:tcBorders>
              <w:bottom w:val="single" w:sz="8" w:color="3D85C6"/>
              <w:right w:val="single" w:sz="8" w:color="3D85C6"/>
            </w:tcBorders>
            <w:gridSpan w:val="2"/>
            <w:shd w:val="clear" w:color="auto" w:fill="E6E6E6"/>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61"/>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5"/>
        </w:trPr>
        <w:tc>
          <w:tcPr>
            <w:tcW w:w="680" w:type="dxa"/>
            <w:vAlign w:val="bottom"/>
            <w:tcBorders>
              <w:left w:val="single" w:sz="8" w:color="3D85C6"/>
              <w:right w:val="single" w:sz="8" w:color="3D85C6"/>
            </w:tcBorders>
            <w:vMerge w:val="continue"/>
            <w:shd w:val="clear" w:color="auto" w:fill="E6E6E6"/>
          </w:tcPr>
          <w:p>
            <w:pPr>
              <w:spacing w:after="0"/>
              <w:rPr>
                <w:sz w:val="9"/>
                <w:szCs w:val="9"/>
                <w:color w:val="auto"/>
              </w:rPr>
            </w:pPr>
          </w:p>
        </w:tc>
        <w:tc>
          <w:tcPr>
            <w:tcW w:w="880" w:type="dxa"/>
            <w:vAlign w:val="bottom"/>
            <w:shd w:val="clear" w:color="auto" w:fill="E6E6E6"/>
          </w:tcPr>
          <w:p>
            <w:pPr>
              <w:ind w:left="140"/>
              <w:spacing w:after="0" w:line="105" w:lineRule="exact"/>
              <w:rPr>
                <w:sz w:val="20"/>
                <w:szCs w:val="20"/>
                <w:color w:val="auto"/>
              </w:rPr>
            </w:pPr>
            <w:r>
              <w:rPr>
                <w:rFonts w:ascii="Arial" w:cs="Arial" w:eastAsia="Arial" w:hAnsi="Arial"/>
                <w:sz w:val="12"/>
                <w:szCs w:val="12"/>
                <w:color w:val="auto"/>
              </w:rPr>
              <w:t>Time-based</w:t>
            </w:r>
          </w:p>
        </w:tc>
        <w:tc>
          <w:tcPr>
            <w:tcW w:w="100" w:type="dxa"/>
            <w:vAlign w:val="bottom"/>
            <w:tcBorders>
              <w:right w:val="single" w:sz="8" w:color="3D85C6"/>
            </w:tcBorders>
            <w:shd w:val="clear" w:color="auto" w:fill="E6E6E6"/>
          </w:tcPr>
          <w:p>
            <w:pPr>
              <w:spacing w:after="0"/>
              <w:rPr>
                <w:sz w:val="9"/>
                <w:szCs w:val="9"/>
                <w:color w:val="auto"/>
              </w:rPr>
            </w:pPr>
          </w:p>
        </w:tc>
        <w:tc>
          <w:tcPr>
            <w:tcW w:w="980" w:type="dxa"/>
            <w:vAlign w:val="bottom"/>
            <w:tcBorders>
              <w:right w:val="single" w:sz="8" w:color="3D85C6"/>
            </w:tcBorders>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98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860" w:type="dxa"/>
            <w:vAlign w:val="bottom"/>
            <w:tcBorders>
              <w:right w:val="single" w:sz="8" w:color="3D85C6"/>
            </w:tcBorders>
            <w:shd w:val="clear" w:color="auto" w:fill="E6E6E6"/>
          </w:tcPr>
          <w:p>
            <w:pPr>
              <w:spacing w:after="0"/>
              <w:rPr>
                <w:sz w:val="9"/>
                <w:szCs w:val="9"/>
                <w:color w:val="auto"/>
              </w:rPr>
            </w:pPr>
          </w:p>
        </w:tc>
        <w:tc>
          <w:tcPr>
            <w:tcW w:w="108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260" w:type="dxa"/>
            <w:vAlign w:val="bottom"/>
            <w:shd w:val="clear" w:color="auto" w:fill="E6E6E6"/>
          </w:tcPr>
          <w:p>
            <w:pPr>
              <w:spacing w:after="0"/>
              <w:rPr>
                <w:sz w:val="9"/>
                <w:szCs w:val="9"/>
                <w:color w:val="auto"/>
              </w:rPr>
            </w:pPr>
          </w:p>
        </w:tc>
        <w:tc>
          <w:tcPr>
            <w:tcW w:w="600" w:type="dxa"/>
            <w:vAlign w:val="bottom"/>
            <w:shd w:val="clear" w:color="auto" w:fill="E6E6E6"/>
          </w:tcPr>
          <w:p>
            <w:pPr>
              <w:spacing w:after="0"/>
              <w:rPr>
                <w:sz w:val="9"/>
                <w:szCs w:val="9"/>
                <w:color w:val="auto"/>
              </w:rPr>
            </w:pPr>
          </w:p>
        </w:tc>
        <w:tc>
          <w:tcPr>
            <w:tcW w:w="10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Borders>
              <w:left w:val="single" w:sz="8" w:color="3D85C6"/>
              <w:bottom w:val="single" w:sz="8" w:color="E6E6E6"/>
              <w:right w:val="single" w:sz="8" w:color="3D85C6"/>
            </w:tcBorders>
            <w:shd w:val="clear" w:color="auto" w:fill="E6E6E6"/>
          </w:tcPr>
          <w:p>
            <w:pPr>
              <w:ind w:left="20"/>
              <w:spacing w:after="0"/>
              <w:rPr>
                <w:sz w:val="20"/>
                <w:szCs w:val="20"/>
                <w:color w:val="auto"/>
              </w:rPr>
            </w:pPr>
            <w:r>
              <w:rPr>
                <w:rFonts w:ascii="Arial" w:cs="Arial" w:eastAsia="Arial" w:hAnsi="Arial"/>
                <w:sz w:val="12"/>
                <w:szCs w:val="12"/>
                <w:color w:val="auto"/>
              </w:rPr>
              <w:t>Ilgenfritz</w:t>
            </w:r>
          </w:p>
        </w:tc>
        <w:tc>
          <w:tcPr>
            <w:tcW w:w="880" w:type="dxa"/>
            <w:vAlign w:val="bottom"/>
            <w:tcBorders>
              <w:bottom w:val="single" w:sz="8" w:color="3D85C6"/>
            </w:tcBorders>
            <w:shd w:val="clear" w:color="auto" w:fill="E6E6E6"/>
          </w:tcPr>
          <w:p>
            <w:pPr>
              <w:ind w:left="140"/>
              <w:spacing w:after="0"/>
              <w:rPr>
                <w:sz w:val="20"/>
                <w:szCs w:val="20"/>
                <w:color w:val="auto"/>
              </w:rPr>
            </w:pPr>
            <w:r>
              <w:rPr>
                <w:rFonts w:ascii="Arial" w:cs="Arial" w:eastAsia="Arial" w:hAnsi="Arial"/>
                <w:sz w:val="12"/>
                <w:szCs w:val="12"/>
                <w:color w:val="auto"/>
              </w:rPr>
              <w:t>RSUs</w:t>
            </w:r>
          </w:p>
        </w:tc>
        <w:tc>
          <w:tcPr>
            <w:tcW w:w="100" w:type="dxa"/>
            <w:vAlign w:val="bottom"/>
            <w:tcBorders>
              <w:bottom w:val="single" w:sz="8" w:color="3D85C6"/>
              <w:right w:val="single" w:sz="8" w:color="3D85C6"/>
            </w:tcBorders>
            <w:shd w:val="clear" w:color="auto" w:fill="E6E6E6"/>
          </w:tcPr>
          <w:p>
            <w:pPr>
              <w:spacing w:after="0"/>
              <w:rPr>
                <w:sz w:val="12"/>
                <w:szCs w:val="12"/>
                <w:color w:val="auto"/>
              </w:rPr>
            </w:pPr>
          </w:p>
        </w:tc>
        <w:tc>
          <w:tcPr>
            <w:tcW w:w="980" w:type="dxa"/>
            <w:vAlign w:val="bottom"/>
            <w:tcBorders>
              <w:bottom w:val="single" w:sz="8" w:color="3D85C6"/>
              <w:right w:val="single" w:sz="8" w:color="3D85C6"/>
            </w:tcBorders>
            <w:shd w:val="clear" w:color="auto" w:fill="E6E6E6"/>
          </w:tcPr>
          <w:p>
            <w:pPr>
              <w:jc w:val="right"/>
              <w:ind w:right="61"/>
              <w:spacing w:after="0"/>
              <w:rPr>
                <w:sz w:val="20"/>
                <w:szCs w:val="20"/>
                <w:color w:val="auto"/>
              </w:rPr>
            </w:pPr>
            <w:r>
              <w:rPr>
                <w:rFonts w:ascii="Arial" w:cs="Arial" w:eastAsia="Arial" w:hAnsi="Arial"/>
                <w:sz w:val="12"/>
                <w:szCs w:val="12"/>
                <w:color w:val="auto"/>
              </w:rPr>
              <w:t>3/11/2025</w:t>
            </w:r>
          </w:p>
        </w:tc>
        <w:tc>
          <w:tcPr>
            <w:tcW w:w="100" w:type="dxa"/>
            <w:vAlign w:val="bottom"/>
            <w:tcBorders>
              <w:bottom w:val="single" w:sz="8" w:color="3D85C6"/>
            </w:tcBorders>
            <w:shd w:val="clear" w:color="auto" w:fill="E6E6E6"/>
          </w:tcPr>
          <w:p>
            <w:pPr>
              <w:spacing w:after="0"/>
              <w:rPr>
                <w:sz w:val="12"/>
                <w:szCs w:val="12"/>
                <w:color w:val="auto"/>
              </w:rPr>
            </w:pPr>
          </w:p>
        </w:tc>
        <w:tc>
          <w:tcPr>
            <w:tcW w:w="980" w:type="dxa"/>
            <w:vAlign w:val="bottom"/>
            <w:tcBorders>
              <w:bottom w:val="single" w:sz="8" w:color="3D85C6"/>
              <w:right w:val="single" w:sz="8" w:color="3D85C6"/>
            </w:tcBorders>
            <w:shd w:val="clear" w:color="auto" w:fill="E6E6E6"/>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3D85C6"/>
            </w:tcBorders>
            <w:shd w:val="clear" w:color="auto" w:fill="E6E6E6"/>
          </w:tcPr>
          <w:p>
            <w:pPr>
              <w:spacing w:after="0"/>
              <w:rPr>
                <w:sz w:val="12"/>
                <w:szCs w:val="12"/>
                <w:color w:val="auto"/>
              </w:rPr>
            </w:pPr>
          </w:p>
        </w:tc>
        <w:tc>
          <w:tcPr>
            <w:tcW w:w="86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3D85C6"/>
              <w:right w:val="single" w:sz="8" w:color="3D85C6"/>
            </w:tcBorders>
            <w:shd w:val="clear" w:color="auto" w:fill="E6E6E6"/>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3D85C6"/>
            </w:tcBorders>
            <w:shd w:val="clear" w:color="auto" w:fill="E6E6E6"/>
          </w:tcPr>
          <w:p>
            <w:pPr>
              <w:spacing w:after="0"/>
              <w:rPr>
                <w:sz w:val="12"/>
                <w:szCs w:val="12"/>
                <w:color w:val="auto"/>
              </w:rPr>
            </w:pPr>
          </w:p>
        </w:tc>
        <w:tc>
          <w:tcPr>
            <w:tcW w:w="700" w:type="dxa"/>
            <w:vAlign w:val="bottom"/>
            <w:tcBorders>
              <w:bottom w:val="single" w:sz="8" w:color="3D85C6"/>
              <w:right w:val="single" w:sz="8" w:color="3D85C6"/>
            </w:tcBorders>
            <w:gridSpan w:val="2"/>
            <w:shd w:val="clear" w:color="auto" w:fill="E6E6E6"/>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61"/>
              <w:spacing w:after="0"/>
              <w:rPr>
                <w:sz w:val="20"/>
                <w:szCs w:val="20"/>
                <w:color w:val="auto"/>
              </w:rPr>
            </w:pPr>
            <w:r>
              <w:rPr>
                <w:rFonts w:ascii="Arial" w:cs="Arial" w:eastAsia="Arial" w:hAnsi="Arial"/>
                <w:sz w:val="12"/>
                <w:szCs w:val="12"/>
                <w:color w:val="auto"/>
              </w:rPr>
              <w:t>15,166</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250,391</w:t>
            </w:r>
          </w:p>
        </w:tc>
        <w:tc>
          <w:tcPr>
            <w:tcW w:w="0" w:type="dxa"/>
            <w:vAlign w:val="bottom"/>
          </w:tcPr>
          <w:p>
            <w:pPr>
              <w:spacing w:after="0"/>
              <w:rPr>
                <w:sz w:val="1"/>
                <w:szCs w:val="1"/>
                <w:color w:val="auto"/>
              </w:rPr>
            </w:pPr>
          </w:p>
        </w:tc>
      </w:tr>
      <w:tr>
        <w:trPr>
          <w:trHeight w:val="105"/>
        </w:trPr>
        <w:tc>
          <w:tcPr>
            <w:tcW w:w="680" w:type="dxa"/>
            <w:vAlign w:val="bottom"/>
            <w:tcBorders>
              <w:left w:val="single" w:sz="8" w:color="3D85C6"/>
              <w:right w:val="single" w:sz="8" w:color="3D85C6"/>
            </w:tcBorders>
            <w:shd w:val="clear" w:color="auto" w:fill="E6E6E6"/>
          </w:tcPr>
          <w:p>
            <w:pPr>
              <w:spacing w:after="0"/>
              <w:rPr>
                <w:sz w:val="9"/>
                <w:szCs w:val="9"/>
                <w:color w:val="auto"/>
              </w:rPr>
            </w:pPr>
          </w:p>
        </w:tc>
        <w:tc>
          <w:tcPr>
            <w:tcW w:w="880" w:type="dxa"/>
            <w:vAlign w:val="bottom"/>
            <w:shd w:val="clear" w:color="auto" w:fill="E6E6E6"/>
          </w:tcPr>
          <w:p>
            <w:pPr>
              <w:ind w:left="140"/>
              <w:spacing w:after="0" w:line="105" w:lineRule="exact"/>
              <w:rPr>
                <w:sz w:val="20"/>
                <w:szCs w:val="20"/>
                <w:color w:val="auto"/>
              </w:rPr>
            </w:pPr>
            <w:r>
              <w:rPr>
                <w:rFonts w:ascii="Arial" w:cs="Arial" w:eastAsia="Arial" w:hAnsi="Arial"/>
                <w:sz w:val="12"/>
                <w:szCs w:val="12"/>
                <w:color w:val="auto"/>
                <w:w w:val="98"/>
              </w:rPr>
              <w:t>Performance-</w:t>
            </w:r>
          </w:p>
        </w:tc>
        <w:tc>
          <w:tcPr>
            <w:tcW w:w="100" w:type="dxa"/>
            <w:vAlign w:val="bottom"/>
            <w:tcBorders>
              <w:right w:val="single" w:sz="8" w:color="3D85C6"/>
            </w:tcBorders>
            <w:shd w:val="clear" w:color="auto" w:fill="E6E6E6"/>
          </w:tcPr>
          <w:p>
            <w:pPr>
              <w:spacing w:after="0"/>
              <w:rPr>
                <w:sz w:val="9"/>
                <w:szCs w:val="9"/>
                <w:color w:val="auto"/>
              </w:rPr>
            </w:pPr>
          </w:p>
        </w:tc>
        <w:tc>
          <w:tcPr>
            <w:tcW w:w="980" w:type="dxa"/>
            <w:vAlign w:val="bottom"/>
            <w:tcBorders>
              <w:right w:val="single" w:sz="8" w:color="3D85C6"/>
            </w:tcBorders>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98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240" w:type="dxa"/>
            <w:vAlign w:val="bottom"/>
            <w:shd w:val="clear" w:color="auto" w:fill="E6E6E6"/>
          </w:tcPr>
          <w:p>
            <w:pPr>
              <w:spacing w:after="0"/>
              <w:rPr>
                <w:sz w:val="9"/>
                <w:szCs w:val="9"/>
                <w:color w:val="auto"/>
              </w:rPr>
            </w:pPr>
          </w:p>
        </w:tc>
        <w:tc>
          <w:tcPr>
            <w:tcW w:w="860" w:type="dxa"/>
            <w:vAlign w:val="bottom"/>
            <w:tcBorders>
              <w:right w:val="single" w:sz="8" w:color="3D85C6"/>
            </w:tcBorders>
            <w:shd w:val="clear" w:color="auto" w:fill="E6E6E6"/>
          </w:tcPr>
          <w:p>
            <w:pPr>
              <w:spacing w:after="0"/>
              <w:rPr>
                <w:sz w:val="9"/>
                <w:szCs w:val="9"/>
                <w:color w:val="auto"/>
              </w:rPr>
            </w:pPr>
          </w:p>
        </w:tc>
        <w:tc>
          <w:tcPr>
            <w:tcW w:w="108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260" w:type="dxa"/>
            <w:vAlign w:val="bottom"/>
            <w:shd w:val="clear" w:color="auto" w:fill="E6E6E6"/>
          </w:tcPr>
          <w:p>
            <w:pPr>
              <w:spacing w:after="0"/>
              <w:rPr>
                <w:sz w:val="9"/>
                <w:szCs w:val="9"/>
                <w:color w:val="auto"/>
              </w:rPr>
            </w:pPr>
          </w:p>
        </w:tc>
        <w:tc>
          <w:tcPr>
            <w:tcW w:w="600" w:type="dxa"/>
            <w:vAlign w:val="bottom"/>
            <w:shd w:val="clear" w:color="auto" w:fill="E6E6E6"/>
          </w:tcPr>
          <w:p>
            <w:pPr>
              <w:spacing w:after="0"/>
              <w:rPr>
                <w:sz w:val="9"/>
                <w:szCs w:val="9"/>
                <w:color w:val="auto"/>
              </w:rPr>
            </w:pPr>
          </w:p>
        </w:tc>
        <w:tc>
          <w:tcPr>
            <w:tcW w:w="10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1100" w:type="dxa"/>
            <w:vAlign w:val="bottom"/>
            <w:tcBorders>
              <w:right w:val="single" w:sz="8" w:color="3D85C6"/>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Borders>
              <w:left w:val="single" w:sz="8" w:color="3D85C6"/>
              <w:bottom w:val="single" w:sz="8" w:color="3D85C6"/>
              <w:right w:val="single" w:sz="8" w:color="3D85C6"/>
            </w:tcBorders>
            <w:shd w:val="clear" w:color="auto" w:fill="E6E6E6"/>
          </w:tcPr>
          <w:p>
            <w:pPr>
              <w:spacing w:after="0"/>
              <w:rPr>
                <w:sz w:val="12"/>
                <w:szCs w:val="12"/>
                <w:color w:val="auto"/>
              </w:rPr>
            </w:pPr>
          </w:p>
        </w:tc>
        <w:tc>
          <w:tcPr>
            <w:tcW w:w="880" w:type="dxa"/>
            <w:vAlign w:val="bottom"/>
            <w:tcBorders>
              <w:bottom w:val="single" w:sz="8" w:color="3D85C6"/>
            </w:tcBorders>
            <w:shd w:val="clear" w:color="auto" w:fill="E6E6E6"/>
          </w:tcPr>
          <w:p>
            <w:pPr>
              <w:ind w:left="140"/>
              <w:spacing w:after="0"/>
              <w:rPr>
                <w:sz w:val="20"/>
                <w:szCs w:val="20"/>
                <w:color w:val="auto"/>
              </w:rPr>
            </w:pPr>
            <w:r>
              <w:rPr>
                <w:rFonts w:ascii="Arial" w:cs="Arial" w:eastAsia="Arial" w:hAnsi="Arial"/>
                <w:sz w:val="12"/>
                <w:szCs w:val="12"/>
                <w:color w:val="auto"/>
              </w:rPr>
              <w:t>based RSUs</w:t>
            </w:r>
          </w:p>
        </w:tc>
        <w:tc>
          <w:tcPr>
            <w:tcW w:w="100" w:type="dxa"/>
            <w:vAlign w:val="bottom"/>
            <w:tcBorders>
              <w:bottom w:val="single" w:sz="8" w:color="3D85C6"/>
              <w:right w:val="single" w:sz="8" w:color="3D85C6"/>
            </w:tcBorders>
            <w:shd w:val="clear" w:color="auto" w:fill="E6E6E6"/>
          </w:tcPr>
          <w:p>
            <w:pPr>
              <w:spacing w:after="0"/>
              <w:rPr>
                <w:sz w:val="12"/>
                <w:szCs w:val="12"/>
                <w:color w:val="auto"/>
              </w:rPr>
            </w:pPr>
          </w:p>
        </w:tc>
        <w:tc>
          <w:tcPr>
            <w:tcW w:w="980" w:type="dxa"/>
            <w:vAlign w:val="bottom"/>
            <w:tcBorders>
              <w:bottom w:val="single" w:sz="8" w:color="3D85C6"/>
              <w:right w:val="single" w:sz="8" w:color="3D85C6"/>
            </w:tcBorders>
            <w:shd w:val="clear" w:color="auto" w:fill="E6E6E6"/>
          </w:tcPr>
          <w:p>
            <w:pPr>
              <w:jc w:val="right"/>
              <w:ind w:right="61"/>
              <w:spacing w:after="0"/>
              <w:rPr>
                <w:sz w:val="20"/>
                <w:szCs w:val="20"/>
                <w:color w:val="auto"/>
              </w:rPr>
            </w:pPr>
            <w:r>
              <w:rPr>
                <w:rFonts w:ascii="Arial" w:cs="Arial" w:eastAsia="Arial" w:hAnsi="Arial"/>
                <w:sz w:val="12"/>
                <w:szCs w:val="12"/>
                <w:color w:val="auto"/>
              </w:rPr>
              <w:t>3/11/2025</w:t>
            </w:r>
          </w:p>
        </w:tc>
        <w:tc>
          <w:tcPr>
            <w:tcW w:w="100" w:type="dxa"/>
            <w:vAlign w:val="bottom"/>
            <w:tcBorders>
              <w:bottom w:val="single" w:sz="8" w:color="3D85C6"/>
            </w:tcBorders>
            <w:shd w:val="clear" w:color="auto" w:fill="E6E6E6"/>
          </w:tcPr>
          <w:p>
            <w:pPr>
              <w:spacing w:after="0"/>
              <w:rPr>
                <w:sz w:val="12"/>
                <w:szCs w:val="12"/>
                <w:color w:val="auto"/>
              </w:rPr>
            </w:pPr>
          </w:p>
        </w:tc>
        <w:tc>
          <w:tcPr>
            <w:tcW w:w="980" w:type="dxa"/>
            <w:vAlign w:val="bottom"/>
            <w:tcBorders>
              <w:bottom w:val="single" w:sz="8" w:color="3D85C6"/>
              <w:right w:val="single" w:sz="8" w:color="3D85C6"/>
            </w:tcBorders>
            <w:shd w:val="clear" w:color="auto" w:fill="E6E6E6"/>
          </w:tcPr>
          <w:p>
            <w:pPr>
              <w:jc w:val="right"/>
              <w:ind w:right="39"/>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3D85C6"/>
            </w:tcBorders>
            <w:shd w:val="clear" w:color="auto" w:fill="E6E6E6"/>
          </w:tcPr>
          <w:p>
            <w:pPr>
              <w:spacing w:after="0"/>
              <w:rPr>
                <w:sz w:val="12"/>
                <w:szCs w:val="12"/>
                <w:color w:val="auto"/>
              </w:rPr>
            </w:pPr>
          </w:p>
        </w:tc>
        <w:tc>
          <w:tcPr>
            <w:tcW w:w="86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3D85C6"/>
              <w:right w:val="single" w:sz="8" w:color="3D85C6"/>
            </w:tcBorders>
            <w:shd w:val="clear" w:color="auto" w:fill="E6E6E6"/>
          </w:tcPr>
          <w:p>
            <w:pPr>
              <w:jc w:val="right"/>
              <w:ind w:right="39"/>
              <w:spacing w:after="0"/>
              <w:rPr>
                <w:sz w:val="20"/>
                <w:szCs w:val="20"/>
                <w:color w:val="auto"/>
              </w:rPr>
            </w:pPr>
            <w:r>
              <w:rPr>
                <w:rFonts w:ascii="Arial" w:cs="Arial" w:eastAsia="Arial" w:hAnsi="Arial"/>
                <w:sz w:val="12"/>
                <w:szCs w:val="12"/>
                <w:color w:val="auto"/>
              </w:rPr>
              <w:t>0</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22,750</w:t>
            </w:r>
          </w:p>
        </w:tc>
        <w:tc>
          <w:tcPr>
            <w:tcW w:w="260" w:type="dxa"/>
            <w:vAlign w:val="bottom"/>
            <w:tcBorders>
              <w:bottom w:val="single" w:sz="8" w:color="3D85C6"/>
            </w:tcBorders>
            <w:shd w:val="clear" w:color="auto" w:fill="E6E6E6"/>
          </w:tcPr>
          <w:p>
            <w:pPr>
              <w:spacing w:after="0"/>
              <w:rPr>
                <w:sz w:val="12"/>
                <w:szCs w:val="12"/>
                <w:color w:val="auto"/>
              </w:rPr>
            </w:pPr>
          </w:p>
        </w:tc>
        <w:tc>
          <w:tcPr>
            <w:tcW w:w="700" w:type="dxa"/>
            <w:vAlign w:val="bottom"/>
            <w:tcBorders>
              <w:bottom w:val="single" w:sz="8" w:color="3D85C6"/>
              <w:right w:val="single" w:sz="8" w:color="3D85C6"/>
            </w:tcBorders>
            <w:gridSpan w:val="2"/>
            <w:shd w:val="clear" w:color="auto" w:fill="E6E6E6"/>
          </w:tcPr>
          <w:p>
            <w:pPr>
              <w:jc w:val="right"/>
              <w:ind w:right="100"/>
              <w:spacing w:after="0"/>
              <w:rPr>
                <w:sz w:val="20"/>
                <w:szCs w:val="20"/>
                <w:color w:val="auto"/>
              </w:rPr>
            </w:pPr>
            <w:r>
              <w:rPr>
                <w:rFonts w:ascii="Arial" w:cs="Arial" w:eastAsia="Arial" w:hAnsi="Arial"/>
                <w:sz w:val="12"/>
                <w:szCs w:val="12"/>
                <w:color w:val="auto"/>
              </w:rPr>
              <w:t>45,500</w:t>
            </w:r>
          </w:p>
        </w:tc>
        <w:tc>
          <w:tcPr>
            <w:tcW w:w="1100" w:type="dxa"/>
            <w:vAlign w:val="bottom"/>
            <w:tcBorders>
              <w:bottom w:val="single" w:sz="8" w:color="3D85C6"/>
              <w:right w:val="single" w:sz="8" w:color="3D85C6"/>
            </w:tcBorders>
            <w:shd w:val="clear" w:color="auto" w:fill="E6E6E6"/>
          </w:tcPr>
          <w:p>
            <w:pPr>
              <w:jc w:val="right"/>
              <w:ind w:right="61"/>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3D85C6"/>
              <w:right w:val="single" w:sz="8" w:color="3D85C6"/>
            </w:tcBorders>
            <w:shd w:val="clear" w:color="auto" w:fill="E6E6E6"/>
          </w:tcPr>
          <w:p>
            <w:pPr>
              <w:jc w:val="right"/>
              <w:ind w:right="59"/>
              <w:spacing w:after="0"/>
              <w:rPr>
                <w:sz w:val="20"/>
                <w:szCs w:val="20"/>
                <w:color w:val="auto"/>
              </w:rPr>
            </w:pPr>
            <w:r>
              <w:rPr>
                <w:rFonts w:ascii="Arial" w:cs="Arial" w:eastAsia="Arial" w:hAnsi="Arial"/>
                <w:sz w:val="12"/>
                <w:szCs w:val="12"/>
                <w:color w:val="auto"/>
              </w:rPr>
              <w:t>297,798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right="40" w:hanging="316"/>
        <w:spacing w:after="0" w:line="236" w:lineRule="auto"/>
        <w:tabs>
          <w:tab w:leader="none" w:pos="3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Amounts shown are estimated possible payouts for fiscal year 2025 under the executive cash incentive plan. These amounts are based on the individual’s 2025 base salary amounts, and position. The maximum amount shown is 200% of the target amount for each of the NEOs. Actual cash incentives received by the NEOs for 2025 are reported in the Summary Compensation Table under the column entitled “Non-Equity Incentive Plan Compensation.” Amounts earned by our NEOs for performance in 2025 are based on the attainment of performance goals for both Cohu and the individual NEO, as described in more detail in “Annual Cash Incentives” in the CD&amp;A above.</w:t>
      </w:r>
    </w:p>
    <w:p>
      <w:pPr>
        <w:spacing w:after="0" w:line="2" w:lineRule="exact"/>
        <w:rPr>
          <w:rFonts w:ascii="Arial" w:cs="Arial" w:eastAsia="Arial" w:hAnsi="Arial"/>
          <w:sz w:val="14"/>
          <w:szCs w:val="14"/>
          <w:color w:val="auto"/>
        </w:rPr>
      </w:pPr>
    </w:p>
    <w:p>
      <w:pPr>
        <w:ind w:left="320" w:right="140" w:hanging="316"/>
        <w:spacing w:after="0" w:line="232" w:lineRule="auto"/>
        <w:tabs>
          <w:tab w:leader="none" w:pos="3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PSU awards granted to our NEOs in 2025 are subject to certain adjustments resulting from the performance of our total stockholder return (“TSR”) relative to a pre-selected comparator group over the three-year period following the date of grant. The PSU awards granted in 2025 may be earned and vest 100% on the third anniversary of the date of grant.</w:t>
      </w:r>
    </w:p>
    <w:p>
      <w:pPr>
        <w:ind w:left="320" w:right="700" w:hanging="316"/>
        <w:spacing w:after="0" w:line="232" w:lineRule="auto"/>
        <w:tabs>
          <w:tab w:leader="none" w:pos="3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amounts reflect the number of RSUs awarded to each NEO under the 2005 Plan. The RSU awards granted to our NEOs in 2025 vest ratably in three equal annual installments over three years following the date of grant.</w:t>
      </w:r>
    </w:p>
    <w:p>
      <w:pPr>
        <w:ind w:left="320" w:right="80" w:hanging="316"/>
        <w:spacing w:after="0" w:line="244" w:lineRule="auto"/>
        <w:tabs>
          <w:tab w:leader="none" w:pos="32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The amounts shown are the grant date fair value for stock awards granted in 2025. The assumptions used to calculate the grant date fair value of the awards are set forth in Note 6, “Employee Benefit Plans”, included in Part IV, Item 15(a) of Cohu’s Annual Report on Form 10-K for the year ended December 27, 2025, filed with the SEC.</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0" w:name="page111"/>
    <w:bookmarkEnd w:id="110"/>
    <w:p>
      <w:pPr>
        <w:spacing w:after="0"/>
        <w:rPr>
          <w:sz w:val="20"/>
          <w:szCs w:val="20"/>
          <w:color w:val="auto"/>
        </w:rPr>
      </w:pPr>
      <w:r>
        <w:rPr>
          <w:rFonts w:ascii="Arial" w:cs="Arial" w:eastAsia="Arial" w:hAnsi="Arial"/>
          <w:sz w:val="19"/>
          <w:szCs w:val="19"/>
          <w:b w:val="1"/>
          <w:bCs w:val="1"/>
          <w:color w:val="auto"/>
        </w:rPr>
        <w:t>Outstanding Equity Awards on December 27, 2025 Table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all outstanding equity awards held by our NEOs at the end of 2025, which ended on December 27, 2025.</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2300" w:type="dxa"/>
            <w:vAlign w:val="bottom"/>
            <w:tcBorders>
              <w:top w:val="single" w:sz="8" w:color="3D85C6"/>
              <w:left w:val="single" w:sz="8" w:color="3D85C6"/>
              <w:right w:val="single" w:sz="8" w:color="3D85C6"/>
            </w:tcBorders>
            <w:shd w:val="clear" w:color="auto" w:fill="2D53A6"/>
          </w:tcPr>
          <w:p>
            <w:pPr>
              <w:spacing w:after="0"/>
              <w:rPr>
                <w:sz w:val="15"/>
                <w:szCs w:val="15"/>
                <w:color w:val="auto"/>
              </w:rPr>
            </w:pPr>
          </w:p>
        </w:tc>
        <w:tc>
          <w:tcPr>
            <w:tcW w:w="2220" w:type="dxa"/>
            <w:vAlign w:val="bottom"/>
            <w:tcBorders>
              <w:top w:val="single" w:sz="8" w:color="2D53A6"/>
            </w:tcBorders>
            <w:shd w:val="clear" w:color="auto" w:fill="2D53A6"/>
          </w:tcPr>
          <w:p>
            <w:pPr>
              <w:spacing w:after="0"/>
              <w:rPr>
                <w:sz w:val="15"/>
                <w:szCs w:val="15"/>
                <w:color w:val="auto"/>
              </w:rPr>
            </w:pPr>
          </w:p>
        </w:tc>
        <w:tc>
          <w:tcPr>
            <w:tcW w:w="120" w:type="dxa"/>
            <w:vAlign w:val="bottom"/>
            <w:tcBorders>
              <w:top w:val="single" w:sz="8" w:color="2D53A6"/>
              <w:right w:val="single" w:sz="8" w:color="2D53A6"/>
            </w:tcBorders>
            <w:shd w:val="clear" w:color="auto" w:fill="2D53A6"/>
          </w:tcPr>
          <w:p>
            <w:pPr>
              <w:spacing w:after="0"/>
              <w:rPr>
                <w:sz w:val="15"/>
                <w:szCs w:val="15"/>
                <w:color w:val="auto"/>
              </w:rPr>
            </w:pPr>
          </w:p>
        </w:tc>
        <w:tc>
          <w:tcPr>
            <w:tcW w:w="120" w:type="dxa"/>
            <w:vAlign w:val="bottom"/>
            <w:tcBorders>
              <w:top w:val="single" w:sz="8" w:color="2D53A6"/>
            </w:tcBorders>
            <w:shd w:val="clear" w:color="auto" w:fill="2D53A6"/>
          </w:tcPr>
          <w:p>
            <w:pPr>
              <w:spacing w:after="0"/>
              <w:rPr>
                <w:sz w:val="15"/>
                <w:szCs w:val="15"/>
                <w:color w:val="auto"/>
              </w:rPr>
            </w:pPr>
          </w:p>
        </w:tc>
        <w:tc>
          <w:tcPr>
            <w:tcW w:w="3200" w:type="dxa"/>
            <w:vAlign w:val="bottom"/>
            <w:tcBorders>
              <w:top w:val="single" w:sz="8" w:color="2D53A6"/>
              <w:right w:val="single" w:sz="8" w:color="2D53A6"/>
            </w:tcBorders>
            <w:gridSpan w:val="2"/>
            <w:shd w:val="clear" w:color="auto" w:fill="2D53A6"/>
          </w:tcPr>
          <w:p>
            <w:pPr>
              <w:jc w:val="right"/>
              <w:ind w:right="631"/>
              <w:spacing w:after="0"/>
              <w:rPr>
                <w:sz w:val="20"/>
                <w:szCs w:val="20"/>
                <w:color w:val="auto"/>
              </w:rPr>
            </w:pPr>
            <w:r>
              <w:rPr>
                <w:rFonts w:ascii="Arial" w:cs="Arial" w:eastAsia="Arial" w:hAnsi="Arial"/>
                <w:sz w:val="14"/>
                <w:szCs w:val="14"/>
                <w:b w:val="1"/>
                <w:bCs w:val="1"/>
                <w:color w:val="FFFFFF"/>
              </w:rPr>
              <w:t>STOCK AWARDS</w:t>
            </w:r>
          </w:p>
        </w:tc>
        <w:tc>
          <w:tcPr>
            <w:tcW w:w="1640" w:type="dxa"/>
            <w:vAlign w:val="bottom"/>
            <w:tcBorders>
              <w:top w:val="single" w:sz="8" w:color="2D53A6"/>
              <w:right w:val="single" w:sz="8" w:color="2D53A6"/>
            </w:tcBorders>
            <w:shd w:val="clear" w:color="auto" w:fill="2D53A6"/>
          </w:tcPr>
          <w:p>
            <w:pPr>
              <w:spacing w:after="0"/>
              <w:rPr>
                <w:sz w:val="15"/>
                <w:szCs w:val="15"/>
                <w:color w:val="auto"/>
              </w:rPr>
            </w:pPr>
          </w:p>
        </w:tc>
        <w:tc>
          <w:tcPr>
            <w:tcW w:w="1660" w:type="dxa"/>
            <w:vAlign w:val="bottom"/>
            <w:tcBorders>
              <w:top w:val="single" w:sz="8" w:color="2D53A6"/>
              <w:right w:val="single" w:sz="8" w:color="2D53A6"/>
            </w:tcBorders>
            <w:shd w:val="clear" w:color="auto" w:fill="2D53A6"/>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300" w:type="dxa"/>
            <w:vAlign w:val="bottom"/>
            <w:tcBorders>
              <w:left w:val="single" w:sz="8" w:color="3D85C6"/>
              <w:right w:val="single" w:sz="8" w:color="3D85C6"/>
            </w:tcBorders>
            <w:shd w:val="clear" w:color="auto" w:fill="2D53A6"/>
          </w:tcPr>
          <w:p>
            <w:pPr>
              <w:spacing w:after="0"/>
              <w:rPr>
                <w:sz w:val="13"/>
                <w:szCs w:val="13"/>
                <w:color w:val="auto"/>
              </w:rPr>
            </w:pPr>
          </w:p>
        </w:tc>
        <w:tc>
          <w:tcPr>
            <w:tcW w:w="2220" w:type="dxa"/>
            <w:vAlign w:val="bottom"/>
            <w:shd w:val="clear" w:color="auto" w:fill="2D53A6"/>
          </w:tcPr>
          <w:p>
            <w:pPr>
              <w:spacing w:after="0"/>
              <w:rPr>
                <w:sz w:val="13"/>
                <w:szCs w:val="13"/>
                <w:color w:val="auto"/>
              </w:rPr>
            </w:pPr>
          </w:p>
        </w:tc>
        <w:tc>
          <w:tcPr>
            <w:tcW w:w="120" w:type="dxa"/>
            <w:vAlign w:val="bottom"/>
            <w:tcBorders>
              <w:right w:val="single" w:sz="8" w:color="3D85C6"/>
            </w:tcBorders>
            <w:shd w:val="clear" w:color="auto" w:fill="2D53A6"/>
          </w:tcPr>
          <w:p>
            <w:pPr>
              <w:spacing w:after="0"/>
              <w:rPr>
                <w:sz w:val="13"/>
                <w:szCs w:val="13"/>
                <w:color w:val="auto"/>
              </w:rPr>
            </w:pPr>
          </w:p>
        </w:tc>
        <w:tc>
          <w:tcPr>
            <w:tcW w:w="120" w:type="dxa"/>
            <w:vAlign w:val="bottom"/>
            <w:shd w:val="clear" w:color="auto" w:fill="2D53A6"/>
          </w:tcPr>
          <w:p>
            <w:pPr>
              <w:spacing w:after="0"/>
              <w:rPr>
                <w:sz w:val="13"/>
                <w:szCs w:val="13"/>
                <w:color w:val="auto"/>
              </w:rPr>
            </w:pPr>
          </w:p>
        </w:tc>
        <w:tc>
          <w:tcPr>
            <w:tcW w:w="1640" w:type="dxa"/>
            <w:vAlign w:val="bottom"/>
            <w:tcBorders>
              <w:right w:val="single" w:sz="8" w:color="3D85C6"/>
            </w:tcBorders>
            <w:shd w:val="clear" w:color="auto" w:fill="2D53A6"/>
          </w:tcPr>
          <w:p>
            <w:pPr>
              <w:spacing w:after="0"/>
              <w:rPr>
                <w:sz w:val="13"/>
                <w:szCs w:val="13"/>
                <w:color w:val="auto"/>
              </w:rPr>
            </w:pPr>
          </w:p>
        </w:tc>
        <w:tc>
          <w:tcPr>
            <w:tcW w:w="1560" w:type="dxa"/>
            <w:vAlign w:val="bottom"/>
            <w:tcBorders>
              <w:right w:val="single" w:sz="8" w:color="3D85C6"/>
            </w:tcBorders>
            <w:shd w:val="clear" w:color="auto" w:fill="2D53A6"/>
          </w:tcPr>
          <w:p>
            <w:pPr>
              <w:spacing w:after="0"/>
              <w:rPr>
                <w:sz w:val="13"/>
                <w:szCs w:val="13"/>
                <w:color w:val="auto"/>
              </w:rPr>
            </w:pPr>
          </w:p>
        </w:tc>
        <w:tc>
          <w:tcPr>
            <w:tcW w:w="164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1660" w:type="dxa"/>
            <w:vAlign w:val="bottom"/>
            <w:tcBorders>
              <w:right w:val="single" w:sz="8" w:color="2D53A6"/>
            </w:tcBorders>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78"/>
        </w:trPr>
        <w:tc>
          <w:tcPr>
            <w:tcW w:w="2300" w:type="dxa"/>
            <w:vAlign w:val="bottom"/>
            <w:tcBorders>
              <w:left w:val="single" w:sz="8" w:color="3D85C6"/>
              <w:right w:val="single" w:sz="8" w:color="3D85C6"/>
            </w:tcBorders>
            <w:shd w:val="clear" w:color="auto" w:fill="2D53A6"/>
          </w:tcPr>
          <w:p>
            <w:pPr>
              <w:spacing w:after="0"/>
              <w:rPr>
                <w:sz w:val="6"/>
                <w:szCs w:val="6"/>
                <w:color w:val="auto"/>
              </w:rPr>
            </w:pPr>
          </w:p>
        </w:tc>
        <w:tc>
          <w:tcPr>
            <w:tcW w:w="2220" w:type="dxa"/>
            <w:vAlign w:val="bottom"/>
            <w:shd w:val="clear" w:color="auto" w:fill="2D53A6"/>
          </w:tcPr>
          <w:p>
            <w:pPr>
              <w:spacing w:after="0"/>
              <w:rPr>
                <w:sz w:val="6"/>
                <w:szCs w:val="6"/>
                <w:color w:val="auto"/>
              </w:rPr>
            </w:pPr>
          </w:p>
        </w:tc>
        <w:tc>
          <w:tcPr>
            <w:tcW w:w="120" w:type="dxa"/>
            <w:vAlign w:val="bottom"/>
            <w:tcBorders>
              <w:right w:val="single" w:sz="8" w:color="3D85C6"/>
            </w:tcBorders>
            <w:shd w:val="clear" w:color="auto" w:fill="2D53A6"/>
          </w:tcPr>
          <w:p>
            <w:pPr>
              <w:spacing w:after="0"/>
              <w:rPr>
                <w:sz w:val="6"/>
                <w:szCs w:val="6"/>
                <w:color w:val="auto"/>
              </w:rPr>
            </w:pPr>
          </w:p>
        </w:tc>
        <w:tc>
          <w:tcPr>
            <w:tcW w:w="120" w:type="dxa"/>
            <w:vAlign w:val="bottom"/>
            <w:shd w:val="clear" w:color="auto" w:fill="2D53A6"/>
          </w:tcPr>
          <w:p>
            <w:pPr>
              <w:spacing w:after="0"/>
              <w:rPr>
                <w:sz w:val="6"/>
                <w:szCs w:val="6"/>
                <w:color w:val="auto"/>
              </w:rPr>
            </w:pPr>
          </w:p>
        </w:tc>
        <w:tc>
          <w:tcPr>
            <w:tcW w:w="1640" w:type="dxa"/>
            <w:vAlign w:val="bottom"/>
            <w:tcBorders>
              <w:right w:val="single" w:sz="8" w:color="3D85C6"/>
            </w:tcBorders>
            <w:shd w:val="clear" w:color="auto" w:fill="2D53A6"/>
          </w:tcPr>
          <w:p>
            <w:pPr>
              <w:spacing w:after="0"/>
              <w:rPr>
                <w:sz w:val="6"/>
                <w:szCs w:val="6"/>
                <w:color w:val="auto"/>
              </w:rPr>
            </w:pPr>
          </w:p>
        </w:tc>
        <w:tc>
          <w:tcPr>
            <w:tcW w:w="1560" w:type="dxa"/>
            <w:vAlign w:val="bottom"/>
            <w:tcBorders>
              <w:right w:val="single" w:sz="8" w:color="3D85C6"/>
            </w:tcBorders>
            <w:shd w:val="clear" w:color="auto" w:fill="2D53A6"/>
          </w:tcPr>
          <w:p>
            <w:pPr>
              <w:spacing w:after="0"/>
              <w:rPr>
                <w:sz w:val="6"/>
                <w:szCs w:val="6"/>
                <w:color w:val="auto"/>
              </w:rPr>
            </w:pPr>
          </w:p>
        </w:tc>
        <w:tc>
          <w:tcPr>
            <w:tcW w:w="1640" w:type="dxa"/>
            <w:vAlign w:val="bottom"/>
            <w:tcBorders>
              <w:right w:val="single" w:sz="8" w:color="3D85C6"/>
            </w:tcBorders>
            <w:vMerge w:val="continue"/>
            <w:shd w:val="clear" w:color="auto" w:fill="2D53A6"/>
          </w:tcPr>
          <w:p>
            <w:pPr>
              <w:spacing w:after="0"/>
              <w:rPr>
                <w:sz w:val="6"/>
                <w:szCs w:val="6"/>
                <w:color w:val="auto"/>
              </w:rPr>
            </w:pPr>
          </w:p>
        </w:tc>
        <w:tc>
          <w:tcPr>
            <w:tcW w:w="1660" w:type="dxa"/>
            <w:vAlign w:val="bottom"/>
            <w:tcBorders>
              <w:right w:val="single" w:sz="8" w:color="2D53A6"/>
            </w:tcBorders>
            <w:vMerge w:val="restart"/>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Incentive</w:t>
            </w:r>
          </w:p>
        </w:tc>
        <w:tc>
          <w:tcPr>
            <w:tcW w:w="0" w:type="dxa"/>
            <w:vAlign w:val="bottom"/>
          </w:tcPr>
          <w:p>
            <w:pPr>
              <w:spacing w:after="0"/>
              <w:rPr>
                <w:sz w:val="1"/>
                <w:szCs w:val="1"/>
                <w:color w:val="auto"/>
              </w:rPr>
            </w:pPr>
          </w:p>
        </w:tc>
      </w:tr>
      <w:tr>
        <w:trPr>
          <w:trHeight w:val="78"/>
        </w:trPr>
        <w:tc>
          <w:tcPr>
            <w:tcW w:w="2300" w:type="dxa"/>
            <w:vAlign w:val="bottom"/>
            <w:tcBorders>
              <w:left w:val="single" w:sz="8" w:color="3D85C6"/>
              <w:right w:val="single" w:sz="8" w:color="3D85C6"/>
            </w:tcBorders>
            <w:shd w:val="clear" w:color="auto" w:fill="2D53A6"/>
          </w:tcPr>
          <w:p>
            <w:pPr>
              <w:spacing w:after="0"/>
              <w:rPr>
                <w:sz w:val="6"/>
                <w:szCs w:val="6"/>
                <w:color w:val="auto"/>
              </w:rPr>
            </w:pPr>
          </w:p>
        </w:tc>
        <w:tc>
          <w:tcPr>
            <w:tcW w:w="2220" w:type="dxa"/>
            <w:vAlign w:val="bottom"/>
            <w:shd w:val="clear" w:color="auto" w:fill="2D53A6"/>
          </w:tcPr>
          <w:p>
            <w:pPr>
              <w:spacing w:after="0"/>
              <w:rPr>
                <w:sz w:val="6"/>
                <w:szCs w:val="6"/>
                <w:color w:val="auto"/>
              </w:rPr>
            </w:pPr>
          </w:p>
        </w:tc>
        <w:tc>
          <w:tcPr>
            <w:tcW w:w="120" w:type="dxa"/>
            <w:vAlign w:val="bottom"/>
            <w:tcBorders>
              <w:right w:val="single" w:sz="8" w:color="3D85C6"/>
            </w:tcBorders>
            <w:shd w:val="clear" w:color="auto" w:fill="2D53A6"/>
          </w:tcPr>
          <w:p>
            <w:pPr>
              <w:spacing w:after="0"/>
              <w:rPr>
                <w:sz w:val="6"/>
                <w:szCs w:val="6"/>
                <w:color w:val="auto"/>
              </w:rPr>
            </w:pPr>
          </w:p>
        </w:tc>
        <w:tc>
          <w:tcPr>
            <w:tcW w:w="120" w:type="dxa"/>
            <w:vAlign w:val="bottom"/>
            <w:shd w:val="clear" w:color="auto" w:fill="2D53A6"/>
          </w:tcPr>
          <w:p>
            <w:pPr>
              <w:spacing w:after="0"/>
              <w:rPr>
                <w:sz w:val="6"/>
                <w:szCs w:val="6"/>
                <w:color w:val="auto"/>
              </w:rPr>
            </w:pPr>
          </w:p>
        </w:tc>
        <w:tc>
          <w:tcPr>
            <w:tcW w:w="1640" w:type="dxa"/>
            <w:vAlign w:val="bottom"/>
            <w:tcBorders>
              <w:right w:val="single" w:sz="8" w:color="3D85C6"/>
            </w:tcBorders>
            <w:shd w:val="clear" w:color="auto" w:fill="2D53A6"/>
          </w:tcPr>
          <w:p>
            <w:pPr>
              <w:spacing w:after="0"/>
              <w:rPr>
                <w:sz w:val="6"/>
                <w:szCs w:val="6"/>
                <w:color w:val="auto"/>
              </w:rPr>
            </w:pPr>
          </w:p>
        </w:tc>
        <w:tc>
          <w:tcPr>
            <w:tcW w:w="1560" w:type="dxa"/>
            <w:vAlign w:val="bottom"/>
            <w:tcBorders>
              <w:right w:val="single" w:sz="8" w:color="3D85C6"/>
            </w:tcBorders>
            <w:shd w:val="clear" w:color="auto" w:fill="2D53A6"/>
          </w:tcPr>
          <w:p>
            <w:pPr>
              <w:spacing w:after="0"/>
              <w:rPr>
                <w:sz w:val="6"/>
                <w:szCs w:val="6"/>
                <w:color w:val="auto"/>
              </w:rPr>
            </w:pPr>
          </w:p>
        </w:tc>
        <w:tc>
          <w:tcPr>
            <w:tcW w:w="1640" w:type="dxa"/>
            <w:vAlign w:val="bottom"/>
            <w:tcBorders>
              <w:right w:val="single" w:sz="8" w:color="3D85C6"/>
            </w:tcBorders>
            <w:vMerge w:val="restart"/>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Incentive</w:t>
            </w:r>
          </w:p>
        </w:tc>
        <w:tc>
          <w:tcPr>
            <w:tcW w:w="1660" w:type="dxa"/>
            <w:vAlign w:val="bottom"/>
            <w:tcBorders>
              <w:right w:val="single" w:sz="8" w:color="2D53A6"/>
            </w:tcBorders>
            <w:vMerge w:val="continue"/>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300" w:type="dxa"/>
            <w:vAlign w:val="bottom"/>
            <w:tcBorders>
              <w:left w:val="single" w:sz="8" w:color="3D85C6"/>
              <w:right w:val="single" w:sz="8" w:color="3D85C6"/>
            </w:tcBorders>
            <w:shd w:val="clear" w:color="auto" w:fill="2D53A6"/>
          </w:tcPr>
          <w:p>
            <w:pPr>
              <w:spacing w:after="0"/>
              <w:rPr>
                <w:sz w:val="6"/>
                <w:szCs w:val="6"/>
                <w:color w:val="auto"/>
              </w:rPr>
            </w:pPr>
          </w:p>
        </w:tc>
        <w:tc>
          <w:tcPr>
            <w:tcW w:w="2220" w:type="dxa"/>
            <w:vAlign w:val="bottom"/>
            <w:shd w:val="clear" w:color="auto" w:fill="2D53A6"/>
          </w:tcPr>
          <w:p>
            <w:pPr>
              <w:spacing w:after="0"/>
              <w:rPr>
                <w:sz w:val="6"/>
                <w:szCs w:val="6"/>
                <w:color w:val="auto"/>
              </w:rPr>
            </w:pPr>
          </w:p>
        </w:tc>
        <w:tc>
          <w:tcPr>
            <w:tcW w:w="120" w:type="dxa"/>
            <w:vAlign w:val="bottom"/>
            <w:tcBorders>
              <w:right w:val="single" w:sz="8" w:color="3D85C6"/>
            </w:tcBorders>
            <w:shd w:val="clear" w:color="auto" w:fill="2D53A6"/>
          </w:tcPr>
          <w:p>
            <w:pPr>
              <w:spacing w:after="0"/>
              <w:rPr>
                <w:sz w:val="6"/>
                <w:szCs w:val="6"/>
                <w:color w:val="auto"/>
              </w:rPr>
            </w:pPr>
          </w:p>
        </w:tc>
        <w:tc>
          <w:tcPr>
            <w:tcW w:w="120" w:type="dxa"/>
            <w:vAlign w:val="bottom"/>
            <w:shd w:val="clear" w:color="auto" w:fill="2D53A6"/>
          </w:tcPr>
          <w:p>
            <w:pPr>
              <w:spacing w:after="0"/>
              <w:rPr>
                <w:sz w:val="6"/>
                <w:szCs w:val="6"/>
                <w:color w:val="auto"/>
              </w:rPr>
            </w:pPr>
          </w:p>
        </w:tc>
        <w:tc>
          <w:tcPr>
            <w:tcW w:w="1640" w:type="dxa"/>
            <w:vAlign w:val="bottom"/>
            <w:tcBorders>
              <w:right w:val="single" w:sz="8" w:color="3D85C6"/>
            </w:tcBorders>
            <w:shd w:val="clear" w:color="auto" w:fill="2D53A6"/>
          </w:tcPr>
          <w:p>
            <w:pPr>
              <w:spacing w:after="0"/>
              <w:rPr>
                <w:sz w:val="6"/>
                <w:szCs w:val="6"/>
                <w:color w:val="auto"/>
              </w:rPr>
            </w:pPr>
          </w:p>
        </w:tc>
        <w:tc>
          <w:tcPr>
            <w:tcW w:w="1560" w:type="dxa"/>
            <w:vAlign w:val="bottom"/>
            <w:tcBorders>
              <w:right w:val="single" w:sz="8" w:color="3D85C6"/>
            </w:tcBorders>
            <w:shd w:val="clear" w:color="auto" w:fill="2D53A6"/>
          </w:tcPr>
          <w:p>
            <w:pPr>
              <w:spacing w:after="0"/>
              <w:rPr>
                <w:sz w:val="6"/>
                <w:szCs w:val="6"/>
                <w:color w:val="auto"/>
              </w:rPr>
            </w:pPr>
          </w:p>
        </w:tc>
        <w:tc>
          <w:tcPr>
            <w:tcW w:w="1640" w:type="dxa"/>
            <w:vAlign w:val="bottom"/>
            <w:tcBorders>
              <w:right w:val="single" w:sz="8" w:color="3D85C6"/>
            </w:tcBorders>
            <w:vMerge w:val="continue"/>
            <w:shd w:val="clear" w:color="auto" w:fill="2D53A6"/>
          </w:tcPr>
          <w:p>
            <w:pPr>
              <w:spacing w:after="0"/>
              <w:rPr>
                <w:sz w:val="6"/>
                <w:szCs w:val="6"/>
                <w:color w:val="auto"/>
              </w:rPr>
            </w:pPr>
          </w:p>
        </w:tc>
        <w:tc>
          <w:tcPr>
            <w:tcW w:w="1660" w:type="dxa"/>
            <w:vAlign w:val="bottom"/>
            <w:tcBorders>
              <w:right w:val="single" w:sz="8" w:color="2D53A6"/>
            </w:tcBorders>
            <w:vMerge w:val="restart"/>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Plan Awards:</w:t>
            </w:r>
          </w:p>
        </w:tc>
        <w:tc>
          <w:tcPr>
            <w:tcW w:w="0" w:type="dxa"/>
            <w:vAlign w:val="bottom"/>
          </w:tcPr>
          <w:p>
            <w:pPr>
              <w:spacing w:after="0"/>
              <w:rPr>
                <w:sz w:val="1"/>
                <w:szCs w:val="1"/>
                <w:color w:val="auto"/>
              </w:rPr>
            </w:pPr>
          </w:p>
        </w:tc>
      </w:tr>
      <w:tr>
        <w:trPr>
          <w:trHeight w:val="78"/>
        </w:trPr>
        <w:tc>
          <w:tcPr>
            <w:tcW w:w="2300" w:type="dxa"/>
            <w:vAlign w:val="bottom"/>
            <w:tcBorders>
              <w:left w:val="single" w:sz="8" w:color="3D85C6"/>
              <w:right w:val="single" w:sz="8" w:color="3D85C6"/>
            </w:tcBorders>
            <w:shd w:val="clear" w:color="auto" w:fill="2D53A6"/>
          </w:tcPr>
          <w:p>
            <w:pPr>
              <w:spacing w:after="0"/>
              <w:rPr>
                <w:sz w:val="6"/>
                <w:szCs w:val="6"/>
                <w:color w:val="auto"/>
              </w:rPr>
            </w:pPr>
          </w:p>
        </w:tc>
        <w:tc>
          <w:tcPr>
            <w:tcW w:w="2220" w:type="dxa"/>
            <w:vAlign w:val="bottom"/>
            <w:shd w:val="clear" w:color="auto" w:fill="2D53A6"/>
          </w:tcPr>
          <w:p>
            <w:pPr>
              <w:spacing w:after="0"/>
              <w:rPr>
                <w:sz w:val="6"/>
                <w:szCs w:val="6"/>
                <w:color w:val="auto"/>
              </w:rPr>
            </w:pPr>
          </w:p>
        </w:tc>
        <w:tc>
          <w:tcPr>
            <w:tcW w:w="120" w:type="dxa"/>
            <w:vAlign w:val="bottom"/>
            <w:tcBorders>
              <w:right w:val="single" w:sz="8" w:color="3D85C6"/>
            </w:tcBorders>
            <w:shd w:val="clear" w:color="auto" w:fill="2D53A6"/>
          </w:tcPr>
          <w:p>
            <w:pPr>
              <w:spacing w:after="0"/>
              <w:rPr>
                <w:sz w:val="6"/>
                <w:szCs w:val="6"/>
                <w:color w:val="auto"/>
              </w:rPr>
            </w:pPr>
          </w:p>
        </w:tc>
        <w:tc>
          <w:tcPr>
            <w:tcW w:w="120" w:type="dxa"/>
            <w:vAlign w:val="bottom"/>
            <w:shd w:val="clear" w:color="auto" w:fill="2D53A6"/>
          </w:tcPr>
          <w:p>
            <w:pPr>
              <w:spacing w:after="0"/>
              <w:rPr>
                <w:sz w:val="6"/>
                <w:szCs w:val="6"/>
                <w:color w:val="auto"/>
              </w:rPr>
            </w:pPr>
          </w:p>
        </w:tc>
        <w:tc>
          <w:tcPr>
            <w:tcW w:w="1640" w:type="dxa"/>
            <w:vAlign w:val="bottom"/>
            <w:tcBorders>
              <w:right w:val="single" w:sz="8" w:color="3D85C6"/>
            </w:tcBorders>
            <w:vMerge w:val="restart"/>
            <w:shd w:val="clear" w:color="auto" w:fill="2D53A6"/>
          </w:tcPr>
          <w:p>
            <w:pPr>
              <w:jc w:val="center"/>
              <w:ind w:right="337"/>
              <w:spacing w:after="0" w:line="156" w:lineRule="exact"/>
              <w:rPr>
                <w:sz w:val="20"/>
                <w:szCs w:val="20"/>
                <w:color w:val="auto"/>
              </w:rPr>
            </w:pPr>
            <w:r>
              <w:rPr>
                <w:rFonts w:ascii="Arial" w:cs="Arial" w:eastAsia="Arial" w:hAnsi="Arial"/>
                <w:sz w:val="14"/>
                <w:szCs w:val="14"/>
                <w:b w:val="1"/>
                <w:bCs w:val="1"/>
                <w:color w:val="FFFFFF"/>
                <w:w w:val="98"/>
              </w:rPr>
              <w:t>Number</w:t>
            </w:r>
          </w:p>
        </w:tc>
        <w:tc>
          <w:tcPr>
            <w:tcW w:w="1560" w:type="dxa"/>
            <w:vAlign w:val="bottom"/>
            <w:tcBorders>
              <w:right w:val="single" w:sz="8" w:color="3D85C6"/>
            </w:tcBorders>
            <w:vMerge w:val="restart"/>
            <w:shd w:val="clear" w:color="auto" w:fill="2D53A6"/>
          </w:tcPr>
          <w:p>
            <w:pPr>
              <w:jc w:val="center"/>
              <w:ind w:right="71"/>
              <w:spacing w:after="0" w:line="156" w:lineRule="exact"/>
              <w:rPr>
                <w:sz w:val="20"/>
                <w:szCs w:val="20"/>
                <w:color w:val="auto"/>
              </w:rPr>
            </w:pPr>
            <w:r>
              <w:rPr>
                <w:rFonts w:ascii="Arial" w:cs="Arial" w:eastAsia="Arial" w:hAnsi="Arial"/>
                <w:sz w:val="14"/>
                <w:szCs w:val="14"/>
                <w:b w:val="1"/>
                <w:bCs w:val="1"/>
                <w:color w:val="FFFFFF"/>
                <w:w w:val="99"/>
              </w:rPr>
              <w:t>Market Value</w:t>
            </w:r>
          </w:p>
        </w:tc>
        <w:tc>
          <w:tcPr>
            <w:tcW w:w="1640" w:type="dxa"/>
            <w:vAlign w:val="bottom"/>
            <w:tcBorders>
              <w:right w:val="single" w:sz="8" w:color="3D85C6"/>
            </w:tcBorders>
            <w:vMerge w:val="restart"/>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6"/>
              </w:rPr>
              <w:t>Plan Awards:</w:t>
            </w:r>
          </w:p>
        </w:tc>
        <w:tc>
          <w:tcPr>
            <w:tcW w:w="1660" w:type="dxa"/>
            <w:vAlign w:val="bottom"/>
            <w:tcBorders>
              <w:right w:val="single" w:sz="8" w:color="2D53A6"/>
            </w:tcBorders>
            <w:vMerge w:val="continue"/>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300" w:type="dxa"/>
            <w:vAlign w:val="bottom"/>
            <w:tcBorders>
              <w:left w:val="single" w:sz="8" w:color="3D85C6"/>
              <w:right w:val="single" w:sz="8" w:color="3D85C6"/>
            </w:tcBorders>
            <w:vMerge w:val="restart"/>
            <w:shd w:val="clear" w:color="auto" w:fill="2D53A6"/>
          </w:tcPr>
          <w:p>
            <w:pPr>
              <w:ind w:left="180"/>
              <w:spacing w:after="0"/>
              <w:rPr>
                <w:sz w:val="20"/>
                <w:szCs w:val="20"/>
                <w:color w:val="auto"/>
              </w:rPr>
            </w:pPr>
            <w:r>
              <w:rPr>
                <w:rFonts w:ascii="Arial" w:cs="Arial" w:eastAsia="Arial" w:hAnsi="Arial"/>
                <w:sz w:val="14"/>
                <w:szCs w:val="14"/>
                <w:b w:val="1"/>
                <w:bCs w:val="1"/>
                <w:color w:val="FFFFFF"/>
              </w:rPr>
              <w:t>Named</w:t>
            </w:r>
          </w:p>
        </w:tc>
        <w:tc>
          <w:tcPr>
            <w:tcW w:w="2220" w:type="dxa"/>
            <w:vAlign w:val="bottom"/>
            <w:shd w:val="clear" w:color="auto" w:fill="2D53A6"/>
          </w:tcPr>
          <w:p>
            <w:pPr>
              <w:spacing w:after="0"/>
              <w:rPr>
                <w:sz w:val="6"/>
                <w:szCs w:val="6"/>
                <w:color w:val="auto"/>
              </w:rPr>
            </w:pPr>
          </w:p>
        </w:tc>
        <w:tc>
          <w:tcPr>
            <w:tcW w:w="120" w:type="dxa"/>
            <w:vAlign w:val="bottom"/>
            <w:tcBorders>
              <w:right w:val="single" w:sz="8" w:color="3D85C6"/>
            </w:tcBorders>
            <w:shd w:val="clear" w:color="auto" w:fill="2D53A6"/>
          </w:tcPr>
          <w:p>
            <w:pPr>
              <w:spacing w:after="0"/>
              <w:rPr>
                <w:sz w:val="6"/>
                <w:szCs w:val="6"/>
                <w:color w:val="auto"/>
              </w:rPr>
            </w:pPr>
          </w:p>
        </w:tc>
        <w:tc>
          <w:tcPr>
            <w:tcW w:w="120" w:type="dxa"/>
            <w:vAlign w:val="bottom"/>
            <w:shd w:val="clear" w:color="auto" w:fill="2D53A6"/>
          </w:tcPr>
          <w:p>
            <w:pPr>
              <w:spacing w:after="0"/>
              <w:rPr>
                <w:sz w:val="6"/>
                <w:szCs w:val="6"/>
                <w:color w:val="auto"/>
              </w:rPr>
            </w:pPr>
          </w:p>
        </w:tc>
        <w:tc>
          <w:tcPr>
            <w:tcW w:w="1640" w:type="dxa"/>
            <w:vAlign w:val="bottom"/>
            <w:tcBorders>
              <w:right w:val="single" w:sz="8" w:color="3D85C6"/>
            </w:tcBorders>
            <w:vMerge w:val="continue"/>
            <w:shd w:val="clear" w:color="auto" w:fill="2D53A6"/>
          </w:tcPr>
          <w:p>
            <w:pPr>
              <w:spacing w:after="0"/>
              <w:rPr>
                <w:sz w:val="6"/>
                <w:szCs w:val="6"/>
                <w:color w:val="auto"/>
              </w:rPr>
            </w:pPr>
          </w:p>
        </w:tc>
        <w:tc>
          <w:tcPr>
            <w:tcW w:w="1560" w:type="dxa"/>
            <w:vAlign w:val="bottom"/>
            <w:tcBorders>
              <w:right w:val="single" w:sz="8" w:color="3D85C6"/>
            </w:tcBorders>
            <w:vMerge w:val="continue"/>
            <w:shd w:val="clear" w:color="auto" w:fill="2D53A6"/>
          </w:tcPr>
          <w:p>
            <w:pPr>
              <w:spacing w:after="0"/>
              <w:rPr>
                <w:sz w:val="6"/>
                <w:szCs w:val="6"/>
                <w:color w:val="auto"/>
              </w:rPr>
            </w:pPr>
          </w:p>
        </w:tc>
        <w:tc>
          <w:tcPr>
            <w:tcW w:w="1640" w:type="dxa"/>
            <w:vAlign w:val="bottom"/>
            <w:tcBorders>
              <w:right w:val="single" w:sz="8" w:color="3D85C6"/>
            </w:tcBorders>
            <w:vMerge w:val="continue"/>
            <w:shd w:val="clear" w:color="auto" w:fill="2D53A6"/>
          </w:tcPr>
          <w:p>
            <w:pPr>
              <w:spacing w:after="0"/>
              <w:rPr>
                <w:sz w:val="6"/>
                <w:szCs w:val="6"/>
                <w:color w:val="auto"/>
              </w:rPr>
            </w:pPr>
          </w:p>
        </w:tc>
        <w:tc>
          <w:tcPr>
            <w:tcW w:w="1660" w:type="dxa"/>
            <w:vAlign w:val="bottom"/>
            <w:tcBorders>
              <w:right w:val="single" w:sz="8" w:color="2D53A6"/>
            </w:tcBorders>
            <w:vMerge w:val="restart"/>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78"/>
        </w:trPr>
        <w:tc>
          <w:tcPr>
            <w:tcW w:w="2300" w:type="dxa"/>
            <w:vAlign w:val="bottom"/>
            <w:tcBorders>
              <w:left w:val="single" w:sz="8" w:color="3D85C6"/>
              <w:right w:val="single" w:sz="8" w:color="3D85C6"/>
            </w:tcBorders>
            <w:vMerge w:val="continue"/>
            <w:shd w:val="clear" w:color="auto" w:fill="2D53A6"/>
          </w:tcPr>
          <w:p>
            <w:pPr>
              <w:spacing w:after="0"/>
              <w:rPr>
                <w:sz w:val="6"/>
                <w:szCs w:val="6"/>
                <w:color w:val="auto"/>
              </w:rPr>
            </w:pPr>
          </w:p>
        </w:tc>
        <w:tc>
          <w:tcPr>
            <w:tcW w:w="2220" w:type="dxa"/>
            <w:vAlign w:val="bottom"/>
            <w:shd w:val="clear" w:color="auto" w:fill="2D53A6"/>
          </w:tcPr>
          <w:p>
            <w:pPr>
              <w:spacing w:after="0"/>
              <w:rPr>
                <w:sz w:val="6"/>
                <w:szCs w:val="6"/>
                <w:color w:val="auto"/>
              </w:rPr>
            </w:pPr>
          </w:p>
        </w:tc>
        <w:tc>
          <w:tcPr>
            <w:tcW w:w="120" w:type="dxa"/>
            <w:vAlign w:val="bottom"/>
            <w:tcBorders>
              <w:right w:val="single" w:sz="8" w:color="3D85C6"/>
            </w:tcBorders>
            <w:shd w:val="clear" w:color="auto" w:fill="2D53A6"/>
          </w:tcPr>
          <w:p>
            <w:pPr>
              <w:spacing w:after="0"/>
              <w:rPr>
                <w:sz w:val="6"/>
                <w:szCs w:val="6"/>
                <w:color w:val="auto"/>
              </w:rPr>
            </w:pPr>
          </w:p>
        </w:tc>
        <w:tc>
          <w:tcPr>
            <w:tcW w:w="120" w:type="dxa"/>
            <w:vAlign w:val="bottom"/>
            <w:shd w:val="clear" w:color="auto" w:fill="2D53A6"/>
          </w:tcPr>
          <w:p>
            <w:pPr>
              <w:spacing w:after="0"/>
              <w:rPr>
                <w:sz w:val="6"/>
                <w:szCs w:val="6"/>
                <w:color w:val="auto"/>
              </w:rPr>
            </w:pPr>
          </w:p>
        </w:tc>
        <w:tc>
          <w:tcPr>
            <w:tcW w:w="1640" w:type="dxa"/>
            <w:vAlign w:val="bottom"/>
            <w:tcBorders>
              <w:right w:val="single" w:sz="8" w:color="3D85C6"/>
            </w:tcBorders>
            <w:vMerge w:val="restart"/>
            <w:shd w:val="clear" w:color="auto" w:fill="2D53A6"/>
          </w:tcPr>
          <w:p>
            <w:pPr>
              <w:jc w:val="center"/>
              <w:ind w:right="337"/>
              <w:spacing w:after="0" w:line="143" w:lineRule="exact"/>
              <w:rPr>
                <w:sz w:val="20"/>
                <w:szCs w:val="20"/>
                <w:color w:val="auto"/>
              </w:rPr>
            </w:pPr>
            <w:r>
              <w:rPr>
                <w:rFonts w:ascii="Arial" w:cs="Arial" w:eastAsia="Arial" w:hAnsi="Arial"/>
                <w:sz w:val="14"/>
                <w:szCs w:val="14"/>
                <w:b w:val="1"/>
                <w:bCs w:val="1"/>
                <w:color w:val="FFFFFF"/>
              </w:rPr>
              <w:t>of Shares</w:t>
            </w:r>
          </w:p>
        </w:tc>
        <w:tc>
          <w:tcPr>
            <w:tcW w:w="1560" w:type="dxa"/>
            <w:vAlign w:val="bottom"/>
            <w:tcBorders>
              <w:right w:val="single" w:sz="8" w:color="3D85C6"/>
            </w:tcBorders>
            <w:vMerge w:val="restart"/>
            <w:shd w:val="clear" w:color="auto" w:fill="2D53A6"/>
          </w:tcPr>
          <w:p>
            <w:pPr>
              <w:jc w:val="center"/>
              <w:ind w:right="71"/>
              <w:spacing w:after="0" w:line="143" w:lineRule="exact"/>
              <w:rPr>
                <w:sz w:val="20"/>
                <w:szCs w:val="20"/>
                <w:color w:val="auto"/>
              </w:rPr>
            </w:pPr>
            <w:r>
              <w:rPr>
                <w:rFonts w:ascii="Arial" w:cs="Arial" w:eastAsia="Arial" w:hAnsi="Arial"/>
                <w:sz w:val="14"/>
                <w:szCs w:val="14"/>
                <w:b w:val="1"/>
                <w:bCs w:val="1"/>
                <w:color w:val="FFFFFF"/>
                <w:w w:val="97"/>
              </w:rPr>
              <w:t>of Shares</w:t>
            </w:r>
          </w:p>
        </w:tc>
        <w:tc>
          <w:tcPr>
            <w:tcW w:w="1640" w:type="dxa"/>
            <w:vAlign w:val="bottom"/>
            <w:tcBorders>
              <w:right w:val="single" w:sz="8" w:color="3D85C6"/>
            </w:tcBorders>
            <w:vMerge w:val="restart"/>
            <w:shd w:val="clear" w:color="auto" w:fill="2D53A6"/>
          </w:tcPr>
          <w:p>
            <w:pPr>
              <w:jc w:val="center"/>
              <w:spacing w:after="0" w:line="143" w:lineRule="exact"/>
              <w:rPr>
                <w:sz w:val="20"/>
                <w:szCs w:val="20"/>
                <w:color w:val="auto"/>
              </w:rPr>
            </w:pPr>
            <w:r>
              <w:rPr>
                <w:rFonts w:ascii="Arial" w:cs="Arial" w:eastAsia="Arial" w:hAnsi="Arial"/>
                <w:sz w:val="14"/>
                <w:szCs w:val="14"/>
                <w:b w:val="1"/>
                <w:bCs w:val="1"/>
                <w:color w:val="FFFFFF"/>
                <w:w w:val="99"/>
              </w:rPr>
              <w:t>Number of</w:t>
            </w:r>
          </w:p>
        </w:tc>
        <w:tc>
          <w:tcPr>
            <w:tcW w:w="1660" w:type="dxa"/>
            <w:vAlign w:val="bottom"/>
            <w:tcBorders>
              <w:right w:val="single" w:sz="8" w:color="2D53A6"/>
            </w:tcBorders>
            <w:vMerge w:val="continue"/>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300" w:type="dxa"/>
            <w:vAlign w:val="bottom"/>
            <w:tcBorders>
              <w:left w:val="single" w:sz="8" w:color="3D85C6"/>
              <w:right w:val="single" w:sz="8" w:color="3D85C6"/>
            </w:tcBorders>
            <w:vMerge w:val="continue"/>
            <w:shd w:val="clear" w:color="auto" w:fill="2D53A6"/>
          </w:tcPr>
          <w:p>
            <w:pPr>
              <w:spacing w:after="0"/>
              <w:rPr>
                <w:sz w:val="5"/>
                <w:szCs w:val="5"/>
                <w:color w:val="auto"/>
              </w:rPr>
            </w:pPr>
          </w:p>
        </w:tc>
        <w:tc>
          <w:tcPr>
            <w:tcW w:w="2220" w:type="dxa"/>
            <w:vAlign w:val="bottom"/>
            <w:shd w:val="clear" w:color="auto" w:fill="2D53A6"/>
          </w:tcPr>
          <w:p>
            <w:pPr>
              <w:spacing w:after="0"/>
              <w:rPr>
                <w:sz w:val="5"/>
                <w:szCs w:val="5"/>
                <w:color w:val="auto"/>
              </w:rPr>
            </w:pPr>
          </w:p>
        </w:tc>
        <w:tc>
          <w:tcPr>
            <w:tcW w:w="120" w:type="dxa"/>
            <w:vAlign w:val="bottom"/>
            <w:tcBorders>
              <w:right w:val="single" w:sz="8" w:color="3D85C6"/>
            </w:tcBorders>
            <w:shd w:val="clear" w:color="auto" w:fill="2D53A6"/>
          </w:tcPr>
          <w:p>
            <w:pPr>
              <w:spacing w:after="0"/>
              <w:rPr>
                <w:sz w:val="5"/>
                <w:szCs w:val="5"/>
                <w:color w:val="auto"/>
              </w:rPr>
            </w:pPr>
          </w:p>
        </w:tc>
        <w:tc>
          <w:tcPr>
            <w:tcW w:w="120" w:type="dxa"/>
            <w:vAlign w:val="bottom"/>
            <w:shd w:val="clear" w:color="auto" w:fill="2D53A6"/>
          </w:tcPr>
          <w:p>
            <w:pPr>
              <w:spacing w:after="0"/>
              <w:rPr>
                <w:sz w:val="5"/>
                <w:szCs w:val="5"/>
                <w:color w:val="auto"/>
              </w:rPr>
            </w:pPr>
          </w:p>
        </w:tc>
        <w:tc>
          <w:tcPr>
            <w:tcW w:w="1640" w:type="dxa"/>
            <w:vAlign w:val="bottom"/>
            <w:tcBorders>
              <w:right w:val="single" w:sz="8" w:color="3D85C6"/>
            </w:tcBorders>
            <w:vMerge w:val="continue"/>
            <w:shd w:val="clear" w:color="auto" w:fill="2D53A6"/>
          </w:tcPr>
          <w:p>
            <w:pPr>
              <w:spacing w:after="0"/>
              <w:rPr>
                <w:sz w:val="5"/>
                <w:szCs w:val="5"/>
                <w:color w:val="auto"/>
              </w:rPr>
            </w:pPr>
          </w:p>
        </w:tc>
        <w:tc>
          <w:tcPr>
            <w:tcW w:w="1560" w:type="dxa"/>
            <w:vAlign w:val="bottom"/>
            <w:tcBorders>
              <w:right w:val="single" w:sz="8" w:color="3D85C6"/>
            </w:tcBorders>
            <w:vMerge w:val="continue"/>
            <w:shd w:val="clear" w:color="auto" w:fill="2D53A6"/>
          </w:tcPr>
          <w:p>
            <w:pPr>
              <w:spacing w:after="0"/>
              <w:rPr>
                <w:sz w:val="5"/>
                <w:szCs w:val="5"/>
                <w:color w:val="auto"/>
              </w:rPr>
            </w:pPr>
          </w:p>
        </w:tc>
        <w:tc>
          <w:tcPr>
            <w:tcW w:w="1640" w:type="dxa"/>
            <w:vAlign w:val="bottom"/>
            <w:tcBorders>
              <w:right w:val="single" w:sz="8" w:color="3D85C6"/>
            </w:tcBorders>
            <w:vMerge w:val="continue"/>
            <w:shd w:val="clear" w:color="auto" w:fill="2D53A6"/>
          </w:tcPr>
          <w:p>
            <w:pPr>
              <w:spacing w:after="0"/>
              <w:rPr>
                <w:sz w:val="5"/>
                <w:szCs w:val="5"/>
                <w:color w:val="auto"/>
              </w:rPr>
            </w:pPr>
          </w:p>
        </w:tc>
        <w:tc>
          <w:tcPr>
            <w:tcW w:w="1660" w:type="dxa"/>
            <w:vAlign w:val="bottom"/>
            <w:tcBorders>
              <w:right w:val="single" w:sz="8" w:color="2D53A6"/>
            </w:tcBorders>
            <w:vMerge w:val="restart"/>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Payout Value</w:t>
            </w:r>
          </w:p>
        </w:tc>
        <w:tc>
          <w:tcPr>
            <w:tcW w:w="0" w:type="dxa"/>
            <w:vAlign w:val="bottom"/>
          </w:tcPr>
          <w:p>
            <w:pPr>
              <w:spacing w:after="0"/>
              <w:rPr>
                <w:sz w:val="1"/>
                <w:szCs w:val="1"/>
                <w:color w:val="auto"/>
              </w:rPr>
            </w:pPr>
          </w:p>
        </w:tc>
      </w:tr>
      <w:tr>
        <w:trPr>
          <w:trHeight w:val="91"/>
        </w:trPr>
        <w:tc>
          <w:tcPr>
            <w:tcW w:w="2300" w:type="dxa"/>
            <w:vAlign w:val="bottom"/>
            <w:tcBorders>
              <w:left w:val="single" w:sz="8" w:color="3D85C6"/>
              <w:right w:val="single" w:sz="8" w:color="3D85C6"/>
            </w:tcBorders>
            <w:vMerge w:val="restart"/>
            <w:shd w:val="clear" w:color="auto" w:fill="2D53A6"/>
          </w:tcPr>
          <w:p>
            <w:pPr>
              <w:ind w:left="180"/>
              <w:spacing w:after="0" w:line="156" w:lineRule="exact"/>
              <w:rPr>
                <w:sz w:val="20"/>
                <w:szCs w:val="20"/>
                <w:color w:val="auto"/>
              </w:rPr>
            </w:pPr>
            <w:r>
              <w:rPr>
                <w:rFonts w:ascii="Arial" w:cs="Arial" w:eastAsia="Arial" w:hAnsi="Arial"/>
                <w:sz w:val="14"/>
                <w:szCs w:val="14"/>
                <w:b w:val="1"/>
                <w:bCs w:val="1"/>
                <w:color w:val="FFFFFF"/>
              </w:rPr>
              <w:t>Executive</w:t>
            </w:r>
          </w:p>
        </w:tc>
        <w:tc>
          <w:tcPr>
            <w:tcW w:w="2220" w:type="dxa"/>
            <w:vAlign w:val="bottom"/>
            <w:vMerge w:val="restart"/>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Award Grant</w:t>
            </w:r>
          </w:p>
        </w:tc>
        <w:tc>
          <w:tcPr>
            <w:tcW w:w="120" w:type="dxa"/>
            <w:vAlign w:val="bottom"/>
            <w:tcBorders>
              <w:right w:val="single" w:sz="8" w:color="3D85C6"/>
            </w:tcBorders>
            <w:shd w:val="clear" w:color="auto" w:fill="2D53A6"/>
          </w:tcPr>
          <w:p>
            <w:pPr>
              <w:spacing w:after="0"/>
              <w:rPr>
                <w:sz w:val="7"/>
                <w:szCs w:val="7"/>
                <w:color w:val="auto"/>
              </w:rPr>
            </w:pPr>
          </w:p>
        </w:tc>
        <w:tc>
          <w:tcPr>
            <w:tcW w:w="120" w:type="dxa"/>
            <w:vAlign w:val="bottom"/>
            <w:shd w:val="clear" w:color="auto" w:fill="2D53A6"/>
          </w:tcPr>
          <w:p>
            <w:pPr>
              <w:spacing w:after="0"/>
              <w:rPr>
                <w:sz w:val="7"/>
                <w:szCs w:val="7"/>
                <w:color w:val="auto"/>
              </w:rPr>
            </w:pPr>
          </w:p>
        </w:tc>
        <w:tc>
          <w:tcPr>
            <w:tcW w:w="1640" w:type="dxa"/>
            <w:vAlign w:val="bottom"/>
            <w:tcBorders>
              <w:right w:val="single" w:sz="8" w:color="3D85C6"/>
            </w:tcBorders>
            <w:vMerge w:val="restart"/>
            <w:shd w:val="clear" w:color="auto" w:fill="2D53A6"/>
          </w:tcPr>
          <w:p>
            <w:pPr>
              <w:jc w:val="center"/>
              <w:ind w:right="337"/>
              <w:spacing w:after="0" w:line="156" w:lineRule="exact"/>
              <w:rPr>
                <w:sz w:val="20"/>
                <w:szCs w:val="20"/>
                <w:color w:val="auto"/>
              </w:rPr>
            </w:pPr>
            <w:r>
              <w:rPr>
                <w:rFonts w:ascii="Arial" w:cs="Arial" w:eastAsia="Arial" w:hAnsi="Arial"/>
                <w:sz w:val="14"/>
                <w:szCs w:val="14"/>
                <w:b w:val="1"/>
                <w:bCs w:val="1"/>
                <w:color w:val="FFFFFF"/>
                <w:w w:val="97"/>
              </w:rPr>
              <w:t>or Units of</w:t>
            </w:r>
          </w:p>
        </w:tc>
        <w:tc>
          <w:tcPr>
            <w:tcW w:w="1560" w:type="dxa"/>
            <w:vAlign w:val="bottom"/>
            <w:tcBorders>
              <w:right w:val="single" w:sz="8" w:color="3D85C6"/>
            </w:tcBorders>
            <w:vMerge w:val="restart"/>
            <w:shd w:val="clear" w:color="auto" w:fill="2D53A6"/>
          </w:tcPr>
          <w:p>
            <w:pPr>
              <w:jc w:val="center"/>
              <w:ind w:right="71"/>
              <w:spacing w:after="0" w:line="156" w:lineRule="exact"/>
              <w:rPr>
                <w:sz w:val="20"/>
                <w:szCs w:val="20"/>
                <w:color w:val="auto"/>
              </w:rPr>
            </w:pPr>
            <w:r>
              <w:rPr>
                <w:rFonts w:ascii="Arial" w:cs="Arial" w:eastAsia="Arial" w:hAnsi="Arial"/>
                <w:sz w:val="14"/>
                <w:szCs w:val="14"/>
                <w:b w:val="1"/>
                <w:bCs w:val="1"/>
                <w:color w:val="FFFFFF"/>
                <w:w w:val="99"/>
              </w:rPr>
              <w:t>or Units of</w:t>
            </w:r>
          </w:p>
        </w:tc>
        <w:tc>
          <w:tcPr>
            <w:tcW w:w="1640" w:type="dxa"/>
            <w:vAlign w:val="bottom"/>
            <w:tcBorders>
              <w:right w:val="single" w:sz="8" w:color="3D85C6"/>
            </w:tcBorders>
            <w:vMerge w:val="restart"/>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9"/>
              </w:rPr>
              <w:t>Unearned</w:t>
            </w:r>
          </w:p>
        </w:tc>
        <w:tc>
          <w:tcPr>
            <w:tcW w:w="166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300" w:type="dxa"/>
            <w:vAlign w:val="bottom"/>
            <w:tcBorders>
              <w:left w:val="single" w:sz="8" w:color="3D85C6"/>
              <w:right w:val="single" w:sz="8" w:color="3D85C6"/>
            </w:tcBorders>
            <w:vMerge w:val="continue"/>
            <w:shd w:val="clear" w:color="auto" w:fill="2D53A6"/>
          </w:tcPr>
          <w:p>
            <w:pPr>
              <w:spacing w:after="0"/>
              <w:rPr>
                <w:sz w:val="5"/>
                <w:szCs w:val="5"/>
                <w:color w:val="auto"/>
              </w:rPr>
            </w:pPr>
          </w:p>
        </w:tc>
        <w:tc>
          <w:tcPr>
            <w:tcW w:w="2220" w:type="dxa"/>
            <w:vAlign w:val="bottom"/>
            <w:vMerge w:val="continue"/>
            <w:shd w:val="clear" w:color="auto" w:fill="2D53A6"/>
          </w:tcPr>
          <w:p>
            <w:pPr>
              <w:spacing w:after="0"/>
              <w:rPr>
                <w:sz w:val="5"/>
                <w:szCs w:val="5"/>
                <w:color w:val="auto"/>
              </w:rPr>
            </w:pPr>
          </w:p>
        </w:tc>
        <w:tc>
          <w:tcPr>
            <w:tcW w:w="120" w:type="dxa"/>
            <w:vAlign w:val="bottom"/>
            <w:tcBorders>
              <w:right w:val="single" w:sz="8" w:color="3D85C6"/>
            </w:tcBorders>
            <w:shd w:val="clear" w:color="auto" w:fill="2D53A6"/>
          </w:tcPr>
          <w:p>
            <w:pPr>
              <w:spacing w:after="0"/>
              <w:rPr>
                <w:sz w:val="5"/>
                <w:szCs w:val="5"/>
                <w:color w:val="auto"/>
              </w:rPr>
            </w:pPr>
          </w:p>
        </w:tc>
        <w:tc>
          <w:tcPr>
            <w:tcW w:w="120" w:type="dxa"/>
            <w:vAlign w:val="bottom"/>
            <w:shd w:val="clear" w:color="auto" w:fill="2D53A6"/>
          </w:tcPr>
          <w:p>
            <w:pPr>
              <w:spacing w:after="0"/>
              <w:rPr>
                <w:sz w:val="5"/>
                <w:szCs w:val="5"/>
                <w:color w:val="auto"/>
              </w:rPr>
            </w:pPr>
          </w:p>
        </w:tc>
        <w:tc>
          <w:tcPr>
            <w:tcW w:w="1640" w:type="dxa"/>
            <w:vAlign w:val="bottom"/>
            <w:tcBorders>
              <w:right w:val="single" w:sz="8" w:color="3D85C6"/>
            </w:tcBorders>
            <w:vMerge w:val="continue"/>
            <w:shd w:val="clear" w:color="auto" w:fill="2D53A6"/>
          </w:tcPr>
          <w:p>
            <w:pPr>
              <w:spacing w:after="0"/>
              <w:rPr>
                <w:sz w:val="5"/>
                <w:szCs w:val="5"/>
                <w:color w:val="auto"/>
              </w:rPr>
            </w:pPr>
          </w:p>
        </w:tc>
        <w:tc>
          <w:tcPr>
            <w:tcW w:w="1560" w:type="dxa"/>
            <w:vAlign w:val="bottom"/>
            <w:tcBorders>
              <w:right w:val="single" w:sz="8" w:color="3D85C6"/>
            </w:tcBorders>
            <w:vMerge w:val="continue"/>
            <w:shd w:val="clear" w:color="auto" w:fill="2D53A6"/>
          </w:tcPr>
          <w:p>
            <w:pPr>
              <w:spacing w:after="0"/>
              <w:rPr>
                <w:sz w:val="5"/>
                <w:szCs w:val="5"/>
                <w:color w:val="auto"/>
              </w:rPr>
            </w:pPr>
          </w:p>
        </w:tc>
        <w:tc>
          <w:tcPr>
            <w:tcW w:w="1640" w:type="dxa"/>
            <w:vAlign w:val="bottom"/>
            <w:tcBorders>
              <w:right w:val="single" w:sz="8" w:color="3D85C6"/>
            </w:tcBorders>
            <w:vMerge w:val="continue"/>
            <w:shd w:val="clear" w:color="auto" w:fill="2D53A6"/>
          </w:tcPr>
          <w:p>
            <w:pPr>
              <w:spacing w:after="0"/>
              <w:rPr>
                <w:sz w:val="5"/>
                <w:szCs w:val="5"/>
                <w:color w:val="auto"/>
              </w:rPr>
            </w:pPr>
          </w:p>
        </w:tc>
        <w:tc>
          <w:tcPr>
            <w:tcW w:w="1660" w:type="dxa"/>
            <w:vAlign w:val="bottom"/>
            <w:tcBorders>
              <w:right w:val="single" w:sz="8" w:color="2D53A6"/>
            </w:tcBorders>
            <w:vMerge w:val="restart"/>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7"/>
              </w:rPr>
              <w:t>of Unearned</w:t>
            </w:r>
          </w:p>
        </w:tc>
        <w:tc>
          <w:tcPr>
            <w:tcW w:w="0" w:type="dxa"/>
            <w:vAlign w:val="bottom"/>
          </w:tcPr>
          <w:p>
            <w:pPr>
              <w:spacing w:after="0"/>
              <w:rPr>
                <w:sz w:val="1"/>
                <w:szCs w:val="1"/>
                <w:color w:val="auto"/>
              </w:rPr>
            </w:pPr>
          </w:p>
        </w:tc>
      </w:tr>
      <w:tr>
        <w:trPr>
          <w:trHeight w:val="91"/>
        </w:trPr>
        <w:tc>
          <w:tcPr>
            <w:tcW w:w="2300" w:type="dxa"/>
            <w:vAlign w:val="bottom"/>
            <w:tcBorders>
              <w:left w:val="single" w:sz="8" w:color="3D85C6"/>
              <w:right w:val="single" w:sz="8" w:color="3D85C6"/>
            </w:tcBorders>
            <w:vMerge w:val="restart"/>
            <w:shd w:val="clear" w:color="auto" w:fill="2D53A6"/>
          </w:tcPr>
          <w:p>
            <w:pPr>
              <w:ind w:left="180"/>
              <w:spacing w:after="0"/>
              <w:rPr>
                <w:sz w:val="20"/>
                <w:szCs w:val="20"/>
                <w:color w:val="auto"/>
              </w:rPr>
            </w:pPr>
            <w:r>
              <w:rPr>
                <w:rFonts w:ascii="Arial" w:cs="Arial" w:eastAsia="Arial" w:hAnsi="Arial"/>
                <w:sz w:val="14"/>
                <w:szCs w:val="14"/>
                <w:b w:val="1"/>
                <w:bCs w:val="1"/>
                <w:color w:val="FFFFFF"/>
              </w:rPr>
              <w:t>Officer</w:t>
            </w:r>
          </w:p>
        </w:tc>
        <w:tc>
          <w:tcPr>
            <w:tcW w:w="2220" w:type="dxa"/>
            <w:vAlign w:val="bottom"/>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20" w:type="dxa"/>
            <w:vAlign w:val="bottom"/>
            <w:tcBorders>
              <w:right w:val="single" w:sz="8" w:color="3D85C6"/>
            </w:tcBorders>
            <w:shd w:val="clear" w:color="auto" w:fill="2D53A6"/>
          </w:tcPr>
          <w:p>
            <w:pPr>
              <w:spacing w:after="0"/>
              <w:rPr>
                <w:sz w:val="7"/>
                <w:szCs w:val="7"/>
                <w:color w:val="auto"/>
              </w:rPr>
            </w:pPr>
          </w:p>
        </w:tc>
        <w:tc>
          <w:tcPr>
            <w:tcW w:w="120" w:type="dxa"/>
            <w:vAlign w:val="bottom"/>
            <w:shd w:val="clear" w:color="auto" w:fill="2D53A6"/>
          </w:tcPr>
          <w:p>
            <w:pPr>
              <w:spacing w:after="0"/>
              <w:rPr>
                <w:sz w:val="7"/>
                <w:szCs w:val="7"/>
                <w:color w:val="auto"/>
              </w:rPr>
            </w:pPr>
          </w:p>
        </w:tc>
        <w:tc>
          <w:tcPr>
            <w:tcW w:w="1640" w:type="dxa"/>
            <w:vAlign w:val="bottom"/>
            <w:tcBorders>
              <w:right w:val="single" w:sz="8" w:color="3D85C6"/>
            </w:tcBorders>
            <w:vMerge w:val="restart"/>
            <w:shd w:val="clear" w:color="auto" w:fill="2D53A6"/>
          </w:tcPr>
          <w:p>
            <w:pPr>
              <w:jc w:val="center"/>
              <w:ind w:right="337"/>
              <w:spacing w:after="0"/>
              <w:rPr>
                <w:sz w:val="20"/>
                <w:szCs w:val="20"/>
                <w:color w:val="auto"/>
              </w:rPr>
            </w:pPr>
            <w:r>
              <w:rPr>
                <w:rFonts w:ascii="Arial" w:cs="Arial" w:eastAsia="Arial" w:hAnsi="Arial"/>
                <w:sz w:val="14"/>
                <w:szCs w:val="14"/>
                <w:b w:val="1"/>
                <w:bCs w:val="1"/>
                <w:color w:val="FFFFFF"/>
              </w:rPr>
              <w:t>Stock That</w:t>
            </w:r>
          </w:p>
        </w:tc>
        <w:tc>
          <w:tcPr>
            <w:tcW w:w="1560" w:type="dxa"/>
            <w:vAlign w:val="bottom"/>
            <w:tcBorders>
              <w:right w:val="single" w:sz="8" w:color="3D85C6"/>
            </w:tcBorders>
            <w:vMerge w:val="restart"/>
            <w:shd w:val="clear" w:color="auto" w:fill="2D53A6"/>
          </w:tcPr>
          <w:p>
            <w:pPr>
              <w:jc w:val="center"/>
              <w:ind w:right="71"/>
              <w:spacing w:after="0"/>
              <w:rPr>
                <w:sz w:val="20"/>
                <w:szCs w:val="20"/>
                <w:color w:val="auto"/>
              </w:rPr>
            </w:pPr>
            <w:r>
              <w:rPr>
                <w:rFonts w:ascii="Arial" w:cs="Arial" w:eastAsia="Arial" w:hAnsi="Arial"/>
                <w:sz w:val="14"/>
                <w:szCs w:val="14"/>
                <w:b w:val="1"/>
                <w:bCs w:val="1"/>
                <w:color w:val="FFFFFF"/>
                <w:w w:val="97"/>
              </w:rPr>
              <w:t>Stock That</w:t>
            </w:r>
          </w:p>
        </w:tc>
        <w:tc>
          <w:tcPr>
            <w:tcW w:w="164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4"/>
                <w:szCs w:val="14"/>
                <w:b w:val="1"/>
                <w:bCs w:val="1"/>
                <w:color w:val="FFFFFF"/>
              </w:rPr>
              <w:t>Shares, Units</w:t>
            </w:r>
          </w:p>
        </w:tc>
        <w:tc>
          <w:tcPr>
            <w:tcW w:w="166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300" w:type="dxa"/>
            <w:vAlign w:val="bottom"/>
            <w:tcBorders>
              <w:left w:val="single" w:sz="8" w:color="3D85C6"/>
              <w:right w:val="single" w:sz="8" w:color="3D85C6"/>
            </w:tcBorders>
            <w:vMerge w:val="continue"/>
            <w:shd w:val="clear" w:color="auto" w:fill="2D53A6"/>
          </w:tcPr>
          <w:p>
            <w:pPr>
              <w:spacing w:after="0"/>
              <w:rPr>
                <w:sz w:val="6"/>
                <w:szCs w:val="6"/>
                <w:color w:val="auto"/>
              </w:rPr>
            </w:pPr>
          </w:p>
        </w:tc>
        <w:tc>
          <w:tcPr>
            <w:tcW w:w="2220" w:type="dxa"/>
            <w:vAlign w:val="bottom"/>
            <w:vMerge w:val="continue"/>
            <w:shd w:val="clear" w:color="auto" w:fill="2D53A6"/>
          </w:tcPr>
          <w:p>
            <w:pPr>
              <w:spacing w:after="0"/>
              <w:rPr>
                <w:sz w:val="6"/>
                <w:szCs w:val="6"/>
                <w:color w:val="auto"/>
              </w:rPr>
            </w:pPr>
          </w:p>
        </w:tc>
        <w:tc>
          <w:tcPr>
            <w:tcW w:w="120" w:type="dxa"/>
            <w:vAlign w:val="bottom"/>
            <w:tcBorders>
              <w:right w:val="single" w:sz="8" w:color="3D85C6"/>
            </w:tcBorders>
            <w:shd w:val="clear" w:color="auto" w:fill="2D53A6"/>
          </w:tcPr>
          <w:p>
            <w:pPr>
              <w:spacing w:after="0"/>
              <w:rPr>
                <w:sz w:val="6"/>
                <w:szCs w:val="6"/>
                <w:color w:val="auto"/>
              </w:rPr>
            </w:pPr>
          </w:p>
        </w:tc>
        <w:tc>
          <w:tcPr>
            <w:tcW w:w="120" w:type="dxa"/>
            <w:vAlign w:val="bottom"/>
            <w:shd w:val="clear" w:color="auto" w:fill="2D53A6"/>
          </w:tcPr>
          <w:p>
            <w:pPr>
              <w:spacing w:after="0"/>
              <w:rPr>
                <w:sz w:val="6"/>
                <w:szCs w:val="6"/>
                <w:color w:val="auto"/>
              </w:rPr>
            </w:pPr>
          </w:p>
        </w:tc>
        <w:tc>
          <w:tcPr>
            <w:tcW w:w="1640" w:type="dxa"/>
            <w:vAlign w:val="bottom"/>
            <w:tcBorders>
              <w:right w:val="single" w:sz="8" w:color="3D85C6"/>
            </w:tcBorders>
            <w:vMerge w:val="continue"/>
            <w:shd w:val="clear" w:color="auto" w:fill="2D53A6"/>
          </w:tcPr>
          <w:p>
            <w:pPr>
              <w:spacing w:after="0"/>
              <w:rPr>
                <w:sz w:val="6"/>
                <w:szCs w:val="6"/>
                <w:color w:val="auto"/>
              </w:rPr>
            </w:pPr>
          </w:p>
        </w:tc>
        <w:tc>
          <w:tcPr>
            <w:tcW w:w="1560" w:type="dxa"/>
            <w:vAlign w:val="bottom"/>
            <w:tcBorders>
              <w:right w:val="single" w:sz="8" w:color="3D85C6"/>
            </w:tcBorders>
            <w:vMerge w:val="continue"/>
            <w:shd w:val="clear" w:color="auto" w:fill="2D53A6"/>
          </w:tcPr>
          <w:p>
            <w:pPr>
              <w:spacing w:after="0"/>
              <w:rPr>
                <w:sz w:val="6"/>
                <w:szCs w:val="6"/>
                <w:color w:val="auto"/>
              </w:rPr>
            </w:pPr>
          </w:p>
        </w:tc>
        <w:tc>
          <w:tcPr>
            <w:tcW w:w="1640" w:type="dxa"/>
            <w:vAlign w:val="bottom"/>
            <w:tcBorders>
              <w:right w:val="single" w:sz="8" w:color="3D85C6"/>
            </w:tcBorders>
            <w:vMerge w:val="continue"/>
            <w:shd w:val="clear" w:color="auto" w:fill="2D53A6"/>
          </w:tcPr>
          <w:p>
            <w:pPr>
              <w:spacing w:after="0"/>
              <w:rPr>
                <w:sz w:val="6"/>
                <w:szCs w:val="6"/>
                <w:color w:val="auto"/>
              </w:rPr>
            </w:pPr>
          </w:p>
        </w:tc>
        <w:tc>
          <w:tcPr>
            <w:tcW w:w="1660" w:type="dxa"/>
            <w:vAlign w:val="bottom"/>
            <w:tcBorders>
              <w:right w:val="single" w:sz="8" w:color="2D53A6"/>
            </w:tcBorders>
            <w:vMerge w:val="restart"/>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Shares, Units</w:t>
            </w:r>
          </w:p>
        </w:tc>
        <w:tc>
          <w:tcPr>
            <w:tcW w:w="0" w:type="dxa"/>
            <w:vAlign w:val="bottom"/>
          </w:tcPr>
          <w:p>
            <w:pPr>
              <w:spacing w:after="0"/>
              <w:rPr>
                <w:sz w:val="1"/>
                <w:szCs w:val="1"/>
                <w:color w:val="auto"/>
              </w:rPr>
            </w:pPr>
          </w:p>
        </w:tc>
      </w:tr>
      <w:tr>
        <w:trPr>
          <w:trHeight w:val="78"/>
        </w:trPr>
        <w:tc>
          <w:tcPr>
            <w:tcW w:w="2300" w:type="dxa"/>
            <w:vAlign w:val="bottom"/>
            <w:tcBorders>
              <w:left w:val="single" w:sz="8" w:color="3D85C6"/>
              <w:right w:val="single" w:sz="8" w:color="3D85C6"/>
            </w:tcBorders>
            <w:shd w:val="clear" w:color="auto" w:fill="2D53A6"/>
          </w:tcPr>
          <w:p>
            <w:pPr>
              <w:spacing w:after="0"/>
              <w:rPr>
                <w:sz w:val="6"/>
                <w:szCs w:val="6"/>
                <w:color w:val="auto"/>
              </w:rPr>
            </w:pPr>
          </w:p>
        </w:tc>
        <w:tc>
          <w:tcPr>
            <w:tcW w:w="2220" w:type="dxa"/>
            <w:vAlign w:val="bottom"/>
            <w:shd w:val="clear" w:color="auto" w:fill="2D53A6"/>
          </w:tcPr>
          <w:p>
            <w:pPr>
              <w:spacing w:after="0"/>
              <w:rPr>
                <w:sz w:val="6"/>
                <w:szCs w:val="6"/>
                <w:color w:val="auto"/>
              </w:rPr>
            </w:pPr>
          </w:p>
        </w:tc>
        <w:tc>
          <w:tcPr>
            <w:tcW w:w="120" w:type="dxa"/>
            <w:vAlign w:val="bottom"/>
            <w:tcBorders>
              <w:right w:val="single" w:sz="8" w:color="3D85C6"/>
            </w:tcBorders>
            <w:shd w:val="clear" w:color="auto" w:fill="2D53A6"/>
          </w:tcPr>
          <w:p>
            <w:pPr>
              <w:spacing w:after="0"/>
              <w:rPr>
                <w:sz w:val="6"/>
                <w:szCs w:val="6"/>
                <w:color w:val="auto"/>
              </w:rPr>
            </w:pPr>
          </w:p>
        </w:tc>
        <w:tc>
          <w:tcPr>
            <w:tcW w:w="120" w:type="dxa"/>
            <w:vAlign w:val="bottom"/>
            <w:shd w:val="clear" w:color="auto" w:fill="2D53A6"/>
          </w:tcPr>
          <w:p>
            <w:pPr>
              <w:spacing w:after="0"/>
              <w:rPr>
                <w:sz w:val="6"/>
                <w:szCs w:val="6"/>
                <w:color w:val="auto"/>
              </w:rPr>
            </w:pPr>
          </w:p>
        </w:tc>
        <w:tc>
          <w:tcPr>
            <w:tcW w:w="1640" w:type="dxa"/>
            <w:vAlign w:val="bottom"/>
            <w:tcBorders>
              <w:right w:val="single" w:sz="8" w:color="3D85C6"/>
            </w:tcBorders>
            <w:vMerge w:val="restart"/>
            <w:shd w:val="clear" w:color="auto" w:fill="2D53A6"/>
          </w:tcPr>
          <w:p>
            <w:pPr>
              <w:jc w:val="center"/>
              <w:ind w:right="337"/>
              <w:spacing w:after="0" w:line="153" w:lineRule="exact"/>
              <w:rPr>
                <w:sz w:val="20"/>
                <w:szCs w:val="20"/>
                <w:color w:val="auto"/>
              </w:rPr>
            </w:pPr>
            <w:r>
              <w:rPr>
                <w:rFonts w:ascii="Arial" w:cs="Arial" w:eastAsia="Arial" w:hAnsi="Arial"/>
                <w:sz w:val="14"/>
                <w:szCs w:val="14"/>
                <w:b w:val="1"/>
                <w:bCs w:val="1"/>
                <w:color w:val="FFFFFF"/>
                <w:w w:val="98"/>
              </w:rPr>
              <w:t>Have Not</w:t>
            </w:r>
          </w:p>
        </w:tc>
        <w:tc>
          <w:tcPr>
            <w:tcW w:w="1560" w:type="dxa"/>
            <w:vAlign w:val="bottom"/>
            <w:tcBorders>
              <w:right w:val="single" w:sz="8" w:color="3D85C6"/>
            </w:tcBorders>
            <w:vMerge w:val="restart"/>
            <w:shd w:val="clear" w:color="auto" w:fill="2D53A6"/>
          </w:tcPr>
          <w:p>
            <w:pPr>
              <w:jc w:val="center"/>
              <w:ind w:right="51"/>
              <w:spacing w:after="0" w:line="153" w:lineRule="exact"/>
              <w:rPr>
                <w:sz w:val="20"/>
                <w:szCs w:val="20"/>
                <w:color w:val="auto"/>
              </w:rPr>
            </w:pPr>
            <w:r>
              <w:rPr>
                <w:rFonts w:ascii="Arial" w:cs="Arial" w:eastAsia="Arial" w:hAnsi="Arial"/>
                <w:sz w:val="14"/>
                <w:szCs w:val="14"/>
                <w:b w:val="1"/>
                <w:bCs w:val="1"/>
                <w:color w:val="FFFFFF"/>
                <w:w w:val="98"/>
              </w:rPr>
              <w:t>Have Not</w:t>
            </w:r>
          </w:p>
        </w:tc>
        <w:tc>
          <w:tcPr>
            <w:tcW w:w="1640" w:type="dxa"/>
            <w:vAlign w:val="bottom"/>
            <w:tcBorders>
              <w:right w:val="single" w:sz="8" w:color="3D85C6"/>
            </w:tcBorders>
            <w:vMerge w:val="restart"/>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7"/>
              </w:rPr>
              <w:t>or Other</w:t>
            </w:r>
          </w:p>
        </w:tc>
        <w:tc>
          <w:tcPr>
            <w:tcW w:w="1660" w:type="dxa"/>
            <w:vAlign w:val="bottom"/>
            <w:tcBorders>
              <w:right w:val="single" w:sz="8" w:color="2D53A6"/>
            </w:tcBorders>
            <w:vMerge w:val="continue"/>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300" w:type="dxa"/>
            <w:vAlign w:val="bottom"/>
            <w:tcBorders>
              <w:left w:val="single" w:sz="8" w:color="3D85C6"/>
              <w:right w:val="single" w:sz="8" w:color="3D85C6"/>
            </w:tcBorders>
            <w:shd w:val="clear" w:color="auto" w:fill="2D53A6"/>
          </w:tcPr>
          <w:p>
            <w:pPr>
              <w:spacing w:after="0"/>
              <w:rPr>
                <w:sz w:val="6"/>
                <w:szCs w:val="6"/>
                <w:color w:val="auto"/>
              </w:rPr>
            </w:pPr>
          </w:p>
        </w:tc>
        <w:tc>
          <w:tcPr>
            <w:tcW w:w="2220" w:type="dxa"/>
            <w:vAlign w:val="bottom"/>
            <w:shd w:val="clear" w:color="auto" w:fill="2D53A6"/>
          </w:tcPr>
          <w:p>
            <w:pPr>
              <w:spacing w:after="0"/>
              <w:rPr>
                <w:sz w:val="6"/>
                <w:szCs w:val="6"/>
                <w:color w:val="auto"/>
              </w:rPr>
            </w:pPr>
          </w:p>
        </w:tc>
        <w:tc>
          <w:tcPr>
            <w:tcW w:w="120" w:type="dxa"/>
            <w:vAlign w:val="bottom"/>
            <w:tcBorders>
              <w:right w:val="single" w:sz="8" w:color="3D85C6"/>
            </w:tcBorders>
            <w:shd w:val="clear" w:color="auto" w:fill="2D53A6"/>
          </w:tcPr>
          <w:p>
            <w:pPr>
              <w:spacing w:after="0"/>
              <w:rPr>
                <w:sz w:val="6"/>
                <w:szCs w:val="6"/>
                <w:color w:val="auto"/>
              </w:rPr>
            </w:pPr>
          </w:p>
        </w:tc>
        <w:tc>
          <w:tcPr>
            <w:tcW w:w="120" w:type="dxa"/>
            <w:vAlign w:val="bottom"/>
            <w:shd w:val="clear" w:color="auto" w:fill="2D53A6"/>
          </w:tcPr>
          <w:p>
            <w:pPr>
              <w:spacing w:after="0"/>
              <w:rPr>
                <w:sz w:val="6"/>
                <w:szCs w:val="6"/>
                <w:color w:val="auto"/>
              </w:rPr>
            </w:pPr>
          </w:p>
        </w:tc>
        <w:tc>
          <w:tcPr>
            <w:tcW w:w="1640" w:type="dxa"/>
            <w:vAlign w:val="bottom"/>
            <w:tcBorders>
              <w:right w:val="single" w:sz="8" w:color="3D85C6"/>
            </w:tcBorders>
            <w:vMerge w:val="continue"/>
            <w:shd w:val="clear" w:color="auto" w:fill="2D53A6"/>
          </w:tcPr>
          <w:p>
            <w:pPr>
              <w:spacing w:after="0"/>
              <w:rPr>
                <w:sz w:val="6"/>
                <w:szCs w:val="6"/>
                <w:color w:val="auto"/>
              </w:rPr>
            </w:pPr>
          </w:p>
        </w:tc>
        <w:tc>
          <w:tcPr>
            <w:tcW w:w="1560" w:type="dxa"/>
            <w:vAlign w:val="bottom"/>
            <w:tcBorders>
              <w:right w:val="single" w:sz="8" w:color="3D85C6"/>
            </w:tcBorders>
            <w:vMerge w:val="continue"/>
            <w:shd w:val="clear" w:color="auto" w:fill="2D53A6"/>
          </w:tcPr>
          <w:p>
            <w:pPr>
              <w:spacing w:after="0"/>
              <w:rPr>
                <w:sz w:val="6"/>
                <w:szCs w:val="6"/>
                <w:color w:val="auto"/>
              </w:rPr>
            </w:pPr>
          </w:p>
        </w:tc>
        <w:tc>
          <w:tcPr>
            <w:tcW w:w="1640" w:type="dxa"/>
            <w:vAlign w:val="bottom"/>
            <w:tcBorders>
              <w:right w:val="single" w:sz="8" w:color="3D85C6"/>
            </w:tcBorders>
            <w:vMerge w:val="continue"/>
            <w:shd w:val="clear" w:color="auto" w:fill="2D53A6"/>
          </w:tcPr>
          <w:p>
            <w:pPr>
              <w:spacing w:after="0"/>
              <w:rPr>
                <w:sz w:val="6"/>
                <w:szCs w:val="6"/>
                <w:color w:val="auto"/>
              </w:rPr>
            </w:pPr>
          </w:p>
        </w:tc>
        <w:tc>
          <w:tcPr>
            <w:tcW w:w="1660" w:type="dxa"/>
            <w:vAlign w:val="bottom"/>
            <w:tcBorders>
              <w:right w:val="single" w:sz="8" w:color="2D53A6"/>
            </w:tcBorders>
            <w:vMerge w:val="restart"/>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rPr>
              <w:t>or Other</w:t>
            </w:r>
          </w:p>
        </w:tc>
        <w:tc>
          <w:tcPr>
            <w:tcW w:w="0" w:type="dxa"/>
            <w:vAlign w:val="bottom"/>
          </w:tcPr>
          <w:p>
            <w:pPr>
              <w:spacing w:after="0"/>
              <w:rPr>
                <w:sz w:val="1"/>
                <w:szCs w:val="1"/>
                <w:color w:val="auto"/>
              </w:rPr>
            </w:pPr>
          </w:p>
        </w:tc>
      </w:tr>
      <w:tr>
        <w:trPr>
          <w:trHeight w:val="81"/>
        </w:trPr>
        <w:tc>
          <w:tcPr>
            <w:tcW w:w="2300" w:type="dxa"/>
            <w:vAlign w:val="bottom"/>
            <w:tcBorders>
              <w:left w:val="single" w:sz="8" w:color="3D85C6"/>
              <w:right w:val="single" w:sz="8" w:color="3D85C6"/>
            </w:tcBorders>
            <w:shd w:val="clear" w:color="auto" w:fill="2D53A6"/>
          </w:tcPr>
          <w:p>
            <w:pPr>
              <w:spacing w:after="0"/>
              <w:rPr>
                <w:sz w:val="7"/>
                <w:szCs w:val="7"/>
                <w:color w:val="auto"/>
              </w:rPr>
            </w:pPr>
          </w:p>
        </w:tc>
        <w:tc>
          <w:tcPr>
            <w:tcW w:w="2220" w:type="dxa"/>
            <w:vAlign w:val="bottom"/>
            <w:shd w:val="clear" w:color="auto" w:fill="2D53A6"/>
          </w:tcPr>
          <w:p>
            <w:pPr>
              <w:spacing w:after="0"/>
              <w:rPr>
                <w:sz w:val="7"/>
                <w:szCs w:val="7"/>
                <w:color w:val="auto"/>
              </w:rPr>
            </w:pPr>
          </w:p>
        </w:tc>
        <w:tc>
          <w:tcPr>
            <w:tcW w:w="120" w:type="dxa"/>
            <w:vAlign w:val="bottom"/>
            <w:tcBorders>
              <w:right w:val="single" w:sz="8" w:color="3D85C6"/>
            </w:tcBorders>
            <w:shd w:val="clear" w:color="auto" w:fill="2D53A6"/>
          </w:tcPr>
          <w:p>
            <w:pPr>
              <w:spacing w:after="0"/>
              <w:rPr>
                <w:sz w:val="7"/>
                <w:szCs w:val="7"/>
                <w:color w:val="auto"/>
              </w:rPr>
            </w:pPr>
          </w:p>
        </w:tc>
        <w:tc>
          <w:tcPr>
            <w:tcW w:w="120" w:type="dxa"/>
            <w:vAlign w:val="bottom"/>
            <w:shd w:val="clear" w:color="auto" w:fill="2D53A6"/>
          </w:tcPr>
          <w:p>
            <w:pPr>
              <w:spacing w:after="0"/>
              <w:rPr>
                <w:sz w:val="7"/>
                <w:szCs w:val="7"/>
                <w:color w:val="auto"/>
              </w:rPr>
            </w:pPr>
          </w:p>
        </w:tc>
        <w:tc>
          <w:tcPr>
            <w:tcW w:w="1640" w:type="dxa"/>
            <w:vAlign w:val="bottom"/>
            <w:tcBorders>
              <w:right w:val="single" w:sz="8" w:color="3D85C6"/>
            </w:tcBorders>
            <w:vMerge w:val="restart"/>
            <w:shd w:val="clear" w:color="auto" w:fill="2D53A6"/>
          </w:tcPr>
          <w:p>
            <w:pPr>
              <w:jc w:val="center"/>
              <w:ind w:right="337"/>
              <w:spacing w:after="0" w:line="159" w:lineRule="exact"/>
              <w:rPr>
                <w:sz w:val="20"/>
                <w:szCs w:val="20"/>
                <w:color w:val="auto"/>
              </w:rPr>
            </w:pPr>
            <w:r>
              <w:rPr>
                <w:rFonts w:ascii="Arial" w:cs="Arial" w:eastAsia="Arial" w:hAnsi="Arial"/>
                <w:sz w:val="14"/>
                <w:szCs w:val="14"/>
                <w:b w:val="1"/>
                <w:bCs w:val="1"/>
                <w:color w:val="FFFFFF"/>
                <w:w w:val="95"/>
              </w:rPr>
              <w:t>Vested (#)</w:t>
            </w:r>
          </w:p>
        </w:tc>
        <w:tc>
          <w:tcPr>
            <w:tcW w:w="1560" w:type="dxa"/>
            <w:vAlign w:val="bottom"/>
            <w:tcBorders>
              <w:right w:val="single" w:sz="8" w:color="3D85C6"/>
            </w:tcBorders>
            <w:vMerge w:val="restart"/>
            <w:shd w:val="clear" w:color="auto" w:fill="2D53A6"/>
          </w:tcPr>
          <w:p>
            <w:pPr>
              <w:jc w:val="center"/>
              <w:ind w:right="71"/>
              <w:spacing w:after="0" w:line="159" w:lineRule="exact"/>
              <w:rPr>
                <w:sz w:val="20"/>
                <w:szCs w:val="20"/>
                <w:color w:val="auto"/>
              </w:rPr>
            </w:pPr>
            <w:r>
              <w:rPr>
                <w:rFonts w:ascii="Arial" w:cs="Arial" w:eastAsia="Arial" w:hAnsi="Arial"/>
                <w:sz w:val="11"/>
                <w:szCs w:val="11"/>
                <w:b w:val="1"/>
                <w:bCs w:val="1"/>
                <w:color w:val="FFFFFF"/>
              </w:rPr>
              <w:t xml:space="preserve">Vested ($) </w:t>
            </w:r>
            <w:r>
              <w:rPr>
                <w:rFonts w:ascii="Arial" w:cs="Arial" w:eastAsia="Arial" w:hAnsi="Arial"/>
                <w:sz w:val="18"/>
                <w:szCs w:val="18"/>
                <w:b w:val="1"/>
                <w:bCs w:val="1"/>
                <w:color w:val="FFFFFF"/>
                <w:vertAlign w:val="superscript"/>
              </w:rPr>
              <w:t>(2)</w:t>
            </w:r>
          </w:p>
        </w:tc>
        <w:tc>
          <w:tcPr>
            <w:tcW w:w="1640" w:type="dxa"/>
            <w:vAlign w:val="bottom"/>
            <w:tcBorders>
              <w:right w:val="single" w:sz="8" w:color="3D85C6"/>
            </w:tcBorders>
            <w:vMerge w:val="restart"/>
            <w:shd w:val="clear" w:color="auto" w:fill="2D53A6"/>
          </w:tcPr>
          <w:p>
            <w:pPr>
              <w:jc w:val="center"/>
              <w:spacing w:after="0" w:line="159" w:lineRule="exact"/>
              <w:rPr>
                <w:sz w:val="20"/>
                <w:szCs w:val="20"/>
                <w:color w:val="auto"/>
              </w:rPr>
            </w:pPr>
            <w:r>
              <w:rPr>
                <w:rFonts w:ascii="Arial" w:cs="Arial" w:eastAsia="Arial" w:hAnsi="Arial"/>
                <w:sz w:val="14"/>
                <w:szCs w:val="14"/>
                <w:b w:val="1"/>
                <w:bCs w:val="1"/>
                <w:color w:val="FFFFFF"/>
                <w:w w:val="98"/>
              </w:rPr>
              <w:t>Rights That</w:t>
            </w:r>
          </w:p>
        </w:tc>
        <w:tc>
          <w:tcPr>
            <w:tcW w:w="1660" w:type="dxa"/>
            <w:vAlign w:val="bottom"/>
            <w:tcBorders>
              <w:right w:val="single" w:sz="8" w:color="2D53A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300" w:type="dxa"/>
            <w:vAlign w:val="bottom"/>
            <w:tcBorders>
              <w:left w:val="single" w:sz="8" w:color="3D85C6"/>
              <w:right w:val="single" w:sz="8" w:color="3D85C6"/>
            </w:tcBorders>
            <w:shd w:val="clear" w:color="auto" w:fill="2D53A6"/>
          </w:tcPr>
          <w:p>
            <w:pPr>
              <w:spacing w:after="0"/>
              <w:rPr>
                <w:sz w:val="6"/>
                <w:szCs w:val="6"/>
                <w:color w:val="auto"/>
              </w:rPr>
            </w:pPr>
          </w:p>
        </w:tc>
        <w:tc>
          <w:tcPr>
            <w:tcW w:w="2220" w:type="dxa"/>
            <w:vAlign w:val="bottom"/>
            <w:shd w:val="clear" w:color="auto" w:fill="2D53A6"/>
          </w:tcPr>
          <w:p>
            <w:pPr>
              <w:spacing w:after="0"/>
              <w:rPr>
                <w:sz w:val="6"/>
                <w:szCs w:val="6"/>
                <w:color w:val="auto"/>
              </w:rPr>
            </w:pPr>
          </w:p>
        </w:tc>
        <w:tc>
          <w:tcPr>
            <w:tcW w:w="120" w:type="dxa"/>
            <w:vAlign w:val="bottom"/>
            <w:tcBorders>
              <w:right w:val="single" w:sz="8" w:color="3D85C6"/>
            </w:tcBorders>
            <w:shd w:val="clear" w:color="auto" w:fill="2D53A6"/>
          </w:tcPr>
          <w:p>
            <w:pPr>
              <w:spacing w:after="0"/>
              <w:rPr>
                <w:sz w:val="6"/>
                <w:szCs w:val="6"/>
                <w:color w:val="auto"/>
              </w:rPr>
            </w:pPr>
          </w:p>
        </w:tc>
        <w:tc>
          <w:tcPr>
            <w:tcW w:w="120" w:type="dxa"/>
            <w:vAlign w:val="bottom"/>
            <w:shd w:val="clear" w:color="auto" w:fill="2D53A6"/>
          </w:tcPr>
          <w:p>
            <w:pPr>
              <w:spacing w:after="0"/>
              <w:rPr>
                <w:sz w:val="6"/>
                <w:szCs w:val="6"/>
                <w:color w:val="auto"/>
              </w:rPr>
            </w:pPr>
          </w:p>
        </w:tc>
        <w:tc>
          <w:tcPr>
            <w:tcW w:w="1640" w:type="dxa"/>
            <w:vAlign w:val="bottom"/>
            <w:tcBorders>
              <w:right w:val="single" w:sz="8" w:color="3D85C6"/>
            </w:tcBorders>
            <w:vMerge w:val="continue"/>
            <w:shd w:val="clear" w:color="auto" w:fill="2D53A6"/>
          </w:tcPr>
          <w:p>
            <w:pPr>
              <w:spacing w:after="0"/>
              <w:rPr>
                <w:sz w:val="6"/>
                <w:szCs w:val="6"/>
                <w:color w:val="auto"/>
              </w:rPr>
            </w:pPr>
          </w:p>
        </w:tc>
        <w:tc>
          <w:tcPr>
            <w:tcW w:w="1560" w:type="dxa"/>
            <w:vAlign w:val="bottom"/>
            <w:tcBorders>
              <w:right w:val="single" w:sz="8" w:color="3D85C6"/>
            </w:tcBorders>
            <w:vMerge w:val="continue"/>
            <w:shd w:val="clear" w:color="auto" w:fill="2D53A6"/>
          </w:tcPr>
          <w:p>
            <w:pPr>
              <w:spacing w:after="0"/>
              <w:rPr>
                <w:sz w:val="6"/>
                <w:szCs w:val="6"/>
                <w:color w:val="auto"/>
              </w:rPr>
            </w:pPr>
          </w:p>
        </w:tc>
        <w:tc>
          <w:tcPr>
            <w:tcW w:w="1640" w:type="dxa"/>
            <w:vAlign w:val="bottom"/>
            <w:tcBorders>
              <w:right w:val="single" w:sz="8" w:color="3D85C6"/>
            </w:tcBorders>
            <w:vMerge w:val="continue"/>
            <w:shd w:val="clear" w:color="auto" w:fill="2D53A6"/>
          </w:tcPr>
          <w:p>
            <w:pPr>
              <w:spacing w:after="0"/>
              <w:rPr>
                <w:sz w:val="6"/>
                <w:szCs w:val="6"/>
                <w:color w:val="auto"/>
              </w:rPr>
            </w:pPr>
          </w:p>
        </w:tc>
        <w:tc>
          <w:tcPr>
            <w:tcW w:w="1660" w:type="dxa"/>
            <w:vAlign w:val="bottom"/>
            <w:tcBorders>
              <w:right w:val="single" w:sz="8" w:color="2D53A6"/>
            </w:tcBorders>
            <w:vMerge w:val="restart"/>
            <w:shd w:val="clear" w:color="auto" w:fill="2D53A6"/>
          </w:tcPr>
          <w:p>
            <w:pPr>
              <w:jc w:val="center"/>
              <w:spacing w:after="0" w:line="156" w:lineRule="exact"/>
              <w:rPr>
                <w:sz w:val="20"/>
                <w:szCs w:val="20"/>
                <w:color w:val="auto"/>
              </w:rPr>
            </w:pPr>
            <w:r>
              <w:rPr>
                <w:rFonts w:ascii="Arial" w:cs="Arial" w:eastAsia="Arial" w:hAnsi="Arial"/>
                <w:sz w:val="14"/>
                <w:szCs w:val="14"/>
                <w:b w:val="1"/>
                <w:bCs w:val="1"/>
                <w:color w:val="FFFFFF"/>
                <w:w w:val="98"/>
              </w:rPr>
              <w:t>Rights That</w:t>
            </w:r>
          </w:p>
        </w:tc>
        <w:tc>
          <w:tcPr>
            <w:tcW w:w="0" w:type="dxa"/>
            <w:vAlign w:val="bottom"/>
          </w:tcPr>
          <w:p>
            <w:pPr>
              <w:spacing w:after="0"/>
              <w:rPr>
                <w:sz w:val="1"/>
                <w:szCs w:val="1"/>
                <w:color w:val="auto"/>
              </w:rPr>
            </w:pPr>
          </w:p>
        </w:tc>
      </w:tr>
      <w:tr>
        <w:trPr>
          <w:trHeight w:val="78"/>
        </w:trPr>
        <w:tc>
          <w:tcPr>
            <w:tcW w:w="2300" w:type="dxa"/>
            <w:vAlign w:val="bottom"/>
            <w:tcBorders>
              <w:left w:val="single" w:sz="8" w:color="3D85C6"/>
              <w:right w:val="single" w:sz="8" w:color="3D85C6"/>
            </w:tcBorders>
            <w:shd w:val="clear" w:color="auto" w:fill="2D53A6"/>
          </w:tcPr>
          <w:p>
            <w:pPr>
              <w:spacing w:after="0"/>
              <w:rPr>
                <w:sz w:val="6"/>
                <w:szCs w:val="6"/>
                <w:color w:val="auto"/>
              </w:rPr>
            </w:pPr>
          </w:p>
        </w:tc>
        <w:tc>
          <w:tcPr>
            <w:tcW w:w="2220" w:type="dxa"/>
            <w:vAlign w:val="bottom"/>
            <w:shd w:val="clear" w:color="auto" w:fill="2D53A6"/>
          </w:tcPr>
          <w:p>
            <w:pPr>
              <w:spacing w:after="0"/>
              <w:rPr>
                <w:sz w:val="6"/>
                <w:szCs w:val="6"/>
                <w:color w:val="auto"/>
              </w:rPr>
            </w:pPr>
          </w:p>
        </w:tc>
        <w:tc>
          <w:tcPr>
            <w:tcW w:w="120" w:type="dxa"/>
            <w:vAlign w:val="bottom"/>
            <w:tcBorders>
              <w:right w:val="single" w:sz="8" w:color="3D85C6"/>
            </w:tcBorders>
            <w:shd w:val="clear" w:color="auto" w:fill="2D53A6"/>
          </w:tcPr>
          <w:p>
            <w:pPr>
              <w:spacing w:after="0"/>
              <w:rPr>
                <w:sz w:val="6"/>
                <w:szCs w:val="6"/>
                <w:color w:val="auto"/>
              </w:rPr>
            </w:pPr>
          </w:p>
        </w:tc>
        <w:tc>
          <w:tcPr>
            <w:tcW w:w="120" w:type="dxa"/>
            <w:vAlign w:val="bottom"/>
            <w:shd w:val="clear" w:color="auto" w:fill="2D53A6"/>
          </w:tcPr>
          <w:p>
            <w:pPr>
              <w:spacing w:after="0"/>
              <w:rPr>
                <w:sz w:val="6"/>
                <w:szCs w:val="6"/>
                <w:color w:val="auto"/>
              </w:rPr>
            </w:pPr>
          </w:p>
        </w:tc>
        <w:tc>
          <w:tcPr>
            <w:tcW w:w="1640" w:type="dxa"/>
            <w:vAlign w:val="bottom"/>
            <w:tcBorders>
              <w:right w:val="single" w:sz="8" w:color="3D85C6"/>
            </w:tcBorders>
            <w:shd w:val="clear" w:color="auto" w:fill="2D53A6"/>
          </w:tcPr>
          <w:p>
            <w:pPr>
              <w:spacing w:after="0"/>
              <w:rPr>
                <w:sz w:val="6"/>
                <w:szCs w:val="6"/>
                <w:color w:val="auto"/>
              </w:rPr>
            </w:pPr>
          </w:p>
        </w:tc>
        <w:tc>
          <w:tcPr>
            <w:tcW w:w="1560" w:type="dxa"/>
            <w:vAlign w:val="bottom"/>
            <w:tcBorders>
              <w:right w:val="single" w:sz="8" w:color="3D85C6"/>
            </w:tcBorders>
            <w:shd w:val="clear" w:color="auto" w:fill="2D53A6"/>
          </w:tcPr>
          <w:p>
            <w:pPr>
              <w:spacing w:after="0"/>
              <w:rPr>
                <w:sz w:val="6"/>
                <w:szCs w:val="6"/>
                <w:color w:val="auto"/>
              </w:rPr>
            </w:pPr>
          </w:p>
        </w:tc>
        <w:tc>
          <w:tcPr>
            <w:tcW w:w="1640" w:type="dxa"/>
            <w:vAlign w:val="bottom"/>
            <w:tcBorders>
              <w:right w:val="single" w:sz="8" w:color="3D85C6"/>
            </w:tcBorders>
            <w:vMerge w:val="restart"/>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8"/>
              </w:rPr>
              <w:t>Have Not</w:t>
            </w:r>
          </w:p>
        </w:tc>
        <w:tc>
          <w:tcPr>
            <w:tcW w:w="1660" w:type="dxa"/>
            <w:vAlign w:val="bottom"/>
            <w:tcBorders>
              <w:right w:val="single" w:sz="8" w:color="2D53A6"/>
            </w:tcBorders>
            <w:vMerge w:val="continue"/>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300" w:type="dxa"/>
            <w:vAlign w:val="bottom"/>
            <w:tcBorders>
              <w:left w:val="single" w:sz="8" w:color="3D85C6"/>
              <w:right w:val="single" w:sz="8" w:color="3D85C6"/>
            </w:tcBorders>
            <w:shd w:val="clear" w:color="auto" w:fill="2D53A6"/>
          </w:tcPr>
          <w:p>
            <w:pPr>
              <w:spacing w:after="0"/>
              <w:rPr>
                <w:sz w:val="6"/>
                <w:szCs w:val="6"/>
                <w:color w:val="auto"/>
              </w:rPr>
            </w:pPr>
          </w:p>
        </w:tc>
        <w:tc>
          <w:tcPr>
            <w:tcW w:w="2220" w:type="dxa"/>
            <w:vAlign w:val="bottom"/>
            <w:shd w:val="clear" w:color="auto" w:fill="2D53A6"/>
          </w:tcPr>
          <w:p>
            <w:pPr>
              <w:spacing w:after="0"/>
              <w:rPr>
                <w:sz w:val="6"/>
                <w:szCs w:val="6"/>
                <w:color w:val="auto"/>
              </w:rPr>
            </w:pPr>
          </w:p>
        </w:tc>
        <w:tc>
          <w:tcPr>
            <w:tcW w:w="120" w:type="dxa"/>
            <w:vAlign w:val="bottom"/>
            <w:tcBorders>
              <w:right w:val="single" w:sz="8" w:color="3D85C6"/>
            </w:tcBorders>
            <w:shd w:val="clear" w:color="auto" w:fill="2D53A6"/>
          </w:tcPr>
          <w:p>
            <w:pPr>
              <w:spacing w:after="0"/>
              <w:rPr>
                <w:sz w:val="6"/>
                <w:szCs w:val="6"/>
                <w:color w:val="auto"/>
              </w:rPr>
            </w:pPr>
          </w:p>
        </w:tc>
        <w:tc>
          <w:tcPr>
            <w:tcW w:w="120" w:type="dxa"/>
            <w:vAlign w:val="bottom"/>
            <w:shd w:val="clear" w:color="auto" w:fill="2D53A6"/>
          </w:tcPr>
          <w:p>
            <w:pPr>
              <w:spacing w:after="0"/>
              <w:rPr>
                <w:sz w:val="6"/>
                <w:szCs w:val="6"/>
                <w:color w:val="auto"/>
              </w:rPr>
            </w:pPr>
          </w:p>
        </w:tc>
        <w:tc>
          <w:tcPr>
            <w:tcW w:w="1640" w:type="dxa"/>
            <w:vAlign w:val="bottom"/>
            <w:tcBorders>
              <w:right w:val="single" w:sz="8" w:color="3D85C6"/>
            </w:tcBorders>
            <w:shd w:val="clear" w:color="auto" w:fill="2D53A6"/>
          </w:tcPr>
          <w:p>
            <w:pPr>
              <w:spacing w:after="0"/>
              <w:rPr>
                <w:sz w:val="6"/>
                <w:szCs w:val="6"/>
                <w:color w:val="auto"/>
              </w:rPr>
            </w:pPr>
          </w:p>
        </w:tc>
        <w:tc>
          <w:tcPr>
            <w:tcW w:w="1560" w:type="dxa"/>
            <w:vAlign w:val="bottom"/>
            <w:tcBorders>
              <w:right w:val="single" w:sz="8" w:color="3D85C6"/>
            </w:tcBorders>
            <w:shd w:val="clear" w:color="auto" w:fill="2D53A6"/>
          </w:tcPr>
          <w:p>
            <w:pPr>
              <w:spacing w:after="0"/>
              <w:rPr>
                <w:sz w:val="6"/>
                <w:szCs w:val="6"/>
                <w:color w:val="auto"/>
              </w:rPr>
            </w:pPr>
          </w:p>
        </w:tc>
        <w:tc>
          <w:tcPr>
            <w:tcW w:w="1640" w:type="dxa"/>
            <w:vAlign w:val="bottom"/>
            <w:tcBorders>
              <w:right w:val="single" w:sz="8" w:color="3D85C6"/>
            </w:tcBorders>
            <w:vMerge w:val="continue"/>
            <w:shd w:val="clear" w:color="auto" w:fill="2D53A6"/>
          </w:tcPr>
          <w:p>
            <w:pPr>
              <w:spacing w:after="0"/>
              <w:rPr>
                <w:sz w:val="6"/>
                <w:szCs w:val="6"/>
                <w:color w:val="auto"/>
              </w:rPr>
            </w:pPr>
          </w:p>
        </w:tc>
        <w:tc>
          <w:tcPr>
            <w:tcW w:w="1660" w:type="dxa"/>
            <w:vAlign w:val="bottom"/>
            <w:tcBorders>
              <w:right w:val="single" w:sz="8" w:color="2D53A6"/>
            </w:tcBorders>
            <w:vMerge w:val="restart"/>
            <w:shd w:val="clear" w:color="auto" w:fill="2D53A6"/>
          </w:tcPr>
          <w:p>
            <w:pPr>
              <w:jc w:val="center"/>
              <w:spacing w:after="0" w:line="153" w:lineRule="exact"/>
              <w:rPr>
                <w:sz w:val="20"/>
                <w:szCs w:val="20"/>
                <w:color w:val="auto"/>
              </w:rPr>
            </w:pPr>
            <w:r>
              <w:rPr>
                <w:rFonts w:ascii="Arial" w:cs="Arial" w:eastAsia="Arial" w:hAnsi="Arial"/>
                <w:sz w:val="14"/>
                <w:szCs w:val="14"/>
                <w:b w:val="1"/>
                <w:bCs w:val="1"/>
                <w:color w:val="FFFFFF"/>
                <w:w w:val="98"/>
              </w:rPr>
              <w:t>Have Not</w:t>
            </w:r>
          </w:p>
        </w:tc>
        <w:tc>
          <w:tcPr>
            <w:tcW w:w="0" w:type="dxa"/>
            <w:vAlign w:val="bottom"/>
          </w:tcPr>
          <w:p>
            <w:pPr>
              <w:spacing w:after="0"/>
              <w:rPr>
                <w:sz w:val="1"/>
                <w:szCs w:val="1"/>
                <w:color w:val="auto"/>
              </w:rPr>
            </w:pPr>
          </w:p>
        </w:tc>
      </w:tr>
      <w:tr>
        <w:trPr>
          <w:trHeight w:val="78"/>
        </w:trPr>
        <w:tc>
          <w:tcPr>
            <w:tcW w:w="2300" w:type="dxa"/>
            <w:vAlign w:val="bottom"/>
            <w:tcBorders>
              <w:left w:val="single" w:sz="8" w:color="3D85C6"/>
              <w:right w:val="single" w:sz="8" w:color="3D85C6"/>
            </w:tcBorders>
            <w:shd w:val="clear" w:color="auto" w:fill="2D53A6"/>
          </w:tcPr>
          <w:p>
            <w:pPr>
              <w:spacing w:after="0"/>
              <w:rPr>
                <w:sz w:val="6"/>
                <w:szCs w:val="6"/>
                <w:color w:val="auto"/>
              </w:rPr>
            </w:pPr>
          </w:p>
        </w:tc>
        <w:tc>
          <w:tcPr>
            <w:tcW w:w="2220" w:type="dxa"/>
            <w:vAlign w:val="bottom"/>
            <w:shd w:val="clear" w:color="auto" w:fill="2D53A6"/>
          </w:tcPr>
          <w:p>
            <w:pPr>
              <w:spacing w:after="0"/>
              <w:rPr>
                <w:sz w:val="6"/>
                <w:szCs w:val="6"/>
                <w:color w:val="auto"/>
              </w:rPr>
            </w:pPr>
          </w:p>
        </w:tc>
        <w:tc>
          <w:tcPr>
            <w:tcW w:w="120" w:type="dxa"/>
            <w:vAlign w:val="bottom"/>
            <w:tcBorders>
              <w:right w:val="single" w:sz="8" w:color="3D85C6"/>
            </w:tcBorders>
            <w:shd w:val="clear" w:color="auto" w:fill="2D53A6"/>
          </w:tcPr>
          <w:p>
            <w:pPr>
              <w:spacing w:after="0"/>
              <w:rPr>
                <w:sz w:val="6"/>
                <w:szCs w:val="6"/>
                <w:color w:val="auto"/>
              </w:rPr>
            </w:pPr>
          </w:p>
        </w:tc>
        <w:tc>
          <w:tcPr>
            <w:tcW w:w="120" w:type="dxa"/>
            <w:vAlign w:val="bottom"/>
            <w:shd w:val="clear" w:color="auto" w:fill="2D53A6"/>
          </w:tcPr>
          <w:p>
            <w:pPr>
              <w:spacing w:after="0"/>
              <w:rPr>
                <w:sz w:val="6"/>
                <w:szCs w:val="6"/>
                <w:color w:val="auto"/>
              </w:rPr>
            </w:pPr>
          </w:p>
        </w:tc>
        <w:tc>
          <w:tcPr>
            <w:tcW w:w="1640" w:type="dxa"/>
            <w:vAlign w:val="bottom"/>
            <w:tcBorders>
              <w:right w:val="single" w:sz="8" w:color="3D85C6"/>
            </w:tcBorders>
            <w:shd w:val="clear" w:color="auto" w:fill="2D53A6"/>
          </w:tcPr>
          <w:p>
            <w:pPr>
              <w:spacing w:after="0"/>
              <w:rPr>
                <w:sz w:val="6"/>
                <w:szCs w:val="6"/>
                <w:color w:val="auto"/>
              </w:rPr>
            </w:pPr>
          </w:p>
        </w:tc>
        <w:tc>
          <w:tcPr>
            <w:tcW w:w="1560" w:type="dxa"/>
            <w:vAlign w:val="bottom"/>
            <w:tcBorders>
              <w:right w:val="single" w:sz="8" w:color="3D85C6"/>
            </w:tcBorders>
            <w:shd w:val="clear" w:color="auto" w:fill="2D53A6"/>
          </w:tcPr>
          <w:p>
            <w:pPr>
              <w:spacing w:after="0"/>
              <w:rPr>
                <w:sz w:val="6"/>
                <w:szCs w:val="6"/>
                <w:color w:val="auto"/>
              </w:rPr>
            </w:pPr>
          </w:p>
        </w:tc>
        <w:tc>
          <w:tcPr>
            <w:tcW w:w="1640" w:type="dxa"/>
            <w:vAlign w:val="bottom"/>
            <w:tcBorders>
              <w:right w:val="single" w:sz="8" w:color="3D85C6"/>
            </w:tcBorders>
            <w:vMerge w:val="restart"/>
            <w:shd w:val="clear" w:color="auto" w:fill="2D53A6"/>
          </w:tcPr>
          <w:p>
            <w:pPr>
              <w:jc w:val="center"/>
              <w:spacing w:after="0" w:line="220" w:lineRule="exact"/>
              <w:rPr>
                <w:sz w:val="20"/>
                <w:szCs w:val="20"/>
                <w:color w:val="auto"/>
              </w:rPr>
            </w:pPr>
            <w:r>
              <w:rPr>
                <w:rFonts w:ascii="Arial" w:cs="Arial" w:eastAsia="Arial" w:hAnsi="Arial"/>
                <w:sz w:val="14"/>
                <w:szCs w:val="14"/>
                <w:b w:val="1"/>
                <w:bCs w:val="1"/>
                <w:color w:val="FFFFFF"/>
                <w:w w:val="91"/>
              </w:rPr>
              <w:t xml:space="preserve">Vested (#) </w:t>
            </w:r>
            <w:r>
              <w:rPr>
                <w:rFonts w:ascii="Arial" w:cs="Arial" w:eastAsia="Arial" w:hAnsi="Arial"/>
                <w:sz w:val="23"/>
                <w:szCs w:val="23"/>
                <w:b w:val="1"/>
                <w:bCs w:val="1"/>
                <w:color w:val="FFFFFF"/>
                <w:w w:val="91"/>
                <w:vertAlign w:val="superscript"/>
              </w:rPr>
              <w:t>(3)</w:t>
            </w:r>
          </w:p>
        </w:tc>
        <w:tc>
          <w:tcPr>
            <w:tcW w:w="1660" w:type="dxa"/>
            <w:vAlign w:val="bottom"/>
            <w:tcBorders>
              <w:right w:val="single" w:sz="8" w:color="2D53A6"/>
            </w:tcBorders>
            <w:vMerge w:val="continue"/>
            <w:shd w:val="clear" w:color="auto" w:fill="2D53A6"/>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300" w:type="dxa"/>
            <w:vAlign w:val="bottom"/>
            <w:tcBorders>
              <w:left w:val="single" w:sz="8" w:color="3D85C6"/>
              <w:bottom w:val="single" w:sz="8" w:color="2D53A6"/>
              <w:right w:val="single" w:sz="8" w:color="3D85C6"/>
            </w:tcBorders>
            <w:shd w:val="clear" w:color="auto" w:fill="2D53A6"/>
          </w:tcPr>
          <w:p>
            <w:pPr>
              <w:spacing w:after="0"/>
              <w:rPr>
                <w:sz w:val="16"/>
                <w:szCs w:val="16"/>
                <w:color w:val="auto"/>
              </w:rPr>
            </w:pPr>
          </w:p>
        </w:tc>
        <w:tc>
          <w:tcPr>
            <w:tcW w:w="2220" w:type="dxa"/>
            <w:vAlign w:val="bottom"/>
            <w:tcBorders>
              <w:bottom w:val="single" w:sz="8" w:color="2D53A6"/>
            </w:tcBorders>
            <w:shd w:val="clear" w:color="auto" w:fill="2D53A6"/>
          </w:tcPr>
          <w:p>
            <w:pPr>
              <w:spacing w:after="0"/>
              <w:rPr>
                <w:sz w:val="16"/>
                <w:szCs w:val="16"/>
                <w:color w:val="auto"/>
              </w:rPr>
            </w:pPr>
          </w:p>
        </w:tc>
        <w:tc>
          <w:tcPr>
            <w:tcW w:w="120" w:type="dxa"/>
            <w:vAlign w:val="bottom"/>
            <w:tcBorders>
              <w:bottom w:val="single" w:sz="8" w:color="2D53A6"/>
              <w:right w:val="single" w:sz="8" w:color="3D85C6"/>
            </w:tcBorders>
            <w:shd w:val="clear" w:color="auto" w:fill="2D53A6"/>
          </w:tcPr>
          <w:p>
            <w:pPr>
              <w:spacing w:after="0"/>
              <w:rPr>
                <w:sz w:val="16"/>
                <w:szCs w:val="16"/>
                <w:color w:val="auto"/>
              </w:rPr>
            </w:pPr>
          </w:p>
        </w:tc>
        <w:tc>
          <w:tcPr>
            <w:tcW w:w="120" w:type="dxa"/>
            <w:vAlign w:val="bottom"/>
            <w:tcBorders>
              <w:bottom w:val="single" w:sz="8" w:color="2D53A6"/>
            </w:tcBorders>
            <w:shd w:val="clear" w:color="auto" w:fill="2D53A6"/>
          </w:tcPr>
          <w:p>
            <w:pPr>
              <w:spacing w:after="0"/>
              <w:rPr>
                <w:sz w:val="16"/>
                <w:szCs w:val="16"/>
                <w:color w:val="auto"/>
              </w:rPr>
            </w:pPr>
          </w:p>
        </w:tc>
        <w:tc>
          <w:tcPr>
            <w:tcW w:w="1640" w:type="dxa"/>
            <w:vAlign w:val="bottom"/>
            <w:tcBorders>
              <w:bottom w:val="single" w:sz="8" w:color="2D53A6"/>
              <w:right w:val="single" w:sz="8" w:color="3D85C6"/>
            </w:tcBorders>
            <w:shd w:val="clear" w:color="auto" w:fill="2D53A6"/>
          </w:tcPr>
          <w:p>
            <w:pPr>
              <w:spacing w:after="0"/>
              <w:rPr>
                <w:sz w:val="16"/>
                <w:szCs w:val="16"/>
                <w:color w:val="auto"/>
              </w:rPr>
            </w:pPr>
          </w:p>
        </w:tc>
        <w:tc>
          <w:tcPr>
            <w:tcW w:w="1560" w:type="dxa"/>
            <w:vAlign w:val="bottom"/>
            <w:tcBorders>
              <w:bottom w:val="single" w:sz="8" w:color="2D53A6"/>
              <w:right w:val="single" w:sz="8" w:color="3D85C6"/>
            </w:tcBorders>
            <w:shd w:val="clear" w:color="auto" w:fill="2D53A6"/>
          </w:tcPr>
          <w:p>
            <w:pPr>
              <w:spacing w:after="0"/>
              <w:rPr>
                <w:sz w:val="16"/>
                <w:szCs w:val="16"/>
                <w:color w:val="auto"/>
              </w:rPr>
            </w:pPr>
          </w:p>
        </w:tc>
        <w:tc>
          <w:tcPr>
            <w:tcW w:w="1640" w:type="dxa"/>
            <w:vAlign w:val="bottom"/>
            <w:tcBorders>
              <w:bottom w:val="single" w:sz="8" w:color="2D53A6"/>
              <w:right w:val="single" w:sz="8" w:color="3D85C6"/>
            </w:tcBorders>
            <w:vMerge w:val="continue"/>
            <w:shd w:val="clear" w:color="auto" w:fill="2D53A6"/>
          </w:tcPr>
          <w:p>
            <w:pPr>
              <w:spacing w:after="0"/>
              <w:rPr>
                <w:sz w:val="16"/>
                <w:szCs w:val="16"/>
                <w:color w:val="auto"/>
              </w:rPr>
            </w:pPr>
          </w:p>
        </w:tc>
        <w:tc>
          <w:tcPr>
            <w:tcW w:w="1660" w:type="dxa"/>
            <w:vAlign w:val="bottom"/>
            <w:tcBorders>
              <w:bottom w:val="single" w:sz="8" w:color="2D53A6"/>
              <w:right w:val="single" w:sz="8" w:color="2D53A6"/>
            </w:tcBorders>
            <w:shd w:val="clear" w:color="auto" w:fill="2D53A6"/>
          </w:tcPr>
          <w:p>
            <w:pPr>
              <w:jc w:val="center"/>
              <w:spacing w:after="0" w:line="165" w:lineRule="exact"/>
              <w:rPr>
                <w:sz w:val="20"/>
                <w:szCs w:val="20"/>
                <w:color w:val="auto"/>
              </w:rPr>
            </w:pPr>
            <w:r>
              <w:rPr>
                <w:rFonts w:ascii="Arial" w:cs="Arial" w:eastAsia="Arial" w:hAnsi="Arial"/>
                <w:sz w:val="12"/>
                <w:szCs w:val="12"/>
                <w:b w:val="1"/>
                <w:bCs w:val="1"/>
                <w:color w:val="FFFFFF"/>
              </w:rPr>
              <w:t xml:space="preserve">Vested ($) </w:t>
            </w:r>
            <w:r>
              <w:rPr>
                <w:rFonts w:ascii="Arial" w:cs="Arial" w:eastAsia="Arial" w:hAnsi="Arial"/>
                <w:sz w:val="19"/>
                <w:szCs w:val="19"/>
                <w:b w:val="1"/>
                <w:bCs w:val="1"/>
                <w:color w:val="FFFFFF"/>
                <w:vertAlign w:val="superscript"/>
              </w:rPr>
              <w:t>(4)</w:t>
            </w:r>
          </w:p>
        </w:tc>
        <w:tc>
          <w:tcPr>
            <w:tcW w:w="0" w:type="dxa"/>
            <w:vAlign w:val="bottom"/>
          </w:tcPr>
          <w:p>
            <w:pPr>
              <w:spacing w:after="0"/>
              <w:rPr>
                <w:sz w:val="1"/>
                <w:szCs w:val="1"/>
                <w:color w:val="auto"/>
              </w:rPr>
            </w:pPr>
          </w:p>
        </w:tc>
      </w:tr>
      <w:tr>
        <w:trPr>
          <w:trHeight w:val="129"/>
        </w:trPr>
        <w:tc>
          <w:tcPr>
            <w:tcW w:w="2300" w:type="dxa"/>
            <w:vAlign w:val="bottom"/>
            <w:tcBorders>
              <w:top w:val="single" w:sz="8" w:color="3D85C6"/>
              <w:left w:val="single" w:sz="8" w:color="3D85C6"/>
              <w:bottom w:val="single" w:sz="8" w:color="3D85C6"/>
              <w:right w:val="single" w:sz="8" w:color="3D85C6"/>
            </w:tcBorders>
            <w:vMerge w:val="restart"/>
          </w:tcPr>
          <w:p>
            <w:pPr>
              <w:ind w:left="180"/>
              <w:spacing w:after="0"/>
              <w:rPr>
                <w:sz w:val="20"/>
                <w:szCs w:val="20"/>
                <w:color w:val="auto"/>
              </w:rPr>
            </w:pPr>
            <w:r>
              <w:rPr>
                <w:rFonts w:ascii="Arial" w:cs="Arial" w:eastAsia="Arial" w:hAnsi="Arial"/>
                <w:sz w:val="14"/>
                <w:szCs w:val="14"/>
                <w:color w:val="auto"/>
              </w:rPr>
              <w:t>Luis A.</w:t>
            </w:r>
          </w:p>
        </w:tc>
        <w:tc>
          <w:tcPr>
            <w:tcW w:w="2220" w:type="dxa"/>
            <w:vAlign w:val="bottom"/>
            <w:tcBorders>
              <w:top w:val="single" w:sz="8" w:color="3D85C6"/>
              <w:bottom w:val="single" w:sz="8" w:color="3D85C6"/>
            </w:tcBorders>
          </w:tcPr>
          <w:p>
            <w:pPr>
              <w:jc w:val="center"/>
              <w:spacing w:after="0" w:line="129" w:lineRule="exact"/>
              <w:rPr>
                <w:sz w:val="20"/>
                <w:szCs w:val="20"/>
                <w:color w:val="auto"/>
              </w:rPr>
            </w:pPr>
            <w:r>
              <w:rPr>
                <w:rFonts w:ascii="Arial" w:cs="Arial" w:eastAsia="Arial" w:hAnsi="Arial"/>
                <w:sz w:val="14"/>
                <w:szCs w:val="14"/>
                <w:color w:val="auto"/>
                <w:w w:val="99"/>
              </w:rPr>
              <w:t>3/14/2022</w:t>
            </w:r>
          </w:p>
        </w:tc>
        <w:tc>
          <w:tcPr>
            <w:tcW w:w="120" w:type="dxa"/>
            <w:vAlign w:val="bottom"/>
            <w:tcBorders>
              <w:top w:val="single" w:sz="8" w:color="3D85C6"/>
              <w:bottom w:val="single" w:sz="8" w:color="3D85C6"/>
              <w:right w:val="single" w:sz="8" w:color="3D85C6"/>
            </w:tcBorders>
          </w:tcPr>
          <w:p>
            <w:pPr>
              <w:spacing w:after="0"/>
              <w:rPr>
                <w:sz w:val="11"/>
                <w:szCs w:val="11"/>
                <w:color w:val="auto"/>
              </w:rPr>
            </w:pPr>
          </w:p>
        </w:tc>
        <w:tc>
          <w:tcPr>
            <w:tcW w:w="1760" w:type="dxa"/>
            <w:vAlign w:val="bottom"/>
            <w:tcBorders>
              <w:top w:val="single" w:sz="8" w:color="3D85C6"/>
              <w:bottom w:val="single" w:sz="8" w:color="3D85C6"/>
              <w:right w:val="single" w:sz="8" w:color="3D85C6"/>
            </w:tcBorders>
            <w:gridSpan w:val="2"/>
          </w:tcPr>
          <w:p>
            <w:pPr>
              <w:jc w:val="right"/>
              <w:ind w:right="77"/>
              <w:spacing w:after="0" w:line="129" w:lineRule="exact"/>
              <w:rPr>
                <w:sz w:val="20"/>
                <w:szCs w:val="20"/>
                <w:color w:val="auto"/>
              </w:rPr>
            </w:pPr>
            <w:r>
              <w:rPr>
                <w:rFonts w:ascii="Arial" w:cs="Arial" w:eastAsia="Arial" w:hAnsi="Arial"/>
                <w:sz w:val="9"/>
                <w:szCs w:val="9"/>
                <w:color w:val="auto"/>
              </w:rPr>
              <w:t>13,711</w:t>
            </w:r>
            <w:r>
              <w:rPr>
                <w:rFonts w:ascii="Arial" w:cs="Arial" w:eastAsia="Arial" w:hAnsi="Arial"/>
                <w:sz w:val="14"/>
                <w:szCs w:val="14"/>
                <w:color w:val="auto"/>
                <w:vertAlign w:val="superscript"/>
              </w:rPr>
              <w:t>(1)</w:t>
            </w:r>
          </w:p>
        </w:tc>
        <w:tc>
          <w:tcPr>
            <w:tcW w:w="1560" w:type="dxa"/>
            <w:vAlign w:val="bottom"/>
            <w:tcBorders>
              <w:top w:val="single" w:sz="8" w:color="3D85C6"/>
              <w:bottom w:val="single" w:sz="8" w:color="3D85C6"/>
              <w:right w:val="single" w:sz="8" w:color="3D85C6"/>
            </w:tcBorders>
          </w:tcPr>
          <w:p>
            <w:pPr>
              <w:jc w:val="right"/>
              <w:ind w:right="51"/>
              <w:spacing w:after="0" w:line="129" w:lineRule="exact"/>
              <w:rPr>
                <w:sz w:val="20"/>
                <w:szCs w:val="20"/>
                <w:color w:val="auto"/>
              </w:rPr>
            </w:pPr>
            <w:r>
              <w:rPr>
                <w:rFonts w:ascii="Arial" w:cs="Arial" w:eastAsia="Arial" w:hAnsi="Arial"/>
                <w:sz w:val="14"/>
                <w:szCs w:val="14"/>
                <w:color w:val="auto"/>
              </w:rPr>
              <w:t>322,071</w:t>
            </w:r>
          </w:p>
        </w:tc>
        <w:tc>
          <w:tcPr>
            <w:tcW w:w="1640" w:type="dxa"/>
            <w:vAlign w:val="bottom"/>
            <w:tcBorders>
              <w:top w:val="single" w:sz="8" w:color="3D85C6"/>
              <w:bottom w:val="single" w:sz="8" w:color="3D85C6"/>
              <w:right w:val="single" w:sz="8" w:color="3D85C6"/>
            </w:tcBorders>
          </w:tcPr>
          <w:p>
            <w:pPr>
              <w:jc w:val="right"/>
              <w:ind w:right="51"/>
              <w:spacing w:after="0" w:line="129" w:lineRule="exact"/>
              <w:rPr>
                <w:sz w:val="20"/>
                <w:szCs w:val="20"/>
                <w:color w:val="auto"/>
              </w:rPr>
            </w:pPr>
            <w:r>
              <w:rPr>
                <w:rFonts w:ascii="Arial" w:cs="Arial" w:eastAsia="Arial" w:hAnsi="Arial"/>
                <w:sz w:val="14"/>
                <w:szCs w:val="14"/>
                <w:color w:val="auto"/>
              </w:rPr>
              <w:t>-</w:t>
            </w:r>
          </w:p>
        </w:tc>
        <w:tc>
          <w:tcPr>
            <w:tcW w:w="1660" w:type="dxa"/>
            <w:vAlign w:val="bottom"/>
            <w:tcBorders>
              <w:top w:val="single" w:sz="8" w:color="3D85C6"/>
              <w:bottom w:val="single" w:sz="8" w:color="3D85C6"/>
              <w:right w:val="single" w:sz="8" w:color="3D85C6"/>
            </w:tcBorders>
          </w:tcPr>
          <w:p>
            <w:pPr>
              <w:jc w:val="right"/>
              <w:ind w:right="51"/>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tcBorders>
              <w:left w:val="single" w:sz="8" w:color="3D85C6"/>
              <w:right w:val="single" w:sz="8" w:color="3D85C6"/>
            </w:tcBorders>
            <w:vMerge w:val="continue"/>
          </w:tcPr>
          <w:p>
            <w:pPr>
              <w:spacing w:after="0"/>
              <w:rPr>
                <w:sz w:val="12"/>
                <w:szCs w:val="12"/>
                <w:color w:val="auto"/>
              </w:rPr>
            </w:pPr>
          </w:p>
        </w:tc>
        <w:tc>
          <w:tcPr>
            <w:tcW w:w="2220" w:type="dxa"/>
            <w:vAlign w:val="bottom"/>
            <w:tcBorders>
              <w:bottom w:val="single" w:sz="8" w:color="3D85C6"/>
            </w:tcBorders>
          </w:tcPr>
          <w:p>
            <w:pPr>
              <w:jc w:val="center"/>
              <w:spacing w:after="0" w:line="149" w:lineRule="exact"/>
              <w:rPr>
                <w:sz w:val="20"/>
                <w:szCs w:val="20"/>
                <w:color w:val="auto"/>
              </w:rPr>
            </w:pPr>
            <w:r>
              <w:rPr>
                <w:rFonts w:ascii="Arial" w:cs="Arial" w:eastAsia="Arial" w:hAnsi="Arial"/>
                <w:sz w:val="14"/>
                <w:szCs w:val="14"/>
                <w:color w:val="auto"/>
                <w:w w:val="99"/>
              </w:rPr>
              <w:t>3/14/2023</w:t>
            </w:r>
          </w:p>
        </w:tc>
        <w:tc>
          <w:tcPr>
            <w:tcW w:w="120" w:type="dxa"/>
            <w:vAlign w:val="bottom"/>
            <w:tcBorders>
              <w:bottom w:val="single" w:sz="8" w:color="3D85C6"/>
              <w:right w:val="single" w:sz="8" w:color="3D85C6"/>
            </w:tcBorders>
          </w:tcPr>
          <w:p>
            <w:pPr>
              <w:spacing w:after="0"/>
              <w:rPr>
                <w:sz w:val="12"/>
                <w:szCs w:val="12"/>
                <w:color w:val="auto"/>
              </w:rPr>
            </w:pPr>
          </w:p>
        </w:tc>
        <w:tc>
          <w:tcPr>
            <w:tcW w:w="1760" w:type="dxa"/>
            <w:vAlign w:val="bottom"/>
            <w:tcBorders>
              <w:bottom w:val="single" w:sz="8" w:color="3D85C6"/>
              <w:right w:val="single" w:sz="8" w:color="3D85C6"/>
            </w:tcBorders>
            <w:gridSpan w:val="2"/>
          </w:tcPr>
          <w:p>
            <w:pPr>
              <w:jc w:val="right"/>
              <w:ind w:right="77"/>
              <w:spacing w:after="0" w:line="149" w:lineRule="exact"/>
              <w:rPr>
                <w:sz w:val="20"/>
                <w:szCs w:val="20"/>
                <w:color w:val="auto"/>
              </w:rPr>
            </w:pPr>
            <w:r>
              <w:rPr>
                <w:rFonts w:ascii="Arial" w:cs="Arial" w:eastAsia="Arial" w:hAnsi="Arial"/>
                <w:sz w:val="11"/>
                <w:szCs w:val="11"/>
                <w:color w:val="auto"/>
              </w:rPr>
              <w:t>22,002</w:t>
            </w:r>
            <w:r>
              <w:rPr>
                <w:rFonts w:ascii="Arial" w:cs="Arial" w:eastAsia="Arial" w:hAnsi="Arial"/>
                <w:sz w:val="17"/>
                <w:szCs w:val="17"/>
                <w:color w:val="auto"/>
                <w:vertAlign w:val="superscript"/>
              </w:rPr>
              <w:t>(1)</w:t>
            </w:r>
          </w:p>
        </w:tc>
        <w:tc>
          <w:tcPr>
            <w:tcW w:w="15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516,827</w:t>
            </w:r>
          </w:p>
        </w:tc>
        <w:tc>
          <w:tcPr>
            <w:tcW w:w="1640" w:type="dxa"/>
            <w:vAlign w:val="bottom"/>
            <w:tcBorders>
              <w:bottom w:val="single" w:sz="8" w:color="3D85C6"/>
              <w:right w:val="single" w:sz="8" w:color="3D85C6"/>
            </w:tcBorders>
          </w:tcPr>
          <w:p>
            <w:pPr>
              <w:jc w:val="right"/>
              <w:ind w:right="31"/>
              <w:spacing w:after="0" w:line="149" w:lineRule="exact"/>
              <w:rPr>
                <w:sz w:val="20"/>
                <w:szCs w:val="20"/>
                <w:color w:val="auto"/>
              </w:rPr>
            </w:pPr>
            <w:r>
              <w:rPr>
                <w:rFonts w:ascii="Arial" w:cs="Arial" w:eastAsia="Arial" w:hAnsi="Arial"/>
                <w:sz w:val="14"/>
                <w:szCs w:val="14"/>
                <w:color w:val="auto"/>
              </w:rPr>
              <w:t>66,006</w:t>
            </w:r>
          </w:p>
        </w:tc>
        <w:tc>
          <w:tcPr>
            <w:tcW w:w="16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1,550,481</w:t>
            </w:r>
          </w:p>
        </w:tc>
        <w:tc>
          <w:tcPr>
            <w:tcW w:w="0" w:type="dxa"/>
            <w:vAlign w:val="bottom"/>
          </w:tcPr>
          <w:p>
            <w:pPr>
              <w:spacing w:after="0"/>
              <w:rPr>
                <w:sz w:val="1"/>
                <w:szCs w:val="1"/>
                <w:color w:val="auto"/>
              </w:rPr>
            </w:pPr>
          </w:p>
        </w:tc>
      </w:tr>
      <w:tr>
        <w:trPr>
          <w:trHeight w:val="149"/>
        </w:trPr>
        <w:tc>
          <w:tcPr>
            <w:tcW w:w="2300" w:type="dxa"/>
            <w:vAlign w:val="bottom"/>
            <w:tcBorders>
              <w:left w:val="single" w:sz="8" w:color="3D85C6"/>
              <w:right w:val="single" w:sz="8" w:color="3D85C6"/>
            </w:tcBorders>
          </w:tcPr>
          <w:p>
            <w:pPr>
              <w:ind w:left="180"/>
              <w:spacing w:after="0" w:line="149" w:lineRule="exact"/>
              <w:rPr>
                <w:sz w:val="20"/>
                <w:szCs w:val="20"/>
                <w:color w:val="auto"/>
              </w:rPr>
            </w:pPr>
            <w:r>
              <w:rPr>
                <w:rFonts w:ascii="Arial" w:cs="Arial" w:eastAsia="Arial" w:hAnsi="Arial"/>
                <w:sz w:val="14"/>
                <w:szCs w:val="14"/>
                <w:color w:val="auto"/>
              </w:rPr>
              <w:t>Müller</w:t>
            </w:r>
          </w:p>
        </w:tc>
        <w:tc>
          <w:tcPr>
            <w:tcW w:w="2220" w:type="dxa"/>
            <w:vAlign w:val="bottom"/>
            <w:tcBorders>
              <w:bottom w:val="single" w:sz="8" w:color="3D85C6"/>
            </w:tcBorders>
          </w:tcPr>
          <w:p>
            <w:pPr>
              <w:jc w:val="center"/>
              <w:spacing w:after="0" w:line="149" w:lineRule="exact"/>
              <w:rPr>
                <w:sz w:val="20"/>
                <w:szCs w:val="20"/>
                <w:color w:val="auto"/>
              </w:rPr>
            </w:pPr>
            <w:r>
              <w:rPr>
                <w:rFonts w:ascii="Arial" w:cs="Arial" w:eastAsia="Arial" w:hAnsi="Arial"/>
                <w:sz w:val="14"/>
                <w:szCs w:val="14"/>
                <w:color w:val="auto"/>
                <w:w w:val="99"/>
              </w:rPr>
              <w:t>3/12/2024</w:t>
            </w:r>
          </w:p>
        </w:tc>
        <w:tc>
          <w:tcPr>
            <w:tcW w:w="120" w:type="dxa"/>
            <w:vAlign w:val="bottom"/>
            <w:tcBorders>
              <w:bottom w:val="single" w:sz="8" w:color="3D85C6"/>
              <w:right w:val="single" w:sz="8" w:color="3D85C6"/>
            </w:tcBorders>
          </w:tcPr>
          <w:p>
            <w:pPr>
              <w:spacing w:after="0"/>
              <w:rPr>
                <w:sz w:val="12"/>
                <w:szCs w:val="12"/>
                <w:color w:val="auto"/>
              </w:rPr>
            </w:pPr>
          </w:p>
        </w:tc>
        <w:tc>
          <w:tcPr>
            <w:tcW w:w="1760" w:type="dxa"/>
            <w:vAlign w:val="bottom"/>
            <w:tcBorders>
              <w:bottom w:val="single" w:sz="8" w:color="3D85C6"/>
              <w:right w:val="single" w:sz="8" w:color="3D85C6"/>
            </w:tcBorders>
            <w:gridSpan w:val="2"/>
          </w:tcPr>
          <w:p>
            <w:pPr>
              <w:jc w:val="right"/>
              <w:ind w:right="77"/>
              <w:spacing w:after="0" w:line="149" w:lineRule="exact"/>
              <w:rPr>
                <w:sz w:val="20"/>
                <w:szCs w:val="20"/>
                <w:color w:val="auto"/>
              </w:rPr>
            </w:pPr>
            <w:r>
              <w:rPr>
                <w:rFonts w:ascii="Arial" w:cs="Arial" w:eastAsia="Arial" w:hAnsi="Arial"/>
                <w:sz w:val="11"/>
                <w:szCs w:val="11"/>
                <w:color w:val="auto"/>
              </w:rPr>
              <w:t>32,962</w:t>
            </w:r>
            <w:r>
              <w:rPr>
                <w:rFonts w:ascii="Arial" w:cs="Arial" w:eastAsia="Arial" w:hAnsi="Arial"/>
                <w:sz w:val="17"/>
                <w:szCs w:val="17"/>
                <w:color w:val="auto"/>
                <w:vertAlign w:val="superscript"/>
              </w:rPr>
              <w:t>(1)</w:t>
            </w:r>
          </w:p>
        </w:tc>
        <w:tc>
          <w:tcPr>
            <w:tcW w:w="15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774,277</w:t>
            </w:r>
          </w:p>
        </w:tc>
        <w:tc>
          <w:tcPr>
            <w:tcW w:w="1640" w:type="dxa"/>
            <w:vAlign w:val="bottom"/>
            <w:tcBorders>
              <w:bottom w:val="single" w:sz="8" w:color="3D85C6"/>
              <w:right w:val="single" w:sz="8" w:color="3D85C6"/>
            </w:tcBorders>
          </w:tcPr>
          <w:p>
            <w:pPr>
              <w:jc w:val="right"/>
              <w:ind w:right="31"/>
              <w:spacing w:after="0" w:line="149" w:lineRule="exact"/>
              <w:rPr>
                <w:sz w:val="20"/>
                <w:szCs w:val="20"/>
                <w:color w:val="auto"/>
              </w:rPr>
            </w:pPr>
            <w:r>
              <w:rPr>
                <w:rFonts w:ascii="Arial" w:cs="Arial" w:eastAsia="Arial" w:hAnsi="Arial"/>
                <w:sz w:val="14"/>
                <w:szCs w:val="14"/>
                <w:color w:val="auto"/>
              </w:rPr>
              <w:t>74,165</w:t>
            </w:r>
          </w:p>
        </w:tc>
        <w:tc>
          <w:tcPr>
            <w:tcW w:w="16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1,742,136</w:t>
            </w:r>
          </w:p>
        </w:tc>
        <w:tc>
          <w:tcPr>
            <w:tcW w:w="0" w:type="dxa"/>
            <w:vAlign w:val="bottom"/>
          </w:tcPr>
          <w:p>
            <w:pPr>
              <w:spacing w:after="0"/>
              <w:rPr>
                <w:sz w:val="1"/>
                <w:szCs w:val="1"/>
                <w:color w:val="auto"/>
              </w:rPr>
            </w:pPr>
          </w:p>
        </w:tc>
      </w:tr>
      <w:tr>
        <w:trPr>
          <w:trHeight w:val="149"/>
        </w:trPr>
        <w:tc>
          <w:tcPr>
            <w:tcW w:w="2300" w:type="dxa"/>
            <w:vAlign w:val="bottom"/>
            <w:tcBorders>
              <w:left w:val="single" w:sz="8" w:color="3D85C6"/>
              <w:bottom w:val="single" w:sz="8" w:color="3D85C6"/>
              <w:right w:val="single" w:sz="8" w:color="3D85C6"/>
            </w:tcBorders>
          </w:tcPr>
          <w:p>
            <w:pPr>
              <w:spacing w:after="0"/>
              <w:rPr>
                <w:sz w:val="12"/>
                <w:szCs w:val="12"/>
                <w:color w:val="auto"/>
              </w:rPr>
            </w:pPr>
          </w:p>
        </w:tc>
        <w:tc>
          <w:tcPr>
            <w:tcW w:w="2220" w:type="dxa"/>
            <w:vAlign w:val="bottom"/>
            <w:tcBorders>
              <w:bottom w:val="single" w:sz="8" w:color="3D85C6"/>
            </w:tcBorders>
          </w:tcPr>
          <w:p>
            <w:pPr>
              <w:jc w:val="center"/>
              <w:spacing w:after="0" w:line="149" w:lineRule="exact"/>
              <w:rPr>
                <w:sz w:val="20"/>
                <w:szCs w:val="20"/>
                <w:color w:val="auto"/>
              </w:rPr>
            </w:pPr>
            <w:r>
              <w:rPr>
                <w:rFonts w:ascii="Arial" w:cs="Arial" w:eastAsia="Arial" w:hAnsi="Arial"/>
                <w:sz w:val="14"/>
                <w:szCs w:val="14"/>
                <w:color w:val="auto"/>
                <w:w w:val="96"/>
              </w:rPr>
              <w:t>3/11/2025</w:t>
            </w:r>
          </w:p>
        </w:tc>
        <w:tc>
          <w:tcPr>
            <w:tcW w:w="120" w:type="dxa"/>
            <w:vAlign w:val="bottom"/>
            <w:tcBorders>
              <w:bottom w:val="single" w:sz="8" w:color="3D85C6"/>
              <w:right w:val="single" w:sz="8" w:color="3D85C6"/>
            </w:tcBorders>
          </w:tcPr>
          <w:p>
            <w:pPr>
              <w:spacing w:after="0"/>
              <w:rPr>
                <w:sz w:val="12"/>
                <w:szCs w:val="12"/>
                <w:color w:val="auto"/>
              </w:rPr>
            </w:pPr>
          </w:p>
        </w:tc>
        <w:tc>
          <w:tcPr>
            <w:tcW w:w="1760" w:type="dxa"/>
            <w:vAlign w:val="bottom"/>
            <w:tcBorders>
              <w:bottom w:val="single" w:sz="8" w:color="3D85C6"/>
              <w:right w:val="single" w:sz="8" w:color="3D85C6"/>
            </w:tcBorders>
            <w:gridSpan w:val="2"/>
          </w:tcPr>
          <w:p>
            <w:pPr>
              <w:jc w:val="right"/>
              <w:ind w:right="77"/>
              <w:spacing w:after="0" w:line="149" w:lineRule="exact"/>
              <w:rPr>
                <w:sz w:val="20"/>
                <w:szCs w:val="20"/>
                <w:color w:val="auto"/>
              </w:rPr>
            </w:pPr>
            <w:r>
              <w:rPr>
                <w:rFonts w:ascii="Arial" w:cs="Arial" w:eastAsia="Arial" w:hAnsi="Arial"/>
                <w:sz w:val="11"/>
                <w:szCs w:val="11"/>
                <w:color w:val="auto"/>
              </w:rPr>
              <w:t>97,067</w:t>
            </w:r>
            <w:r>
              <w:rPr>
                <w:rFonts w:ascii="Arial" w:cs="Arial" w:eastAsia="Arial" w:hAnsi="Arial"/>
                <w:sz w:val="17"/>
                <w:szCs w:val="17"/>
                <w:color w:val="auto"/>
                <w:vertAlign w:val="superscript"/>
              </w:rPr>
              <w:t>(1)</w:t>
            </w:r>
          </w:p>
        </w:tc>
        <w:tc>
          <w:tcPr>
            <w:tcW w:w="15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2,280,104</w:t>
            </w:r>
          </w:p>
        </w:tc>
        <w:tc>
          <w:tcPr>
            <w:tcW w:w="164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145,601</w:t>
            </w:r>
          </w:p>
        </w:tc>
        <w:tc>
          <w:tcPr>
            <w:tcW w:w="16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3,420,167</w:t>
            </w:r>
          </w:p>
        </w:tc>
        <w:tc>
          <w:tcPr>
            <w:tcW w:w="0" w:type="dxa"/>
            <w:vAlign w:val="bottom"/>
          </w:tcPr>
          <w:p>
            <w:pPr>
              <w:spacing w:after="0"/>
              <w:rPr>
                <w:sz w:val="1"/>
                <w:szCs w:val="1"/>
                <w:color w:val="auto"/>
              </w:rPr>
            </w:pPr>
          </w:p>
        </w:tc>
      </w:tr>
      <w:tr>
        <w:trPr>
          <w:trHeight w:val="149"/>
        </w:trPr>
        <w:tc>
          <w:tcPr>
            <w:tcW w:w="2300" w:type="dxa"/>
            <w:vAlign w:val="bottom"/>
            <w:tcBorders>
              <w:left w:val="single" w:sz="8" w:color="3D85C6"/>
              <w:bottom w:val="single" w:sz="8" w:color="E6E6E6"/>
              <w:right w:val="single" w:sz="8" w:color="3D85C6"/>
            </w:tcBorders>
            <w:vMerge w:val="restart"/>
            <w:shd w:val="clear" w:color="auto" w:fill="E6E6E6"/>
          </w:tcPr>
          <w:p>
            <w:pPr>
              <w:ind w:left="180"/>
              <w:spacing w:after="0"/>
              <w:rPr>
                <w:sz w:val="20"/>
                <w:szCs w:val="20"/>
                <w:color w:val="auto"/>
              </w:rPr>
            </w:pPr>
            <w:r>
              <w:rPr>
                <w:rFonts w:ascii="Arial" w:cs="Arial" w:eastAsia="Arial" w:hAnsi="Arial"/>
                <w:sz w:val="14"/>
                <w:szCs w:val="14"/>
                <w:color w:val="auto"/>
              </w:rPr>
              <w:t>Jeffrey D.</w:t>
            </w:r>
          </w:p>
        </w:tc>
        <w:tc>
          <w:tcPr>
            <w:tcW w:w="2220" w:type="dxa"/>
            <w:vAlign w:val="bottom"/>
            <w:tcBorders>
              <w:bottom w:val="single" w:sz="8" w:color="3D85C6"/>
            </w:tcBorders>
            <w:shd w:val="clear" w:color="auto" w:fill="E6E6E6"/>
          </w:tcPr>
          <w:p>
            <w:pPr>
              <w:jc w:val="center"/>
              <w:spacing w:after="0" w:line="149" w:lineRule="exact"/>
              <w:rPr>
                <w:sz w:val="20"/>
                <w:szCs w:val="20"/>
                <w:color w:val="auto"/>
              </w:rPr>
            </w:pPr>
            <w:r>
              <w:rPr>
                <w:rFonts w:ascii="Arial" w:cs="Arial" w:eastAsia="Arial" w:hAnsi="Arial"/>
                <w:sz w:val="14"/>
                <w:szCs w:val="14"/>
                <w:color w:val="auto"/>
                <w:w w:val="99"/>
              </w:rPr>
              <w:t>3/14/2022</w:t>
            </w:r>
          </w:p>
        </w:tc>
        <w:tc>
          <w:tcPr>
            <w:tcW w:w="120" w:type="dxa"/>
            <w:vAlign w:val="bottom"/>
            <w:tcBorders>
              <w:bottom w:val="single" w:sz="8" w:color="3D85C6"/>
              <w:right w:val="single" w:sz="8" w:color="3D85C6"/>
            </w:tcBorders>
            <w:shd w:val="clear" w:color="auto" w:fill="E6E6E6"/>
          </w:tcPr>
          <w:p>
            <w:pPr>
              <w:spacing w:after="0"/>
              <w:rPr>
                <w:sz w:val="12"/>
                <w:szCs w:val="12"/>
                <w:color w:val="auto"/>
              </w:rPr>
            </w:pPr>
          </w:p>
        </w:tc>
        <w:tc>
          <w:tcPr>
            <w:tcW w:w="1760" w:type="dxa"/>
            <w:vAlign w:val="bottom"/>
            <w:tcBorders>
              <w:bottom w:val="single" w:sz="8" w:color="3D85C6"/>
              <w:right w:val="single" w:sz="8" w:color="3D85C6"/>
            </w:tcBorders>
            <w:gridSpan w:val="2"/>
            <w:shd w:val="clear" w:color="auto" w:fill="E6E6E6"/>
          </w:tcPr>
          <w:p>
            <w:pPr>
              <w:jc w:val="right"/>
              <w:ind w:right="77"/>
              <w:spacing w:after="0" w:line="149" w:lineRule="exact"/>
              <w:rPr>
                <w:sz w:val="20"/>
                <w:szCs w:val="20"/>
                <w:color w:val="auto"/>
              </w:rPr>
            </w:pPr>
            <w:r>
              <w:rPr>
                <w:rFonts w:ascii="Arial" w:cs="Arial" w:eastAsia="Arial" w:hAnsi="Arial"/>
                <w:sz w:val="11"/>
                <w:szCs w:val="11"/>
                <w:color w:val="auto"/>
              </w:rPr>
              <w:t>4,433</w:t>
            </w:r>
            <w:r>
              <w:rPr>
                <w:rFonts w:ascii="Arial" w:cs="Arial" w:eastAsia="Arial" w:hAnsi="Arial"/>
                <w:sz w:val="17"/>
                <w:szCs w:val="17"/>
                <w:color w:val="auto"/>
                <w:vertAlign w:val="superscript"/>
              </w:rPr>
              <w:t>(1)</w:t>
            </w:r>
          </w:p>
        </w:tc>
        <w:tc>
          <w:tcPr>
            <w:tcW w:w="15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104,131</w:t>
            </w:r>
          </w:p>
        </w:tc>
        <w:tc>
          <w:tcPr>
            <w:tcW w:w="164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tcBorders>
              <w:left w:val="single" w:sz="8" w:color="3D85C6"/>
              <w:bottom w:val="single" w:sz="8" w:color="E6E6E6"/>
              <w:right w:val="single" w:sz="8" w:color="3D85C6"/>
            </w:tcBorders>
            <w:vMerge w:val="continue"/>
            <w:shd w:val="clear" w:color="auto" w:fill="E6E6E6"/>
          </w:tcPr>
          <w:p>
            <w:pPr>
              <w:spacing w:after="0"/>
              <w:rPr>
                <w:sz w:val="12"/>
                <w:szCs w:val="12"/>
                <w:color w:val="auto"/>
              </w:rPr>
            </w:pPr>
          </w:p>
        </w:tc>
        <w:tc>
          <w:tcPr>
            <w:tcW w:w="2220" w:type="dxa"/>
            <w:vAlign w:val="bottom"/>
            <w:tcBorders>
              <w:bottom w:val="single" w:sz="8" w:color="3D85C6"/>
            </w:tcBorders>
            <w:shd w:val="clear" w:color="auto" w:fill="E6E6E6"/>
          </w:tcPr>
          <w:p>
            <w:pPr>
              <w:jc w:val="center"/>
              <w:spacing w:after="0" w:line="149" w:lineRule="exact"/>
              <w:rPr>
                <w:sz w:val="20"/>
                <w:szCs w:val="20"/>
                <w:color w:val="auto"/>
              </w:rPr>
            </w:pPr>
            <w:r>
              <w:rPr>
                <w:rFonts w:ascii="Arial" w:cs="Arial" w:eastAsia="Arial" w:hAnsi="Arial"/>
                <w:sz w:val="14"/>
                <w:szCs w:val="14"/>
                <w:color w:val="auto"/>
                <w:w w:val="99"/>
              </w:rPr>
              <w:t>3/14/2023</w:t>
            </w:r>
          </w:p>
        </w:tc>
        <w:tc>
          <w:tcPr>
            <w:tcW w:w="120" w:type="dxa"/>
            <w:vAlign w:val="bottom"/>
            <w:tcBorders>
              <w:bottom w:val="single" w:sz="8" w:color="3D85C6"/>
              <w:right w:val="single" w:sz="8" w:color="3D85C6"/>
            </w:tcBorders>
            <w:shd w:val="clear" w:color="auto" w:fill="E6E6E6"/>
          </w:tcPr>
          <w:p>
            <w:pPr>
              <w:spacing w:after="0"/>
              <w:rPr>
                <w:sz w:val="12"/>
                <w:szCs w:val="12"/>
                <w:color w:val="auto"/>
              </w:rPr>
            </w:pPr>
          </w:p>
        </w:tc>
        <w:tc>
          <w:tcPr>
            <w:tcW w:w="1760" w:type="dxa"/>
            <w:vAlign w:val="bottom"/>
            <w:tcBorders>
              <w:bottom w:val="single" w:sz="8" w:color="3D85C6"/>
              <w:right w:val="single" w:sz="8" w:color="3D85C6"/>
            </w:tcBorders>
            <w:gridSpan w:val="2"/>
            <w:shd w:val="clear" w:color="auto" w:fill="E6E6E6"/>
          </w:tcPr>
          <w:p>
            <w:pPr>
              <w:jc w:val="right"/>
              <w:ind w:right="77"/>
              <w:spacing w:after="0" w:line="149" w:lineRule="exact"/>
              <w:rPr>
                <w:sz w:val="20"/>
                <w:szCs w:val="20"/>
                <w:color w:val="auto"/>
              </w:rPr>
            </w:pPr>
            <w:r>
              <w:rPr>
                <w:rFonts w:ascii="Arial" w:cs="Arial" w:eastAsia="Arial" w:hAnsi="Arial"/>
                <w:sz w:val="11"/>
                <w:szCs w:val="11"/>
                <w:color w:val="auto"/>
              </w:rPr>
              <w:t>7,260</w:t>
            </w:r>
            <w:r>
              <w:rPr>
                <w:rFonts w:ascii="Arial" w:cs="Arial" w:eastAsia="Arial" w:hAnsi="Arial"/>
                <w:sz w:val="17"/>
                <w:szCs w:val="17"/>
                <w:color w:val="auto"/>
                <w:vertAlign w:val="superscript"/>
              </w:rPr>
              <w:t>(1)</w:t>
            </w:r>
          </w:p>
        </w:tc>
        <w:tc>
          <w:tcPr>
            <w:tcW w:w="15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170,537</w:t>
            </w:r>
          </w:p>
        </w:tc>
        <w:tc>
          <w:tcPr>
            <w:tcW w:w="1640" w:type="dxa"/>
            <w:vAlign w:val="bottom"/>
            <w:tcBorders>
              <w:bottom w:val="single" w:sz="8" w:color="3D85C6"/>
              <w:right w:val="single" w:sz="8" w:color="3D85C6"/>
            </w:tcBorders>
            <w:shd w:val="clear" w:color="auto" w:fill="E6E6E6"/>
          </w:tcPr>
          <w:p>
            <w:pPr>
              <w:jc w:val="right"/>
              <w:ind w:right="31"/>
              <w:spacing w:after="0" w:line="149" w:lineRule="exact"/>
              <w:rPr>
                <w:sz w:val="20"/>
                <w:szCs w:val="20"/>
                <w:color w:val="auto"/>
              </w:rPr>
            </w:pPr>
            <w:r>
              <w:rPr>
                <w:rFonts w:ascii="Arial" w:cs="Arial" w:eastAsia="Arial" w:hAnsi="Arial"/>
                <w:sz w:val="14"/>
                <w:szCs w:val="14"/>
                <w:color w:val="auto"/>
              </w:rPr>
              <w:t>21,782</w:t>
            </w:r>
          </w:p>
        </w:tc>
        <w:tc>
          <w:tcPr>
            <w:tcW w:w="16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511,659</w:t>
            </w:r>
          </w:p>
        </w:tc>
        <w:tc>
          <w:tcPr>
            <w:tcW w:w="0" w:type="dxa"/>
            <w:vAlign w:val="bottom"/>
          </w:tcPr>
          <w:p>
            <w:pPr>
              <w:spacing w:after="0"/>
              <w:rPr>
                <w:sz w:val="1"/>
                <w:szCs w:val="1"/>
                <w:color w:val="auto"/>
              </w:rPr>
            </w:pPr>
          </w:p>
        </w:tc>
      </w:tr>
      <w:tr>
        <w:trPr>
          <w:trHeight w:val="149"/>
        </w:trPr>
        <w:tc>
          <w:tcPr>
            <w:tcW w:w="2300" w:type="dxa"/>
            <w:vAlign w:val="bottom"/>
            <w:tcBorders>
              <w:left w:val="single" w:sz="8" w:color="3D85C6"/>
              <w:bottom w:val="single" w:sz="8" w:color="E6E6E6"/>
              <w:right w:val="single" w:sz="8" w:color="3D85C6"/>
            </w:tcBorders>
            <w:shd w:val="clear" w:color="auto" w:fill="E6E6E6"/>
          </w:tcPr>
          <w:p>
            <w:pPr>
              <w:ind w:left="180"/>
              <w:spacing w:after="0" w:line="149" w:lineRule="exact"/>
              <w:rPr>
                <w:sz w:val="20"/>
                <w:szCs w:val="20"/>
                <w:color w:val="auto"/>
              </w:rPr>
            </w:pPr>
            <w:r>
              <w:rPr>
                <w:rFonts w:ascii="Arial" w:cs="Arial" w:eastAsia="Arial" w:hAnsi="Arial"/>
                <w:sz w:val="14"/>
                <w:szCs w:val="14"/>
                <w:color w:val="auto"/>
              </w:rPr>
              <w:t>Jones</w:t>
            </w:r>
          </w:p>
        </w:tc>
        <w:tc>
          <w:tcPr>
            <w:tcW w:w="2220" w:type="dxa"/>
            <w:vAlign w:val="bottom"/>
            <w:tcBorders>
              <w:bottom w:val="single" w:sz="8" w:color="3D85C6"/>
            </w:tcBorders>
            <w:shd w:val="clear" w:color="auto" w:fill="E6E6E6"/>
          </w:tcPr>
          <w:p>
            <w:pPr>
              <w:jc w:val="center"/>
              <w:spacing w:after="0" w:line="149" w:lineRule="exact"/>
              <w:rPr>
                <w:sz w:val="20"/>
                <w:szCs w:val="20"/>
                <w:color w:val="auto"/>
              </w:rPr>
            </w:pPr>
            <w:r>
              <w:rPr>
                <w:rFonts w:ascii="Arial" w:cs="Arial" w:eastAsia="Arial" w:hAnsi="Arial"/>
                <w:sz w:val="14"/>
                <w:szCs w:val="14"/>
                <w:color w:val="auto"/>
                <w:w w:val="99"/>
              </w:rPr>
              <w:t>3/12/2024</w:t>
            </w:r>
          </w:p>
        </w:tc>
        <w:tc>
          <w:tcPr>
            <w:tcW w:w="120" w:type="dxa"/>
            <w:vAlign w:val="bottom"/>
            <w:tcBorders>
              <w:bottom w:val="single" w:sz="8" w:color="3D85C6"/>
              <w:right w:val="single" w:sz="8" w:color="3D85C6"/>
            </w:tcBorders>
            <w:shd w:val="clear" w:color="auto" w:fill="E6E6E6"/>
          </w:tcPr>
          <w:p>
            <w:pPr>
              <w:spacing w:after="0"/>
              <w:rPr>
                <w:sz w:val="12"/>
                <w:szCs w:val="12"/>
                <w:color w:val="auto"/>
              </w:rPr>
            </w:pPr>
          </w:p>
        </w:tc>
        <w:tc>
          <w:tcPr>
            <w:tcW w:w="120" w:type="dxa"/>
            <w:vAlign w:val="bottom"/>
            <w:tcBorders>
              <w:bottom w:val="single" w:sz="8" w:color="3D85C6"/>
            </w:tcBorders>
            <w:shd w:val="clear" w:color="auto" w:fill="E6E6E6"/>
          </w:tcPr>
          <w:p>
            <w:pPr>
              <w:spacing w:after="0"/>
              <w:rPr>
                <w:sz w:val="12"/>
                <w:szCs w:val="12"/>
                <w:color w:val="auto"/>
              </w:rPr>
            </w:pPr>
          </w:p>
        </w:tc>
        <w:tc>
          <w:tcPr>
            <w:tcW w:w="1640" w:type="dxa"/>
            <w:vAlign w:val="bottom"/>
            <w:tcBorders>
              <w:bottom w:val="single" w:sz="8" w:color="3D85C6"/>
              <w:right w:val="single" w:sz="8" w:color="3D85C6"/>
            </w:tcBorders>
            <w:shd w:val="clear" w:color="auto" w:fill="E6E6E6"/>
          </w:tcPr>
          <w:p>
            <w:pPr>
              <w:jc w:val="right"/>
              <w:ind w:right="77"/>
              <w:spacing w:after="0" w:line="149" w:lineRule="exact"/>
              <w:rPr>
                <w:sz w:val="20"/>
                <w:szCs w:val="20"/>
                <w:color w:val="auto"/>
              </w:rPr>
            </w:pPr>
            <w:r>
              <w:rPr>
                <w:rFonts w:ascii="Arial" w:cs="Arial" w:eastAsia="Arial" w:hAnsi="Arial"/>
                <w:sz w:val="11"/>
                <w:szCs w:val="11"/>
                <w:color w:val="auto"/>
              </w:rPr>
              <w:t>10,877</w:t>
            </w:r>
            <w:r>
              <w:rPr>
                <w:rFonts w:ascii="Arial" w:cs="Arial" w:eastAsia="Arial" w:hAnsi="Arial"/>
                <w:sz w:val="17"/>
                <w:szCs w:val="17"/>
                <w:color w:val="auto"/>
                <w:vertAlign w:val="superscript"/>
              </w:rPr>
              <w:t>(1)</w:t>
            </w:r>
          </w:p>
        </w:tc>
        <w:tc>
          <w:tcPr>
            <w:tcW w:w="15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255,501</w:t>
            </w:r>
          </w:p>
        </w:tc>
        <w:tc>
          <w:tcPr>
            <w:tcW w:w="1640" w:type="dxa"/>
            <w:vAlign w:val="bottom"/>
            <w:tcBorders>
              <w:bottom w:val="single" w:sz="8" w:color="3D85C6"/>
              <w:right w:val="single" w:sz="8" w:color="3D85C6"/>
            </w:tcBorders>
            <w:shd w:val="clear" w:color="auto" w:fill="E6E6E6"/>
          </w:tcPr>
          <w:p>
            <w:pPr>
              <w:jc w:val="right"/>
              <w:ind w:right="31"/>
              <w:spacing w:after="0" w:line="149" w:lineRule="exact"/>
              <w:rPr>
                <w:sz w:val="20"/>
                <w:szCs w:val="20"/>
                <w:color w:val="auto"/>
              </w:rPr>
            </w:pPr>
            <w:r>
              <w:rPr>
                <w:rFonts w:ascii="Arial" w:cs="Arial" w:eastAsia="Arial" w:hAnsi="Arial"/>
                <w:sz w:val="14"/>
                <w:szCs w:val="14"/>
                <w:color w:val="auto"/>
              </w:rPr>
              <w:t>24,474</w:t>
            </w:r>
          </w:p>
        </w:tc>
        <w:tc>
          <w:tcPr>
            <w:tcW w:w="16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574,894</w:t>
            </w:r>
          </w:p>
        </w:tc>
        <w:tc>
          <w:tcPr>
            <w:tcW w:w="0" w:type="dxa"/>
            <w:vAlign w:val="bottom"/>
          </w:tcPr>
          <w:p>
            <w:pPr>
              <w:spacing w:after="0"/>
              <w:rPr>
                <w:sz w:val="1"/>
                <w:szCs w:val="1"/>
                <w:color w:val="auto"/>
              </w:rPr>
            </w:pPr>
          </w:p>
        </w:tc>
      </w:tr>
      <w:tr>
        <w:trPr>
          <w:trHeight w:val="149"/>
        </w:trPr>
        <w:tc>
          <w:tcPr>
            <w:tcW w:w="2300" w:type="dxa"/>
            <w:vAlign w:val="bottom"/>
            <w:tcBorders>
              <w:left w:val="single" w:sz="8" w:color="3D85C6"/>
              <w:bottom w:val="single" w:sz="8" w:color="3D85C6"/>
              <w:right w:val="single" w:sz="8" w:color="3D85C6"/>
            </w:tcBorders>
            <w:shd w:val="clear" w:color="auto" w:fill="E6E6E6"/>
          </w:tcPr>
          <w:p>
            <w:pPr>
              <w:spacing w:after="0"/>
              <w:rPr>
                <w:sz w:val="12"/>
                <w:szCs w:val="12"/>
                <w:color w:val="auto"/>
              </w:rPr>
            </w:pPr>
          </w:p>
        </w:tc>
        <w:tc>
          <w:tcPr>
            <w:tcW w:w="2220" w:type="dxa"/>
            <w:vAlign w:val="bottom"/>
            <w:tcBorders>
              <w:bottom w:val="single" w:sz="8" w:color="3D85C6"/>
            </w:tcBorders>
            <w:shd w:val="clear" w:color="auto" w:fill="E6E6E6"/>
          </w:tcPr>
          <w:p>
            <w:pPr>
              <w:jc w:val="center"/>
              <w:spacing w:after="0" w:line="149" w:lineRule="exact"/>
              <w:rPr>
                <w:sz w:val="20"/>
                <w:szCs w:val="20"/>
                <w:color w:val="auto"/>
              </w:rPr>
            </w:pPr>
            <w:r>
              <w:rPr>
                <w:rFonts w:ascii="Arial" w:cs="Arial" w:eastAsia="Arial" w:hAnsi="Arial"/>
                <w:sz w:val="14"/>
                <w:szCs w:val="14"/>
                <w:color w:val="auto"/>
                <w:w w:val="96"/>
              </w:rPr>
              <w:t>3/11/2025</w:t>
            </w:r>
          </w:p>
        </w:tc>
        <w:tc>
          <w:tcPr>
            <w:tcW w:w="120" w:type="dxa"/>
            <w:vAlign w:val="bottom"/>
            <w:tcBorders>
              <w:bottom w:val="single" w:sz="8" w:color="3D85C6"/>
              <w:right w:val="single" w:sz="8" w:color="3D85C6"/>
            </w:tcBorders>
            <w:shd w:val="clear" w:color="auto" w:fill="E6E6E6"/>
          </w:tcPr>
          <w:p>
            <w:pPr>
              <w:spacing w:after="0"/>
              <w:rPr>
                <w:sz w:val="12"/>
                <w:szCs w:val="12"/>
                <w:color w:val="auto"/>
              </w:rPr>
            </w:pPr>
          </w:p>
        </w:tc>
        <w:tc>
          <w:tcPr>
            <w:tcW w:w="120" w:type="dxa"/>
            <w:vAlign w:val="bottom"/>
            <w:tcBorders>
              <w:bottom w:val="single" w:sz="8" w:color="3D85C6"/>
            </w:tcBorders>
            <w:shd w:val="clear" w:color="auto" w:fill="E6E6E6"/>
          </w:tcPr>
          <w:p>
            <w:pPr>
              <w:spacing w:after="0"/>
              <w:rPr>
                <w:sz w:val="12"/>
                <w:szCs w:val="12"/>
                <w:color w:val="auto"/>
              </w:rPr>
            </w:pPr>
          </w:p>
        </w:tc>
        <w:tc>
          <w:tcPr>
            <w:tcW w:w="1640" w:type="dxa"/>
            <w:vAlign w:val="bottom"/>
            <w:tcBorders>
              <w:bottom w:val="single" w:sz="8" w:color="3D85C6"/>
              <w:right w:val="single" w:sz="8" w:color="3D85C6"/>
            </w:tcBorders>
            <w:shd w:val="clear" w:color="auto" w:fill="E6E6E6"/>
          </w:tcPr>
          <w:p>
            <w:pPr>
              <w:jc w:val="right"/>
              <w:ind w:right="77"/>
              <w:spacing w:after="0" w:line="149" w:lineRule="exact"/>
              <w:rPr>
                <w:sz w:val="20"/>
                <w:szCs w:val="20"/>
                <w:color w:val="auto"/>
              </w:rPr>
            </w:pPr>
            <w:r>
              <w:rPr>
                <w:rFonts w:ascii="Arial" w:cs="Arial" w:eastAsia="Arial" w:hAnsi="Arial"/>
                <w:sz w:val="11"/>
                <w:szCs w:val="11"/>
                <w:color w:val="auto"/>
              </w:rPr>
              <w:t>30,333</w:t>
            </w:r>
            <w:r>
              <w:rPr>
                <w:rFonts w:ascii="Arial" w:cs="Arial" w:eastAsia="Arial" w:hAnsi="Arial"/>
                <w:sz w:val="17"/>
                <w:szCs w:val="17"/>
                <w:color w:val="auto"/>
                <w:vertAlign w:val="superscript"/>
              </w:rPr>
              <w:t>(1)</w:t>
            </w:r>
          </w:p>
        </w:tc>
        <w:tc>
          <w:tcPr>
            <w:tcW w:w="15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712,522</w:t>
            </w:r>
          </w:p>
        </w:tc>
        <w:tc>
          <w:tcPr>
            <w:tcW w:w="1640" w:type="dxa"/>
            <w:vAlign w:val="bottom"/>
            <w:tcBorders>
              <w:bottom w:val="single" w:sz="8" w:color="3D85C6"/>
              <w:right w:val="single" w:sz="8" w:color="3D85C6"/>
            </w:tcBorders>
            <w:shd w:val="clear" w:color="auto" w:fill="E6E6E6"/>
          </w:tcPr>
          <w:p>
            <w:pPr>
              <w:jc w:val="right"/>
              <w:ind w:right="31"/>
              <w:spacing w:after="0" w:line="149" w:lineRule="exact"/>
              <w:rPr>
                <w:sz w:val="20"/>
                <w:szCs w:val="20"/>
                <w:color w:val="auto"/>
              </w:rPr>
            </w:pPr>
            <w:r>
              <w:rPr>
                <w:rFonts w:ascii="Arial" w:cs="Arial" w:eastAsia="Arial" w:hAnsi="Arial"/>
                <w:sz w:val="14"/>
                <w:szCs w:val="14"/>
                <w:color w:val="auto"/>
              </w:rPr>
              <w:t>45,500</w:t>
            </w:r>
          </w:p>
        </w:tc>
        <w:tc>
          <w:tcPr>
            <w:tcW w:w="16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1,068,795</w:t>
            </w:r>
          </w:p>
        </w:tc>
        <w:tc>
          <w:tcPr>
            <w:tcW w:w="0" w:type="dxa"/>
            <w:vAlign w:val="bottom"/>
          </w:tcPr>
          <w:p>
            <w:pPr>
              <w:spacing w:after="0"/>
              <w:rPr>
                <w:sz w:val="1"/>
                <w:szCs w:val="1"/>
                <w:color w:val="auto"/>
              </w:rPr>
            </w:pPr>
          </w:p>
        </w:tc>
      </w:tr>
      <w:tr>
        <w:trPr>
          <w:trHeight w:val="149"/>
        </w:trPr>
        <w:tc>
          <w:tcPr>
            <w:tcW w:w="2300" w:type="dxa"/>
            <w:vAlign w:val="bottom"/>
            <w:tcBorders>
              <w:left w:val="single" w:sz="8" w:color="3D85C6"/>
              <w:right w:val="single" w:sz="8" w:color="3D85C6"/>
            </w:tcBorders>
            <w:vMerge w:val="restart"/>
          </w:tcPr>
          <w:p>
            <w:pPr>
              <w:ind w:left="180"/>
              <w:spacing w:after="0"/>
              <w:rPr>
                <w:sz w:val="20"/>
                <w:szCs w:val="20"/>
                <w:color w:val="auto"/>
              </w:rPr>
            </w:pPr>
            <w:r>
              <w:rPr>
                <w:rFonts w:ascii="Arial" w:cs="Arial" w:eastAsia="Arial" w:hAnsi="Arial"/>
                <w:sz w:val="14"/>
                <w:szCs w:val="14"/>
                <w:color w:val="auto"/>
              </w:rPr>
              <w:t>Christopher G.</w:t>
            </w:r>
          </w:p>
        </w:tc>
        <w:tc>
          <w:tcPr>
            <w:tcW w:w="2220" w:type="dxa"/>
            <w:vAlign w:val="bottom"/>
            <w:tcBorders>
              <w:bottom w:val="single" w:sz="8" w:color="3D85C6"/>
            </w:tcBorders>
          </w:tcPr>
          <w:p>
            <w:pPr>
              <w:jc w:val="center"/>
              <w:spacing w:after="0" w:line="149" w:lineRule="exact"/>
              <w:rPr>
                <w:sz w:val="20"/>
                <w:szCs w:val="20"/>
                <w:color w:val="auto"/>
              </w:rPr>
            </w:pPr>
            <w:r>
              <w:rPr>
                <w:rFonts w:ascii="Arial" w:cs="Arial" w:eastAsia="Arial" w:hAnsi="Arial"/>
                <w:sz w:val="14"/>
                <w:szCs w:val="14"/>
                <w:color w:val="auto"/>
                <w:w w:val="99"/>
              </w:rPr>
              <w:t>3/14/2022</w:t>
            </w:r>
          </w:p>
        </w:tc>
        <w:tc>
          <w:tcPr>
            <w:tcW w:w="120" w:type="dxa"/>
            <w:vAlign w:val="bottom"/>
            <w:tcBorders>
              <w:bottom w:val="single" w:sz="8" w:color="3D85C6"/>
              <w:right w:val="single" w:sz="8" w:color="3D85C6"/>
            </w:tcBorders>
          </w:tcPr>
          <w:p>
            <w:pPr>
              <w:spacing w:after="0"/>
              <w:rPr>
                <w:sz w:val="12"/>
                <w:szCs w:val="12"/>
                <w:color w:val="auto"/>
              </w:rPr>
            </w:pPr>
          </w:p>
        </w:tc>
        <w:tc>
          <w:tcPr>
            <w:tcW w:w="120" w:type="dxa"/>
            <w:vAlign w:val="bottom"/>
            <w:tcBorders>
              <w:bottom w:val="single" w:sz="8" w:color="3D85C6"/>
            </w:tcBorders>
          </w:tcPr>
          <w:p>
            <w:pPr>
              <w:spacing w:after="0"/>
              <w:rPr>
                <w:sz w:val="12"/>
                <w:szCs w:val="12"/>
                <w:color w:val="auto"/>
              </w:rPr>
            </w:pPr>
          </w:p>
        </w:tc>
        <w:tc>
          <w:tcPr>
            <w:tcW w:w="1640" w:type="dxa"/>
            <w:vAlign w:val="bottom"/>
            <w:tcBorders>
              <w:bottom w:val="single" w:sz="8" w:color="3D85C6"/>
              <w:right w:val="single" w:sz="8" w:color="3D85C6"/>
            </w:tcBorders>
          </w:tcPr>
          <w:p>
            <w:pPr>
              <w:jc w:val="right"/>
              <w:ind w:right="77"/>
              <w:spacing w:after="0" w:line="149" w:lineRule="exact"/>
              <w:rPr>
                <w:sz w:val="20"/>
                <w:szCs w:val="20"/>
                <w:color w:val="auto"/>
              </w:rPr>
            </w:pPr>
            <w:r>
              <w:rPr>
                <w:rFonts w:ascii="Arial" w:cs="Arial" w:eastAsia="Arial" w:hAnsi="Arial"/>
                <w:sz w:val="11"/>
                <w:szCs w:val="11"/>
                <w:color w:val="auto"/>
              </w:rPr>
              <w:t>2,925</w:t>
            </w:r>
            <w:r>
              <w:rPr>
                <w:rFonts w:ascii="Arial" w:cs="Arial" w:eastAsia="Arial" w:hAnsi="Arial"/>
                <w:sz w:val="17"/>
                <w:szCs w:val="17"/>
                <w:color w:val="auto"/>
                <w:vertAlign w:val="superscript"/>
              </w:rPr>
              <w:t>(1)</w:t>
            </w:r>
          </w:p>
        </w:tc>
        <w:tc>
          <w:tcPr>
            <w:tcW w:w="15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68,708</w:t>
            </w:r>
          </w:p>
        </w:tc>
        <w:tc>
          <w:tcPr>
            <w:tcW w:w="164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tcBorders>
              <w:left w:val="single" w:sz="8" w:color="3D85C6"/>
              <w:right w:val="single" w:sz="8" w:color="3D85C6"/>
            </w:tcBorders>
            <w:vMerge w:val="continue"/>
          </w:tcPr>
          <w:p>
            <w:pPr>
              <w:spacing w:after="0"/>
              <w:rPr>
                <w:sz w:val="12"/>
                <w:szCs w:val="12"/>
                <w:color w:val="auto"/>
              </w:rPr>
            </w:pPr>
          </w:p>
        </w:tc>
        <w:tc>
          <w:tcPr>
            <w:tcW w:w="2220" w:type="dxa"/>
            <w:vAlign w:val="bottom"/>
            <w:tcBorders>
              <w:bottom w:val="single" w:sz="8" w:color="3D85C6"/>
            </w:tcBorders>
          </w:tcPr>
          <w:p>
            <w:pPr>
              <w:jc w:val="center"/>
              <w:spacing w:after="0" w:line="149" w:lineRule="exact"/>
              <w:rPr>
                <w:sz w:val="20"/>
                <w:szCs w:val="20"/>
                <w:color w:val="auto"/>
              </w:rPr>
            </w:pPr>
            <w:r>
              <w:rPr>
                <w:rFonts w:ascii="Arial" w:cs="Arial" w:eastAsia="Arial" w:hAnsi="Arial"/>
                <w:sz w:val="14"/>
                <w:szCs w:val="14"/>
                <w:color w:val="auto"/>
                <w:w w:val="99"/>
              </w:rPr>
              <w:t>3/14/2023</w:t>
            </w:r>
          </w:p>
        </w:tc>
        <w:tc>
          <w:tcPr>
            <w:tcW w:w="120" w:type="dxa"/>
            <w:vAlign w:val="bottom"/>
            <w:tcBorders>
              <w:bottom w:val="single" w:sz="8" w:color="3D85C6"/>
              <w:right w:val="single" w:sz="8" w:color="3D85C6"/>
            </w:tcBorders>
          </w:tcPr>
          <w:p>
            <w:pPr>
              <w:spacing w:after="0"/>
              <w:rPr>
                <w:sz w:val="12"/>
                <w:szCs w:val="12"/>
                <w:color w:val="auto"/>
              </w:rPr>
            </w:pPr>
          </w:p>
        </w:tc>
        <w:tc>
          <w:tcPr>
            <w:tcW w:w="1760" w:type="dxa"/>
            <w:vAlign w:val="bottom"/>
            <w:tcBorders>
              <w:bottom w:val="single" w:sz="8" w:color="3D85C6"/>
              <w:right w:val="single" w:sz="8" w:color="3D85C6"/>
            </w:tcBorders>
            <w:gridSpan w:val="2"/>
          </w:tcPr>
          <w:p>
            <w:pPr>
              <w:jc w:val="right"/>
              <w:ind w:right="77"/>
              <w:spacing w:after="0" w:line="149" w:lineRule="exact"/>
              <w:rPr>
                <w:sz w:val="20"/>
                <w:szCs w:val="20"/>
                <w:color w:val="auto"/>
              </w:rPr>
            </w:pPr>
            <w:r>
              <w:rPr>
                <w:rFonts w:ascii="Arial" w:cs="Arial" w:eastAsia="Arial" w:hAnsi="Arial"/>
                <w:sz w:val="11"/>
                <w:szCs w:val="11"/>
                <w:color w:val="auto"/>
              </w:rPr>
              <w:t>5,500</w:t>
            </w:r>
            <w:r>
              <w:rPr>
                <w:rFonts w:ascii="Arial" w:cs="Arial" w:eastAsia="Arial" w:hAnsi="Arial"/>
                <w:sz w:val="17"/>
                <w:szCs w:val="17"/>
                <w:color w:val="auto"/>
                <w:vertAlign w:val="superscript"/>
              </w:rPr>
              <w:t>(1)</w:t>
            </w:r>
          </w:p>
        </w:tc>
        <w:tc>
          <w:tcPr>
            <w:tcW w:w="15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129,195</w:t>
            </w:r>
          </w:p>
        </w:tc>
        <w:tc>
          <w:tcPr>
            <w:tcW w:w="1640" w:type="dxa"/>
            <w:vAlign w:val="bottom"/>
            <w:tcBorders>
              <w:bottom w:val="single" w:sz="8" w:color="3D85C6"/>
              <w:right w:val="single" w:sz="8" w:color="3D85C6"/>
            </w:tcBorders>
          </w:tcPr>
          <w:p>
            <w:pPr>
              <w:jc w:val="right"/>
              <w:ind w:right="31"/>
              <w:spacing w:after="0" w:line="149" w:lineRule="exact"/>
              <w:rPr>
                <w:sz w:val="20"/>
                <w:szCs w:val="20"/>
                <w:color w:val="auto"/>
              </w:rPr>
            </w:pPr>
            <w:r>
              <w:rPr>
                <w:rFonts w:ascii="Arial" w:cs="Arial" w:eastAsia="Arial" w:hAnsi="Arial"/>
                <w:sz w:val="14"/>
                <w:szCs w:val="14"/>
                <w:color w:val="auto"/>
              </w:rPr>
              <w:t>16,501</w:t>
            </w:r>
          </w:p>
        </w:tc>
        <w:tc>
          <w:tcPr>
            <w:tcW w:w="16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387,608</w:t>
            </w:r>
          </w:p>
        </w:tc>
        <w:tc>
          <w:tcPr>
            <w:tcW w:w="0" w:type="dxa"/>
            <w:vAlign w:val="bottom"/>
          </w:tcPr>
          <w:p>
            <w:pPr>
              <w:spacing w:after="0"/>
              <w:rPr>
                <w:sz w:val="1"/>
                <w:szCs w:val="1"/>
                <w:color w:val="auto"/>
              </w:rPr>
            </w:pPr>
          </w:p>
        </w:tc>
      </w:tr>
      <w:tr>
        <w:trPr>
          <w:trHeight w:val="149"/>
        </w:trPr>
        <w:tc>
          <w:tcPr>
            <w:tcW w:w="2300" w:type="dxa"/>
            <w:vAlign w:val="bottom"/>
            <w:tcBorders>
              <w:left w:val="single" w:sz="8" w:color="3D85C6"/>
              <w:right w:val="single" w:sz="8" w:color="3D85C6"/>
            </w:tcBorders>
          </w:tcPr>
          <w:p>
            <w:pPr>
              <w:ind w:left="180"/>
              <w:spacing w:after="0" w:line="149" w:lineRule="exact"/>
              <w:rPr>
                <w:sz w:val="20"/>
                <w:szCs w:val="20"/>
                <w:color w:val="auto"/>
              </w:rPr>
            </w:pPr>
            <w:r>
              <w:rPr>
                <w:rFonts w:ascii="Arial" w:cs="Arial" w:eastAsia="Arial" w:hAnsi="Arial"/>
                <w:sz w:val="14"/>
                <w:szCs w:val="14"/>
                <w:color w:val="auto"/>
              </w:rPr>
              <w:t>Bohrson</w:t>
            </w:r>
          </w:p>
        </w:tc>
        <w:tc>
          <w:tcPr>
            <w:tcW w:w="2220" w:type="dxa"/>
            <w:vAlign w:val="bottom"/>
            <w:tcBorders>
              <w:bottom w:val="single" w:sz="8" w:color="3D85C6"/>
            </w:tcBorders>
          </w:tcPr>
          <w:p>
            <w:pPr>
              <w:jc w:val="center"/>
              <w:spacing w:after="0" w:line="149" w:lineRule="exact"/>
              <w:rPr>
                <w:sz w:val="20"/>
                <w:szCs w:val="20"/>
                <w:color w:val="auto"/>
              </w:rPr>
            </w:pPr>
            <w:r>
              <w:rPr>
                <w:rFonts w:ascii="Arial" w:cs="Arial" w:eastAsia="Arial" w:hAnsi="Arial"/>
                <w:sz w:val="14"/>
                <w:szCs w:val="14"/>
                <w:color w:val="auto"/>
                <w:w w:val="99"/>
              </w:rPr>
              <w:t>3/12/2024</w:t>
            </w:r>
          </w:p>
        </w:tc>
        <w:tc>
          <w:tcPr>
            <w:tcW w:w="120" w:type="dxa"/>
            <w:vAlign w:val="bottom"/>
            <w:tcBorders>
              <w:bottom w:val="single" w:sz="8" w:color="3D85C6"/>
              <w:right w:val="single" w:sz="8" w:color="3D85C6"/>
            </w:tcBorders>
          </w:tcPr>
          <w:p>
            <w:pPr>
              <w:spacing w:after="0"/>
              <w:rPr>
                <w:sz w:val="12"/>
                <w:szCs w:val="12"/>
                <w:color w:val="auto"/>
              </w:rPr>
            </w:pPr>
          </w:p>
        </w:tc>
        <w:tc>
          <w:tcPr>
            <w:tcW w:w="1760" w:type="dxa"/>
            <w:vAlign w:val="bottom"/>
            <w:tcBorders>
              <w:bottom w:val="single" w:sz="8" w:color="3D85C6"/>
              <w:right w:val="single" w:sz="8" w:color="3D85C6"/>
            </w:tcBorders>
            <w:gridSpan w:val="2"/>
          </w:tcPr>
          <w:p>
            <w:pPr>
              <w:jc w:val="right"/>
              <w:ind w:right="77"/>
              <w:spacing w:after="0" w:line="149" w:lineRule="exact"/>
              <w:rPr>
                <w:sz w:val="20"/>
                <w:szCs w:val="20"/>
                <w:color w:val="auto"/>
              </w:rPr>
            </w:pPr>
            <w:r>
              <w:rPr>
                <w:rFonts w:ascii="Arial" w:cs="Arial" w:eastAsia="Arial" w:hAnsi="Arial"/>
                <w:sz w:val="11"/>
                <w:szCs w:val="11"/>
                <w:color w:val="auto"/>
              </w:rPr>
              <w:t>8,240</w:t>
            </w:r>
            <w:r>
              <w:rPr>
                <w:rFonts w:ascii="Arial" w:cs="Arial" w:eastAsia="Arial" w:hAnsi="Arial"/>
                <w:sz w:val="17"/>
                <w:szCs w:val="17"/>
                <w:color w:val="auto"/>
                <w:vertAlign w:val="superscript"/>
              </w:rPr>
              <w:t>(1)</w:t>
            </w:r>
          </w:p>
        </w:tc>
        <w:tc>
          <w:tcPr>
            <w:tcW w:w="15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193,558</w:t>
            </w:r>
          </w:p>
        </w:tc>
        <w:tc>
          <w:tcPr>
            <w:tcW w:w="1640" w:type="dxa"/>
            <w:vAlign w:val="bottom"/>
            <w:tcBorders>
              <w:bottom w:val="single" w:sz="8" w:color="3D85C6"/>
              <w:right w:val="single" w:sz="8" w:color="3D85C6"/>
            </w:tcBorders>
          </w:tcPr>
          <w:p>
            <w:pPr>
              <w:jc w:val="right"/>
              <w:ind w:right="31"/>
              <w:spacing w:after="0" w:line="149" w:lineRule="exact"/>
              <w:rPr>
                <w:sz w:val="20"/>
                <w:szCs w:val="20"/>
                <w:color w:val="auto"/>
              </w:rPr>
            </w:pPr>
            <w:r>
              <w:rPr>
                <w:rFonts w:ascii="Arial" w:cs="Arial" w:eastAsia="Arial" w:hAnsi="Arial"/>
                <w:sz w:val="14"/>
                <w:szCs w:val="14"/>
                <w:color w:val="auto"/>
              </w:rPr>
              <w:t>18,541</w:t>
            </w:r>
          </w:p>
        </w:tc>
        <w:tc>
          <w:tcPr>
            <w:tcW w:w="16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435,528</w:t>
            </w:r>
          </w:p>
        </w:tc>
        <w:tc>
          <w:tcPr>
            <w:tcW w:w="0" w:type="dxa"/>
            <w:vAlign w:val="bottom"/>
          </w:tcPr>
          <w:p>
            <w:pPr>
              <w:spacing w:after="0"/>
              <w:rPr>
                <w:sz w:val="1"/>
                <w:szCs w:val="1"/>
                <w:color w:val="auto"/>
              </w:rPr>
            </w:pPr>
          </w:p>
        </w:tc>
      </w:tr>
      <w:tr>
        <w:trPr>
          <w:trHeight w:val="149"/>
        </w:trPr>
        <w:tc>
          <w:tcPr>
            <w:tcW w:w="2300" w:type="dxa"/>
            <w:vAlign w:val="bottom"/>
            <w:tcBorders>
              <w:left w:val="single" w:sz="8" w:color="3D85C6"/>
              <w:bottom w:val="single" w:sz="8" w:color="3D85C6"/>
              <w:right w:val="single" w:sz="8" w:color="3D85C6"/>
            </w:tcBorders>
          </w:tcPr>
          <w:p>
            <w:pPr>
              <w:spacing w:after="0"/>
              <w:rPr>
                <w:sz w:val="12"/>
                <w:szCs w:val="12"/>
                <w:color w:val="auto"/>
              </w:rPr>
            </w:pPr>
          </w:p>
        </w:tc>
        <w:tc>
          <w:tcPr>
            <w:tcW w:w="2220" w:type="dxa"/>
            <w:vAlign w:val="bottom"/>
            <w:tcBorders>
              <w:bottom w:val="single" w:sz="8" w:color="3D85C6"/>
            </w:tcBorders>
          </w:tcPr>
          <w:p>
            <w:pPr>
              <w:jc w:val="center"/>
              <w:spacing w:after="0" w:line="149" w:lineRule="exact"/>
              <w:rPr>
                <w:sz w:val="20"/>
                <w:szCs w:val="20"/>
                <w:color w:val="auto"/>
              </w:rPr>
            </w:pPr>
            <w:r>
              <w:rPr>
                <w:rFonts w:ascii="Arial" w:cs="Arial" w:eastAsia="Arial" w:hAnsi="Arial"/>
                <w:sz w:val="14"/>
                <w:szCs w:val="14"/>
                <w:color w:val="auto"/>
                <w:w w:val="96"/>
              </w:rPr>
              <w:t>3/11/2025</w:t>
            </w:r>
          </w:p>
        </w:tc>
        <w:tc>
          <w:tcPr>
            <w:tcW w:w="120" w:type="dxa"/>
            <w:vAlign w:val="bottom"/>
            <w:tcBorders>
              <w:bottom w:val="single" w:sz="8" w:color="3D85C6"/>
              <w:right w:val="single" w:sz="8" w:color="3D85C6"/>
            </w:tcBorders>
          </w:tcPr>
          <w:p>
            <w:pPr>
              <w:spacing w:after="0"/>
              <w:rPr>
                <w:sz w:val="12"/>
                <w:szCs w:val="12"/>
                <w:color w:val="auto"/>
              </w:rPr>
            </w:pPr>
          </w:p>
        </w:tc>
        <w:tc>
          <w:tcPr>
            <w:tcW w:w="1760" w:type="dxa"/>
            <w:vAlign w:val="bottom"/>
            <w:tcBorders>
              <w:bottom w:val="single" w:sz="8" w:color="3D85C6"/>
              <w:right w:val="single" w:sz="8" w:color="3D85C6"/>
            </w:tcBorders>
            <w:gridSpan w:val="2"/>
          </w:tcPr>
          <w:p>
            <w:pPr>
              <w:jc w:val="right"/>
              <w:ind w:right="77"/>
              <w:spacing w:after="0" w:line="149" w:lineRule="exact"/>
              <w:rPr>
                <w:sz w:val="20"/>
                <w:szCs w:val="20"/>
                <w:color w:val="auto"/>
              </w:rPr>
            </w:pPr>
            <w:r>
              <w:rPr>
                <w:rFonts w:ascii="Arial" w:cs="Arial" w:eastAsia="Arial" w:hAnsi="Arial"/>
                <w:sz w:val="11"/>
                <w:szCs w:val="11"/>
                <w:color w:val="auto"/>
              </w:rPr>
              <w:t>22,244</w:t>
            </w:r>
            <w:r>
              <w:rPr>
                <w:rFonts w:ascii="Arial" w:cs="Arial" w:eastAsia="Arial" w:hAnsi="Arial"/>
                <w:sz w:val="17"/>
                <w:szCs w:val="17"/>
                <w:color w:val="auto"/>
                <w:vertAlign w:val="superscript"/>
              </w:rPr>
              <w:t>(1)</w:t>
            </w:r>
          </w:p>
        </w:tc>
        <w:tc>
          <w:tcPr>
            <w:tcW w:w="15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522,512</w:t>
            </w:r>
          </w:p>
        </w:tc>
        <w:tc>
          <w:tcPr>
            <w:tcW w:w="1640" w:type="dxa"/>
            <w:vAlign w:val="bottom"/>
            <w:tcBorders>
              <w:bottom w:val="single" w:sz="8" w:color="3D85C6"/>
              <w:right w:val="single" w:sz="8" w:color="3D85C6"/>
            </w:tcBorders>
          </w:tcPr>
          <w:p>
            <w:pPr>
              <w:jc w:val="right"/>
              <w:ind w:right="31"/>
              <w:spacing w:after="0" w:line="149" w:lineRule="exact"/>
              <w:rPr>
                <w:sz w:val="20"/>
                <w:szCs w:val="20"/>
                <w:color w:val="auto"/>
              </w:rPr>
            </w:pPr>
            <w:r>
              <w:rPr>
                <w:rFonts w:ascii="Arial" w:cs="Arial" w:eastAsia="Arial" w:hAnsi="Arial"/>
                <w:sz w:val="14"/>
                <w:szCs w:val="14"/>
                <w:color w:val="auto"/>
              </w:rPr>
              <w:t>33,367</w:t>
            </w:r>
          </w:p>
        </w:tc>
        <w:tc>
          <w:tcPr>
            <w:tcW w:w="1660" w:type="dxa"/>
            <w:vAlign w:val="bottom"/>
            <w:tcBorders>
              <w:bottom w:val="single" w:sz="8" w:color="3D85C6"/>
              <w:right w:val="single" w:sz="8" w:color="3D85C6"/>
            </w:tcBorders>
          </w:tcPr>
          <w:p>
            <w:pPr>
              <w:jc w:val="right"/>
              <w:ind w:right="51"/>
              <w:spacing w:after="0" w:line="149" w:lineRule="exact"/>
              <w:rPr>
                <w:sz w:val="20"/>
                <w:szCs w:val="20"/>
                <w:color w:val="auto"/>
              </w:rPr>
            </w:pPr>
            <w:r>
              <w:rPr>
                <w:rFonts w:ascii="Arial" w:cs="Arial" w:eastAsia="Arial" w:hAnsi="Arial"/>
                <w:sz w:val="14"/>
                <w:szCs w:val="14"/>
                <w:color w:val="auto"/>
              </w:rPr>
              <w:t>783,791</w:t>
            </w:r>
          </w:p>
        </w:tc>
        <w:tc>
          <w:tcPr>
            <w:tcW w:w="0" w:type="dxa"/>
            <w:vAlign w:val="bottom"/>
          </w:tcPr>
          <w:p>
            <w:pPr>
              <w:spacing w:after="0"/>
              <w:rPr>
                <w:sz w:val="1"/>
                <w:szCs w:val="1"/>
                <w:color w:val="auto"/>
              </w:rPr>
            </w:pPr>
          </w:p>
        </w:tc>
      </w:tr>
      <w:tr>
        <w:trPr>
          <w:trHeight w:val="149"/>
        </w:trPr>
        <w:tc>
          <w:tcPr>
            <w:tcW w:w="2300" w:type="dxa"/>
            <w:vAlign w:val="bottom"/>
            <w:tcBorders>
              <w:left w:val="single" w:sz="8" w:color="3D85C6"/>
              <w:bottom w:val="single" w:sz="8" w:color="E6E6E6"/>
              <w:right w:val="single" w:sz="8" w:color="3D85C6"/>
            </w:tcBorders>
            <w:shd w:val="clear" w:color="auto" w:fill="E6E6E6"/>
          </w:tcPr>
          <w:p>
            <w:pPr>
              <w:spacing w:after="0"/>
              <w:rPr>
                <w:sz w:val="12"/>
                <w:szCs w:val="12"/>
                <w:color w:val="auto"/>
              </w:rPr>
            </w:pPr>
          </w:p>
        </w:tc>
        <w:tc>
          <w:tcPr>
            <w:tcW w:w="2220" w:type="dxa"/>
            <w:vAlign w:val="bottom"/>
            <w:tcBorders>
              <w:bottom w:val="single" w:sz="8" w:color="3D85C6"/>
            </w:tcBorders>
            <w:shd w:val="clear" w:color="auto" w:fill="E6E6E6"/>
          </w:tcPr>
          <w:p>
            <w:pPr>
              <w:jc w:val="center"/>
              <w:spacing w:after="0" w:line="149" w:lineRule="exact"/>
              <w:rPr>
                <w:sz w:val="20"/>
                <w:szCs w:val="20"/>
                <w:color w:val="auto"/>
              </w:rPr>
            </w:pPr>
            <w:r>
              <w:rPr>
                <w:rFonts w:ascii="Arial" w:cs="Arial" w:eastAsia="Arial" w:hAnsi="Arial"/>
                <w:sz w:val="14"/>
                <w:szCs w:val="14"/>
                <w:color w:val="auto"/>
                <w:w w:val="99"/>
              </w:rPr>
              <w:t>3/14/2022</w:t>
            </w:r>
          </w:p>
        </w:tc>
        <w:tc>
          <w:tcPr>
            <w:tcW w:w="120" w:type="dxa"/>
            <w:vAlign w:val="bottom"/>
            <w:tcBorders>
              <w:bottom w:val="single" w:sz="8" w:color="3D85C6"/>
              <w:right w:val="single" w:sz="8" w:color="3D85C6"/>
            </w:tcBorders>
            <w:shd w:val="clear" w:color="auto" w:fill="E6E6E6"/>
          </w:tcPr>
          <w:p>
            <w:pPr>
              <w:spacing w:after="0"/>
              <w:rPr>
                <w:sz w:val="12"/>
                <w:szCs w:val="12"/>
                <w:color w:val="auto"/>
              </w:rPr>
            </w:pPr>
          </w:p>
        </w:tc>
        <w:tc>
          <w:tcPr>
            <w:tcW w:w="1760" w:type="dxa"/>
            <w:vAlign w:val="bottom"/>
            <w:tcBorders>
              <w:bottom w:val="single" w:sz="8" w:color="3D85C6"/>
              <w:right w:val="single" w:sz="8" w:color="3D85C6"/>
            </w:tcBorders>
            <w:gridSpan w:val="2"/>
            <w:shd w:val="clear" w:color="auto" w:fill="E6E6E6"/>
          </w:tcPr>
          <w:p>
            <w:pPr>
              <w:jc w:val="right"/>
              <w:ind w:right="77"/>
              <w:spacing w:after="0" w:line="149" w:lineRule="exact"/>
              <w:rPr>
                <w:sz w:val="20"/>
                <w:szCs w:val="20"/>
                <w:color w:val="auto"/>
              </w:rPr>
            </w:pPr>
            <w:r>
              <w:rPr>
                <w:rFonts w:ascii="Arial" w:cs="Arial" w:eastAsia="Arial" w:hAnsi="Arial"/>
                <w:sz w:val="11"/>
                <w:szCs w:val="11"/>
                <w:color w:val="auto"/>
              </w:rPr>
              <w:t>1,256</w:t>
            </w:r>
            <w:r>
              <w:rPr>
                <w:rFonts w:ascii="Arial" w:cs="Arial" w:eastAsia="Arial" w:hAnsi="Arial"/>
                <w:sz w:val="17"/>
                <w:szCs w:val="17"/>
                <w:color w:val="auto"/>
                <w:vertAlign w:val="superscript"/>
              </w:rPr>
              <w:t>(1)</w:t>
            </w:r>
          </w:p>
        </w:tc>
        <w:tc>
          <w:tcPr>
            <w:tcW w:w="15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29,503</w:t>
            </w:r>
          </w:p>
        </w:tc>
        <w:tc>
          <w:tcPr>
            <w:tcW w:w="164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tcBorders>
              <w:left w:val="single" w:sz="8" w:color="3D85C6"/>
              <w:bottom w:val="single" w:sz="8" w:color="E6E6E6"/>
              <w:right w:val="single" w:sz="8" w:color="3D85C6"/>
            </w:tcBorders>
            <w:vMerge w:val="restart"/>
            <w:shd w:val="clear" w:color="auto" w:fill="E6E6E6"/>
          </w:tcPr>
          <w:p>
            <w:pPr>
              <w:ind w:left="180"/>
              <w:spacing w:after="0"/>
              <w:rPr>
                <w:sz w:val="20"/>
                <w:szCs w:val="20"/>
                <w:color w:val="auto"/>
              </w:rPr>
            </w:pPr>
            <w:r>
              <w:rPr>
                <w:rFonts w:ascii="Arial" w:cs="Arial" w:eastAsia="Arial" w:hAnsi="Arial"/>
                <w:sz w:val="14"/>
                <w:szCs w:val="14"/>
                <w:color w:val="auto"/>
              </w:rPr>
              <w:t>Klaus Ilgenfritz</w:t>
            </w:r>
          </w:p>
        </w:tc>
        <w:tc>
          <w:tcPr>
            <w:tcW w:w="2220" w:type="dxa"/>
            <w:vAlign w:val="bottom"/>
            <w:tcBorders>
              <w:bottom w:val="single" w:sz="8" w:color="3D85C6"/>
            </w:tcBorders>
            <w:shd w:val="clear" w:color="auto" w:fill="E6E6E6"/>
          </w:tcPr>
          <w:p>
            <w:pPr>
              <w:jc w:val="center"/>
              <w:spacing w:after="0" w:line="149" w:lineRule="exact"/>
              <w:rPr>
                <w:sz w:val="20"/>
                <w:szCs w:val="20"/>
                <w:color w:val="auto"/>
              </w:rPr>
            </w:pPr>
            <w:r>
              <w:rPr>
                <w:rFonts w:ascii="Arial" w:cs="Arial" w:eastAsia="Arial" w:hAnsi="Arial"/>
                <w:sz w:val="14"/>
                <w:szCs w:val="14"/>
                <w:color w:val="auto"/>
                <w:w w:val="99"/>
              </w:rPr>
              <w:t>3/14/2023</w:t>
            </w:r>
          </w:p>
        </w:tc>
        <w:tc>
          <w:tcPr>
            <w:tcW w:w="120" w:type="dxa"/>
            <w:vAlign w:val="bottom"/>
            <w:tcBorders>
              <w:bottom w:val="single" w:sz="8" w:color="3D85C6"/>
              <w:right w:val="single" w:sz="8" w:color="3D85C6"/>
            </w:tcBorders>
            <w:shd w:val="clear" w:color="auto" w:fill="E6E6E6"/>
          </w:tcPr>
          <w:p>
            <w:pPr>
              <w:spacing w:after="0"/>
              <w:rPr>
                <w:sz w:val="12"/>
                <w:szCs w:val="12"/>
                <w:color w:val="auto"/>
              </w:rPr>
            </w:pPr>
          </w:p>
        </w:tc>
        <w:tc>
          <w:tcPr>
            <w:tcW w:w="1760" w:type="dxa"/>
            <w:vAlign w:val="bottom"/>
            <w:tcBorders>
              <w:bottom w:val="single" w:sz="8" w:color="3D85C6"/>
              <w:right w:val="single" w:sz="8" w:color="3D85C6"/>
            </w:tcBorders>
            <w:gridSpan w:val="2"/>
            <w:shd w:val="clear" w:color="auto" w:fill="E6E6E6"/>
          </w:tcPr>
          <w:p>
            <w:pPr>
              <w:jc w:val="right"/>
              <w:ind w:right="77"/>
              <w:spacing w:after="0" w:line="149" w:lineRule="exact"/>
              <w:rPr>
                <w:sz w:val="20"/>
                <w:szCs w:val="20"/>
                <w:color w:val="auto"/>
              </w:rPr>
            </w:pPr>
            <w:r>
              <w:rPr>
                <w:rFonts w:ascii="Arial" w:cs="Arial" w:eastAsia="Arial" w:hAnsi="Arial"/>
                <w:sz w:val="11"/>
                <w:szCs w:val="11"/>
                <w:color w:val="auto"/>
              </w:rPr>
              <w:t>2,474</w:t>
            </w:r>
            <w:r>
              <w:rPr>
                <w:rFonts w:ascii="Arial" w:cs="Arial" w:eastAsia="Arial" w:hAnsi="Arial"/>
                <w:sz w:val="17"/>
                <w:szCs w:val="17"/>
                <w:color w:val="auto"/>
                <w:vertAlign w:val="superscript"/>
              </w:rPr>
              <w:t>(1)</w:t>
            </w:r>
          </w:p>
        </w:tc>
        <w:tc>
          <w:tcPr>
            <w:tcW w:w="15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58,114</w:t>
            </w:r>
          </w:p>
        </w:tc>
        <w:tc>
          <w:tcPr>
            <w:tcW w:w="1640" w:type="dxa"/>
            <w:vAlign w:val="bottom"/>
            <w:tcBorders>
              <w:bottom w:val="single" w:sz="8" w:color="3D85C6"/>
              <w:right w:val="single" w:sz="8" w:color="3D85C6"/>
            </w:tcBorders>
            <w:shd w:val="clear" w:color="auto" w:fill="E6E6E6"/>
          </w:tcPr>
          <w:p>
            <w:pPr>
              <w:jc w:val="right"/>
              <w:ind w:right="31"/>
              <w:spacing w:after="0" w:line="149" w:lineRule="exact"/>
              <w:rPr>
                <w:sz w:val="20"/>
                <w:szCs w:val="20"/>
                <w:color w:val="auto"/>
              </w:rPr>
            </w:pPr>
            <w:r>
              <w:rPr>
                <w:rFonts w:ascii="Arial" w:cs="Arial" w:eastAsia="Arial" w:hAnsi="Arial"/>
                <w:sz w:val="14"/>
                <w:szCs w:val="14"/>
                <w:color w:val="auto"/>
              </w:rPr>
              <w:t>7,425</w:t>
            </w:r>
          </w:p>
        </w:tc>
        <w:tc>
          <w:tcPr>
            <w:tcW w:w="16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174,413</w:t>
            </w:r>
          </w:p>
        </w:tc>
        <w:tc>
          <w:tcPr>
            <w:tcW w:w="0" w:type="dxa"/>
            <w:vAlign w:val="bottom"/>
          </w:tcPr>
          <w:p>
            <w:pPr>
              <w:spacing w:after="0"/>
              <w:rPr>
                <w:sz w:val="1"/>
                <w:szCs w:val="1"/>
                <w:color w:val="auto"/>
              </w:rPr>
            </w:pPr>
          </w:p>
        </w:tc>
      </w:tr>
      <w:tr>
        <w:trPr>
          <w:trHeight w:val="76"/>
        </w:trPr>
        <w:tc>
          <w:tcPr>
            <w:tcW w:w="2300" w:type="dxa"/>
            <w:vAlign w:val="bottom"/>
            <w:tcBorders>
              <w:left w:val="single" w:sz="8" w:color="3D85C6"/>
              <w:right w:val="single" w:sz="8" w:color="3D85C6"/>
            </w:tcBorders>
            <w:vMerge w:val="continue"/>
            <w:shd w:val="clear" w:color="auto" w:fill="E6E6E6"/>
          </w:tcPr>
          <w:p>
            <w:pPr>
              <w:spacing w:after="0"/>
              <w:rPr>
                <w:sz w:val="6"/>
                <w:szCs w:val="6"/>
                <w:color w:val="auto"/>
              </w:rPr>
            </w:pPr>
          </w:p>
        </w:tc>
        <w:tc>
          <w:tcPr>
            <w:tcW w:w="2220" w:type="dxa"/>
            <w:vAlign w:val="bottom"/>
            <w:vMerge w:val="restart"/>
            <w:shd w:val="clear" w:color="auto" w:fill="E6E6E6"/>
          </w:tcPr>
          <w:p>
            <w:pPr>
              <w:jc w:val="center"/>
              <w:spacing w:after="0" w:line="149" w:lineRule="exact"/>
              <w:rPr>
                <w:sz w:val="20"/>
                <w:szCs w:val="20"/>
                <w:color w:val="auto"/>
              </w:rPr>
            </w:pPr>
            <w:r>
              <w:rPr>
                <w:rFonts w:ascii="Arial" w:cs="Arial" w:eastAsia="Arial" w:hAnsi="Arial"/>
                <w:sz w:val="14"/>
                <w:szCs w:val="14"/>
                <w:color w:val="auto"/>
                <w:w w:val="99"/>
              </w:rPr>
              <w:t>3/12/2024</w:t>
            </w:r>
          </w:p>
        </w:tc>
        <w:tc>
          <w:tcPr>
            <w:tcW w:w="120" w:type="dxa"/>
            <w:vAlign w:val="bottom"/>
            <w:tcBorders>
              <w:right w:val="single" w:sz="8" w:color="3D85C6"/>
            </w:tcBorders>
            <w:shd w:val="clear" w:color="auto" w:fill="E6E6E6"/>
          </w:tcPr>
          <w:p>
            <w:pPr>
              <w:spacing w:after="0"/>
              <w:rPr>
                <w:sz w:val="6"/>
                <w:szCs w:val="6"/>
                <w:color w:val="auto"/>
              </w:rPr>
            </w:pPr>
          </w:p>
        </w:tc>
        <w:tc>
          <w:tcPr>
            <w:tcW w:w="120" w:type="dxa"/>
            <w:vAlign w:val="bottom"/>
            <w:shd w:val="clear" w:color="auto" w:fill="E6E6E6"/>
          </w:tcPr>
          <w:p>
            <w:pPr>
              <w:spacing w:after="0"/>
              <w:rPr>
                <w:sz w:val="6"/>
                <w:szCs w:val="6"/>
                <w:color w:val="auto"/>
              </w:rPr>
            </w:pPr>
          </w:p>
        </w:tc>
        <w:tc>
          <w:tcPr>
            <w:tcW w:w="1640" w:type="dxa"/>
            <w:vAlign w:val="bottom"/>
            <w:tcBorders>
              <w:right w:val="single" w:sz="8" w:color="3D85C6"/>
            </w:tcBorders>
            <w:vMerge w:val="restart"/>
            <w:shd w:val="clear" w:color="auto" w:fill="E6E6E6"/>
          </w:tcPr>
          <w:p>
            <w:pPr>
              <w:jc w:val="right"/>
              <w:ind w:right="77"/>
              <w:spacing w:after="0" w:line="149" w:lineRule="exact"/>
              <w:rPr>
                <w:sz w:val="20"/>
                <w:szCs w:val="20"/>
                <w:color w:val="auto"/>
              </w:rPr>
            </w:pPr>
            <w:r>
              <w:rPr>
                <w:rFonts w:ascii="Arial" w:cs="Arial" w:eastAsia="Arial" w:hAnsi="Arial"/>
                <w:sz w:val="11"/>
                <w:szCs w:val="11"/>
                <w:color w:val="auto"/>
              </w:rPr>
              <w:t>4,532</w:t>
            </w:r>
            <w:r>
              <w:rPr>
                <w:rFonts w:ascii="Arial" w:cs="Arial" w:eastAsia="Arial" w:hAnsi="Arial"/>
                <w:sz w:val="17"/>
                <w:szCs w:val="17"/>
                <w:color w:val="auto"/>
                <w:vertAlign w:val="superscript"/>
              </w:rPr>
              <w:t>(1)</w:t>
            </w:r>
          </w:p>
        </w:tc>
        <w:tc>
          <w:tcPr>
            <w:tcW w:w="1560" w:type="dxa"/>
            <w:vAlign w:val="bottom"/>
            <w:tcBorders>
              <w:right w:val="single" w:sz="8" w:color="3D85C6"/>
            </w:tcBorders>
            <w:vMerge w:val="restart"/>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106,457</w:t>
            </w:r>
          </w:p>
        </w:tc>
        <w:tc>
          <w:tcPr>
            <w:tcW w:w="1640" w:type="dxa"/>
            <w:vAlign w:val="bottom"/>
            <w:tcBorders>
              <w:right w:val="single" w:sz="8" w:color="3D85C6"/>
            </w:tcBorders>
            <w:vMerge w:val="restart"/>
            <w:shd w:val="clear" w:color="auto" w:fill="E6E6E6"/>
          </w:tcPr>
          <w:p>
            <w:pPr>
              <w:jc w:val="right"/>
              <w:ind w:right="31"/>
              <w:spacing w:after="0" w:line="149" w:lineRule="exact"/>
              <w:rPr>
                <w:sz w:val="20"/>
                <w:szCs w:val="20"/>
                <w:color w:val="auto"/>
              </w:rPr>
            </w:pPr>
            <w:r>
              <w:rPr>
                <w:rFonts w:ascii="Arial" w:cs="Arial" w:eastAsia="Arial" w:hAnsi="Arial"/>
                <w:sz w:val="14"/>
                <w:szCs w:val="14"/>
                <w:color w:val="auto"/>
              </w:rPr>
              <w:t>10,197</w:t>
            </w:r>
          </w:p>
        </w:tc>
        <w:tc>
          <w:tcPr>
            <w:tcW w:w="1660" w:type="dxa"/>
            <w:vAlign w:val="bottom"/>
            <w:tcBorders>
              <w:right w:val="single" w:sz="8" w:color="3D85C6"/>
            </w:tcBorders>
            <w:vMerge w:val="restart"/>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239,528</w:t>
            </w:r>
          </w:p>
        </w:tc>
        <w:tc>
          <w:tcPr>
            <w:tcW w:w="0" w:type="dxa"/>
            <w:vAlign w:val="bottom"/>
          </w:tcPr>
          <w:p>
            <w:pPr>
              <w:spacing w:after="0"/>
              <w:rPr>
                <w:sz w:val="1"/>
                <w:szCs w:val="1"/>
                <w:color w:val="auto"/>
              </w:rPr>
            </w:pPr>
          </w:p>
        </w:tc>
      </w:tr>
      <w:tr>
        <w:trPr>
          <w:trHeight w:val="73"/>
        </w:trPr>
        <w:tc>
          <w:tcPr>
            <w:tcW w:w="2300" w:type="dxa"/>
            <w:vAlign w:val="bottom"/>
            <w:tcBorders>
              <w:left w:val="single" w:sz="8" w:color="3D85C6"/>
              <w:bottom w:val="single" w:sz="8" w:color="E6E6E6"/>
              <w:right w:val="single" w:sz="8" w:color="3D85C6"/>
            </w:tcBorders>
            <w:shd w:val="clear" w:color="auto" w:fill="E6E6E6"/>
          </w:tcPr>
          <w:p>
            <w:pPr>
              <w:spacing w:after="0"/>
              <w:rPr>
                <w:sz w:val="6"/>
                <w:szCs w:val="6"/>
                <w:color w:val="auto"/>
              </w:rPr>
            </w:pPr>
          </w:p>
        </w:tc>
        <w:tc>
          <w:tcPr>
            <w:tcW w:w="2220" w:type="dxa"/>
            <w:vAlign w:val="bottom"/>
            <w:tcBorders>
              <w:bottom w:val="single" w:sz="8" w:color="3D85C6"/>
            </w:tcBorders>
            <w:vMerge w:val="continue"/>
            <w:shd w:val="clear" w:color="auto" w:fill="E6E6E6"/>
          </w:tcPr>
          <w:p>
            <w:pPr>
              <w:spacing w:after="0"/>
              <w:rPr>
                <w:sz w:val="6"/>
                <w:szCs w:val="6"/>
                <w:color w:val="auto"/>
              </w:rPr>
            </w:pPr>
          </w:p>
        </w:tc>
        <w:tc>
          <w:tcPr>
            <w:tcW w:w="120" w:type="dxa"/>
            <w:vAlign w:val="bottom"/>
            <w:tcBorders>
              <w:bottom w:val="single" w:sz="8" w:color="3D85C6"/>
              <w:right w:val="single" w:sz="8" w:color="3D85C6"/>
            </w:tcBorders>
            <w:shd w:val="clear" w:color="auto" w:fill="E6E6E6"/>
          </w:tcPr>
          <w:p>
            <w:pPr>
              <w:spacing w:after="0"/>
              <w:rPr>
                <w:sz w:val="6"/>
                <w:szCs w:val="6"/>
                <w:color w:val="auto"/>
              </w:rPr>
            </w:pPr>
          </w:p>
        </w:tc>
        <w:tc>
          <w:tcPr>
            <w:tcW w:w="120" w:type="dxa"/>
            <w:vAlign w:val="bottom"/>
            <w:tcBorders>
              <w:bottom w:val="single" w:sz="8" w:color="3D85C6"/>
            </w:tcBorders>
            <w:shd w:val="clear" w:color="auto" w:fill="E6E6E6"/>
          </w:tcPr>
          <w:p>
            <w:pPr>
              <w:spacing w:after="0"/>
              <w:rPr>
                <w:sz w:val="6"/>
                <w:szCs w:val="6"/>
                <w:color w:val="auto"/>
              </w:rPr>
            </w:pPr>
          </w:p>
        </w:tc>
        <w:tc>
          <w:tcPr>
            <w:tcW w:w="1640" w:type="dxa"/>
            <w:vAlign w:val="bottom"/>
            <w:tcBorders>
              <w:bottom w:val="single" w:sz="8" w:color="3D85C6"/>
              <w:right w:val="single" w:sz="8" w:color="3D85C6"/>
            </w:tcBorders>
            <w:vMerge w:val="continue"/>
            <w:shd w:val="clear" w:color="auto" w:fill="E6E6E6"/>
          </w:tcPr>
          <w:p>
            <w:pPr>
              <w:spacing w:after="0"/>
              <w:rPr>
                <w:sz w:val="6"/>
                <w:szCs w:val="6"/>
                <w:color w:val="auto"/>
              </w:rPr>
            </w:pPr>
          </w:p>
        </w:tc>
        <w:tc>
          <w:tcPr>
            <w:tcW w:w="1560" w:type="dxa"/>
            <w:vAlign w:val="bottom"/>
            <w:tcBorders>
              <w:bottom w:val="single" w:sz="8" w:color="3D85C6"/>
              <w:right w:val="single" w:sz="8" w:color="3D85C6"/>
            </w:tcBorders>
            <w:vMerge w:val="continue"/>
            <w:shd w:val="clear" w:color="auto" w:fill="E6E6E6"/>
          </w:tcPr>
          <w:p>
            <w:pPr>
              <w:spacing w:after="0"/>
              <w:rPr>
                <w:sz w:val="6"/>
                <w:szCs w:val="6"/>
                <w:color w:val="auto"/>
              </w:rPr>
            </w:pPr>
          </w:p>
        </w:tc>
        <w:tc>
          <w:tcPr>
            <w:tcW w:w="1640" w:type="dxa"/>
            <w:vAlign w:val="bottom"/>
            <w:tcBorders>
              <w:bottom w:val="single" w:sz="8" w:color="3D85C6"/>
              <w:right w:val="single" w:sz="8" w:color="3D85C6"/>
            </w:tcBorders>
            <w:vMerge w:val="continue"/>
            <w:shd w:val="clear" w:color="auto" w:fill="E6E6E6"/>
          </w:tcPr>
          <w:p>
            <w:pPr>
              <w:spacing w:after="0"/>
              <w:rPr>
                <w:sz w:val="6"/>
                <w:szCs w:val="6"/>
                <w:color w:val="auto"/>
              </w:rPr>
            </w:pPr>
          </w:p>
        </w:tc>
        <w:tc>
          <w:tcPr>
            <w:tcW w:w="1660" w:type="dxa"/>
            <w:vAlign w:val="bottom"/>
            <w:tcBorders>
              <w:bottom w:val="single" w:sz="8" w:color="3D85C6"/>
              <w:right w:val="single" w:sz="8" w:color="3D85C6"/>
            </w:tcBorders>
            <w:vMerge w:val="continue"/>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300" w:type="dxa"/>
            <w:vAlign w:val="bottom"/>
            <w:tcBorders>
              <w:left w:val="single" w:sz="8" w:color="3D85C6"/>
              <w:bottom w:val="single" w:sz="8" w:color="3D85C6"/>
              <w:right w:val="single" w:sz="8" w:color="3D85C6"/>
            </w:tcBorders>
            <w:shd w:val="clear" w:color="auto" w:fill="E6E6E6"/>
          </w:tcPr>
          <w:p>
            <w:pPr>
              <w:spacing w:after="0"/>
              <w:rPr>
                <w:sz w:val="12"/>
                <w:szCs w:val="12"/>
                <w:color w:val="auto"/>
              </w:rPr>
            </w:pPr>
          </w:p>
        </w:tc>
        <w:tc>
          <w:tcPr>
            <w:tcW w:w="2220" w:type="dxa"/>
            <w:vAlign w:val="bottom"/>
            <w:tcBorders>
              <w:bottom w:val="single" w:sz="8" w:color="3D85C6"/>
            </w:tcBorders>
            <w:shd w:val="clear" w:color="auto" w:fill="E6E6E6"/>
          </w:tcPr>
          <w:p>
            <w:pPr>
              <w:jc w:val="center"/>
              <w:spacing w:after="0" w:line="149" w:lineRule="exact"/>
              <w:rPr>
                <w:sz w:val="20"/>
                <w:szCs w:val="20"/>
                <w:color w:val="auto"/>
              </w:rPr>
            </w:pPr>
            <w:r>
              <w:rPr>
                <w:rFonts w:ascii="Arial" w:cs="Arial" w:eastAsia="Arial" w:hAnsi="Arial"/>
                <w:sz w:val="14"/>
                <w:szCs w:val="14"/>
                <w:color w:val="auto"/>
                <w:w w:val="96"/>
              </w:rPr>
              <w:t>3/11/2025</w:t>
            </w:r>
          </w:p>
        </w:tc>
        <w:tc>
          <w:tcPr>
            <w:tcW w:w="120" w:type="dxa"/>
            <w:vAlign w:val="bottom"/>
            <w:tcBorders>
              <w:bottom w:val="single" w:sz="8" w:color="3D85C6"/>
              <w:right w:val="single" w:sz="8" w:color="3D85C6"/>
            </w:tcBorders>
            <w:shd w:val="clear" w:color="auto" w:fill="E6E6E6"/>
          </w:tcPr>
          <w:p>
            <w:pPr>
              <w:spacing w:after="0"/>
              <w:rPr>
                <w:sz w:val="12"/>
                <w:szCs w:val="12"/>
                <w:color w:val="auto"/>
              </w:rPr>
            </w:pPr>
          </w:p>
        </w:tc>
        <w:tc>
          <w:tcPr>
            <w:tcW w:w="120" w:type="dxa"/>
            <w:vAlign w:val="bottom"/>
            <w:tcBorders>
              <w:bottom w:val="single" w:sz="8" w:color="3D85C6"/>
            </w:tcBorders>
            <w:shd w:val="clear" w:color="auto" w:fill="E6E6E6"/>
          </w:tcPr>
          <w:p>
            <w:pPr>
              <w:spacing w:after="0"/>
              <w:rPr>
                <w:sz w:val="12"/>
                <w:szCs w:val="12"/>
                <w:color w:val="auto"/>
              </w:rPr>
            </w:pPr>
          </w:p>
        </w:tc>
        <w:tc>
          <w:tcPr>
            <w:tcW w:w="1640" w:type="dxa"/>
            <w:vAlign w:val="bottom"/>
            <w:tcBorders>
              <w:bottom w:val="single" w:sz="8" w:color="3D85C6"/>
              <w:right w:val="single" w:sz="8" w:color="3D85C6"/>
            </w:tcBorders>
            <w:shd w:val="clear" w:color="auto" w:fill="E6E6E6"/>
          </w:tcPr>
          <w:p>
            <w:pPr>
              <w:jc w:val="right"/>
              <w:ind w:right="77"/>
              <w:spacing w:after="0" w:line="149" w:lineRule="exact"/>
              <w:rPr>
                <w:sz w:val="20"/>
                <w:szCs w:val="20"/>
                <w:color w:val="auto"/>
              </w:rPr>
            </w:pPr>
            <w:r>
              <w:rPr>
                <w:rFonts w:ascii="Arial" w:cs="Arial" w:eastAsia="Arial" w:hAnsi="Arial"/>
                <w:sz w:val="11"/>
                <w:szCs w:val="11"/>
                <w:color w:val="auto"/>
              </w:rPr>
              <w:t>15,166</w:t>
            </w:r>
            <w:r>
              <w:rPr>
                <w:rFonts w:ascii="Arial" w:cs="Arial" w:eastAsia="Arial" w:hAnsi="Arial"/>
                <w:sz w:val="17"/>
                <w:szCs w:val="17"/>
                <w:color w:val="auto"/>
                <w:vertAlign w:val="superscript"/>
              </w:rPr>
              <w:t>(1)</w:t>
            </w:r>
          </w:p>
        </w:tc>
        <w:tc>
          <w:tcPr>
            <w:tcW w:w="15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356,249</w:t>
            </w:r>
          </w:p>
        </w:tc>
        <w:tc>
          <w:tcPr>
            <w:tcW w:w="1640" w:type="dxa"/>
            <w:vAlign w:val="bottom"/>
            <w:tcBorders>
              <w:bottom w:val="single" w:sz="8" w:color="3D85C6"/>
              <w:right w:val="single" w:sz="8" w:color="3D85C6"/>
            </w:tcBorders>
            <w:shd w:val="clear" w:color="auto" w:fill="E6E6E6"/>
          </w:tcPr>
          <w:p>
            <w:pPr>
              <w:jc w:val="right"/>
              <w:ind w:right="31"/>
              <w:spacing w:after="0" w:line="149" w:lineRule="exact"/>
              <w:rPr>
                <w:sz w:val="20"/>
                <w:szCs w:val="20"/>
                <w:color w:val="auto"/>
              </w:rPr>
            </w:pPr>
            <w:r>
              <w:rPr>
                <w:rFonts w:ascii="Arial" w:cs="Arial" w:eastAsia="Arial" w:hAnsi="Arial"/>
                <w:sz w:val="14"/>
                <w:szCs w:val="14"/>
                <w:color w:val="auto"/>
              </w:rPr>
              <w:t>22,750</w:t>
            </w:r>
          </w:p>
        </w:tc>
        <w:tc>
          <w:tcPr>
            <w:tcW w:w="1660" w:type="dxa"/>
            <w:vAlign w:val="bottom"/>
            <w:tcBorders>
              <w:bottom w:val="single" w:sz="8" w:color="3D85C6"/>
              <w:right w:val="single" w:sz="8" w:color="3D85C6"/>
            </w:tcBorders>
            <w:shd w:val="clear" w:color="auto" w:fill="E6E6E6"/>
          </w:tcPr>
          <w:p>
            <w:pPr>
              <w:jc w:val="right"/>
              <w:ind w:right="51"/>
              <w:spacing w:after="0" w:line="149" w:lineRule="exact"/>
              <w:rPr>
                <w:sz w:val="20"/>
                <w:szCs w:val="20"/>
                <w:color w:val="auto"/>
              </w:rPr>
            </w:pPr>
            <w:r>
              <w:rPr>
                <w:rFonts w:ascii="Arial" w:cs="Arial" w:eastAsia="Arial" w:hAnsi="Arial"/>
                <w:sz w:val="14"/>
                <w:szCs w:val="14"/>
                <w:color w:val="auto"/>
              </w:rPr>
              <w:t>534,398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right="240" w:hanging="316"/>
        <w:spacing w:after="0" w:line="241" w:lineRule="auto"/>
        <w:tabs>
          <w:tab w:leader="none" w:pos="3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RSUs awarded in 2023 or earlier vest and shares are issued in four equal annual installments over the four year period following the date of grant. RSUs awarded in 2024 vest and shares are issued in three equal annual installments over the three year period following the date of grant.</w:t>
      </w:r>
    </w:p>
    <w:p>
      <w:pPr>
        <w:ind w:left="320" w:hanging="316"/>
        <w:spacing w:after="0" w:line="232" w:lineRule="auto"/>
        <w:tabs>
          <w:tab w:leader="none" w:pos="3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Based on a closing market price of Cohu’s common stock of $23.49 per share as reported on the Nasdaq Global Select Market on December 27, 2025.</w:t>
      </w:r>
    </w:p>
    <w:p>
      <w:pPr>
        <w:ind w:left="320" w:right="360" w:hanging="316"/>
        <w:spacing w:after="0" w:line="232" w:lineRule="auto"/>
        <w:tabs>
          <w:tab w:leader="none" w:pos="3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Reflects PSUs granted under the 2023, 2024 and 2025 PSU program at the target award level. PSUs granted in 2023, 2024 and 2025 may be earned at a level ranging from 0%-200% of the target award level on the third anniversary of their grant subject to continued service through the certification date.</w:t>
      </w:r>
    </w:p>
    <w:p>
      <w:pPr>
        <w:ind w:left="320" w:hanging="316"/>
        <w:spacing w:after="0"/>
        <w:tabs>
          <w:tab w:leader="none" w:pos="32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Based on a closing price of Cohu’s common stock of $23.49 as reported on the Nasdaq Global Select Market on December 27, 2025.</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1" w:name="page112"/>
    <w:bookmarkEnd w:id="111"/>
    <w:p>
      <w:pPr>
        <w:spacing w:after="0"/>
        <w:rPr>
          <w:sz w:val="20"/>
          <w:szCs w:val="20"/>
          <w:color w:val="auto"/>
        </w:rPr>
      </w:pPr>
      <w:r>
        <w:rPr>
          <w:rFonts w:ascii="Arial" w:cs="Arial" w:eastAsia="Arial" w:hAnsi="Arial"/>
          <w:sz w:val="19"/>
          <w:szCs w:val="19"/>
          <w:b w:val="1"/>
          <w:bCs w:val="1"/>
          <w:color w:val="auto"/>
        </w:rPr>
        <w:t>2025 Option Exercise and Stock Vested Table</w:t>
      </w:r>
    </w:p>
    <w:p>
      <w:pPr>
        <w:spacing w:after="0" w:line="19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The following table shows the value realized upon all stock awards vested and the value realized upon vesting by our NEOs during 2025. No stock options were exercised by our NEOs nor are any stock options outstanding in 2025.</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7900" w:type="dxa"/>
            <w:vAlign w:val="bottom"/>
            <w:tcBorders>
              <w:top w:val="single" w:sz="8" w:color="3D85C6"/>
              <w:left w:val="single" w:sz="8" w:color="3D85C6"/>
              <w:right w:val="single" w:sz="8" w:color="3D85C6"/>
            </w:tcBorders>
            <w:shd w:val="clear" w:color="auto" w:fill="2D53A6"/>
          </w:tcPr>
          <w:p>
            <w:pPr>
              <w:spacing w:after="0"/>
              <w:rPr>
                <w:sz w:val="24"/>
                <w:szCs w:val="24"/>
                <w:color w:val="auto"/>
              </w:rPr>
            </w:pPr>
          </w:p>
        </w:tc>
        <w:tc>
          <w:tcPr>
            <w:tcW w:w="100" w:type="dxa"/>
            <w:vAlign w:val="bottom"/>
            <w:tcBorders>
              <w:top w:val="single" w:sz="8" w:color="2D53A6"/>
            </w:tcBorders>
            <w:shd w:val="clear" w:color="auto" w:fill="2D53A6"/>
          </w:tcPr>
          <w:p>
            <w:pPr>
              <w:spacing w:after="0"/>
              <w:rPr>
                <w:sz w:val="24"/>
                <w:szCs w:val="24"/>
                <w:color w:val="auto"/>
              </w:rPr>
            </w:pPr>
          </w:p>
        </w:tc>
        <w:tc>
          <w:tcPr>
            <w:tcW w:w="3260" w:type="dxa"/>
            <w:vAlign w:val="bottom"/>
            <w:tcBorders>
              <w:top w:val="single" w:sz="8" w:color="2D53A6"/>
              <w:right w:val="single" w:sz="8" w:color="3D85C6"/>
            </w:tcBorders>
            <w:gridSpan w:val="2"/>
            <w:shd w:val="clear" w:color="auto" w:fill="2D53A6"/>
          </w:tcPr>
          <w:p>
            <w:pPr>
              <w:jc w:val="right"/>
              <w:ind w:right="1033"/>
              <w:spacing w:after="0"/>
              <w:rPr>
                <w:sz w:val="20"/>
                <w:szCs w:val="20"/>
                <w:color w:val="auto"/>
              </w:rPr>
            </w:pPr>
            <w:r>
              <w:rPr>
                <w:rFonts w:ascii="Arial" w:cs="Arial" w:eastAsia="Arial" w:hAnsi="Arial"/>
                <w:sz w:val="17"/>
                <w:szCs w:val="17"/>
                <w:b w:val="1"/>
                <w:bCs w:val="1"/>
                <w:color w:val="FFFFFF"/>
              </w:rPr>
              <w:t>Stock Awards</w:t>
            </w:r>
          </w:p>
        </w:tc>
        <w:tc>
          <w:tcPr>
            <w:tcW w:w="0" w:type="dxa"/>
            <w:vAlign w:val="bottom"/>
          </w:tcPr>
          <w:p>
            <w:pPr>
              <w:spacing w:after="0"/>
              <w:rPr>
                <w:sz w:val="1"/>
                <w:szCs w:val="1"/>
                <w:color w:val="auto"/>
              </w:rPr>
            </w:pPr>
          </w:p>
        </w:tc>
      </w:tr>
      <w:tr>
        <w:trPr>
          <w:trHeight w:val="176"/>
        </w:trPr>
        <w:tc>
          <w:tcPr>
            <w:tcW w:w="7900" w:type="dxa"/>
            <w:vAlign w:val="bottom"/>
            <w:tcBorders>
              <w:left w:val="single" w:sz="8" w:color="3D85C6"/>
              <w:right w:val="single" w:sz="8" w:color="3D85C6"/>
            </w:tcBorders>
            <w:vMerge w:val="restart"/>
            <w:shd w:val="clear" w:color="auto" w:fill="2D53A6"/>
          </w:tcPr>
          <w:p>
            <w:pPr>
              <w:ind w:left="180"/>
              <w:spacing w:after="0"/>
              <w:rPr>
                <w:sz w:val="20"/>
                <w:szCs w:val="20"/>
                <w:color w:val="auto"/>
              </w:rPr>
            </w:pPr>
            <w:r>
              <w:rPr>
                <w:rFonts w:ascii="Arial" w:cs="Arial" w:eastAsia="Arial" w:hAnsi="Arial"/>
                <w:sz w:val="17"/>
                <w:szCs w:val="17"/>
                <w:b w:val="1"/>
                <w:bCs w:val="1"/>
                <w:color w:val="FFFFFF"/>
              </w:rPr>
              <w:t>Named Executive Officer</w:t>
            </w:r>
          </w:p>
        </w:tc>
        <w:tc>
          <w:tcPr>
            <w:tcW w:w="100" w:type="dxa"/>
            <w:vAlign w:val="bottom"/>
            <w:shd w:val="clear" w:color="auto" w:fill="2D53A6"/>
          </w:tcPr>
          <w:p>
            <w:pPr>
              <w:spacing w:after="0"/>
              <w:rPr>
                <w:sz w:val="15"/>
                <w:szCs w:val="15"/>
                <w:color w:val="auto"/>
              </w:rPr>
            </w:pPr>
          </w:p>
        </w:tc>
        <w:tc>
          <w:tcPr>
            <w:tcW w:w="1580" w:type="dxa"/>
            <w:vAlign w:val="bottom"/>
            <w:tcBorders>
              <w:right w:val="single" w:sz="8" w:color="2D53A6"/>
            </w:tcBorders>
            <w:shd w:val="clear" w:color="auto" w:fill="2D53A6"/>
          </w:tcPr>
          <w:p>
            <w:pPr>
              <w:spacing w:after="0"/>
              <w:rPr>
                <w:sz w:val="15"/>
                <w:szCs w:val="15"/>
                <w:color w:val="auto"/>
              </w:rPr>
            </w:pPr>
          </w:p>
        </w:tc>
        <w:tc>
          <w:tcPr>
            <w:tcW w:w="1680" w:type="dxa"/>
            <w:vAlign w:val="bottom"/>
            <w:tcBorders>
              <w:right w:val="single" w:sz="8" w:color="3D85C6"/>
            </w:tcBorders>
            <w:shd w:val="clear" w:color="auto" w:fill="2D53A6"/>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7900" w:type="dxa"/>
            <w:vAlign w:val="bottom"/>
            <w:tcBorders>
              <w:left w:val="single" w:sz="8" w:color="3D85C6"/>
              <w:right w:val="single" w:sz="8" w:color="3D85C6"/>
            </w:tcBorders>
            <w:vMerge w:val="continue"/>
            <w:shd w:val="clear" w:color="auto" w:fill="2D53A6"/>
          </w:tcPr>
          <w:p>
            <w:pPr>
              <w:spacing w:after="0"/>
              <w:rPr>
                <w:sz w:val="24"/>
                <w:szCs w:val="24"/>
                <w:color w:val="auto"/>
              </w:rPr>
            </w:pPr>
          </w:p>
        </w:tc>
        <w:tc>
          <w:tcPr>
            <w:tcW w:w="100" w:type="dxa"/>
            <w:vAlign w:val="bottom"/>
            <w:shd w:val="clear" w:color="auto" w:fill="2D53A6"/>
          </w:tcPr>
          <w:p>
            <w:pPr>
              <w:spacing w:after="0"/>
              <w:rPr>
                <w:sz w:val="24"/>
                <w:szCs w:val="24"/>
                <w:color w:val="auto"/>
              </w:rPr>
            </w:pPr>
          </w:p>
        </w:tc>
        <w:tc>
          <w:tcPr>
            <w:tcW w:w="1580" w:type="dxa"/>
            <w:vAlign w:val="bottom"/>
            <w:tcBorders>
              <w:right w:val="single" w:sz="8" w:color="3D85C6"/>
            </w:tcBorders>
            <w:shd w:val="clear" w:color="auto" w:fill="2D53A6"/>
          </w:tcPr>
          <w:p>
            <w:pPr>
              <w:jc w:val="center"/>
              <w:ind w:right="33"/>
              <w:spacing w:after="0"/>
              <w:rPr>
                <w:sz w:val="20"/>
                <w:szCs w:val="20"/>
                <w:color w:val="auto"/>
              </w:rPr>
            </w:pPr>
            <w:r>
              <w:rPr>
                <w:rFonts w:ascii="Arial" w:cs="Arial" w:eastAsia="Arial" w:hAnsi="Arial"/>
                <w:sz w:val="17"/>
                <w:szCs w:val="17"/>
                <w:b w:val="1"/>
                <w:bCs w:val="1"/>
                <w:color w:val="FFFFFF"/>
              </w:rPr>
              <w:t>Number</w:t>
            </w:r>
          </w:p>
        </w:tc>
        <w:tc>
          <w:tcPr>
            <w:tcW w:w="1680" w:type="dxa"/>
            <w:vAlign w:val="bottom"/>
            <w:tcBorders>
              <w:right w:val="single" w:sz="8" w:color="3D85C6"/>
            </w:tcBorders>
            <w:shd w:val="clear" w:color="auto" w:fill="2D53A6"/>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900" w:type="dxa"/>
            <w:vAlign w:val="bottom"/>
            <w:tcBorders>
              <w:left w:val="single" w:sz="8" w:color="3D85C6"/>
              <w:right w:val="single" w:sz="8" w:color="3D85C6"/>
            </w:tcBorders>
            <w:shd w:val="clear" w:color="auto" w:fill="2D53A6"/>
          </w:tcPr>
          <w:p>
            <w:pPr>
              <w:spacing w:after="0"/>
              <w:rPr>
                <w:sz w:val="16"/>
                <w:szCs w:val="16"/>
                <w:color w:val="auto"/>
              </w:rPr>
            </w:pPr>
          </w:p>
        </w:tc>
        <w:tc>
          <w:tcPr>
            <w:tcW w:w="100" w:type="dxa"/>
            <w:vAlign w:val="bottom"/>
            <w:shd w:val="clear" w:color="auto" w:fill="2D53A6"/>
          </w:tcPr>
          <w:p>
            <w:pPr>
              <w:spacing w:after="0"/>
              <w:rPr>
                <w:sz w:val="16"/>
                <w:szCs w:val="16"/>
                <w:color w:val="auto"/>
              </w:rPr>
            </w:pPr>
          </w:p>
        </w:tc>
        <w:tc>
          <w:tcPr>
            <w:tcW w:w="1580" w:type="dxa"/>
            <w:vAlign w:val="bottom"/>
            <w:tcBorders>
              <w:right w:val="single" w:sz="8" w:color="3D85C6"/>
            </w:tcBorders>
            <w:shd w:val="clear" w:color="auto" w:fill="2D53A6"/>
          </w:tcPr>
          <w:p>
            <w:pPr>
              <w:jc w:val="center"/>
              <w:ind w:right="33"/>
              <w:spacing w:after="0"/>
              <w:rPr>
                <w:sz w:val="20"/>
                <w:szCs w:val="20"/>
                <w:color w:val="auto"/>
              </w:rPr>
            </w:pPr>
            <w:r>
              <w:rPr>
                <w:rFonts w:ascii="Arial" w:cs="Arial" w:eastAsia="Arial" w:hAnsi="Arial"/>
                <w:sz w:val="17"/>
                <w:szCs w:val="17"/>
                <w:b w:val="1"/>
                <w:bCs w:val="1"/>
                <w:color w:val="FFFFFF"/>
              </w:rPr>
              <w:t>of Shares</w:t>
            </w:r>
          </w:p>
        </w:tc>
        <w:tc>
          <w:tcPr>
            <w:tcW w:w="1680" w:type="dxa"/>
            <w:vAlign w:val="bottom"/>
            <w:tcBorders>
              <w:right w:val="single" w:sz="8" w:color="3D85C6"/>
            </w:tcBorders>
            <w:shd w:val="clear" w:color="auto" w:fill="2D53A6"/>
          </w:tcPr>
          <w:p>
            <w:pPr>
              <w:jc w:val="right"/>
              <w:ind w:right="153"/>
              <w:spacing w:after="0"/>
              <w:rPr>
                <w:sz w:val="20"/>
                <w:szCs w:val="20"/>
                <w:color w:val="auto"/>
              </w:rPr>
            </w:pPr>
            <w:r>
              <w:rPr>
                <w:rFonts w:ascii="Arial" w:cs="Arial" w:eastAsia="Arial" w:hAnsi="Arial"/>
                <w:sz w:val="17"/>
                <w:szCs w:val="17"/>
                <w:b w:val="1"/>
                <w:bCs w:val="1"/>
                <w:color w:val="FFFFFF"/>
              </w:rPr>
              <w:t>Value Realized</w:t>
            </w:r>
          </w:p>
        </w:tc>
        <w:tc>
          <w:tcPr>
            <w:tcW w:w="0" w:type="dxa"/>
            <w:vAlign w:val="bottom"/>
          </w:tcPr>
          <w:p>
            <w:pPr>
              <w:spacing w:after="0"/>
              <w:rPr>
                <w:sz w:val="1"/>
                <w:szCs w:val="1"/>
                <w:color w:val="auto"/>
              </w:rPr>
            </w:pPr>
          </w:p>
        </w:tc>
      </w:tr>
      <w:tr>
        <w:trPr>
          <w:trHeight w:val="195"/>
        </w:trPr>
        <w:tc>
          <w:tcPr>
            <w:tcW w:w="7900" w:type="dxa"/>
            <w:vAlign w:val="bottom"/>
            <w:tcBorders>
              <w:left w:val="single" w:sz="8" w:color="3D85C6"/>
              <w:right w:val="single" w:sz="8" w:color="3D85C6"/>
            </w:tcBorders>
            <w:shd w:val="clear" w:color="auto" w:fill="2D53A6"/>
          </w:tcPr>
          <w:p>
            <w:pPr>
              <w:spacing w:after="0"/>
              <w:rPr>
                <w:sz w:val="16"/>
                <w:szCs w:val="16"/>
                <w:color w:val="auto"/>
              </w:rPr>
            </w:pPr>
          </w:p>
        </w:tc>
        <w:tc>
          <w:tcPr>
            <w:tcW w:w="100" w:type="dxa"/>
            <w:vAlign w:val="bottom"/>
            <w:shd w:val="clear" w:color="auto" w:fill="2D53A6"/>
          </w:tcPr>
          <w:p>
            <w:pPr>
              <w:spacing w:after="0"/>
              <w:rPr>
                <w:sz w:val="16"/>
                <w:szCs w:val="16"/>
                <w:color w:val="auto"/>
              </w:rPr>
            </w:pPr>
          </w:p>
        </w:tc>
        <w:tc>
          <w:tcPr>
            <w:tcW w:w="1580" w:type="dxa"/>
            <w:vAlign w:val="bottom"/>
            <w:tcBorders>
              <w:right w:val="single" w:sz="8" w:color="3D85C6"/>
            </w:tcBorders>
            <w:shd w:val="clear" w:color="auto" w:fill="2D53A6"/>
          </w:tcPr>
          <w:p>
            <w:pPr>
              <w:jc w:val="center"/>
              <w:ind w:right="33"/>
              <w:spacing w:after="0"/>
              <w:rPr>
                <w:sz w:val="20"/>
                <w:szCs w:val="20"/>
                <w:color w:val="auto"/>
              </w:rPr>
            </w:pPr>
            <w:r>
              <w:rPr>
                <w:rFonts w:ascii="Arial" w:cs="Arial" w:eastAsia="Arial" w:hAnsi="Arial"/>
                <w:sz w:val="17"/>
                <w:szCs w:val="17"/>
                <w:b w:val="1"/>
                <w:bCs w:val="1"/>
                <w:color w:val="FFFFFF"/>
              </w:rPr>
              <w:t>Acquired on</w:t>
            </w:r>
          </w:p>
        </w:tc>
        <w:tc>
          <w:tcPr>
            <w:tcW w:w="1680" w:type="dxa"/>
            <w:vAlign w:val="bottom"/>
            <w:tcBorders>
              <w:right w:val="single" w:sz="8" w:color="3D85C6"/>
            </w:tcBorders>
            <w:shd w:val="clear" w:color="auto" w:fill="2D53A6"/>
          </w:tcPr>
          <w:p>
            <w:pPr>
              <w:jc w:val="right"/>
              <w:ind w:right="93"/>
              <w:spacing w:after="0"/>
              <w:rPr>
                <w:sz w:val="20"/>
                <w:szCs w:val="20"/>
                <w:color w:val="auto"/>
              </w:rPr>
            </w:pPr>
            <w:r>
              <w:rPr>
                <w:rFonts w:ascii="Arial" w:cs="Arial" w:eastAsia="Arial" w:hAnsi="Arial"/>
                <w:sz w:val="17"/>
                <w:szCs w:val="17"/>
                <w:b w:val="1"/>
                <w:bCs w:val="1"/>
                <w:color w:val="FFFFFF"/>
              </w:rPr>
              <w:t>on Vesting ($)</w:t>
            </w:r>
            <w:r>
              <w:rPr>
                <w:rFonts w:ascii="Arial" w:cs="Arial" w:eastAsia="Arial" w:hAnsi="Arial"/>
                <w:sz w:val="14"/>
                <w:szCs w:val="14"/>
                <w:b w:val="1"/>
                <w:bCs w:val="1"/>
                <w:color w:val="FFFFFF"/>
              </w:rPr>
              <w:t>(2)</w:t>
            </w:r>
          </w:p>
        </w:tc>
        <w:tc>
          <w:tcPr>
            <w:tcW w:w="0" w:type="dxa"/>
            <w:vAlign w:val="bottom"/>
          </w:tcPr>
          <w:p>
            <w:pPr>
              <w:spacing w:after="0"/>
              <w:rPr>
                <w:sz w:val="1"/>
                <w:szCs w:val="1"/>
                <w:color w:val="auto"/>
              </w:rPr>
            </w:pPr>
          </w:p>
        </w:tc>
      </w:tr>
      <w:tr>
        <w:trPr>
          <w:trHeight w:val="239"/>
        </w:trPr>
        <w:tc>
          <w:tcPr>
            <w:tcW w:w="7900" w:type="dxa"/>
            <w:vAlign w:val="bottom"/>
            <w:tcBorders>
              <w:left w:val="single" w:sz="8" w:color="3D85C6"/>
              <w:right w:val="single" w:sz="8" w:color="3D85C6"/>
            </w:tcBorders>
            <w:shd w:val="clear" w:color="auto" w:fill="2D53A6"/>
          </w:tcPr>
          <w:p>
            <w:pPr>
              <w:spacing w:after="0"/>
              <w:rPr>
                <w:sz w:val="20"/>
                <w:szCs w:val="20"/>
                <w:color w:val="auto"/>
              </w:rPr>
            </w:pPr>
          </w:p>
        </w:tc>
        <w:tc>
          <w:tcPr>
            <w:tcW w:w="100" w:type="dxa"/>
            <w:vAlign w:val="bottom"/>
            <w:shd w:val="clear" w:color="auto" w:fill="2D53A6"/>
          </w:tcPr>
          <w:p>
            <w:pPr>
              <w:spacing w:after="0"/>
              <w:rPr>
                <w:sz w:val="20"/>
                <w:szCs w:val="20"/>
                <w:color w:val="auto"/>
              </w:rPr>
            </w:pPr>
          </w:p>
        </w:tc>
        <w:tc>
          <w:tcPr>
            <w:tcW w:w="1580" w:type="dxa"/>
            <w:vAlign w:val="bottom"/>
            <w:tcBorders>
              <w:right w:val="single" w:sz="8" w:color="3D85C6"/>
            </w:tcBorders>
            <w:shd w:val="clear" w:color="auto" w:fill="2D53A6"/>
          </w:tcPr>
          <w:p>
            <w:pPr>
              <w:jc w:val="center"/>
              <w:ind w:right="33"/>
              <w:spacing w:after="0"/>
              <w:rPr>
                <w:sz w:val="20"/>
                <w:szCs w:val="20"/>
                <w:color w:val="auto"/>
              </w:rPr>
            </w:pPr>
            <w:r>
              <w:rPr>
                <w:rFonts w:ascii="Arial" w:cs="Arial" w:eastAsia="Arial" w:hAnsi="Arial"/>
                <w:sz w:val="17"/>
                <w:szCs w:val="17"/>
                <w:b w:val="1"/>
                <w:bCs w:val="1"/>
                <w:color w:val="FFFFFF"/>
              </w:rPr>
              <w:t>Vesting (#)</w:t>
            </w:r>
            <w:r>
              <w:rPr>
                <w:rFonts w:ascii="Arial" w:cs="Arial" w:eastAsia="Arial" w:hAnsi="Arial"/>
                <w:sz w:val="14"/>
                <w:szCs w:val="14"/>
                <w:b w:val="1"/>
                <w:bCs w:val="1"/>
                <w:color w:val="FFFFFF"/>
              </w:rPr>
              <w:t>(1)</w:t>
            </w:r>
          </w:p>
        </w:tc>
        <w:tc>
          <w:tcPr>
            <w:tcW w:w="1680" w:type="dxa"/>
            <w:vAlign w:val="bottom"/>
            <w:tcBorders>
              <w:right w:val="single" w:sz="8" w:color="3D85C6"/>
            </w:tcBorders>
            <w:shd w:val="clear" w:color="auto" w:fill="2D53A6"/>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7900" w:type="dxa"/>
            <w:vAlign w:val="bottom"/>
            <w:tcBorders>
              <w:left w:val="single" w:sz="8" w:color="3D85C6"/>
              <w:bottom w:val="single" w:sz="8" w:color="3D85C6"/>
              <w:right w:val="single" w:sz="8" w:color="3D85C6"/>
            </w:tcBorders>
            <w:shd w:val="clear" w:color="auto" w:fill="2D53A6"/>
          </w:tcPr>
          <w:p>
            <w:pPr>
              <w:spacing w:after="0"/>
              <w:rPr>
                <w:sz w:val="16"/>
                <w:szCs w:val="16"/>
                <w:color w:val="auto"/>
              </w:rPr>
            </w:pPr>
          </w:p>
        </w:tc>
        <w:tc>
          <w:tcPr>
            <w:tcW w:w="100" w:type="dxa"/>
            <w:vAlign w:val="bottom"/>
            <w:tcBorders>
              <w:bottom w:val="single" w:sz="8" w:color="3D85C6"/>
            </w:tcBorders>
            <w:shd w:val="clear" w:color="auto" w:fill="2D53A6"/>
          </w:tcPr>
          <w:p>
            <w:pPr>
              <w:spacing w:after="0"/>
              <w:rPr>
                <w:sz w:val="16"/>
                <w:szCs w:val="16"/>
                <w:color w:val="auto"/>
              </w:rPr>
            </w:pPr>
          </w:p>
        </w:tc>
        <w:tc>
          <w:tcPr>
            <w:tcW w:w="1580" w:type="dxa"/>
            <w:vAlign w:val="bottom"/>
            <w:tcBorders>
              <w:bottom w:val="single" w:sz="8" w:color="3D85C6"/>
              <w:right w:val="single" w:sz="8" w:color="3D85C6"/>
            </w:tcBorders>
            <w:shd w:val="clear" w:color="auto" w:fill="2D53A6"/>
          </w:tcPr>
          <w:p>
            <w:pPr>
              <w:spacing w:after="0"/>
              <w:rPr>
                <w:sz w:val="16"/>
                <w:szCs w:val="16"/>
                <w:color w:val="auto"/>
              </w:rPr>
            </w:pPr>
          </w:p>
        </w:tc>
        <w:tc>
          <w:tcPr>
            <w:tcW w:w="1680" w:type="dxa"/>
            <w:vAlign w:val="bottom"/>
            <w:tcBorders>
              <w:bottom w:val="single" w:sz="8" w:color="3D85C6"/>
              <w:right w:val="single" w:sz="8" w:color="3D85C6"/>
            </w:tcBorders>
            <w:shd w:val="clear" w:color="auto" w:fill="2D53A6"/>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900" w:type="dxa"/>
            <w:vAlign w:val="bottom"/>
            <w:tcBorders>
              <w:left w:val="single" w:sz="8" w:color="3D85C6"/>
              <w:bottom w:val="single" w:sz="8" w:color="3D85C6"/>
              <w:right w:val="single" w:sz="8" w:color="3D85C6"/>
            </w:tcBorders>
          </w:tcPr>
          <w:p>
            <w:pPr>
              <w:ind w:left="180"/>
              <w:spacing w:after="0" w:line="168" w:lineRule="exact"/>
              <w:rPr>
                <w:sz w:val="20"/>
                <w:szCs w:val="20"/>
                <w:color w:val="auto"/>
              </w:rPr>
            </w:pPr>
            <w:r>
              <w:rPr>
                <w:rFonts w:ascii="Arial" w:cs="Arial" w:eastAsia="Arial" w:hAnsi="Arial"/>
                <w:sz w:val="17"/>
                <w:szCs w:val="17"/>
                <w:color w:val="auto"/>
              </w:rPr>
              <w:t>Luis A. Müller</w:t>
            </w:r>
          </w:p>
        </w:tc>
        <w:tc>
          <w:tcPr>
            <w:tcW w:w="100" w:type="dxa"/>
            <w:vAlign w:val="bottom"/>
            <w:tcBorders>
              <w:bottom w:val="single" w:sz="8" w:color="3D85C6"/>
            </w:tcBorders>
          </w:tcPr>
          <w:p>
            <w:pPr>
              <w:spacing w:after="0"/>
              <w:rPr>
                <w:sz w:val="14"/>
                <w:szCs w:val="14"/>
                <w:color w:val="auto"/>
              </w:rPr>
            </w:pPr>
          </w:p>
        </w:tc>
        <w:tc>
          <w:tcPr>
            <w:tcW w:w="1580" w:type="dxa"/>
            <w:vAlign w:val="bottom"/>
            <w:tcBorders>
              <w:bottom w:val="single" w:sz="8" w:color="3D85C6"/>
              <w:right w:val="single" w:sz="8" w:color="3D85C6"/>
            </w:tcBorders>
          </w:tcPr>
          <w:p>
            <w:pPr>
              <w:jc w:val="right"/>
              <w:ind w:right="33"/>
              <w:spacing w:after="0" w:line="168" w:lineRule="exact"/>
              <w:rPr>
                <w:sz w:val="20"/>
                <w:szCs w:val="20"/>
                <w:color w:val="auto"/>
              </w:rPr>
            </w:pPr>
            <w:r>
              <w:rPr>
                <w:rFonts w:ascii="Arial" w:cs="Arial" w:eastAsia="Arial" w:hAnsi="Arial"/>
                <w:sz w:val="17"/>
                <w:szCs w:val="17"/>
                <w:color w:val="auto"/>
              </w:rPr>
              <w:t>70,446</w:t>
            </w:r>
          </w:p>
        </w:tc>
        <w:tc>
          <w:tcPr>
            <w:tcW w:w="1680" w:type="dxa"/>
            <w:vAlign w:val="bottom"/>
            <w:tcBorders>
              <w:bottom w:val="single" w:sz="8" w:color="3D85C6"/>
              <w:right w:val="single" w:sz="8" w:color="3D85C6"/>
            </w:tcBorders>
          </w:tcPr>
          <w:p>
            <w:pPr>
              <w:jc w:val="right"/>
              <w:ind w:right="33"/>
              <w:spacing w:after="0" w:line="168" w:lineRule="exact"/>
              <w:rPr>
                <w:sz w:val="20"/>
                <w:szCs w:val="20"/>
                <w:color w:val="auto"/>
              </w:rPr>
            </w:pPr>
            <w:r>
              <w:rPr>
                <w:rFonts w:ascii="Arial" w:cs="Arial" w:eastAsia="Arial" w:hAnsi="Arial"/>
                <w:sz w:val="17"/>
                <w:szCs w:val="17"/>
                <w:color w:val="auto"/>
              </w:rPr>
              <w:t>1,191,290</w:t>
            </w:r>
          </w:p>
        </w:tc>
        <w:tc>
          <w:tcPr>
            <w:tcW w:w="0" w:type="dxa"/>
            <w:vAlign w:val="bottom"/>
          </w:tcPr>
          <w:p>
            <w:pPr>
              <w:spacing w:after="0"/>
              <w:rPr>
                <w:sz w:val="1"/>
                <w:szCs w:val="1"/>
                <w:color w:val="auto"/>
              </w:rPr>
            </w:pPr>
          </w:p>
        </w:tc>
      </w:tr>
      <w:tr>
        <w:trPr>
          <w:trHeight w:val="188"/>
        </w:trPr>
        <w:tc>
          <w:tcPr>
            <w:tcW w:w="7900" w:type="dxa"/>
            <w:vAlign w:val="bottom"/>
            <w:tcBorders>
              <w:left w:val="single" w:sz="8" w:color="3D85C6"/>
              <w:bottom w:val="single" w:sz="8" w:color="3D85C6"/>
              <w:right w:val="single" w:sz="8" w:color="3D85C6"/>
            </w:tcBorders>
            <w:shd w:val="clear" w:color="auto" w:fill="E6E6E6"/>
          </w:tcPr>
          <w:p>
            <w:pPr>
              <w:ind w:left="180"/>
              <w:spacing w:after="0" w:line="188" w:lineRule="exact"/>
              <w:rPr>
                <w:sz w:val="20"/>
                <w:szCs w:val="20"/>
                <w:color w:val="auto"/>
              </w:rPr>
            </w:pPr>
            <w:r>
              <w:rPr>
                <w:rFonts w:ascii="Arial" w:cs="Arial" w:eastAsia="Arial" w:hAnsi="Arial"/>
                <w:sz w:val="17"/>
                <w:szCs w:val="17"/>
                <w:color w:val="auto"/>
              </w:rPr>
              <w:t>Jeffrey D. Jones</w:t>
            </w:r>
          </w:p>
        </w:tc>
        <w:tc>
          <w:tcPr>
            <w:tcW w:w="1680" w:type="dxa"/>
            <w:vAlign w:val="bottom"/>
            <w:tcBorders>
              <w:bottom w:val="single" w:sz="8" w:color="3D85C6"/>
              <w:right w:val="single" w:sz="8" w:color="3D85C6"/>
            </w:tcBorders>
            <w:gridSpan w:val="2"/>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22,993</w:t>
            </w:r>
          </w:p>
        </w:tc>
        <w:tc>
          <w:tcPr>
            <w:tcW w:w="168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388,797</w:t>
            </w:r>
          </w:p>
        </w:tc>
        <w:tc>
          <w:tcPr>
            <w:tcW w:w="0" w:type="dxa"/>
            <w:vAlign w:val="bottom"/>
          </w:tcPr>
          <w:p>
            <w:pPr>
              <w:spacing w:after="0"/>
              <w:rPr>
                <w:sz w:val="1"/>
                <w:szCs w:val="1"/>
                <w:color w:val="auto"/>
              </w:rPr>
            </w:pPr>
          </w:p>
        </w:tc>
      </w:tr>
      <w:tr>
        <w:trPr>
          <w:trHeight w:val="188"/>
        </w:trPr>
        <w:tc>
          <w:tcPr>
            <w:tcW w:w="7900" w:type="dxa"/>
            <w:vAlign w:val="bottom"/>
            <w:tcBorders>
              <w:left w:val="single" w:sz="8" w:color="3D85C6"/>
              <w:bottom w:val="single" w:sz="8" w:color="3D85C6"/>
              <w:right w:val="single" w:sz="8" w:color="3D85C6"/>
            </w:tcBorders>
          </w:tcPr>
          <w:p>
            <w:pPr>
              <w:ind w:left="180"/>
              <w:spacing w:after="0" w:line="188" w:lineRule="exact"/>
              <w:rPr>
                <w:sz w:val="20"/>
                <w:szCs w:val="20"/>
                <w:color w:val="auto"/>
              </w:rPr>
            </w:pPr>
            <w:r>
              <w:rPr>
                <w:rFonts w:ascii="Arial" w:cs="Arial" w:eastAsia="Arial" w:hAnsi="Arial"/>
                <w:sz w:val="17"/>
                <w:szCs w:val="17"/>
                <w:color w:val="auto"/>
              </w:rPr>
              <w:t>Christopher G. Bohrson</w:t>
            </w:r>
          </w:p>
        </w:tc>
        <w:tc>
          <w:tcPr>
            <w:tcW w:w="1680" w:type="dxa"/>
            <w:vAlign w:val="bottom"/>
            <w:tcBorders>
              <w:bottom w:val="single" w:sz="8" w:color="3D85C6"/>
              <w:right w:val="single" w:sz="8" w:color="3D85C6"/>
            </w:tcBorders>
            <w:gridSpan w:val="2"/>
          </w:tcPr>
          <w:p>
            <w:pPr>
              <w:jc w:val="right"/>
              <w:ind w:right="33"/>
              <w:spacing w:after="0" w:line="188" w:lineRule="exact"/>
              <w:rPr>
                <w:sz w:val="20"/>
                <w:szCs w:val="20"/>
                <w:color w:val="auto"/>
              </w:rPr>
            </w:pPr>
            <w:r>
              <w:rPr>
                <w:rFonts w:ascii="Arial" w:cs="Arial" w:eastAsia="Arial" w:hAnsi="Arial"/>
                <w:sz w:val="17"/>
                <w:szCs w:val="17"/>
                <w:color w:val="auto"/>
              </w:rPr>
              <w:t>16,054</w:t>
            </w:r>
          </w:p>
        </w:tc>
        <w:tc>
          <w:tcPr>
            <w:tcW w:w="168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271,298</w:t>
            </w:r>
          </w:p>
        </w:tc>
        <w:tc>
          <w:tcPr>
            <w:tcW w:w="0" w:type="dxa"/>
            <w:vAlign w:val="bottom"/>
          </w:tcPr>
          <w:p>
            <w:pPr>
              <w:spacing w:after="0"/>
              <w:rPr>
                <w:sz w:val="1"/>
                <w:szCs w:val="1"/>
                <w:color w:val="auto"/>
              </w:rPr>
            </w:pPr>
          </w:p>
        </w:tc>
      </w:tr>
      <w:tr>
        <w:trPr>
          <w:trHeight w:val="188"/>
        </w:trPr>
        <w:tc>
          <w:tcPr>
            <w:tcW w:w="7900" w:type="dxa"/>
            <w:vAlign w:val="bottom"/>
            <w:tcBorders>
              <w:left w:val="single" w:sz="8" w:color="3D85C6"/>
              <w:bottom w:val="single" w:sz="8" w:color="3D85C6"/>
              <w:right w:val="single" w:sz="8" w:color="3D85C6"/>
            </w:tcBorders>
            <w:shd w:val="clear" w:color="auto" w:fill="E6E6E6"/>
          </w:tcPr>
          <w:p>
            <w:pPr>
              <w:ind w:left="180"/>
              <w:spacing w:after="0" w:line="188" w:lineRule="exact"/>
              <w:rPr>
                <w:sz w:val="20"/>
                <w:szCs w:val="20"/>
                <w:color w:val="auto"/>
              </w:rPr>
            </w:pPr>
            <w:r>
              <w:rPr>
                <w:rFonts w:ascii="Arial" w:cs="Arial" w:eastAsia="Arial" w:hAnsi="Arial"/>
                <w:sz w:val="17"/>
                <w:szCs w:val="17"/>
                <w:color w:val="auto"/>
              </w:rPr>
              <w:t>Klaus Ilgenfritz</w:t>
            </w:r>
          </w:p>
        </w:tc>
        <w:tc>
          <w:tcPr>
            <w:tcW w:w="1680" w:type="dxa"/>
            <w:vAlign w:val="bottom"/>
            <w:tcBorders>
              <w:bottom w:val="single" w:sz="8" w:color="3D85C6"/>
              <w:right w:val="single" w:sz="8" w:color="3D85C6"/>
            </w:tcBorders>
            <w:gridSpan w:val="2"/>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7,300</w:t>
            </w:r>
          </w:p>
        </w:tc>
        <w:tc>
          <w:tcPr>
            <w:tcW w:w="168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123,163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right="440" w:hanging="316"/>
        <w:spacing w:after="0" w:line="241" w:lineRule="auto"/>
        <w:tabs>
          <w:tab w:leader="none" w:pos="32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Number of shares acquired on vesting is before reduction for shares withheld to cover tax withholding. Cohu withheld the following number of shares for tax withholding: Dr. Müller, 70,615 shares; Mr. Jones, 23,523 shares; Mr. Bohrson, 15,713 shares and Mr. Ilgenfritz, 6,217 shares.</w:t>
      </w:r>
    </w:p>
    <w:p>
      <w:pPr>
        <w:ind w:left="320" w:right="280" w:hanging="316"/>
        <w:spacing w:after="0" w:line="244" w:lineRule="auto"/>
        <w:tabs>
          <w:tab w:leader="none" w:pos="32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value realized equals the number of units that vested multiplied by the per-share closing price of Cohu’s common stock on the vesting date. Amounts presented are gross amounts before required tax withholding.</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2025 Nonqualified Deferred Compensation</w:t>
      </w:r>
    </w:p>
    <w:p>
      <w:pPr>
        <w:spacing w:after="0" w:line="191"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The Deferred Compensation Plan, as summarized in the Compensation Discussion and Analysis above, permits eligible participants to defer compensation from salary and cash incentives. The Deferred Compensation Plan limits the amount of participant deferrals to 25% of salary and 100% of cash incentives. Cohu may make matching contributions as summarized in the Compensation Discussion and Analysis.</w:t>
      </w:r>
    </w:p>
    <w:p>
      <w:pPr>
        <w:spacing w:after="0" w:line="147"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Participant and employer contributions, distributions and deemed investment earnings and losses are accumulated in individual deferral investment accounts as established by the Deferred Compensation Plan. The deemed investment gains or losses credited to a participant’s account are based on investment elections made by the participant from prescribed mutual fund investment options. Participants may elect to receive payment of their deferral account in ten or 15 annual installments upon retirement and in lump sum or five, ten or 15 annual installments upon disability, death, termination or change in control of Cohu, as defined in the Deferred Compensation Plan.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27, 2025, none of our NEOs have any amounts deferred under the Deferred Compensation Plan.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b w:val="1"/>
          <w:bCs w:val="1"/>
          <w:color w:val="auto"/>
        </w:rPr>
        <w:t>Equity Compensation Plan Information</w:t>
      </w:r>
    </w:p>
    <w:p>
      <w:pPr>
        <w:spacing w:after="0" w:line="191" w:lineRule="exact"/>
        <w:rPr>
          <w:sz w:val="20"/>
          <w:szCs w:val="20"/>
          <w:color w:val="auto"/>
        </w:rPr>
      </w:pPr>
    </w:p>
    <w:p>
      <w:pPr>
        <w:ind w:right="440"/>
        <w:spacing w:after="0" w:line="280" w:lineRule="auto"/>
        <w:rPr>
          <w:sz w:val="20"/>
          <w:szCs w:val="20"/>
          <w:color w:val="auto"/>
        </w:rPr>
      </w:pPr>
      <w:r>
        <w:rPr>
          <w:rFonts w:ascii="Arial" w:cs="Arial" w:eastAsia="Arial" w:hAnsi="Arial"/>
          <w:sz w:val="17"/>
          <w:szCs w:val="17"/>
          <w:color w:val="auto"/>
        </w:rPr>
        <w:t>The following table summarizes information with respect to equity awards under Cohu’s equity compensation plans at December 27, 2025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thousands, except per share amounts and amounts quoted in footnotes</w:t>
      </w:r>
      <w:r>
        <w:rPr>
          <w:rFonts w:ascii="Arial" w:cs="Arial" w:eastAsia="Arial" w:hAnsi="Arial"/>
          <w:sz w:val="17"/>
          <w:szCs w:val="17"/>
          <w:color w:val="auto"/>
        </w:rPr>
        <w:t>):</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4180" w:type="dxa"/>
            <w:vAlign w:val="bottom"/>
            <w:tcBorders>
              <w:top w:val="single" w:sz="8" w:color="3D85C6"/>
              <w:left w:val="single" w:sz="8" w:color="3D85C6"/>
              <w:right w:val="single" w:sz="8" w:color="3D85C6"/>
            </w:tcBorders>
            <w:shd w:val="clear" w:color="auto" w:fill="2D53A6"/>
          </w:tcPr>
          <w:p>
            <w:pPr>
              <w:spacing w:after="0"/>
              <w:rPr>
                <w:sz w:val="16"/>
                <w:szCs w:val="16"/>
                <w:color w:val="auto"/>
              </w:rPr>
            </w:pPr>
          </w:p>
        </w:tc>
        <w:tc>
          <w:tcPr>
            <w:tcW w:w="2380" w:type="dxa"/>
            <w:vAlign w:val="bottom"/>
            <w:tcBorders>
              <w:top w:val="single" w:sz="8" w:color="2D53A6"/>
              <w:right w:val="single" w:sz="8" w:color="3D85C6"/>
            </w:tcBorders>
            <w:shd w:val="clear" w:color="auto" w:fill="2D53A6"/>
          </w:tcPr>
          <w:p>
            <w:pPr>
              <w:spacing w:after="0"/>
              <w:rPr>
                <w:sz w:val="16"/>
                <w:szCs w:val="16"/>
                <w:color w:val="auto"/>
              </w:rPr>
            </w:pPr>
          </w:p>
        </w:tc>
        <w:tc>
          <w:tcPr>
            <w:tcW w:w="260" w:type="dxa"/>
            <w:vAlign w:val="bottom"/>
            <w:tcBorders>
              <w:top w:val="single" w:sz="8" w:color="2D53A6"/>
            </w:tcBorders>
            <w:shd w:val="clear" w:color="auto" w:fill="2D53A6"/>
          </w:tcPr>
          <w:p>
            <w:pPr>
              <w:spacing w:after="0"/>
              <w:rPr>
                <w:sz w:val="16"/>
                <w:szCs w:val="16"/>
                <w:color w:val="auto"/>
              </w:rPr>
            </w:pPr>
          </w:p>
        </w:tc>
        <w:tc>
          <w:tcPr>
            <w:tcW w:w="2100" w:type="dxa"/>
            <w:vAlign w:val="bottom"/>
            <w:tcBorders>
              <w:top w:val="single" w:sz="8" w:color="2D53A6"/>
              <w:right w:val="single" w:sz="8" w:color="3D85C6"/>
            </w:tcBorders>
            <w:shd w:val="clear" w:color="auto" w:fill="2D53A6"/>
          </w:tcPr>
          <w:p>
            <w:pPr>
              <w:spacing w:after="0"/>
              <w:rPr>
                <w:sz w:val="16"/>
                <w:szCs w:val="16"/>
                <w:color w:val="auto"/>
              </w:rPr>
            </w:pPr>
          </w:p>
        </w:tc>
        <w:tc>
          <w:tcPr>
            <w:tcW w:w="2340" w:type="dxa"/>
            <w:vAlign w:val="bottom"/>
            <w:tcBorders>
              <w:top w:val="single" w:sz="8" w:color="2D53A6"/>
              <w:right w:val="single" w:sz="8" w:color="3D85C6"/>
            </w:tcBorders>
            <w:shd w:val="clear" w:color="auto" w:fill="2D53A6"/>
          </w:tcPr>
          <w:p>
            <w:pPr>
              <w:jc w:val="center"/>
              <w:spacing w:after="0" w:line="193" w:lineRule="exact"/>
              <w:rPr>
                <w:sz w:val="20"/>
                <w:szCs w:val="20"/>
                <w:color w:val="auto"/>
              </w:rPr>
            </w:pPr>
            <w:r>
              <w:rPr>
                <w:rFonts w:ascii="Arial" w:cs="Arial" w:eastAsia="Arial" w:hAnsi="Arial"/>
                <w:sz w:val="17"/>
                <w:szCs w:val="17"/>
                <w:b w:val="1"/>
                <w:bCs w:val="1"/>
                <w:color w:val="FFFFFF"/>
              </w:rPr>
              <w:t>Number of securities</w:t>
            </w:r>
          </w:p>
        </w:tc>
        <w:tc>
          <w:tcPr>
            <w:tcW w:w="0" w:type="dxa"/>
            <w:vAlign w:val="bottom"/>
          </w:tcPr>
          <w:p>
            <w:pPr>
              <w:spacing w:after="0"/>
              <w:rPr>
                <w:sz w:val="1"/>
                <w:szCs w:val="1"/>
                <w:color w:val="auto"/>
              </w:rPr>
            </w:pPr>
          </w:p>
        </w:tc>
      </w:tr>
      <w:tr>
        <w:trPr>
          <w:trHeight w:val="195"/>
        </w:trPr>
        <w:tc>
          <w:tcPr>
            <w:tcW w:w="4180" w:type="dxa"/>
            <w:vAlign w:val="bottom"/>
            <w:tcBorders>
              <w:left w:val="single" w:sz="8" w:color="3D85C6"/>
              <w:right w:val="single" w:sz="8" w:color="3D85C6"/>
            </w:tcBorders>
            <w:shd w:val="clear" w:color="auto" w:fill="2D53A6"/>
          </w:tcPr>
          <w:p>
            <w:pPr>
              <w:spacing w:after="0"/>
              <w:rPr>
                <w:sz w:val="16"/>
                <w:szCs w:val="16"/>
                <w:color w:val="auto"/>
              </w:rPr>
            </w:pPr>
          </w:p>
        </w:tc>
        <w:tc>
          <w:tcPr>
            <w:tcW w:w="2380" w:type="dxa"/>
            <w:vAlign w:val="bottom"/>
            <w:tcBorders>
              <w:right w:val="single" w:sz="8" w:color="3D85C6"/>
            </w:tcBorders>
            <w:shd w:val="clear" w:color="auto" w:fill="2D53A6"/>
          </w:tcPr>
          <w:p>
            <w:pPr>
              <w:spacing w:after="0"/>
              <w:rPr>
                <w:sz w:val="16"/>
                <w:szCs w:val="16"/>
                <w:color w:val="auto"/>
              </w:rPr>
            </w:pPr>
          </w:p>
        </w:tc>
        <w:tc>
          <w:tcPr>
            <w:tcW w:w="260" w:type="dxa"/>
            <w:vAlign w:val="bottom"/>
            <w:shd w:val="clear" w:color="auto" w:fill="2D53A6"/>
          </w:tcPr>
          <w:p>
            <w:pPr>
              <w:spacing w:after="0"/>
              <w:rPr>
                <w:sz w:val="16"/>
                <w:szCs w:val="16"/>
                <w:color w:val="auto"/>
              </w:rPr>
            </w:pPr>
          </w:p>
        </w:tc>
        <w:tc>
          <w:tcPr>
            <w:tcW w:w="2100" w:type="dxa"/>
            <w:vAlign w:val="bottom"/>
            <w:tcBorders>
              <w:right w:val="single" w:sz="8" w:color="3D85C6"/>
            </w:tcBorders>
            <w:shd w:val="clear" w:color="auto" w:fill="2D53A6"/>
          </w:tcPr>
          <w:p>
            <w:pPr>
              <w:spacing w:after="0"/>
              <w:rPr>
                <w:sz w:val="16"/>
                <w:szCs w:val="16"/>
                <w:color w:val="auto"/>
              </w:rPr>
            </w:pPr>
          </w:p>
        </w:tc>
        <w:tc>
          <w:tcPr>
            <w:tcW w:w="234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available</w:t>
            </w:r>
          </w:p>
        </w:tc>
        <w:tc>
          <w:tcPr>
            <w:tcW w:w="0" w:type="dxa"/>
            <w:vAlign w:val="bottom"/>
          </w:tcPr>
          <w:p>
            <w:pPr>
              <w:spacing w:after="0"/>
              <w:rPr>
                <w:sz w:val="1"/>
                <w:szCs w:val="1"/>
                <w:color w:val="auto"/>
              </w:rPr>
            </w:pPr>
          </w:p>
        </w:tc>
      </w:tr>
      <w:tr>
        <w:trPr>
          <w:trHeight w:val="195"/>
        </w:trPr>
        <w:tc>
          <w:tcPr>
            <w:tcW w:w="4180" w:type="dxa"/>
            <w:vAlign w:val="bottom"/>
            <w:tcBorders>
              <w:left w:val="single" w:sz="8" w:color="3D85C6"/>
              <w:right w:val="single" w:sz="8" w:color="3D85C6"/>
            </w:tcBorders>
            <w:shd w:val="clear" w:color="auto" w:fill="2D53A6"/>
          </w:tcPr>
          <w:p>
            <w:pPr>
              <w:spacing w:after="0"/>
              <w:rPr>
                <w:sz w:val="16"/>
                <w:szCs w:val="16"/>
                <w:color w:val="auto"/>
              </w:rPr>
            </w:pPr>
          </w:p>
        </w:tc>
        <w:tc>
          <w:tcPr>
            <w:tcW w:w="238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Number of securities</w:t>
            </w:r>
          </w:p>
        </w:tc>
        <w:tc>
          <w:tcPr>
            <w:tcW w:w="260" w:type="dxa"/>
            <w:vAlign w:val="bottom"/>
            <w:shd w:val="clear" w:color="auto" w:fill="2D53A6"/>
          </w:tcPr>
          <w:p>
            <w:pPr>
              <w:spacing w:after="0"/>
              <w:rPr>
                <w:sz w:val="16"/>
                <w:szCs w:val="16"/>
                <w:color w:val="auto"/>
              </w:rPr>
            </w:pPr>
          </w:p>
        </w:tc>
        <w:tc>
          <w:tcPr>
            <w:tcW w:w="2100" w:type="dxa"/>
            <w:vAlign w:val="bottom"/>
            <w:tcBorders>
              <w:right w:val="single" w:sz="8" w:color="3D85C6"/>
            </w:tcBorders>
            <w:shd w:val="clear" w:color="auto" w:fill="2D53A6"/>
          </w:tcPr>
          <w:p>
            <w:pPr>
              <w:spacing w:after="0"/>
              <w:rPr>
                <w:sz w:val="16"/>
                <w:szCs w:val="16"/>
                <w:color w:val="auto"/>
              </w:rPr>
            </w:pPr>
          </w:p>
        </w:tc>
        <w:tc>
          <w:tcPr>
            <w:tcW w:w="234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for future issuance under</w:t>
            </w:r>
          </w:p>
        </w:tc>
        <w:tc>
          <w:tcPr>
            <w:tcW w:w="0" w:type="dxa"/>
            <w:vAlign w:val="bottom"/>
          </w:tcPr>
          <w:p>
            <w:pPr>
              <w:spacing w:after="0"/>
              <w:rPr>
                <w:sz w:val="1"/>
                <w:szCs w:val="1"/>
                <w:color w:val="auto"/>
              </w:rPr>
            </w:pPr>
          </w:p>
        </w:tc>
      </w:tr>
      <w:tr>
        <w:trPr>
          <w:trHeight w:val="195"/>
        </w:trPr>
        <w:tc>
          <w:tcPr>
            <w:tcW w:w="4180" w:type="dxa"/>
            <w:vAlign w:val="bottom"/>
            <w:tcBorders>
              <w:left w:val="single" w:sz="8" w:color="3D85C6"/>
              <w:right w:val="single" w:sz="8" w:color="3D85C6"/>
            </w:tcBorders>
            <w:vMerge w:val="restart"/>
            <w:shd w:val="clear" w:color="auto" w:fill="2D53A6"/>
          </w:tcPr>
          <w:p>
            <w:pPr>
              <w:ind w:left="180"/>
              <w:spacing w:after="0"/>
              <w:rPr>
                <w:sz w:val="20"/>
                <w:szCs w:val="20"/>
                <w:color w:val="auto"/>
              </w:rPr>
            </w:pPr>
            <w:r>
              <w:rPr>
                <w:rFonts w:ascii="Arial" w:cs="Arial" w:eastAsia="Arial" w:hAnsi="Arial"/>
                <w:sz w:val="17"/>
                <w:szCs w:val="17"/>
                <w:b w:val="1"/>
                <w:bCs w:val="1"/>
                <w:color w:val="FFFFFF"/>
              </w:rPr>
              <w:t>Plan category</w:t>
            </w:r>
          </w:p>
        </w:tc>
        <w:tc>
          <w:tcPr>
            <w:tcW w:w="238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to be issued</w:t>
            </w:r>
          </w:p>
        </w:tc>
        <w:tc>
          <w:tcPr>
            <w:tcW w:w="260" w:type="dxa"/>
            <w:vAlign w:val="bottom"/>
            <w:shd w:val="clear" w:color="auto" w:fill="2D53A6"/>
          </w:tcPr>
          <w:p>
            <w:pPr>
              <w:spacing w:after="0"/>
              <w:rPr>
                <w:sz w:val="16"/>
                <w:szCs w:val="16"/>
                <w:color w:val="auto"/>
              </w:rPr>
            </w:pPr>
          </w:p>
        </w:tc>
        <w:tc>
          <w:tcPr>
            <w:tcW w:w="2100" w:type="dxa"/>
            <w:vAlign w:val="bottom"/>
            <w:tcBorders>
              <w:right w:val="single" w:sz="8" w:color="3D85C6"/>
            </w:tcBorders>
            <w:shd w:val="clear" w:color="auto" w:fill="2D53A6"/>
          </w:tcPr>
          <w:p>
            <w:pPr>
              <w:jc w:val="center"/>
              <w:ind w:right="173"/>
              <w:spacing w:after="0"/>
              <w:rPr>
                <w:sz w:val="20"/>
                <w:szCs w:val="20"/>
                <w:color w:val="auto"/>
              </w:rPr>
            </w:pPr>
            <w:r>
              <w:rPr>
                <w:rFonts w:ascii="Arial" w:cs="Arial" w:eastAsia="Arial" w:hAnsi="Arial"/>
                <w:sz w:val="17"/>
                <w:szCs w:val="17"/>
                <w:b w:val="1"/>
                <w:bCs w:val="1"/>
                <w:color w:val="FFFFFF"/>
              </w:rPr>
              <w:t>Weighted average</w:t>
            </w:r>
          </w:p>
        </w:tc>
        <w:tc>
          <w:tcPr>
            <w:tcW w:w="234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equity compensation</w:t>
            </w:r>
          </w:p>
        </w:tc>
        <w:tc>
          <w:tcPr>
            <w:tcW w:w="0" w:type="dxa"/>
            <w:vAlign w:val="bottom"/>
          </w:tcPr>
          <w:p>
            <w:pPr>
              <w:spacing w:after="0"/>
              <w:rPr>
                <w:sz w:val="1"/>
                <w:szCs w:val="1"/>
                <w:color w:val="auto"/>
              </w:rPr>
            </w:pPr>
          </w:p>
        </w:tc>
      </w:tr>
      <w:tr>
        <w:trPr>
          <w:trHeight w:val="135"/>
        </w:trPr>
        <w:tc>
          <w:tcPr>
            <w:tcW w:w="4180" w:type="dxa"/>
            <w:vAlign w:val="bottom"/>
            <w:tcBorders>
              <w:left w:val="single" w:sz="8" w:color="3D85C6"/>
              <w:right w:val="single" w:sz="8" w:color="3D85C6"/>
            </w:tcBorders>
            <w:vMerge w:val="continue"/>
            <w:shd w:val="clear" w:color="auto" w:fill="2D53A6"/>
          </w:tcPr>
          <w:p>
            <w:pPr>
              <w:spacing w:after="0"/>
              <w:rPr>
                <w:sz w:val="11"/>
                <w:szCs w:val="11"/>
                <w:color w:val="auto"/>
              </w:rPr>
            </w:pPr>
          </w:p>
        </w:tc>
        <w:tc>
          <w:tcPr>
            <w:tcW w:w="238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upon exercise of</w:t>
            </w:r>
          </w:p>
        </w:tc>
        <w:tc>
          <w:tcPr>
            <w:tcW w:w="260" w:type="dxa"/>
            <w:vAlign w:val="bottom"/>
            <w:shd w:val="clear" w:color="auto" w:fill="2D53A6"/>
          </w:tcPr>
          <w:p>
            <w:pPr>
              <w:spacing w:after="0"/>
              <w:rPr>
                <w:sz w:val="11"/>
                <w:szCs w:val="11"/>
                <w:color w:val="auto"/>
              </w:rPr>
            </w:pPr>
          </w:p>
        </w:tc>
        <w:tc>
          <w:tcPr>
            <w:tcW w:w="2100" w:type="dxa"/>
            <w:vAlign w:val="bottom"/>
            <w:tcBorders>
              <w:right w:val="single" w:sz="8" w:color="3D85C6"/>
            </w:tcBorders>
            <w:vMerge w:val="restart"/>
            <w:shd w:val="clear" w:color="auto" w:fill="2D53A6"/>
          </w:tcPr>
          <w:p>
            <w:pPr>
              <w:jc w:val="center"/>
              <w:ind w:right="173"/>
              <w:spacing w:after="0"/>
              <w:rPr>
                <w:sz w:val="20"/>
                <w:szCs w:val="20"/>
                <w:color w:val="auto"/>
              </w:rPr>
            </w:pPr>
            <w:r>
              <w:rPr>
                <w:rFonts w:ascii="Arial" w:cs="Arial" w:eastAsia="Arial" w:hAnsi="Arial"/>
                <w:sz w:val="17"/>
                <w:szCs w:val="17"/>
                <w:b w:val="1"/>
                <w:bCs w:val="1"/>
                <w:color w:val="FFFFFF"/>
              </w:rPr>
              <w:t>exercise price of</w:t>
            </w:r>
          </w:p>
        </w:tc>
        <w:tc>
          <w:tcPr>
            <w:tcW w:w="234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w w:val="98"/>
              </w:rPr>
              <w:t>plans</w:t>
            </w:r>
          </w:p>
        </w:tc>
        <w:tc>
          <w:tcPr>
            <w:tcW w:w="0" w:type="dxa"/>
            <w:vAlign w:val="bottom"/>
          </w:tcPr>
          <w:p>
            <w:pPr>
              <w:spacing w:after="0"/>
              <w:rPr>
                <w:sz w:val="1"/>
                <w:szCs w:val="1"/>
                <w:color w:val="auto"/>
              </w:rPr>
            </w:pPr>
          </w:p>
        </w:tc>
      </w:tr>
      <w:tr>
        <w:trPr>
          <w:trHeight w:val="60"/>
        </w:trPr>
        <w:tc>
          <w:tcPr>
            <w:tcW w:w="4180" w:type="dxa"/>
            <w:vAlign w:val="bottom"/>
            <w:tcBorders>
              <w:left w:val="single" w:sz="8" w:color="3D85C6"/>
              <w:right w:val="single" w:sz="8" w:color="3D85C6"/>
            </w:tcBorders>
            <w:shd w:val="clear" w:color="auto" w:fill="2D53A6"/>
          </w:tcPr>
          <w:p>
            <w:pPr>
              <w:spacing w:after="0"/>
              <w:rPr>
                <w:sz w:val="5"/>
                <w:szCs w:val="5"/>
                <w:color w:val="auto"/>
              </w:rPr>
            </w:pPr>
          </w:p>
        </w:tc>
        <w:tc>
          <w:tcPr>
            <w:tcW w:w="2380" w:type="dxa"/>
            <w:vAlign w:val="bottom"/>
            <w:tcBorders>
              <w:right w:val="single" w:sz="8" w:color="3D85C6"/>
            </w:tcBorders>
            <w:vMerge w:val="continue"/>
            <w:shd w:val="clear" w:color="auto" w:fill="2D53A6"/>
          </w:tcPr>
          <w:p>
            <w:pPr>
              <w:spacing w:after="0"/>
              <w:rPr>
                <w:sz w:val="5"/>
                <w:szCs w:val="5"/>
                <w:color w:val="auto"/>
              </w:rPr>
            </w:pPr>
          </w:p>
        </w:tc>
        <w:tc>
          <w:tcPr>
            <w:tcW w:w="260" w:type="dxa"/>
            <w:vAlign w:val="bottom"/>
            <w:shd w:val="clear" w:color="auto" w:fill="2D53A6"/>
          </w:tcPr>
          <w:p>
            <w:pPr>
              <w:spacing w:after="0"/>
              <w:rPr>
                <w:sz w:val="5"/>
                <w:szCs w:val="5"/>
                <w:color w:val="auto"/>
              </w:rPr>
            </w:pPr>
          </w:p>
        </w:tc>
        <w:tc>
          <w:tcPr>
            <w:tcW w:w="2100" w:type="dxa"/>
            <w:vAlign w:val="bottom"/>
            <w:tcBorders>
              <w:right w:val="single" w:sz="8" w:color="3D85C6"/>
            </w:tcBorders>
            <w:vMerge w:val="continue"/>
            <w:shd w:val="clear" w:color="auto" w:fill="2D53A6"/>
          </w:tcPr>
          <w:p>
            <w:pPr>
              <w:spacing w:after="0"/>
              <w:rPr>
                <w:sz w:val="5"/>
                <w:szCs w:val="5"/>
                <w:color w:val="auto"/>
              </w:rPr>
            </w:pPr>
          </w:p>
        </w:tc>
        <w:tc>
          <w:tcPr>
            <w:tcW w:w="2340" w:type="dxa"/>
            <w:vAlign w:val="bottom"/>
            <w:tcBorders>
              <w:right w:val="single" w:sz="8" w:color="3D85C6"/>
            </w:tcBorders>
            <w:vMerge w:val="continue"/>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180" w:type="dxa"/>
            <w:vAlign w:val="bottom"/>
            <w:tcBorders>
              <w:left w:val="single" w:sz="8" w:color="3D85C6"/>
              <w:right w:val="single" w:sz="8" w:color="3D85C6"/>
            </w:tcBorders>
            <w:shd w:val="clear" w:color="auto" w:fill="2D53A6"/>
          </w:tcPr>
          <w:p>
            <w:pPr>
              <w:spacing w:after="0"/>
              <w:rPr>
                <w:sz w:val="16"/>
                <w:szCs w:val="16"/>
                <w:color w:val="auto"/>
              </w:rPr>
            </w:pPr>
          </w:p>
        </w:tc>
        <w:tc>
          <w:tcPr>
            <w:tcW w:w="238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outstanding options,</w:t>
            </w:r>
          </w:p>
        </w:tc>
        <w:tc>
          <w:tcPr>
            <w:tcW w:w="260" w:type="dxa"/>
            <w:vAlign w:val="bottom"/>
            <w:shd w:val="clear" w:color="auto" w:fill="2D53A6"/>
          </w:tcPr>
          <w:p>
            <w:pPr>
              <w:spacing w:after="0"/>
              <w:rPr>
                <w:sz w:val="16"/>
                <w:szCs w:val="16"/>
                <w:color w:val="auto"/>
              </w:rPr>
            </w:pPr>
          </w:p>
        </w:tc>
        <w:tc>
          <w:tcPr>
            <w:tcW w:w="2100" w:type="dxa"/>
            <w:vAlign w:val="bottom"/>
            <w:tcBorders>
              <w:right w:val="single" w:sz="8" w:color="3D85C6"/>
            </w:tcBorders>
            <w:shd w:val="clear" w:color="auto" w:fill="2D53A6"/>
          </w:tcPr>
          <w:p>
            <w:pPr>
              <w:jc w:val="center"/>
              <w:ind w:right="173"/>
              <w:spacing w:after="0"/>
              <w:rPr>
                <w:sz w:val="20"/>
                <w:szCs w:val="20"/>
                <w:color w:val="auto"/>
              </w:rPr>
            </w:pPr>
            <w:r>
              <w:rPr>
                <w:rFonts w:ascii="Arial" w:cs="Arial" w:eastAsia="Arial" w:hAnsi="Arial"/>
                <w:sz w:val="17"/>
                <w:szCs w:val="17"/>
                <w:b w:val="1"/>
                <w:bCs w:val="1"/>
                <w:color w:val="FFFFFF"/>
              </w:rPr>
              <w:t>outstanding options,</w:t>
            </w:r>
          </w:p>
        </w:tc>
        <w:tc>
          <w:tcPr>
            <w:tcW w:w="234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(excluding securities</w:t>
            </w:r>
          </w:p>
        </w:tc>
        <w:tc>
          <w:tcPr>
            <w:tcW w:w="0" w:type="dxa"/>
            <w:vAlign w:val="bottom"/>
          </w:tcPr>
          <w:p>
            <w:pPr>
              <w:spacing w:after="0"/>
              <w:rPr>
                <w:sz w:val="1"/>
                <w:szCs w:val="1"/>
                <w:color w:val="auto"/>
              </w:rPr>
            </w:pPr>
          </w:p>
        </w:tc>
      </w:tr>
      <w:tr>
        <w:trPr>
          <w:trHeight w:val="195"/>
        </w:trPr>
        <w:tc>
          <w:tcPr>
            <w:tcW w:w="4180" w:type="dxa"/>
            <w:vAlign w:val="bottom"/>
            <w:tcBorders>
              <w:left w:val="single" w:sz="8" w:color="3D85C6"/>
              <w:right w:val="single" w:sz="8" w:color="3D85C6"/>
            </w:tcBorders>
            <w:shd w:val="clear" w:color="auto" w:fill="2D53A6"/>
          </w:tcPr>
          <w:p>
            <w:pPr>
              <w:spacing w:after="0"/>
              <w:rPr>
                <w:sz w:val="16"/>
                <w:szCs w:val="16"/>
                <w:color w:val="auto"/>
              </w:rPr>
            </w:pPr>
          </w:p>
        </w:tc>
        <w:tc>
          <w:tcPr>
            <w:tcW w:w="238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warrants and rights</w:t>
            </w:r>
          </w:p>
        </w:tc>
        <w:tc>
          <w:tcPr>
            <w:tcW w:w="260" w:type="dxa"/>
            <w:vAlign w:val="bottom"/>
            <w:shd w:val="clear" w:color="auto" w:fill="2D53A6"/>
          </w:tcPr>
          <w:p>
            <w:pPr>
              <w:spacing w:after="0"/>
              <w:rPr>
                <w:sz w:val="16"/>
                <w:szCs w:val="16"/>
                <w:color w:val="auto"/>
              </w:rPr>
            </w:pPr>
          </w:p>
        </w:tc>
        <w:tc>
          <w:tcPr>
            <w:tcW w:w="2100" w:type="dxa"/>
            <w:vAlign w:val="bottom"/>
            <w:tcBorders>
              <w:right w:val="single" w:sz="8" w:color="3D85C6"/>
            </w:tcBorders>
            <w:shd w:val="clear" w:color="auto" w:fill="2D53A6"/>
          </w:tcPr>
          <w:p>
            <w:pPr>
              <w:jc w:val="center"/>
              <w:ind w:right="173"/>
              <w:spacing w:after="0"/>
              <w:rPr>
                <w:sz w:val="20"/>
                <w:szCs w:val="20"/>
                <w:color w:val="auto"/>
              </w:rPr>
            </w:pPr>
            <w:r>
              <w:rPr>
                <w:rFonts w:ascii="Arial" w:cs="Arial" w:eastAsia="Arial" w:hAnsi="Arial"/>
                <w:sz w:val="17"/>
                <w:szCs w:val="17"/>
                <w:b w:val="1"/>
                <w:bCs w:val="1"/>
                <w:color w:val="FFFFFF"/>
              </w:rPr>
              <w:t>warrants and rights</w:t>
            </w:r>
          </w:p>
        </w:tc>
        <w:tc>
          <w:tcPr>
            <w:tcW w:w="234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reflected</w:t>
            </w:r>
          </w:p>
        </w:tc>
        <w:tc>
          <w:tcPr>
            <w:tcW w:w="0" w:type="dxa"/>
            <w:vAlign w:val="bottom"/>
          </w:tcPr>
          <w:p>
            <w:pPr>
              <w:spacing w:after="0"/>
              <w:rPr>
                <w:sz w:val="1"/>
                <w:szCs w:val="1"/>
                <w:color w:val="auto"/>
              </w:rPr>
            </w:pPr>
          </w:p>
        </w:tc>
      </w:tr>
      <w:tr>
        <w:trPr>
          <w:trHeight w:val="234"/>
        </w:trPr>
        <w:tc>
          <w:tcPr>
            <w:tcW w:w="4180" w:type="dxa"/>
            <w:vAlign w:val="bottom"/>
            <w:tcBorders>
              <w:left w:val="single" w:sz="8" w:color="3D85C6"/>
              <w:bottom w:val="single" w:sz="8" w:color="3D85C6"/>
              <w:right w:val="single" w:sz="8" w:color="3D85C6"/>
            </w:tcBorders>
            <w:shd w:val="clear" w:color="auto" w:fill="2D53A6"/>
          </w:tcPr>
          <w:p>
            <w:pPr>
              <w:spacing w:after="0"/>
              <w:rPr>
                <w:sz w:val="20"/>
                <w:szCs w:val="20"/>
                <w:color w:val="auto"/>
              </w:rPr>
            </w:pPr>
          </w:p>
        </w:tc>
        <w:tc>
          <w:tcPr>
            <w:tcW w:w="2380" w:type="dxa"/>
            <w:vAlign w:val="bottom"/>
            <w:tcBorders>
              <w:bottom w:val="single" w:sz="8" w:color="3D85C6"/>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(a)</w:t>
            </w:r>
            <w:r>
              <w:rPr>
                <w:rFonts w:ascii="Arial" w:cs="Arial" w:eastAsia="Arial" w:hAnsi="Arial"/>
                <w:sz w:val="14"/>
                <w:szCs w:val="14"/>
                <w:b w:val="1"/>
                <w:bCs w:val="1"/>
                <w:color w:val="FFFFFF"/>
              </w:rPr>
              <w:t>(1)</w:t>
            </w:r>
          </w:p>
        </w:tc>
        <w:tc>
          <w:tcPr>
            <w:tcW w:w="260" w:type="dxa"/>
            <w:vAlign w:val="bottom"/>
            <w:tcBorders>
              <w:bottom w:val="single" w:sz="8" w:color="3D85C6"/>
            </w:tcBorders>
            <w:shd w:val="clear" w:color="auto" w:fill="2D53A6"/>
          </w:tcPr>
          <w:p>
            <w:pPr>
              <w:spacing w:after="0"/>
              <w:rPr>
                <w:sz w:val="20"/>
                <w:szCs w:val="20"/>
                <w:color w:val="auto"/>
              </w:rPr>
            </w:pPr>
          </w:p>
        </w:tc>
        <w:tc>
          <w:tcPr>
            <w:tcW w:w="2100" w:type="dxa"/>
            <w:vAlign w:val="bottom"/>
            <w:tcBorders>
              <w:bottom w:val="single" w:sz="8" w:color="3D85C6"/>
              <w:right w:val="single" w:sz="8" w:color="3D85C6"/>
            </w:tcBorders>
            <w:shd w:val="clear" w:color="auto" w:fill="2D53A6"/>
          </w:tcPr>
          <w:p>
            <w:pPr>
              <w:jc w:val="center"/>
              <w:ind w:right="173"/>
              <w:spacing w:after="0"/>
              <w:rPr>
                <w:sz w:val="20"/>
                <w:szCs w:val="20"/>
                <w:color w:val="auto"/>
              </w:rPr>
            </w:pPr>
            <w:r>
              <w:rPr>
                <w:rFonts w:ascii="Arial" w:cs="Arial" w:eastAsia="Arial" w:hAnsi="Arial"/>
                <w:sz w:val="17"/>
                <w:szCs w:val="17"/>
                <w:b w:val="1"/>
                <w:bCs w:val="1"/>
                <w:color w:val="FFFFFF"/>
              </w:rPr>
              <w:t>(b)</w:t>
            </w:r>
            <w:r>
              <w:rPr>
                <w:rFonts w:ascii="Arial" w:cs="Arial" w:eastAsia="Arial" w:hAnsi="Arial"/>
                <w:sz w:val="14"/>
                <w:szCs w:val="14"/>
                <w:b w:val="1"/>
                <w:bCs w:val="1"/>
                <w:color w:val="FFFFFF"/>
              </w:rPr>
              <w:t>(2)</w:t>
            </w:r>
          </w:p>
        </w:tc>
        <w:tc>
          <w:tcPr>
            <w:tcW w:w="2340" w:type="dxa"/>
            <w:vAlign w:val="bottom"/>
            <w:tcBorders>
              <w:bottom w:val="single" w:sz="8" w:color="3D85C6"/>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in column (a)) (c)</w:t>
            </w:r>
            <w:r>
              <w:rPr>
                <w:rFonts w:ascii="Arial" w:cs="Arial" w:eastAsia="Arial" w:hAnsi="Arial"/>
                <w:sz w:val="14"/>
                <w:szCs w:val="14"/>
                <w:b w:val="1"/>
                <w:bCs w:val="1"/>
                <w:color w:val="FFFFFF"/>
              </w:rPr>
              <w:t>(3)</w:t>
            </w:r>
          </w:p>
        </w:tc>
        <w:tc>
          <w:tcPr>
            <w:tcW w:w="0" w:type="dxa"/>
            <w:vAlign w:val="bottom"/>
          </w:tcPr>
          <w:p>
            <w:pPr>
              <w:spacing w:after="0"/>
              <w:rPr>
                <w:sz w:val="1"/>
                <w:szCs w:val="1"/>
                <w:color w:val="auto"/>
              </w:rPr>
            </w:pPr>
          </w:p>
        </w:tc>
      </w:tr>
      <w:tr>
        <w:trPr>
          <w:trHeight w:val="151"/>
        </w:trPr>
        <w:tc>
          <w:tcPr>
            <w:tcW w:w="4180" w:type="dxa"/>
            <w:vAlign w:val="bottom"/>
            <w:tcBorders>
              <w:left w:val="single" w:sz="8" w:color="3D85C6"/>
              <w:right w:val="single" w:sz="8" w:color="3D85C6"/>
            </w:tcBorders>
          </w:tcPr>
          <w:p>
            <w:pPr>
              <w:ind w:left="180"/>
              <w:spacing w:after="0" w:line="151" w:lineRule="exact"/>
              <w:rPr>
                <w:sz w:val="20"/>
                <w:szCs w:val="20"/>
                <w:color w:val="auto"/>
              </w:rPr>
            </w:pPr>
            <w:r>
              <w:rPr>
                <w:rFonts w:ascii="Arial" w:cs="Arial" w:eastAsia="Arial" w:hAnsi="Arial"/>
                <w:sz w:val="17"/>
                <w:szCs w:val="17"/>
                <w:color w:val="auto"/>
              </w:rPr>
              <w:t>Equity compensation plans</w:t>
            </w:r>
          </w:p>
        </w:tc>
        <w:tc>
          <w:tcPr>
            <w:tcW w:w="2380" w:type="dxa"/>
            <w:vAlign w:val="bottom"/>
            <w:tcBorders>
              <w:right w:val="single" w:sz="8" w:color="3D85C6"/>
            </w:tcBorders>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tcBorders>
              <w:right w:val="single" w:sz="8" w:color="3D85C6"/>
            </w:tcBorders>
          </w:tcPr>
          <w:p>
            <w:pPr>
              <w:spacing w:after="0"/>
              <w:rPr>
                <w:sz w:val="13"/>
                <w:szCs w:val="13"/>
                <w:color w:val="auto"/>
              </w:rPr>
            </w:pPr>
          </w:p>
        </w:tc>
        <w:tc>
          <w:tcPr>
            <w:tcW w:w="2340" w:type="dxa"/>
            <w:vAlign w:val="bottom"/>
            <w:tcBorders>
              <w:right w:val="single" w:sz="8" w:color="3D85C6"/>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180" w:type="dxa"/>
            <w:vAlign w:val="bottom"/>
            <w:tcBorders>
              <w:left w:val="single" w:sz="8" w:color="3D85C6"/>
              <w:bottom w:val="single" w:sz="8" w:color="3D85C6"/>
              <w:right w:val="single" w:sz="8" w:color="3D85C6"/>
            </w:tcBorders>
          </w:tcPr>
          <w:p>
            <w:pPr>
              <w:ind w:left="180"/>
              <w:spacing w:after="0"/>
              <w:rPr>
                <w:sz w:val="20"/>
                <w:szCs w:val="20"/>
                <w:color w:val="auto"/>
              </w:rPr>
            </w:pPr>
            <w:r>
              <w:rPr>
                <w:rFonts w:ascii="Arial" w:cs="Arial" w:eastAsia="Arial" w:hAnsi="Arial"/>
                <w:sz w:val="17"/>
                <w:szCs w:val="17"/>
                <w:color w:val="auto"/>
              </w:rPr>
              <w:t>approved by security holders</w:t>
            </w:r>
          </w:p>
        </w:tc>
        <w:tc>
          <w:tcPr>
            <w:tcW w:w="238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2,087</w:t>
            </w:r>
          </w:p>
        </w:tc>
        <w:tc>
          <w:tcPr>
            <w:tcW w:w="260" w:type="dxa"/>
            <w:vAlign w:val="bottom"/>
            <w:tcBorders>
              <w:bottom w:val="single" w:sz="8" w:color="3D85C6"/>
            </w:tcBorders>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3D85C6"/>
              <w:right w:val="single" w:sz="8" w:color="3D85C6"/>
            </w:tcBorders>
          </w:tcPr>
          <w:p>
            <w:pPr>
              <w:jc w:val="right"/>
              <w:ind w:right="13"/>
              <w:spacing w:after="0"/>
              <w:rPr>
                <w:sz w:val="20"/>
                <w:szCs w:val="20"/>
                <w:color w:val="auto"/>
              </w:rPr>
            </w:pPr>
            <w:r>
              <w:rPr>
                <w:rFonts w:ascii="Arial" w:cs="Arial" w:eastAsia="Arial" w:hAnsi="Arial"/>
                <w:sz w:val="17"/>
                <w:szCs w:val="17"/>
                <w:color w:val="auto"/>
              </w:rPr>
              <w:t>-</w:t>
            </w:r>
          </w:p>
        </w:tc>
        <w:tc>
          <w:tcPr>
            <w:tcW w:w="234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2,195</w:t>
            </w:r>
          </w:p>
        </w:tc>
        <w:tc>
          <w:tcPr>
            <w:tcW w:w="0" w:type="dxa"/>
            <w:vAlign w:val="bottom"/>
          </w:tcPr>
          <w:p>
            <w:pPr>
              <w:spacing w:after="0"/>
              <w:rPr>
                <w:sz w:val="1"/>
                <w:szCs w:val="1"/>
                <w:color w:val="auto"/>
              </w:rPr>
            </w:pPr>
          </w:p>
        </w:tc>
      </w:tr>
      <w:tr>
        <w:trPr>
          <w:trHeight w:val="171"/>
        </w:trPr>
        <w:tc>
          <w:tcPr>
            <w:tcW w:w="4180" w:type="dxa"/>
            <w:vAlign w:val="bottom"/>
            <w:tcBorders>
              <w:left w:val="single" w:sz="8" w:color="3D85C6"/>
              <w:right w:val="single" w:sz="8" w:color="3D85C6"/>
            </w:tcBorders>
            <w:shd w:val="clear" w:color="auto" w:fill="E6E6E6"/>
          </w:tcPr>
          <w:p>
            <w:pPr>
              <w:ind w:left="180"/>
              <w:spacing w:after="0" w:line="172" w:lineRule="exact"/>
              <w:rPr>
                <w:sz w:val="20"/>
                <w:szCs w:val="20"/>
                <w:color w:val="auto"/>
              </w:rPr>
            </w:pPr>
            <w:r>
              <w:rPr>
                <w:rFonts w:ascii="Arial" w:cs="Arial" w:eastAsia="Arial" w:hAnsi="Arial"/>
                <w:sz w:val="17"/>
                <w:szCs w:val="17"/>
                <w:color w:val="auto"/>
              </w:rPr>
              <w:t>Equity compensation plans not</w:t>
            </w:r>
          </w:p>
        </w:tc>
        <w:tc>
          <w:tcPr>
            <w:tcW w:w="2380" w:type="dxa"/>
            <w:vAlign w:val="bottom"/>
            <w:tcBorders>
              <w:right w:val="single" w:sz="8" w:color="3D85C6"/>
            </w:tcBorders>
            <w:shd w:val="clear" w:color="auto" w:fill="E6E6E6"/>
          </w:tcPr>
          <w:p>
            <w:pPr>
              <w:spacing w:after="0"/>
              <w:rPr>
                <w:sz w:val="14"/>
                <w:szCs w:val="14"/>
                <w:color w:val="auto"/>
              </w:rPr>
            </w:pPr>
          </w:p>
        </w:tc>
        <w:tc>
          <w:tcPr>
            <w:tcW w:w="260" w:type="dxa"/>
            <w:vAlign w:val="bottom"/>
            <w:shd w:val="clear" w:color="auto" w:fill="E6E6E6"/>
          </w:tcPr>
          <w:p>
            <w:pPr>
              <w:spacing w:after="0"/>
              <w:rPr>
                <w:sz w:val="14"/>
                <w:szCs w:val="14"/>
                <w:color w:val="auto"/>
              </w:rPr>
            </w:pPr>
          </w:p>
        </w:tc>
        <w:tc>
          <w:tcPr>
            <w:tcW w:w="2100" w:type="dxa"/>
            <w:vAlign w:val="bottom"/>
            <w:tcBorders>
              <w:right w:val="single" w:sz="8" w:color="3D85C6"/>
            </w:tcBorders>
            <w:shd w:val="clear" w:color="auto" w:fill="E6E6E6"/>
          </w:tcPr>
          <w:p>
            <w:pPr>
              <w:spacing w:after="0"/>
              <w:rPr>
                <w:sz w:val="14"/>
                <w:szCs w:val="14"/>
                <w:color w:val="auto"/>
              </w:rPr>
            </w:pPr>
          </w:p>
        </w:tc>
        <w:tc>
          <w:tcPr>
            <w:tcW w:w="2340" w:type="dxa"/>
            <w:vAlign w:val="bottom"/>
            <w:tcBorders>
              <w:right w:val="single" w:sz="8" w:color="3D85C6"/>
            </w:tcBorders>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180" w:type="dxa"/>
            <w:vAlign w:val="bottom"/>
            <w:tcBorders>
              <w:left w:val="single" w:sz="8" w:color="3D85C6"/>
              <w:bottom w:val="single" w:sz="8" w:color="3D85C6"/>
              <w:right w:val="single" w:sz="8" w:color="3D85C6"/>
            </w:tcBorders>
            <w:shd w:val="clear" w:color="auto" w:fill="E6E6E6"/>
          </w:tcPr>
          <w:p>
            <w:pPr>
              <w:ind w:left="180"/>
              <w:spacing w:after="0"/>
              <w:rPr>
                <w:sz w:val="20"/>
                <w:szCs w:val="20"/>
                <w:color w:val="auto"/>
              </w:rPr>
            </w:pPr>
            <w:r>
              <w:rPr>
                <w:rFonts w:ascii="Arial" w:cs="Arial" w:eastAsia="Arial" w:hAnsi="Arial"/>
                <w:sz w:val="17"/>
                <w:szCs w:val="17"/>
                <w:color w:val="auto"/>
              </w:rPr>
              <w:t>approved by security holders</w:t>
            </w:r>
          </w:p>
        </w:tc>
        <w:tc>
          <w:tcPr>
            <w:tcW w:w="238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3D85C6"/>
            </w:tcBorders>
            <w:shd w:val="clear" w:color="auto" w:fill="E6E6E6"/>
          </w:tcPr>
          <w:p>
            <w:pPr>
              <w:spacing w:after="0"/>
              <w:rPr>
                <w:sz w:val="18"/>
                <w:szCs w:val="18"/>
                <w:color w:val="auto"/>
              </w:rPr>
            </w:pPr>
          </w:p>
        </w:tc>
        <w:tc>
          <w:tcPr>
            <w:tcW w:w="2100" w:type="dxa"/>
            <w:vAlign w:val="bottom"/>
            <w:tcBorders>
              <w:bottom w:val="single" w:sz="8" w:color="3D85C6"/>
              <w:right w:val="single" w:sz="8" w:color="3D85C6"/>
            </w:tcBorders>
            <w:shd w:val="clear" w:color="auto" w:fill="E6E6E6"/>
          </w:tcPr>
          <w:p>
            <w:pPr>
              <w:jc w:val="right"/>
              <w:ind w:right="13"/>
              <w:spacing w:after="0"/>
              <w:rPr>
                <w:sz w:val="20"/>
                <w:szCs w:val="20"/>
                <w:color w:val="auto"/>
              </w:rPr>
            </w:pPr>
            <w:r>
              <w:rPr>
                <w:rFonts w:ascii="Arial" w:cs="Arial" w:eastAsia="Arial" w:hAnsi="Arial"/>
                <w:sz w:val="17"/>
                <w:szCs w:val="17"/>
                <w:color w:val="auto"/>
              </w:rPr>
              <w:t>-</w:t>
            </w:r>
          </w:p>
        </w:tc>
        <w:tc>
          <w:tcPr>
            <w:tcW w:w="2340" w:type="dxa"/>
            <w:vAlign w:val="bottom"/>
            <w:tcBorders>
              <w:bottom w:val="single" w:sz="8" w:color="3D85C6"/>
              <w:right w:val="single" w:sz="8" w:color="3D85C6"/>
            </w:tcBorders>
            <w:shd w:val="clear" w:color="auto" w:fill="E6E6E6"/>
          </w:tcPr>
          <w:p>
            <w:pPr>
              <w:jc w:val="right"/>
              <w:ind w:right="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4180" w:type="dxa"/>
            <w:vAlign w:val="bottom"/>
            <w:tcBorders>
              <w:left w:val="single" w:sz="8" w:color="3D85C6"/>
              <w:bottom w:val="single" w:sz="8" w:color="3D85C6"/>
              <w:right w:val="single" w:sz="8" w:color="3D85C6"/>
            </w:tcBorders>
          </w:tcPr>
          <w:p>
            <w:pPr>
              <w:spacing w:after="0"/>
              <w:rPr>
                <w:sz w:val="16"/>
                <w:szCs w:val="16"/>
                <w:color w:val="auto"/>
              </w:rPr>
            </w:pPr>
          </w:p>
        </w:tc>
        <w:tc>
          <w:tcPr>
            <w:tcW w:w="238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2,087</w:t>
            </w:r>
          </w:p>
        </w:tc>
        <w:tc>
          <w:tcPr>
            <w:tcW w:w="260" w:type="dxa"/>
            <w:vAlign w:val="bottom"/>
            <w:tcBorders>
              <w:bottom w:val="single" w:sz="8" w:color="3D85C6"/>
            </w:tcBorders>
          </w:tcPr>
          <w:p>
            <w:pPr>
              <w:jc w:val="right"/>
              <w:spacing w:after="0" w:line="188" w:lineRule="exact"/>
              <w:rPr>
                <w:sz w:val="20"/>
                <w:szCs w:val="20"/>
                <w:color w:val="auto"/>
              </w:rPr>
            </w:pPr>
            <w:r>
              <w:rPr>
                <w:rFonts w:ascii="Arial" w:cs="Arial" w:eastAsia="Arial" w:hAnsi="Arial"/>
                <w:sz w:val="17"/>
                <w:szCs w:val="17"/>
                <w:color w:val="auto"/>
              </w:rPr>
              <w:t>$</w:t>
            </w:r>
          </w:p>
        </w:tc>
        <w:tc>
          <w:tcPr>
            <w:tcW w:w="2100" w:type="dxa"/>
            <w:vAlign w:val="bottom"/>
            <w:tcBorders>
              <w:bottom w:val="single" w:sz="8" w:color="3D85C6"/>
              <w:right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rPr>
              <w:t>-</w:t>
            </w:r>
          </w:p>
        </w:tc>
        <w:tc>
          <w:tcPr>
            <w:tcW w:w="234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2,195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right="280" w:hanging="316"/>
        <w:spacing w:after="0" w:line="241" w:lineRule="auto"/>
        <w:tabs>
          <w:tab w:leader="none" w:pos="32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Includes options, restricted stock units (RSUs) and performance stock units (PSUs) outstanding under Cohu’s equity incentive plans, as no stock warrants or other rights were outstanding as of December 27, 2025.</w:t>
      </w:r>
    </w:p>
    <w:p>
      <w:pPr>
        <w:ind w:left="320" w:hanging="316"/>
        <w:spacing w:after="0" w:line="232" w:lineRule="auto"/>
        <w:tabs>
          <w:tab w:leader="none" w:pos="32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weighted average exercise price of outstanding options, warrants and rights does not take RSUs and PSUs into account as RSUs and PSUs have no exercise price.</w:t>
      </w:r>
    </w:p>
    <w:p>
      <w:pPr>
        <w:ind w:left="320" w:hanging="316"/>
        <w:spacing w:after="0"/>
        <w:tabs>
          <w:tab w:leader="none" w:pos="32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Includes 353,581 shares of common stock reserved for future issuance under the Cohu 1997 Employee Stock Purchase Plan.</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 Interlocks and Insider Participation</w:t>
      </w:r>
    </w:p>
    <w:p>
      <w:pPr>
        <w:spacing w:after="0" w:line="19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None of the Compensation Committee’s members during the last fiscal year have, at any time, been an officer or employee of Cohu. During fiscal year 2025, no member of the Compensation Committee had any relationship with Cohu requiring disclosure under Item 404 of Regulation S-K. None of Cohu’s executive officers serves, or in fiscal year 2025 has served, as a member of the board of directors or compensation committee of any entity that has one or more of its executive officers serving on Cohu’s Board or Compensation Committee.</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Potential Payments Upon Termination or Change in Control</w:t>
      </w:r>
    </w:p>
    <w:p>
      <w:pPr>
        <w:spacing w:after="0" w:line="19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Compensation Committee previously undertook, in consultation with Compensia, a review of its executive agreements. The objective of this review was to independently assess best practices and develop standard agreements to be implemented as the Compensation Committee deemed appropriate among the Company’s executive officers. The Compensation Committee approved a form of executive severance agreement (the “Severance Agreement”) and form of change in control agreement (the “Change in Control Agreement”) for the Company’s named executive officers other than Mr. Ilgenfritz who had an existing managing director services agreement with the Company as further described below (each, an “Executive”), as described below. The Company first entered into the Severance Agreements and Change in Control Agreements with the Executives on September 8, 2020. On November 13, 2024, the Company entered into the Addendum 1 to the Managing Director’s Service Agreement with Mr. Ilgenfritz (the “Ilgenfritz Agreement”).</w:t>
      </w:r>
    </w:p>
    <w:p>
      <w:pPr>
        <w:spacing w:after="0" w:line="15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The Severance Agreement provides that if an Executive’s employment is terminated by the Company without Cause, or additionally only in the case of our CEO, if he voluntarily resigns for Good Reason, then, subject to the Executive’s continued compliance with the obligations set forth in the Executive’s Confidentiality and Inventions Agreement and the Executive’s signing and not revoking a separation agreement and release of claims in favor of Cohu, the Executive would be entitled to: (1) any expense reimbursements, wages and other benefits due to Executive under any Company-provided plans, policies and arrangements (the “Accrued Amounts”); (2) a lump sum payment equal to a multiplier (as summarized below) multiplied by the Executive’s annual base salary; and (3) reimbursement for the Executive’s COBRA continuation premiums for the Premium Payment Period (as summarized below). If an Executive’s employment with the Company terminates (A) voluntarily by the Executive (other than for Good Reason in the case of our CEO), (B) for Cause by the Company, or (C) due to Executive’s death or disability, the Executive would not be entitled to receive any severance payments, but in the event of death their estate would be eligible for a pro-rata incentive bonus for the year in which the termination date occurs.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3" w:name="page114"/>
    <w:bookmarkEnd w:id="113"/>
    <w:p>
      <w:pPr>
        <w:ind w:right="20"/>
        <w:spacing w:after="0" w:line="242" w:lineRule="auto"/>
        <w:rPr>
          <w:sz w:val="20"/>
          <w:szCs w:val="20"/>
          <w:color w:val="auto"/>
        </w:rPr>
      </w:pPr>
      <w:r>
        <w:rPr>
          <w:rFonts w:ascii="Arial" w:cs="Arial" w:eastAsia="Arial" w:hAnsi="Arial"/>
          <w:sz w:val="17"/>
          <w:szCs w:val="17"/>
          <w:color w:val="auto"/>
        </w:rPr>
        <w:t>The Change in Control Agreement provides that if an Executive’s employment is terminated by the Company without Cause or the Executive voluntarily resigns for Good Reason, in either case beginning 60 days preceding the date of an event constituting a Change in Control and ending on the second anniversary of the date of the event constituting such Change in Control, then, subject to the Executive’s continued compliance with the obligations set forth in the Executive’s Confidentiality and Inventions Agreement and the Executive’s signing and not revoking a separation agreement and release of claims in favor of Cohu, the Executive would be entitled to: (1) the Accrued Amounts; (2) a lump sum payment equal to a multiplier (as summarized below) multiplied by the Executive’s annual base salary; (3) a lump sum payment equal to a multiplier (as summarized below) multiplied by the Executive’s target bonus amount in the year of termination; (4) a lump sum payment equal to the pro-rated portion of Executive’s target bonus amount for the fiscal year in which the termination date occurs; (5) reimbursement for the Executive’s COBRA continuation premiums for the Premium Payment Period (as summarized below); and (6) all of Executive’s then unvested awards relating to the Company’s common stock or equivalent equity awards as assumed, continued or substituted for by an Acquiror, whether stock options, shares of restricted stock, restricted stock units, performance share units, or otherwise, outstanding as of the Termination Date would become vested in full. If an Executive’s employment with the Company terminates (A) voluntarily by the Executive, other than for Good Reason, (B) for Cause by the Company, or (C) due to Executive’s death or disability, the Executive would not be entitled to receive any severance payments, but in the event of death the Executive’s estate would be eligible for a pro- rata incentive bonus for the year in which the termination date occurs.</w:t>
      </w:r>
    </w:p>
    <w:p>
      <w:pPr>
        <w:spacing w:after="0" w:line="16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Ilgenfritz Agreement provides that if Mr. Ilgenfritz’s employment is terminated by the Company without Cause or Mr. Ilgenfritz voluntarily resigns for Good Reason, in either case beginning 60 days preceding the date of an event constituting a Change in Control and ending on the second anniversary of the date of the event constituting such Change in Control, then, subject to the Mr. Ilgenfritz’s continued compliance with the obligations set forth in the Ilgenfritz Agreement and Mr. Ilgenfritz’s signing and not revoking a separation agreement and release of claims in favor of Cohu, Mr. Ilgenfritz would be entitled to: (1) the Accrued Amounts; (2) a lump sum payment equal to a multiplier (as summarized below) multiplied by Mr. Ilgenfritz’s annual base salary; (3) a lump sum payment equal to a multiplier (as summarized below) multiplied by Mr. Ilgenfritz’s target bonus amount in the year of termination; (4) a lump sum payment equal to the pro-rated portion of Mr. Ilgenfritz’s target bonus amount. If Mr. Ilgenfritz’s employment with the Company terminates (A) voluntarily by Mr. Ilgenfritz, other than for Good Reason, (B) for Cause by the Company, or (C) due to Mr. Ilgenfritz’s death or disability, Mr. Ilgenfritz would not be entitled to receive any severance payments other than the Accrued Amounts, but in the event of his death his estate would be eligible for a pro-rata incentive bonus for the year in which the death occurs. Mr. Ilgenfritz’ employment agreement separately provides for a six-month notice period for termination.</w:t>
      </w:r>
    </w:p>
    <w:p>
      <w:pPr>
        <w:spacing w:after="0" w:line="16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terms of the stock award agreements for RSUs granted through 2024 provide that in the event of a change in control, the RSUs will accelerate vesting and be settled at the time of the change in control. The terms of the award agreements for RSUs granted to our NEOs beginning in 2025 provide that such vesting acceleration will only occur should the acquiring corporation not assume or substitute for the RSUs in the change in control. The terms of the award agreements for PSUs granted through 2024 provide that in the event of a change in control, the PSUs will accelerate vesting and be settled at the time of the change in control. The terms of the award agreements for PSUs granted to our NEOs beginning in 2025, which cannot reasonably be assumed or substituted, provide for vesting acceleration upon a change in control at the greater of the target level or the level of performance attained through the change in control.</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114" w:name="page115"/>
    <w:bookmarkEnd w:id="114"/>
    <w:p>
      <w:pPr>
        <w:ind w:right="40"/>
        <w:spacing w:after="0" w:line="249" w:lineRule="auto"/>
        <w:rPr>
          <w:sz w:val="20"/>
          <w:szCs w:val="20"/>
          <w:color w:val="auto"/>
        </w:rPr>
      </w:pPr>
      <w:r>
        <w:rPr>
          <w:rFonts w:ascii="Arial" w:cs="Arial" w:eastAsia="Arial" w:hAnsi="Arial"/>
          <w:sz w:val="17"/>
          <w:szCs w:val="17"/>
          <w:color w:val="auto"/>
        </w:rPr>
        <w:t>The Severance and Change in Control Agreements had a three-year Initial Term and were automatically extended for successive two-year periods starting on September 8, 2023, and September 8, 2025, as neither party had delivered written notice to the other party within six months prior to the completion of the then effective Term that the Agreement would not be extended. The Ilgenfritz Agreement has a three-year Initial Term and will automatically be extended for a two-year period starting on November 13, 2027, as long as neither the Company nor Mr. Ilgenfritz delivers written notice to the other party within six months prior to the completion of the then effective Term that the agreement will not be extended.</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4560" w:type="dxa"/>
            <w:vAlign w:val="bottom"/>
            <w:tcBorders>
              <w:top w:val="single" w:sz="8" w:color="3D85C6"/>
              <w:left w:val="single" w:sz="8" w:color="3D85C6"/>
              <w:right w:val="single" w:sz="8" w:color="3D85C6"/>
            </w:tcBorders>
            <w:shd w:val="clear" w:color="auto" w:fill="2D53A6"/>
          </w:tcPr>
          <w:p>
            <w:pPr>
              <w:spacing w:after="0"/>
              <w:rPr>
                <w:sz w:val="16"/>
                <w:szCs w:val="16"/>
                <w:color w:val="auto"/>
              </w:rPr>
            </w:pPr>
          </w:p>
        </w:tc>
        <w:tc>
          <w:tcPr>
            <w:tcW w:w="3360" w:type="dxa"/>
            <w:vAlign w:val="bottom"/>
            <w:tcBorders>
              <w:top w:val="single" w:sz="8" w:color="2D53A6"/>
              <w:right w:val="single" w:sz="8" w:color="2D53A6"/>
            </w:tcBorders>
            <w:gridSpan w:val="2"/>
            <w:vMerge w:val="restart"/>
            <w:shd w:val="clear" w:color="auto" w:fill="2D53A6"/>
          </w:tcPr>
          <w:p>
            <w:pPr>
              <w:ind w:left="760"/>
              <w:spacing w:after="0"/>
              <w:rPr>
                <w:sz w:val="20"/>
                <w:szCs w:val="20"/>
                <w:color w:val="auto"/>
              </w:rPr>
            </w:pPr>
            <w:r>
              <w:rPr>
                <w:rFonts w:ascii="Arial" w:cs="Arial" w:eastAsia="Arial" w:hAnsi="Arial"/>
                <w:sz w:val="17"/>
                <w:szCs w:val="17"/>
                <w:b w:val="1"/>
                <w:bCs w:val="1"/>
                <w:color w:val="FFFFFF"/>
              </w:rPr>
              <w:t>Severance Agreement</w:t>
            </w:r>
          </w:p>
        </w:tc>
        <w:tc>
          <w:tcPr>
            <w:tcW w:w="3340" w:type="dxa"/>
            <w:vAlign w:val="bottom"/>
            <w:tcBorders>
              <w:top w:val="single" w:sz="8" w:color="2D53A6"/>
              <w:right w:val="single" w:sz="8" w:color="2D53A6"/>
            </w:tcBorders>
            <w:gridSpan w:val="3"/>
            <w:shd w:val="clear" w:color="auto" w:fill="2D53A6"/>
          </w:tcPr>
          <w:p>
            <w:pPr>
              <w:jc w:val="center"/>
              <w:spacing w:after="0" w:line="193" w:lineRule="exact"/>
              <w:rPr>
                <w:sz w:val="20"/>
                <w:szCs w:val="20"/>
                <w:color w:val="auto"/>
              </w:rPr>
            </w:pPr>
            <w:r>
              <w:rPr>
                <w:rFonts w:ascii="Arial" w:cs="Arial" w:eastAsia="Arial" w:hAnsi="Arial"/>
                <w:sz w:val="17"/>
                <w:szCs w:val="17"/>
                <w:b w:val="1"/>
                <w:bCs w:val="1"/>
                <w:color w:val="FFFFFF"/>
              </w:rPr>
              <w:t>Change in Control</w:t>
            </w:r>
          </w:p>
        </w:tc>
        <w:tc>
          <w:tcPr>
            <w:tcW w:w="0" w:type="dxa"/>
            <w:vAlign w:val="bottom"/>
          </w:tcPr>
          <w:p>
            <w:pPr>
              <w:spacing w:after="0"/>
              <w:rPr>
                <w:sz w:val="1"/>
                <w:szCs w:val="1"/>
                <w:color w:val="auto"/>
              </w:rPr>
            </w:pPr>
          </w:p>
        </w:tc>
      </w:tr>
      <w:tr>
        <w:trPr>
          <w:trHeight w:val="135"/>
        </w:trPr>
        <w:tc>
          <w:tcPr>
            <w:tcW w:w="4560" w:type="dxa"/>
            <w:vAlign w:val="bottom"/>
            <w:tcBorders>
              <w:left w:val="single" w:sz="8" w:color="3D85C6"/>
              <w:right w:val="single" w:sz="8" w:color="3D85C6"/>
            </w:tcBorders>
            <w:shd w:val="clear" w:color="auto" w:fill="2D53A6"/>
          </w:tcPr>
          <w:p>
            <w:pPr>
              <w:spacing w:after="0"/>
              <w:rPr>
                <w:sz w:val="11"/>
                <w:szCs w:val="11"/>
                <w:color w:val="auto"/>
              </w:rPr>
            </w:pPr>
          </w:p>
        </w:tc>
        <w:tc>
          <w:tcPr>
            <w:tcW w:w="3360" w:type="dxa"/>
            <w:vAlign w:val="bottom"/>
            <w:tcBorders>
              <w:right w:val="single" w:sz="8" w:color="2D53A6"/>
            </w:tcBorders>
            <w:gridSpan w:val="2"/>
            <w:vMerge w:val="continue"/>
            <w:shd w:val="clear" w:color="auto" w:fill="2D53A6"/>
          </w:tcPr>
          <w:p>
            <w:pPr>
              <w:spacing w:after="0"/>
              <w:rPr>
                <w:sz w:val="11"/>
                <w:szCs w:val="11"/>
                <w:color w:val="auto"/>
              </w:rPr>
            </w:pPr>
          </w:p>
        </w:tc>
        <w:tc>
          <w:tcPr>
            <w:tcW w:w="1140" w:type="dxa"/>
            <w:vAlign w:val="bottom"/>
            <w:shd w:val="clear" w:color="auto" w:fill="2D53A6"/>
          </w:tcPr>
          <w:p>
            <w:pPr>
              <w:spacing w:after="0"/>
              <w:rPr>
                <w:sz w:val="11"/>
                <w:szCs w:val="11"/>
                <w:color w:val="auto"/>
              </w:rPr>
            </w:pPr>
          </w:p>
        </w:tc>
        <w:tc>
          <w:tcPr>
            <w:tcW w:w="2200" w:type="dxa"/>
            <w:vAlign w:val="bottom"/>
            <w:tcBorders>
              <w:right w:val="single" w:sz="8" w:color="2D53A6"/>
            </w:tcBorders>
            <w:gridSpan w:val="2"/>
            <w:vMerge w:val="restart"/>
            <w:shd w:val="clear" w:color="auto" w:fill="2D53A6"/>
          </w:tcPr>
          <w:p>
            <w:pPr>
              <w:jc w:val="center"/>
              <w:ind w:right="1093"/>
              <w:spacing w:after="0"/>
              <w:rPr>
                <w:sz w:val="20"/>
                <w:szCs w:val="20"/>
                <w:color w:val="auto"/>
              </w:rPr>
            </w:pPr>
            <w:r>
              <w:rPr>
                <w:rFonts w:ascii="Arial" w:cs="Arial" w:eastAsia="Arial" w:hAnsi="Arial"/>
                <w:sz w:val="17"/>
                <w:szCs w:val="17"/>
                <w:b w:val="1"/>
                <w:bCs w:val="1"/>
                <w:color w:val="FFFFFF"/>
              </w:rPr>
              <w:t>Agreement</w:t>
            </w:r>
          </w:p>
        </w:tc>
        <w:tc>
          <w:tcPr>
            <w:tcW w:w="0" w:type="dxa"/>
            <w:vAlign w:val="bottom"/>
          </w:tcPr>
          <w:p>
            <w:pPr>
              <w:spacing w:after="0"/>
              <w:rPr>
                <w:sz w:val="1"/>
                <w:szCs w:val="1"/>
                <w:color w:val="auto"/>
              </w:rPr>
            </w:pPr>
          </w:p>
        </w:tc>
      </w:tr>
      <w:tr>
        <w:trPr>
          <w:trHeight w:val="99"/>
        </w:trPr>
        <w:tc>
          <w:tcPr>
            <w:tcW w:w="4560" w:type="dxa"/>
            <w:vAlign w:val="bottom"/>
            <w:tcBorders>
              <w:left w:val="single" w:sz="8" w:color="3D85C6"/>
              <w:bottom w:val="single" w:sz="8" w:color="3D85C6"/>
              <w:right w:val="single" w:sz="8" w:color="3D85C6"/>
            </w:tcBorders>
            <w:shd w:val="clear" w:color="auto" w:fill="2D53A6"/>
          </w:tcPr>
          <w:p>
            <w:pPr>
              <w:spacing w:after="0"/>
              <w:rPr>
                <w:sz w:val="8"/>
                <w:szCs w:val="8"/>
                <w:color w:val="auto"/>
              </w:rPr>
            </w:pPr>
          </w:p>
        </w:tc>
        <w:tc>
          <w:tcPr>
            <w:tcW w:w="1440" w:type="dxa"/>
            <w:vAlign w:val="bottom"/>
            <w:tcBorders>
              <w:bottom w:val="single" w:sz="8" w:color="3D85C6"/>
              <w:right w:val="single" w:sz="8" w:color="2D53A6"/>
            </w:tcBorders>
            <w:shd w:val="clear" w:color="auto" w:fill="2D53A6"/>
          </w:tcPr>
          <w:p>
            <w:pPr>
              <w:spacing w:after="0"/>
              <w:rPr>
                <w:sz w:val="8"/>
                <w:szCs w:val="8"/>
                <w:color w:val="auto"/>
              </w:rPr>
            </w:pPr>
          </w:p>
        </w:tc>
        <w:tc>
          <w:tcPr>
            <w:tcW w:w="1920" w:type="dxa"/>
            <w:vAlign w:val="bottom"/>
            <w:tcBorders>
              <w:bottom w:val="single" w:sz="8" w:color="3D85C6"/>
              <w:right w:val="single" w:sz="8" w:color="2D53A6"/>
            </w:tcBorders>
            <w:shd w:val="clear" w:color="auto" w:fill="2D53A6"/>
          </w:tcPr>
          <w:p>
            <w:pPr>
              <w:spacing w:after="0"/>
              <w:rPr>
                <w:sz w:val="8"/>
                <w:szCs w:val="8"/>
                <w:color w:val="auto"/>
              </w:rPr>
            </w:pPr>
          </w:p>
        </w:tc>
        <w:tc>
          <w:tcPr>
            <w:tcW w:w="1140" w:type="dxa"/>
            <w:vAlign w:val="bottom"/>
            <w:tcBorders>
              <w:bottom w:val="single" w:sz="8" w:color="3D85C6"/>
            </w:tcBorders>
            <w:shd w:val="clear" w:color="auto" w:fill="2D53A6"/>
          </w:tcPr>
          <w:p>
            <w:pPr>
              <w:spacing w:after="0"/>
              <w:rPr>
                <w:sz w:val="8"/>
                <w:szCs w:val="8"/>
                <w:color w:val="auto"/>
              </w:rPr>
            </w:pPr>
          </w:p>
        </w:tc>
        <w:tc>
          <w:tcPr>
            <w:tcW w:w="2200" w:type="dxa"/>
            <w:vAlign w:val="bottom"/>
            <w:tcBorders>
              <w:bottom w:val="single" w:sz="8" w:color="3D85C6"/>
              <w:right w:val="single" w:sz="8" w:color="2D53A6"/>
            </w:tcBorders>
            <w:gridSpan w:val="2"/>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560" w:type="dxa"/>
            <w:vAlign w:val="bottom"/>
            <w:tcBorders>
              <w:top w:val="single" w:sz="8" w:color="3D85C6"/>
              <w:left w:val="single" w:sz="8" w:color="3D85C6"/>
              <w:right w:val="single" w:sz="8" w:color="3D85C6"/>
            </w:tcBorders>
            <w:shd w:val="clear" w:color="auto" w:fill="2D53A6"/>
          </w:tcPr>
          <w:p>
            <w:pPr>
              <w:spacing w:after="0"/>
              <w:rPr>
                <w:sz w:val="12"/>
                <w:szCs w:val="12"/>
                <w:color w:val="auto"/>
              </w:rPr>
            </w:pPr>
          </w:p>
        </w:tc>
        <w:tc>
          <w:tcPr>
            <w:tcW w:w="1440" w:type="dxa"/>
            <w:vAlign w:val="bottom"/>
            <w:tcBorders>
              <w:top w:val="single" w:sz="8" w:color="2D53A6"/>
              <w:right w:val="single" w:sz="8" w:color="3D85C6"/>
            </w:tcBorders>
            <w:shd w:val="clear" w:color="auto" w:fill="2D53A6"/>
          </w:tcPr>
          <w:p>
            <w:pPr>
              <w:spacing w:after="0"/>
              <w:rPr>
                <w:sz w:val="12"/>
                <w:szCs w:val="12"/>
                <w:color w:val="auto"/>
              </w:rPr>
            </w:pPr>
          </w:p>
        </w:tc>
        <w:tc>
          <w:tcPr>
            <w:tcW w:w="1920" w:type="dxa"/>
            <w:vAlign w:val="bottom"/>
            <w:tcBorders>
              <w:top w:val="single" w:sz="8" w:color="2D53A6"/>
              <w:right w:val="single" w:sz="8" w:color="3D85C6"/>
            </w:tcBorders>
            <w:shd w:val="clear" w:color="auto" w:fill="2D53A6"/>
          </w:tcPr>
          <w:p>
            <w:pPr>
              <w:jc w:val="center"/>
              <w:spacing w:after="0" w:line="150" w:lineRule="exact"/>
              <w:rPr>
                <w:sz w:val="20"/>
                <w:szCs w:val="20"/>
                <w:color w:val="auto"/>
              </w:rPr>
            </w:pPr>
            <w:r>
              <w:rPr>
                <w:rFonts w:ascii="Arial" w:cs="Arial" w:eastAsia="Arial" w:hAnsi="Arial"/>
                <w:sz w:val="17"/>
                <w:szCs w:val="17"/>
                <w:b w:val="1"/>
                <w:bCs w:val="1"/>
                <w:color w:val="FFFFFF"/>
              </w:rPr>
              <w:t>COBRA</w:t>
            </w:r>
          </w:p>
        </w:tc>
        <w:tc>
          <w:tcPr>
            <w:tcW w:w="1140" w:type="dxa"/>
            <w:vAlign w:val="bottom"/>
            <w:tcBorders>
              <w:top w:val="single" w:sz="8" w:color="2D53A6"/>
            </w:tcBorders>
            <w:shd w:val="clear" w:color="auto" w:fill="2D53A6"/>
          </w:tcPr>
          <w:p>
            <w:pPr>
              <w:spacing w:after="0"/>
              <w:rPr>
                <w:sz w:val="12"/>
                <w:szCs w:val="12"/>
                <w:color w:val="auto"/>
              </w:rPr>
            </w:pPr>
          </w:p>
        </w:tc>
        <w:tc>
          <w:tcPr>
            <w:tcW w:w="300" w:type="dxa"/>
            <w:vAlign w:val="bottom"/>
            <w:tcBorders>
              <w:top w:val="single" w:sz="8" w:color="2D53A6"/>
              <w:right w:val="single" w:sz="8" w:color="3D85C6"/>
            </w:tcBorders>
            <w:shd w:val="clear" w:color="auto" w:fill="2D53A6"/>
          </w:tcPr>
          <w:p>
            <w:pPr>
              <w:spacing w:after="0"/>
              <w:rPr>
                <w:sz w:val="12"/>
                <w:szCs w:val="12"/>
                <w:color w:val="auto"/>
              </w:rPr>
            </w:pPr>
          </w:p>
        </w:tc>
        <w:tc>
          <w:tcPr>
            <w:tcW w:w="1900" w:type="dxa"/>
            <w:vAlign w:val="bottom"/>
            <w:tcBorders>
              <w:top w:val="single" w:sz="8" w:color="2D53A6"/>
              <w:right w:val="single" w:sz="8" w:color="3D85C6"/>
            </w:tcBorders>
            <w:shd w:val="clear" w:color="auto" w:fill="2D53A6"/>
          </w:tcPr>
          <w:p>
            <w:pPr>
              <w:jc w:val="center"/>
              <w:spacing w:after="0" w:line="150" w:lineRule="exact"/>
              <w:rPr>
                <w:sz w:val="20"/>
                <w:szCs w:val="20"/>
                <w:color w:val="auto"/>
              </w:rPr>
            </w:pPr>
            <w:r>
              <w:rPr>
                <w:rFonts w:ascii="Arial" w:cs="Arial" w:eastAsia="Arial" w:hAnsi="Arial"/>
                <w:sz w:val="17"/>
                <w:szCs w:val="17"/>
                <w:b w:val="1"/>
                <w:bCs w:val="1"/>
                <w:color w:val="FFFFFF"/>
                <w:w w:val="99"/>
              </w:rPr>
              <w:t>COBRA</w:t>
            </w:r>
          </w:p>
        </w:tc>
        <w:tc>
          <w:tcPr>
            <w:tcW w:w="0" w:type="dxa"/>
            <w:vAlign w:val="bottom"/>
          </w:tcPr>
          <w:p>
            <w:pPr>
              <w:spacing w:after="0"/>
              <w:rPr>
                <w:sz w:val="1"/>
                <w:szCs w:val="1"/>
                <w:color w:val="auto"/>
              </w:rPr>
            </w:pPr>
          </w:p>
        </w:tc>
      </w:tr>
      <w:tr>
        <w:trPr>
          <w:trHeight w:val="195"/>
        </w:trPr>
        <w:tc>
          <w:tcPr>
            <w:tcW w:w="4560" w:type="dxa"/>
            <w:vAlign w:val="bottom"/>
            <w:tcBorders>
              <w:left w:val="single" w:sz="8" w:color="3D85C6"/>
              <w:right w:val="single" w:sz="8" w:color="3D85C6"/>
            </w:tcBorders>
            <w:vMerge w:val="restart"/>
            <w:shd w:val="clear" w:color="auto" w:fill="2D53A6"/>
          </w:tcPr>
          <w:p>
            <w:pPr>
              <w:ind w:left="180"/>
              <w:spacing w:after="0"/>
              <w:rPr>
                <w:sz w:val="20"/>
                <w:szCs w:val="20"/>
                <w:color w:val="auto"/>
              </w:rPr>
            </w:pPr>
            <w:r>
              <w:rPr>
                <w:rFonts w:ascii="Arial" w:cs="Arial" w:eastAsia="Arial" w:hAnsi="Arial"/>
                <w:sz w:val="17"/>
                <w:szCs w:val="17"/>
                <w:b w:val="1"/>
                <w:bCs w:val="1"/>
                <w:color w:val="FFFFFF"/>
              </w:rPr>
              <w:t>Named Executive Officer</w:t>
            </w:r>
          </w:p>
        </w:tc>
        <w:tc>
          <w:tcPr>
            <w:tcW w:w="144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Multiplier</w:t>
            </w:r>
          </w:p>
        </w:tc>
        <w:tc>
          <w:tcPr>
            <w:tcW w:w="192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Premium</w:t>
            </w:r>
          </w:p>
        </w:tc>
        <w:tc>
          <w:tcPr>
            <w:tcW w:w="1140" w:type="dxa"/>
            <w:vAlign w:val="bottom"/>
            <w:vMerge w:val="restart"/>
            <w:shd w:val="clear" w:color="auto" w:fill="2D53A6"/>
          </w:tcPr>
          <w:p>
            <w:pPr>
              <w:jc w:val="center"/>
              <w:ind w:left="173"/>
              <w:spacing w:after="0"/>
              <w:rPr>
                <w:sz w:val="20"/>
                <w:szCs w:val="20"/>
                <w:color w:val="auto"/>
              </w:rPr>
            </w:pPr>
            <w:r>
              <w:rPr>
                <w:rFonts w:ascii="Arial" w:cs="Arial" w:eastAsia="Arial" w:hAnsi="Arial"/>
                <w:sz w:val="17"/>
                <w:szCs w:val="17"/>
                <w:b w:val="1"/>
                <w:bCs w:val="1"/>
                <w:color w:val="FFFFFF"/>
              </w:rPr>
              <w:t>Multiplier</w:t>
            </w:r>
          </w:p>
        </w:tc>
        <w:tc>
          <w:tcPr>
            <w:tcW w:w="300" w:type="dxa"/>
            <w:vAlign w:val="bottom"/>
            <w:tcBorders>
              <w:right w:val="single" w:sz="8" w:color="3D85C6"/>
            </w:tcBorders>
            <w:shd w:val="clear" w:color="auto" w:fill="2D53A6"/>
          </w:tcPr>
          <w:p>
            <w:pPr>
              <w:spacing w:after="0"/>
              <w:rPr>
                <w:sz w:val="16"/>
                <w:szCs w:val="16"/>
                <w:color w:val="auto"/>
              </w:rPr>
            </w:pPr>
          </w:p>
        </w:tc>
        <w:tc>
          <w:tcPr>
            <w:tcW w:w="190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Premium</w:t>
            </w:r>
          </w:p>
        </w:tc>
        <w:tc>
          <w:tcPr>
            <w:tcW w:w="0" w:type="dxa"/>
            <w:vAlign w:val="bottom"/>
          </w:tcPr>
          <w:p>
            <w:pPr>
              <w:spacing w:after="0"/>
              <w:rPr>
                <w:sz w:val="1"/>
                <w:szCs w:val="1"/>
                <w:color w:val="auto"/>
              </w:rPr>
            </w:pPr>
          </w:p>
        </w:tc>
      </w:tr>
      <w:tr>
        <w:trPr>
          <w:trHeight w:val="135"/>
        </w:trPr>
        <w:tc>
          <w:tcPr>
            <w:tcW w:w="4560" w:type="dxa"/>
            <w:vAlign w:val="bottom"/>
            <w:tcBorders>
              <w:left w:val="single" w:sz="8" w:color="3D85C6"/>
              <w:right w:val="single" w:sz="8" w:color="3D85C6"/>
            </w:tcBorders>
            <w:vMerge w:val="continue"/>
            <w:shd w:val="clear" w:color="auto" w:fill="2D53A6"/>
          </w:tcPr>
          <w:p>
            <w:pPr>
              <w:spacing w:after="0"/>
              <w:rPr>
                <w:sz w:val="11"/>
                <w:szCs w:val="11"/>
                <w:color w:val="auto"/>
              </w:rPr>
            </w:pPr>
          </w:p>
        </w:tc>
        <w:tc>
          <w:tcPr>
            <w:tcW w:w="1440" w:type="dxa"/>
            <w:vAlign w:val="bottom"/>
            <w:tcBorders>
              <w:right w:val="single" w:sz="8" w:color="3D85C6"/>
            </w:tcBorders>
            <w:vMerge w:val="continue"/>
            <w:shd w:val="clear" w:color="auto" w:fill="2D53A6"/>
          </w:tcPr>
          <w:p>
            <w:pPr>
              <w:spacing w:after="0"/>
              <w:rPr>
                <w:sz w:val="11"/>
                <w:szCs w:val="11"/>
                <w:color w:val="auto"/>
              </w:rPr>
            </w:pPr>
          </w:p>
        </w:tc>
        <w:tc>
          <w:tcPr>
            <w:tcW w:w="192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Payment</w:t>
            </w:r>
          </w:p>
        </w:tc>
        <w:tc>
          <w:tcPr>
            <w:tcW w:w="1140" w:type="dxa"/>
            <w:vAlign w:val="bottom"/>
            <w:vMerge w:val="continue"/>
            <w:shd w:val="clear" w:color="auto" w:fill="2D53A6"/>
          </w:tcPr>
          <w:p>
            <w:pPr>
              <w:spacing w:after="0"/>
              <w:rPr>
                <w:sz w:val="11"/>
                <w:szCs w:val="11"/>
                <w:color w:val="auto"/>
              </w:rPr>
            </w:pPr>
          </w:p>
        </w:tc>
        <w:tc>
          <w:tcPr>
            <w:tcW w:w="300" w:type="dxa"/>
            <w:vAlign w:val="bottom"/>
            <w:tcBorders>
              <w:right w:val="single" w:sz="8" w:color="3D85C6"/>
            </w:tcBorders>
            <w:shd w:val="clear" w:color="auto" w:fill="2D53A6"/>
          </w:tcPr>
          <w:p>
            <w:pPr>
              <w:spacing w:after="0"/>
              <w:rPr>
                <w:sz w:val="11"/>
                <w:szCs w:val="11"/>
                <w:color w:val="auto"/>
              </w:rPr>
            </w:pPr>
          </w:p>
        </w:tc>
        <w:tc>
          <w:tcPr>
            <w:tcW w:w="190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Payment</w:t>
            </w:r>
          </w:p>
        </w:tc>
        <w:tc>
          <w:tcPr>
            <w:tcW w:w="0" w:type="dxa"/>
            <w:vAlign w:val="bottom"/>
          </w:tcPr>
          <w:p>
            <w:pPr>
              <w:spacing w:after="0"/>
              <w:rPr>
                <w:sz w:val="1"/>
                <w:szCs w:val="1"/>
                <w:color w:val="auto"/>
              </w:rPr>
            </w:pPr>
          </w:p>
        </w:tc>
      </w:tr>
      <w:tr>
        <w:trPr>
          <w:trHeight w:val="60"/>
        </w:trPr>
        <w:tc>
          <w:tcPr>
            <w:tcW w:w="4560" w:type="dxa"/>
            <w:vAlign w:val="bottom"/>
            <w:tcBorders>
              <w:left w:val="single" w:sz="8" w:color="3D85C6"/>
              <w:right w:val="single" w:sz="8" w:color="3D85C6"/>
            </w:tcBorders>
            <w:shd w:val="clear" w:color="auto" w:fill="2D53A6"/>
          </w:tcPr>
          <w:p>
            <w:pPr>
              <w:spacing w:after="0"/>
              <w:rPr>
                <w:sz w:val="5"/>
                <w:szCs w:val="5"/>
                <w:color w:val="auto"/>
              </w:rPr>
            </w:pPr>
          </w:p>
        </w:tc>
        <w:tc>
          <w:tcPr>
            <w:tcW w:w="1440" w:type="dxa"/>
            <w:vAlign w:val="bottom"/>
            <w:tcBorders>
              <w:right w:val="single" w:sz="8" w:color="3D85C6"/>
            </w:tcBorders>
            <w:shd w:val="clear" w:color="auto" w:fill="2D53A6"/>
          </w:tcPr>
          <w:p>
            <w:pPr>
              <w:spacing w:after="0"/>
              <w:rPr>
                <w:sz w:val="5"/>
                <w:szCs w:val="5"/>
                <w:color w:val="auto"/>
              </w:rPr>
            </w:pPr>
          </w:p>
        </w:tc>
        <w:tc>
          <w:tcPr>
            <w:tcW w:w="1920" w:type="dxa"/>
            <w:vAlign w:val="bottom"/>
            <w:tcBorders>
              <w:right w:val="single" w:sz="8" w:color="3D85C6"/>
            </w:tcBorders>
            <w:vMerge w:val="continue"/>
            <w:shd w:val="clear" w:color="auto" w:fill="2D53A6"/>
          </w:tcPr>
          <w:p>
            <w:pPr>
              <w:spacing w:after="0"/>
              <w:rPr>
                <w:sz w:val="5"/>
                <w:szCs w:val="5"/>
                <w:color w:val="auto"/>
              </w:rPr>
            </w:pPr>
          </w:p>
        </w:tc>
        <w:tc>
          <w:tcPr>
            <w:tcW w:w="1140" w:type="dxa"/>
            <w:vAlign w:val="bottom"/>
            <w:shd w:val="clear" w:color="auto" w:fill="2D53A6"/>
          </w:tcPr>
          <w:p>
            <w:pPr>
              <w:spacing w:after="0"/>
              <w:rPr>
                <w:sz w:val="5"/>
                <w:szCs w:val="5"/>
                <w:color w:val="auto"/>
              </w:rPr>
            </w:pPr>
          </w:p>
        </w:tc>
        <w:tc>
          <w:tcPr>
            <w:tcW w:w="300" w:type="dxa"/>
            <w:vAlign w:val="bottom"/>
            <w:tcBorders>
              <w:right w:val="single" w:sz="8" w:color="3D85C6"/>
            </w:tcBorders>
            <w:shd w:val="clear" w:color="auto" w:fill="2D53A6"/>
          </w:tcPr>
          <w:p>
            <w:pPr>
              <w:spacing w:after="0"/>
              <w:rPr>
                <w:sz w:val="5"/>
                <w:szCs w:val="5"/>
                <w:color w:val="auto"/>
              </w:rPr>
            </w:pPr>
          </w:p>
        </w:tc>
        <w:tc>
          <w:tcPr>
            <w:tcW w:w="1900" w:type="dxa"/>
            <w:vAlign w:val="bottom"/>
            <w:tcBorders>
              <w:right w:val="single" w:sz="8" w:color="3D85C6"/>
            </w:tcBorders>
            <w:vMerge w:val="continue"/>
            <w:shd w:val="clear" w:color="auto" w:fill="2D53A6"/>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4560" w:type="dxa"/>
            <w:vAlign w:val="bottom"/>
            <w:tcBorders>
              <w:left w:val="single" w:sz="8" w:color="3D85C6"/>
              <w:right w:val="single" w:sz="8" w:color="3D85C6"/>
            </w:tcBorders>
            <w:shd w:val="clear" w:color="auto" w:fill="2D53A6"/>
          </w:tcPr>
          <w:p>
            <w:pPr>
              <w:spacing w:after="0"/>
              <w:rPr>
                <w:sz w:val="19"/>
                <w:szCs w:val="19"/>
                <w:color w:val="auto"/>
              </w:rPr>
            </w:pPr>
          </w:p>
        </w:tc>
        <w:tc>
          <w:tcPr>
            <w:tcW w:w="1440" w:type="dxa"/>
            <w:vAlign w:val="bottom"/>
            <w:tcBorders>
              <w:right w:val="single" w:sz="8" w:color="3D85C6"/>
            </w:tcBorders>
            <w:shd w:val="clear" w:color="auto" w:fill="2D53A6"/>
          </w:tcPr>
          <w:p>
            <w:pPr>
              <w:spacing w:after="0"/>
              <w:rPr>
                <w:sz w:val="19"/>
                <w:szCs w:val="19"/>
                <w:color w:val="auto"/>
              </w:rPr>
            </w:pPr>
          </w:p>
        </w:tc>
        <w:tc>
          <w:tcPr>
            <w:tcW w:w="192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Period</w:t>
            </w:r>
          </w:p>
        </w:tc>
        <w:tc>
          <w:tcPr>
            <w:tcW w:w="1140" w:type="dxa"/>
            <w:vAlign w:val="bottom"/>
            <w:shd w:val="clear" w:color="auto" w:fill="2D53A6"/>
          </w:tcPr>
          <w:p>
            <w:pPr>
              <w:spacing w:after="0"/>
              <w:rPr>
                <w:sz w:val="19"/>
                <w:szCs w:val="19"/>
                <w:color w:val="auto"/>
              </w:rPr>
            </w:pPr>
          </w:p>
        </w:tc>
        <w:tc>
          <w:tcPr>
            <w:tcW w:w="300" w:type="dxa"/>
            <w:vAlign w:val="bottom"/>
            <w:tcBorders>
              <w:right w:val="single" w:sz="8" w:color="3D85C6"/>
            </w:tcBorders>
            <w:shd w:val="clear" w:color="auto" w:fill="2D53A6"/>
          </w:tcPr>
          <w:p>
            <w:pPr>
              <w:spacing w:after="0"/>
              <w:rPr>
                <w:sz w:val="19"/>
                <w:szCs w:val="19"/>
                <w:color w:val="auto"/>
              </w:rPr>
            </w:pPr>
          </w:p>
        </w:tc>
        <w:tc>
          <w:tcPr>
            <w:tcW w:w="190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Period</w:t>
            </w:r>
          </w:p>
        </w:tc>
        <w:tc>
          <w:tcPr>
            <w:tcW w:w="0" w:type="dxa"/>
            <w:vAlign w:val="bottom"/>
          </w:tcPr>
          <w:p>
            <w:pPr>
              <w:spacing w:after="0"/>
              <w:rPr>
                <w:sz w:val="1"/>
                <w:szCs w:val="1"/>
                <w:color w:val="auto"/>
              </w:rPr>
            </w:pPr>
          </w:p>
        </w:tc>
      </w:tr>
      <w:tr>
        <w:trPr>
          <w:trHeight w:val="178"/>
        </w:trPr>
        <w:tc>
          <w:tcPr>
            <w:tcW w:w="4560" w:type="dxa"/>
            <w:vAlign w:val="bottom"/>
            <w:tcBorders>
              <w:left w:val="single" w:sz="8" w:color="3D85C6"/>
              <w:right w:val="single" w:sz="8" w:color="3D85C6"/>
            </w:tcBorders>
          </w:tcPr>
          <w:p>
            <w:pPr>
              <w:ind w:left="180"/>
              <w:spacing w:after="0" w:line="178" w:lineRule="exact"/>
              <w:rPr>
                <w:sz w:val="20"/>
                <w:szCs w:val="20"/>
                <w:color w:val="auto"/>
              </w:rPr>
            </w:pPr>
            <w:r>
              <w:rPr>
                <w:rFonts w:ascii="Arial" w:cs="Arial" w:eastAsia="Arial" w:hAnsi="Arial"/>
                <w:sz w:val="17"/>
                <w:szCs w:val="17"/>
                <w:color w:val="auto"/>
              </w:rPr>
              <w:t>Luis A. Müller</w:t>
            </w:r>
          </w:p>
        </w:tc>
        <w:tc>
          <w:tcPr>
            <w:tcW w:w="1440" w:type="dxa"/>
            <w:vAlign w:val="bottom"/>
            <w:tcBorders>
              <w:right w:val="single" w:sz="8" w:color="3D85C6"/>
            </w:tcBorders>
            <w:vMerge w:val="restart"/>
          </w:tcPr>
          <w:p>
            <w:pPr>
              <w:jc w:val="center"/>
              <w:spacing w:after="0"/>
              <w:rPr>
                <w:sz w:val="20"/>
                <w:szCs w:val="20"/>
                <w:color w:val="auto"/>
              </w:rPr>
            </w:pPr>
            <w:r>
              <w:rPr>
                <w:rFonts w:ascii="Arial" w:cs="Arial" w:eastAsia="Arial" w:hAnsi="Arial"/>
                <w:sz w:val="17"/>
                <w:szCs w:val="17"/>
                <w:color w:val="auto"/>
              </w:rPr>
              <w:t>150%</w:t>
            </w:r>
          </w:p>
        </w:tc>
        <w:tc>
          <w:tcPr>
            <w:tcW w:w="1920" w:type="dxa"/>
            <w:vAlign w:val="bottom"/>
            <w:tcBorders>
              <w:right w:val="single" w:sz="8" w:color="3D85C6"/>
            </w:tcBorders>
            <w:vMerge w:val="restart"/>
          </w:tcPr>
          <w:p>
            <w:pPr>
              <w:jc w:val="center"/>
              <w:spacing w:after="0"/>
              <w:rPr>
                <w:sz w:val="20"/>
                <w:szCs w:val="20"/>
                <w:color w:val="auto"/>
              </w:rPr>
            </w:pPr>
            <w:r>
              <w:rPr>
                <w:rFonts w:ascii="Arial" w:cs="Arial" w:eastAsia="Arial" w:hAnsi="Arial"/>
                <w:sz w:val="17"/>
                <w:szCs w:val="17"/>
                <w:color w:val="auto"/>
              </w:rPr>
              <w:t>18 months</w:t>
            </w:r>
          </w:p>
        </w:tc>
        <w:tc>
          <w:tcPr>
            <w:tcW w:w="1140" w:type="dxa"/>
            <w:vAlign w:val="bottom"/>
            <w:vMerge w:val="restart"/>
          </w:tcPr>
          <w:p>
            <w:pPr>
              <w:jc w:val="center"/>
              <w:ind w:left="173"/>
              <w:spacing w:after="0"/>
              <w:rPr>
                <w:sz w:val="20"/>
                <w:szCs w:val="20"/>
                <w:color w:val="auto"/>
              </w:rPr>
            </w:pPr>
            <w:r>
              <w:rPr>
                <w:rFonts w:ascii="Arial" w:cs="Arial" w:eastAsia="Arial" w:hAnsi="Arial"/>
                <w:sz w:val="17"/>
                <w:szCs w:val="17"/>
                <w:color w:val="auto"/>
              </w:rPr>
              <w:t>200%</w:t>
            </w:r>
          </w:p>
        </w:tc>
        <w:tc>
          <w:tcPr>
            <w:tcW w:w="300" w:type="dxa"/>
            <w:vAlign w:val="bottom"/>
            <w:tcBorders>
              <w:right w:val="single" w:sz="8" w:color="3D85C6"/>
            </w:tcBorders>
          </w:tcPr>
          <w:p>
            <w:pPr>
              <w:spacing w:after="0"/>
              <w:rPr>
                <w:sz w:val="15"/>
                <w:szCs w:val="15"/>
                <w:color w:val="auto"/>
              </w:rPr>
            </w:pPr>
          </w:p>
        </w:tc>
        <w:tc>
          <w:tcPr>
            <w:tcW w:w="1900" w:type="dxa"/>
            <w:vAlign w:val="bottom"/>
            <w:tcBorders>
              <w:right w:val="single" w:sz="8" w:color="3D85C6"/>
            </w:tcBorders>
            <w:vMerge w:val="restart"/>
          </w:tcPr>
          <w:p>
            <w:pPr>
              <w:jc w:val="center"/>
              <w:spacing w:after="0"/>
              <w:rPr>
                <w:sz w:val="20"/>
                <w:szCs w:val="20"/>
                <w:color w:val="auto"/>
              </w:rPr>
            </w:pPr>
            <w:r>
              <w:rPr>
                <w:rFonts w:ascii="Arial" w:cs="Arial" w:eastAsia="Arial" w:hAnsi="Arial"/>
                <w:sz w:val="17"/>
                <w:szCs w:val="17"/>
                <w:color w:val="auto"/>
              </w:rPr>
              <w:t>24 months</w:t>
            </w:r>
          </w:p>
        </w:tc>
        <w:tc>
          <w:tcPr>
            <w:tcW w:w="0" w:type="dxa"/>
            <w:vAlign w:val="bottom"/>
          </w:tcPr>
          <w:p>
            <w:pPr>
              <w:spacing w:after="0"/>
              <w:rPr>
                <w:sz w:val="1"/>
                <w:szCs w:val="1"/>
                <w:color w:val="auto"/>
              </w:rPr>
            </w:pPr>
          </w:p>
        </w:tc>
      </w:tr>
      <w:tr>
        <w:trPr>
          <w:trHeight w:val="125"/>
        </w:trPr>
        <w:tc>
          <w:tcPr>
            <w:tcW w:w="4560" w:type="dxa"/>
            <w:vAlign w:val="bottom"/>
            <w:tcBorders>
              <w:left w:val="single" w:sz="8" w:color="3D85C6"/>
              <w:right w:val="single" w:sz="8" w:color="3D85C6"/>
            </w:tcBorders>
            <w:vMerge w:val="restart"/>
          </w:tcPr>
          <w:p>
            <w:pPr>
              <w:ind w:left="180"/>
              <w:spacing w:after="0"/>
              <w:rPr>
                <w:sz w:val="20"/>
                <w:szCs w:val="20"/>
                <w:color w:val="auto"/>
              </w:rPr>
            </w:pPr>
            <w:r>
              <w:rPr>
                <w:rFonts w:ascii="Arial" w:cs="Arial" w:eastAsia="Arial" w:hAnsi="Arial"/>
                <w:sz w:val="17"/>
                <w:szCs w:val="17"/>
                <w:i w:val="1"/>
                <w:iCs w:val="1"/>
                <w:color w:val="auto"/>
              </w:rPr>
              <w:t>President &amp; CEO</w:t>
            </w:r>
          </w:p>
        </w:tc>
        <w:tc>
          <w:tcPr>
            <w:tcW w:w="1440" w:type="dxa"/>
            <w:vAlign w:val="bottom"/>
            <w:tcBorders>
              <w:right w:val="single" w:sz="8" w:color="3D85C6"/>
            </w:tcBorders>
            <w:vMerge w:val="continue"/>
          </w:tcPr>
          <w:p>
            <w:pPr>
              <w:spacing w:after="0"/>
              <w:rPr>
                <w:sz w:val="10"/>
                <w:szCs w:val="10"/>
                <w:color w:val="auto"/>
              </w:rPr>
            </w:pPr>
          </w:p>
        </w:tc>
        <w:tc>
          <w:tcPr>
            <w:tcW w:w="1920" w:type="dxa"/>
            <w:vAlign w:val="bottom"/>
            <w:tcBorders>
              <w:right w:val="single" w:sz="8" w:color="3D85C6"/>
            </w:tcBorders>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300" w:type="dxa"/>
            <w:vAlign w:val="bottom"/>
            <w:tcBorders>
              <w:right w:val="single" w:sz="8" w:color="3D85C6"/>
            </w:tcBorders>
          </w:tcPr>
          <w:p>
            <w:pPr>
              <w:spacing w:after="0"/>
              <w:rPr>
                <w:sz w:val="10"/>
                <w:szCs w:val="10"/>
                <w:color w:val="auto"/>
              </w:rPr>
            </w:pPr>
          </w:p>
        </w:tc>
        <w:tc>
          <w:tcPr>
            <w:tcW w:w="1900" w:type="dxa"/>
            <w:vAlign w:val="bottom"/>
            <w:tcBorders>
              <w:right w:val="single" w:sz="8" w:color="3D85C6"/>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560" w:type="dxa"/>
            <w:vAlign w:val="bottom"/>
            <w:tcBorders>
              <w:left w:val="single" w:sz="8" w:color="3D85C6"/>
              <w:bottom w:val="single" w:sz="8" w:color="3D85C6"/>
              <w:right w:val="single" w:sz="8" w:color="3D85C6"/>
            </w:tcBorders>
            <w:vMerge w:val="continue"/>
          </w:tcPr>
          <w:p>
            <w:pPr>
              <w:spacing w:after="0"/>
              <w:rPr>
                <w:sz w:val="7"/>
                <w:szCs w:val="7"/>
                <w:color w:val="auto"/>
              </w:rPr>
            </w:pPr>
          </w:p>
        </w:tc>
        <w:tc>
          <w:tcPr>
            <w:tcW w:w="1440" w:type="dxa"/>
            <w:vAlign w:val="bottom"/>
            <w:tcBorders>
              <w:bottom w:val="single" w:sz="8" w:color="3D85C6"/>
              <w:right w:val="single" w:sz="8" w:color="3D85C6"/>
            </w:tcBorders>
          </w:tcPr>
          <w:p>
            <w:pPr>
              <w:spacing w:after="0"/>
              <w:rPr>
                <w:sz w:val="7"/>
                <w:szCs w:val="7"/>
                <w:color w:val="auto"/>
              </w:rPr>
            </w:pPr>
          </w:p>
        </w:tc>
        <w:tc>
          <w:tcPr>
            <w:tcW w:w="1920" w:type="dxa"/>
            <w:vAlign w:val="bottom"/>
            <w:tcBorders>
              <w:bottom w:val="single" w:sz="8" w:color="3D85C6"/>
              <w:right w:val="single" w:sz="8" w:color="3D85C6"/>
            </w:tcBorders>
          </w:tcPr>
          <w:p>
            <w:pPr>
              <w:spacing w:after="0"/>
              <w:rPr>
                <w:sz w:val="7"/>
                <w:szCs w:val="7"/>
                <w:color w:val="auto"/>
              </w:rPr>
            </w:pPr>
          </w:p>
        </w:tc>
        <w:tc>
          <w:tcPr>
            <w:tcW w:w="1140" w:type="dxa"/>
            <w:vAlign w:val="bottom"/>
            <w:tcBorders>
              <w:bottom w:val="single" w:sz="8" w:color="3D85C6"/>
            </w:tcBorders>
          </w:tcPr>
          <w:p>
            <w:pPr>
              <w:spacing w:after="0"/>
              <w:rPr>
                <w:sz w:val="7"/>
                <w:szCs w:val="7"/>
                <w:color w:val="auto"/>
              </w:rPr>
            </w:pPr>
          </w:p>
        </w:tc>
        <w:tc>
          <w:tcPr>
            <w:tcW w:w="300" w:type="dxa"/>
            <w:vAlign w:val="bottom"/>
            <w:tcBorders>
              <w:bottom w:val="single" w:sz="8" w:color="3D85C6"/>
              <w:right w:val="single" w:sz="8" w:color="3D85C6"/>
            </w:tcBorders>
          </w:tcPr>
          <w:p>
            <w:pPr>
              <w:spacing w:after="0"/>
              <w:rPr>
                <w:sz w:val="7"/>
                <w:szCs w:val="7"/>
                <w:color w:val="auto"/>
              </w:rPr>
            </w:pPr>
          </w:p>
        </w:tc>
        <w:tc>
          <w:tcPr>
            <w:tcW w:w="1900" w:type="dxa"/>
            <w:vAlign w:val="bottom"/>
            <w:tcBorders>
              <w:bottom w:val="single" w:sz="8" w:color="3D85C6"/>
              <w:right w:val="single" w:sz="8" w:color="3D85C6"/>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4560" w:type="dxa"/>
            <w:vAlign w:val="bottom"/>
            <w:tcBorders>
              <w:left w:val="single" w:sz="8" w:color="3D85C6"/>
              <w:right w:val="single" w:sz="8" w:color="3D85C6"/>
            </w:tcBorders>
            <w:shd w:val="clear" w:color="auto" w:fill="E6E6E6"/>
          </w:tcPr>
          <w:p>
            <w:pPr>
              <w:ind w:left="180"/>
              <w:spacing w:after="0" w:line="172" w:lineRule="exact"/>
              <w:rPr>
                <w:sz w:val="20"/>
                <w:szCs w:val="20"/>
                <w:color w:val="auto"/>
              </w:rPr>
            </w:pPr>
            <w:r>
              <w:rPr>
                <w:rFonts w:ascii="Arial" w:cs="Arial" w:eastAsia="Arial" w:hAnsi="Arial"/>
                <w:sz w:val="17"/>
                <w:szCs w:val="17"/>
                <w:color w:val="auto"/>
              </w:rPr>
              <w:t>Jeffrey D. Jones</w:t>
            </w:r>
          </w:p>
        </w:tc>
        <w:tc>
          <w:tcPr>
            <w:tcW w:w="1440" w:type="dxa"/>
            <w:vAlign w:val="bottom"/>
            <w:tcBorders>
              <w:right w:val="single" w:sz="8" w:color="3D85C6"/>
            </w:tcBorders>
            <w:vMerge w:val="restart"/>
            <w:shd w:val="clear" w:color="auto" w:fill="E6E6E6"/>
          </w:tcPr>
          <w:p>
            <w:pPr>
              <w:jc w:val="center"/>
              <w:spacing w:after="0"/>
              <w:rPr>
                <w:sz w:val="20"/>
                <w:szCs w:val="20"/>
                <w:color w:val="auto"/>
              </w:rPr>
            </w:pPr>
            <w:r>
              <w:rPr>
                <w:rFonts w:ascii="Arial" w:cs="Arial" w:eastAsia="Arial" w:hAnsi="Arial"/>
                <w:sz w:val="17"/>
                <w:szCs w:val="17"/>
                <w:color w:val="auto"/>
              </w:rPr>
              <w:t>100%</w:t>
            </w:r>
          </w:p>
        </w:tc>
        <w:tc>
          <w:tcPr>
            <w:tcW w:w="1920" w:type="dxa"/>
            <w:vAlign w:val="bottom"/>
            <w:tcBorders>
              <w:right w:val="single" w:sz="8" w:color="3D85C6"/>
            </w:tcBorders>
            <w:vMerge w:val="restart"/>
            <w:shd w:val="clear" w:color="auto" w:fill="E6E6E6"/>
          </w:tcPr>
          <w:p>
            <w:pPr>
              <w:jc w:val="center"/>
              <w:spacing w:after="0"/>
              <w:rPr>
                <w:sz w:val="20"/>
                <w:szCs w:val="20"/>
                <w:color w:val="auto"/>
              </w:rPr>
            </w:pPr>
            <w:r>
              <w:rPr>
                <w:rFonts w:ascii="Arial" w:cs="Arial" w:eastAsia="Arial" w:hAnsi="Arial"/>
                <w:sz w:val="17"/>
                <w:szCs w:val="17"/>
                <w:color w:val="auto"/>
              </w:rPr>
              <w:t>12 months</w:t>
            </w:r>
          </w:p>
        </w:tc>
        <w:tc>
          <w:tcPr>
            <w:tcW w:w="1140" w:type="dxa"/>
            <w:vAlign w:val="bottom"/>
            <w:vMerge w:val="restart"/>
            <w:shd w:val="clear" w:color="auto" w:fill="E6E6E6"/>
          </w:tcPr>
          <w:p>
            <w:pPr>
              <w:jc w:val="center"/>
              <w:ind w:left="173"/>
              <w:spacing w:after="0"/>
              <w:rPr>
                <w:sz w:val="20"/>
                <w:szCs w:val="20"/>
                <w:color w:val="auto"/>
              </w:rPr>
            </w:pPr>
            <w:r>
              <w:rPr>
                <w:rFonts w:ascii="Arial" w:cs="Arial" w:eastAsia="Arial" w:hAnsi="Arial"/>
                <w:sz w:val="17"/>
                <w:szCs w:val="17"/>
                <w:color w:val="auto"/>
              </w:rPr>
              <w:t>150%</w:t>
            </w:r>
          </w:p>
        </w:tc>
        <w:tc>
          <w:tcPr>
            <w:tcW w:w="300" w:type="dxa"/>
            <w:vAlign w:val="bottom"/>
            <w:tcBorders>
              <w:right w:val="single" w:sz="8" w:color="3D85C6"/>
            </w:tcBorders>
            <w:shd w:val="clear" w:color="auto" w:fill="E6E6E6"/>
          </w:tcPr>
          <w:p>
            <w:pPr>
              <w:spacing w:after="0"/>
              <w:rPr>
                <w:sz w:val="14"/>
                <w:szCs w:val="14"/>
                <w:color w:val="auto"/>
              </w:rPr>
            </w:pPr>
          </w:p>
        </w:tc>
        <w:tc>
          <w:tcPr>
            <w:tcW w:w="1900" w:type="dxa"/>
            <w:vAlign w:val="bottom"/>
            <w:tcBorders>
              <w:right w:val="single" w:sz="8" w:color="3D85C6"/>
            </w:tcBorders>
            <w:vMerge w:val="restart"/>
            <w:shd w:val="clear" w:color="auto" w:fill="E6E6E6"/>
          </w:tcPr>
          <w:p>
            <w:pPr>
              <w:jc w:val="center"/>
              <w:spacing w:after="0"/>
              <w:rPr>
                <w:sz w:val="20"/>
                <w:szCs w:val="20"/>
                <w:color w:val="auto"/>
              </w:rPr>
            </w:pPr>
            <w:r>
              <w:rPr>
                <w:rFonts w:ascii="Arial" w:cs="Arial" w:eastAsia="Arial" w:hAnsi="Arial"/>
                <w:sz w:val="17"/>
                <w:szCs w:val="17"/>
                <w:color w:val="auto"/>
              </w:rPr>
              <w:t>18 months</w:t>
            </w:r>
          </w:p>
        </w:tc>
        <w:tc>
          <w:tcPr>
            <w:tcW w:w="0" w:type="dxa"/>
            <w:vAlign w:val="bottom"/>
          </w:tcPr>
          <w:p>
            <w:pPr>
              <w:spacing w:after="0"/>
              <w:rPr>
                <w:sz w:val="1"/>
                <w:szCs w:val="1"/>
                <w:color w:val="auto"/>
              </w:rPr>
            </w:pPr>
          </w:p>
        </w:tc>
      </w:tr>
      <w:tr>
        <w:trPr>
          <w:trHeight w:val="125"/>
        </w:trPr>
        <w:tc>
          <w:tcPr>
            <w:tcW w:w="4560" w:type="dxa"/>
            <w:vAlign w:val="bottom"/>
            <w:tcBorders>
              <w:left w:val="single" w:sz="8" w:color="3D85C6"/>
              <w:right w:val="single" w:sz="8" w:color="3D85C6"/>
            </w:tcBorders>
            <w:vMerge w:val="restart"/>
            <w:shd w:val="clear" w:color="auto" w:fill="E6E6E6"/>
          </w:tcPr>
          <w:p>
            <w:pPr>
              <w:ind w:left="180"/>
              <w:spacing w:after="0"/>
              <w:rPr>
                <w:sz w:val="20"/>
                <w:szCs w:val="20"/>
                <w:color w:val="auto"/>
              </w:rPr>
            </w:pPr>
            <w:r>
              <w:rPr>
                <w:rFonts w:ascii="Arial" w:cs="Arial" w:eastAsia="Arial" w:hAnsi="Arial"/>
                <w:sz w:val="17"/>
                <w:szCs w:val="17"/>
                <w:i w:val="1"/>
                <w:iCs w:val="1"/>
                <w:color w:val="auto"/>
              </w:rPr>
              <w:t>Sr. Vice President, Finance &amp; Chief Financial Officer</w:t>
            </w:r>
          </w:p>
        </w:tc>
        <w:tc>
          <w:tcPr>
            <w:tcW w:w="1440" w:type="dxa"/>
            <w:vAlign w:val="bottom"/>
            <w:tcBorders>
              <w:right w:val="single" w:sz="8" w:color="3D85C6"/>
            </w:tcBorders>
            <w:vMerge w:val="continue"/>
            <w:shd w:val="clear" w:color="auto" w:fill="E6E6E6"/>
          </w:tcPr>
          <w:p>
            <w:pPr>
              <w:spacing w:after="0"/>
              <w:rPr>
                <w:sz w:val="10"/>
                <w:szCs w:val="10"/>
                <w:color w:val="auto"/>
              </w:rPr>
            </w:pPr>
          </w:p>
        </w:tc>
        <w:tc>
          <w:tcPr>
            <w:tcW w:w="1920" w:type="dxa"/>
            <w:vAlign w:val="bottom"/>
            <w:tcBorders>
              <w:right w:val="single" w:sz="8" w:color="3D85C6"/>
            </w:tcBorders>
            <w:vMerge w:val="continue"/>
            <w:shd w:val="clear" w:color="auto" w:fill="E6E6E6"/>
          </w:tcPr>
          <w:p>
            <w:pPr>
              <w:spacing w:after="0"/>
              <w:rPr>
                <w:sz w:val="10"/>
                <w:szCs w:val="10"/>
                <w:color w:val="auto"/>
              </w:rPr>
            </w:pPr>
          </w:p>
        </w:tc>
        <w:tc>
          <w:tcPr>
            <w:tcW w:w="1140" w:type="dxa"/>
            <w:vAlign w:val="bottom"/>
            <w:vMerge w:val="continue"/>
            <w:shd w:val="clear" w:color="auto" w:fill="E6E6E6"/>
          </w:tcPr>
          <w:p>
            <w:pPr>
              <w:spacing w:after="0"/>
              <w:rPr>
                <w:sz w:val="10"/>
                <w:szCs w:val="10"/>
                <w:color w:val="auto"/>
              </w:rPr>
            </w:pPr>
          </w:p>
        </w:tc>
        <w:tc>
          <w:tcPr>
            <w:tcW w:w="300" w:type="dxa"/>
            <w:vAlign w:val="bottom"/>
            <w:tcBorders>
              <w:right w:val="single" w:sz="8" w:color="3D85C6"/>
            </w:tcBorders>
            <w:shd w:val="clear" w:color="auto" w:fill="E6E6E6"/>
          </w:tcPr>
          <w:p>
            <w:pPr>
              <w:spacing w:after="0"/>
              <w:rPr>
                <w:sz w:val="10"/>
                <w:szCs w:val="10"/>
                <w:color w:val="auto"/>
              </w:rPr>
            </w:pPr>
          </w:p>
        </w:tc>
        <w:tc>
          <w:tcPr>
            <w:tcW w:w="1900" w:type="dxa"/>
            <w:vAlign w:val="bottom"/>
            <w:tcBorders>
              <w:right w:val="single" w:sz="8" w:color="3D85C6"/>
            </w:tcBorders>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560" w:type="dxa"/>
            <w:vAlign w:val="bottom"/>
            <w:tcBorders>
              <w:left w:val="single" w:sz="8" w:color="3D85C6"/>
              <w:bottom w:val="single" w:sz="8" w:color="3D85C6"/>
              <w:right w:val="single" w:sz="8" w:color="3D85C6"/>
            </w:tcBorders>
            <w:vMerge w:val="continue"/>
            <w:shd w:val="clear" w:color="auto" w:fill="E6E6E6"/>
          </w:tcPr>
          <w:p>
            <w:pPr>
              <w:spacing w:after="0"/>
              <w:rPr>
                <w:sz w:val="7"/>
                <w:szCs w:val="7"/>
                <w:color w:val="auto"/>
              </w:rPr>
            </w:pPr>
          </w:p>
        </w:tc>
        <w:tc>
          <w:tcPr>
            <w:tcW w:w="1440" w:type="dxa"/>
            <w:vAlign w:val="bottom"/>
            <w:tcBorders>
              <w:bottom w:val="single" w:sz="8" w:color="3D85C6"/>
              <w:right w:val="single" w:sz="8" w:color="3D85C6"/>
            </w:tcBorders>
            <w:shd w:val="clear" w:color="auto" w:fill="E6E6E6"/>
          </w:tcPr>
          <w:p>
            <w:pPr>
              <w:spacing w:after="0"/>
              <w:rPr>
                <w:sz w:val="7"/>
                <w:szCs w:val="7"/>
                <w:color w:val="auto"/>
              </w:rPr>
            </w:pPr>
          </w:p>
        </w:tc>
        <w:tc>
          <w:tcPr>
            <w:tcW w:w="1920" w:type="dxa"/>
            <w:vAlign w:val="bottom"/>
            <w:tcBorders>
              <w:bottom w:val="single" w:sz="8" w:color="3D85C6"/>
              <w:right w:val="single" w:sz="8" w:color="3D85C6"/>
            </w:tcBorders>
            <w:shd w:val="clear" w:color="auto" w:fill="E6E6E6"/>
          </w:tcPr>
          <w:p>
            <w:pPr>
              <w:spacing w:after="0"/>
              <w:rPr>
                <w:sz w:val="7"/>
                <w:szCs w:val="7"/>
                <w:color w:val="auto"/>
              </w:rPr>
            </w:pPr>
          </w:p>
        </w:tc>
        <w:tc>
          <w:tcPr>
            <w:tcW w:w="1140" w:type="dxa"/>
            <w:vAlign w:val="bottom"/>
            <w:tcBorders>
              <w:bottom w:val="single" w:sz="8" w:color="3D85C6"/>
            </w:tcBorders>
            <w:shd w:val="clear" w:color="auto" w:fill="E6E6E6"/>
          </w:tcPr>
          <w:p>
            <w:pPr>
              <w:spacing w:after="0"/>
              <w:rPr>
                <w:sz w:val="7"/>
                <w:szCs w:val="7"/>
                <w:color w:val="auto"/>
              </w:rPr>
            </w:pPr>
          </w:p>
        </w:tc>
        <w:tc>
          <w:tcPr>
            <w:tcW w:w="300" w:type="dxa"/>
            <w:vAlign w:val="bottom"/>
            <w:tcBorders>
              <w:bottom w:val="single" w:sz="8" w:color="3D85C6"/>
              <w:right w:val="single" w:sz="8" w:color="3D85C6"/>
            </w:tcBorders>
            <w:shd w:val="clear" w:color="auto" w:fill="E6E6E6"/>
          </w:tcPr>
          <w:p>
            <w:pPr>
              <w:spacing w:after="0"/>
              <w:rPr>
                <w:sz w:val="7"/>
                <w:szCs w:val="7"/>
                <w:color w:val="auto"/>
              </w:rPr>
            </w:pPr>
          </w:p>
        </w:tc>
        <w:tc>
          <w:tcPr>
            <w:tcW w:w="1900" w:type="dxa"/>
            <w:vAlign w:val="bottom"/>
            <w:tcBorders>
              <w:bottom w:val="single" w:sz="8" w:color="3D85C6"/>
              <w:right w:val="single" w:sz="8" w:color="3D85C6"/>
            </w:tcBorders>
            <w:shd w:val="clear" w:color="auto" w:fill="E6E6E6"/>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4560" w:type="dxa"/>
            <w:vAlign w:val="bottom"/>
            <w:tcBorders>
              <w:left w:val="single" w:sz="8" w:color="3D85C6"/>
              <w:right w:val="single" w:sz="8" w:color="3D85C6"/>
            </w:tcBorders>
          </w:tcPr>
          <w:p>
            <w:pPr>
              <w:ind w:left="180"/>
              <w:spacing w:after="0" w:line="172" w:lineRule="exact"/>
              <w:rPr>
                <w:sz w:val="20"/>
                <w:szCs w:val="20"/>
                <w:color w:val="auto"/>
              </w:rPr>
            </w:pPr>
            <w:r>
              <w:rPr>
                <w:rFonts w:ascii="Arial" w:cs="Arial" w:eastAsia="Arial" w:hAnsi="Arial"/>
                <w:sz w:val="17"/>
                <w:szCs w:val="17"/>
                <w:color w:val="auto"/>
              </w:rPr>
              <w:t>Christopher G. Bohrson</w:t>
            </w:r>
          </w:p>
        </w:tc>
        <w:tc>
          <w:tcPr>
            <w:tcW w:w="1440" w:type="dxa"/>
            <w:vAlign w:val="bottom"/>
            <w:tcBorders>
              <w:right w:val="single" w:sz="8" w:color="3D85C6"/>
            </w:tcBorders>
            <w:vMerge w:val="restart"/>
          </w:tcPr>
          <w:p>
            <w:pPr>
              <w:jc w:val="center"/>
              <w:spacing w:after="0"/>
              <w:rPr>
                <w:sz w:val="20"/>
                <w:szCs w:val="20"/>
                <w:color w:val="auto"/>
              </w:rPr>
            </w:pPr>
            <w:r>
              <w:rPr>
                <w:rFonts w:ascii="Arial" w:cs="Arial" w:eastAsia="Arial" w:hAnsi="Arial"/>
                <w:sz w:val="17"/>
                <w:szCs w:val="17"/>
                <w:color w:val="auto"/>
              </w:rPr>
              <w:t>100%</w:t>
            </w:r>
          </w:p>
        </w:tc>
        <w:tc>
          <w:tcPr>
            <w:tcW w:w="1920" w:type="dxa"/>
            <w:vAlign w:val="bottom"/>
            <w:tcBorders>
              <w:right w:val="single" w:sz="8" w:color="3D85C6"/>
            </w:tcBorders>
            <w:vMerge w:val="restart"/>
          </w:tcPr>
          <w:p>
            <w:pPr>
              <w:jc w:val="center"/>
              <w:spacing w:after="0"/>
              <w:rPr>
                <w:sz w:val="20"/>
                <w:szCs w:val="20"/>
                <w:color w:val="auto"/>
              </w:rPr>
            </w:pPr>
            <w:r>
              <w:rPr>
                <w:rFonts w:ascii="Arial" w:cs="Arial" w:eastAsia="Arial" w:hAnsi="Arial"/>
                <w:sz w:val="17"/>
                <w:szCs w:val="17"/>
                <w:color w:val="auto"/>
              </w:rPr>
              <w:t>12 months</w:t>
            </w:r>
          </w:p>
        </w:tc>
        <w:tc>
          <w:tcPr>
            <w:tcW w:w="1140" w:type="dxa"/>
            <w:vAlign w:val="bottom"/>
            <w:vMerge w:val="restart"/>
          </w:tcPr>
          <w:p>
            <w:pPr>
              <w:jc w:val="center"/>
              <w:ind w:left="173"/>
              <w:spacing w:after="0"/>
              <w:rPr>
                <w:sz w:val="20"/>
                <w:szCs w:val="20"/>
                <w:color w:val="auto"/>
              </w:rPr>
            </w:pPr>
            <w:r>
              <w:rPr>
                <w:rFonts w:ascii="Arial" w:cs="Arial" w:eastAsia="Arial" w:hAnsi="Arial"/>
                <w:sz w:val="17"/>
                <w:szCs w:val="17"/>
                <w:color w:val="auto"/>
              </w:rPr>
              <w:t>150%</w:t>
            </w:r>
          </w:p>
        </w:tc>
        <w:tc>
          <w:tcPr>
            <w:tcW w:w="300" w:type="dxa"/>
            <w:vAlign w:val="bottom"/>
            <w:tcBorders>
              <w:right w:val="single" w:sz="8" w:color="3D85C6"/>
            </w:tcBorders>
          </w:tcPr>
          <w:p>
            <w:pPr>
              <w:spacing w:after="0"/>
              <w:rPr>
                <w:sz w:val="14"/>
                <w:szCs w:val="14"/>
                <w:color w:val="auto"/>
              </w:rPr>
            </w:pPr>
          </w:p>
        </w:tc>
        <w:tc>
          <w:tcPr>
            <w:tcW w:w="1900" w:type="dxa"/>
            <w:vAlign w:val="bottom"/>
            <w:tcBorders>
              <w:right w:val="single" w:sz="8" w:color="3D85C6"/>
            </w:tcBorders>
            <w:vMerge w:val="restart"/>
          </w:tcPr>
          <w:p>
            <w:pPr>
              <w:jc w:val="center"/>
              <w:spacing w:after="0"/>
              <w:rPr>
                <w:sz w:val="20"/>
                <w:szCs w:val="20"/>
                <w:color w:val="auto"/>
              </w:rPr>
            </w:pPr>
            <w:r>
              <w:rPr>
                <w:rFonts w:ascii="Arial" w:cs="Arial" w:eastAsia="Arial" w:hAnsi="Arial"/>
                <w:sz w:val="17"/>
                <w:szCs w:val="17"/>
                <w:color w:val="auto"/>
              </w:rPr>
              <w:t>18 months</w:t>
            </w:r>
          </w:p>
        </w:tc>
        <w:tc>
          <w:tcPr>
            <w:tcW w:w="0" w:type="dxa"/>
            <w:vAlign w:val="bottom"/>
          </w:tcPr>
          <w:p>
            <w:pPr>
              <w:spacing w:after="0"/>
              <w:rPr>
                <w:sz w:val="1"/>
                <w:szCs w:val="1"/>
                <w:color w:val="auto"/>
              </w:rPr>
            </w:pPr>
          </w:p>
        </w:tc>
      </w:tr>
      <w:tr>
        <w:trPr>
          <w:trHeight w:val="125"/>
        </w:trPr>
        <w:tc>
          <w:tcPr>
            <w:tcW w:w="4560" w:type="dxa"/>
            <w:vAlign w:val="bottom"/>
            <w:tcBorders>
              <w:left w:val="single" w:sz="8" w:color="3D85C6"/>
              <w:right w:val="single" w:sz="8" w:color="3D85C6"/>
            </w:tcBorders>
            <w:vMerge w:val="restart"/>
          </w:tcPr>
          <w:p>
            <w:pPr>
              <w:ind w:left="180"/>
              <w:spacing w:after="0"/>
              <w:rPr>
                <w:sz w:val="20"/>
                <w:szCs w:val="20"/>
                <w:color w:val="auto"/>
              </w:rPr>
            </w:pPr>
            <w:r>
              <w:rPr>
                <w:rFonts w:ascii="Arial" w:cs="Arial" w:eastAsia="Arial" w:hAnsi="Arial"/>
                <w:sz w:val="17"/>
                <w:szCs w:val="17"/>
                <w:i w:val="1"/>
                <w:iCs w:val="1"/>
                <w:color w:val="auto"/>
              </w:rPr>
              <w:t>Sr. Vice President, Chief Customer Officer</w:t>
            </w:r>
          </w:p>
        </w:tc>
        <w:tc>
          <w:tcPr>
            <w:tcW w:w="1440" w:type="dxa"/>
            <w:vAlign w:val="bottom"/>
            <w:tcBorders>
              <w:right w:val="single" w:sz="8" w:color="3D85C6"/>
            </w:tcBorders>
            <w:vMerge w:val="continue"/>
          </w:tcPr>
          <w:p>
            <w:pPr>
              <w:spacing w:after="0"/>
              <w:rPr>
                <w:sz w:val="10"/>
                <w:szCs w:val="10"/>
                <w:color w:val="auto"/>
              </w:rPr>
            </w:pPr>
          </w:p>
        </w:tc>
        <w:tc>
          <w:tcPr>
            <w:tcW w:w="1920" w:type="dxa"/>
            <w:vAlign w:val="bottom"/>
            <w:tcBorders>
              <w:right w:val="single" w:sz="8" w:color="3D85C6"/>
            </w:tcBorders>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300" w:type="dxa"/>
            <w:vAlign w:val="bottom"/>
            <w:tcBorders>
              <w:right w:val="single" w:sz="8" w:color="3D85C6"/>
            </w:tcBorders>
          </w:tcPr>
          <w:p>
            <w:pPr>
              <w:spacing w:after="0"/>
              <w:rPr>
                <w:sz w:val="10"/>
                <w:szCs w:val="10"/>
                <w:color w:val="auto"/>
              </w:rPr>
            </w:pPr>
          </w:p>
        </w:tc>
        <w:tc>
          <w:tcPr>
            <w:tcW w:w="1900" w:type="dxa"/>
            <w:vAlign w:val="bottom"/>
            <w:tcBorders>
              <w:right w:val="single" w:sz="8" w:color="3D85C6"/>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560" w:type="dxa"/>
            <w:vAlign w:val="bottom"/>
            <w:tcBorders>
              <w:left w:val="single" w:sz="8" w:color="3D85C6"/>
              <w:bottom w:val="single" w:sz="8" w:color="3D85C6"/>
              <w:right w:val="single" w:sz="8" w:color="3D85C6"/>
            </w:tcBorders>
            <w:vMerge w:val="continue"/>
          </w:tcPr>
          <w:p>
            <w:pPr>
              <w:spacing w:after="0"/>
              <w:rPr>
                <w:sz w:val="7"/>
                <w:szCs w:val="7"/>
                <w:color w:val="auto"/>
              </w:rPr>
            </w:pPr>
          </w:p>
        </w:tc>
        <w:tc>
          <w:tcPr>
            <w:tcW w:w="1440" w:type="dxa"/>
            <w:vAlign w:val="bottom"/>
            <w:tcBorders>
              <w:bottom w:val="single" w:sz="8" w:color="3D85C6"/>
              <w:right w:val="single" w:sz="8" w:color="3D85C6"/>
            </w:tcBorders>
          </w:tcPr>
          <w:p>
            <w:pPr>
              <w:spacing w:after="0"/>
              <w:rPr>
                <w:sz w:val="7"/>
                <w:szCs w:val="7"/>
                <w:color w:val="auto"/>
              </w:rPr>
            </w:pPr>
          </w:p>
        </w:tc>
        <w:tc>
          <w:tcPr>
            <w:tcW w:w="1920" w:type="dxa"/>
            <w:vAlign w:val="bottom"/>
            <w:tcBorders>
              <w:bottom w:val="single" w:sz="8" w:color="3D85C6"/>
              <w:right w:val="single" w:sz="8" w:color="3D85C6"/>
            </w:tcBorders>
          </w:tcPr>
          <w:p>
            <w:pPr>
              <w:spacing w:after="0"/>
              <w:rPr>
                <w:sz w:val="7"/>
                <w:szCs w:val="7"/>
                <w:color w:val="auto"/>
              </w:rPr>
            </w:pPr>
          </w:p>
        </w:tc>
        <w:tc>
          <w:tcPr>
            <w:tcW w:w="1140" w:type="dxa"/>
            <w:vAlign w:val="bottom"/>
            <w:tcBorders>
              <w:bottom w:val="single" w:sz="8" w:color="3D85C6"/>
            </w:tcBorders>
          </w:tcPr>
          <w:p>
            <w:pPr>
              <w:spacing w:after="0"/>
              <w:rPr>
                <w:sz w:val="7"/>
                <w:szCs w:val="7"/>
                <w:color w:val="auto"/>
              </w:rPr>
            </w:pPr>
          </w:p>
        </w:tc>
        <w:tc>
          <w:tcPr>
            <w:tcW w:w="300" w:type="dxa"/>
            <w:vAlign w:val="bottom"/>
            <w:tcBorders>
              <w:bottom w:val="single" w:sz="8" w:color="3D85C6"/>
              <w:right w:val="single" w:sz="8" w:color="3D85C6"/>
            </w:tcBorders>
          </w:tcPr>
          <w:p>
            <w:pPr>
              <w:spacing w:after="0"/>
              <w:rPr>
                <w:sz w:val="7"/>
                <w:szCs w:val="7"/>
                <w:color w:val="auto"/>
              </w:rPr>
            </w:pPr>
          </w:p>
        </w:tc>
        <w:tc>
          <w:tcPr>
            <w:tcW w:w="1900" w:type="dxa"/>
            <w:vAlign w:val="bottom"/>
            <w:tcBorders>
              <w:bottom w:val="single" w:sz="8" w:color="3D85C6"/>
              <w:right w:val="single" w:sz="8" w:color="3D85C6"/>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4560" w:type="dxa"/>
            <w:vAlign w:val="bottom"/>
            <w:tcBorders>
              <w:left w:val="single" w:sz="8" w:color="3D85C6"/>
              <w:right w:val="single" w:sz="8" w:color="3D85C6"/>
            </w:tcBorders>
            <w:shd w:val="clear" w:color="auto" w:fill="E6E6E6"/>
          </w:tcPr>
          <w:p>
            <w:pPr>
              <w:ind w:left="180"/>
              <w:spacing w:after="0" w:line="172" w:lineRule="exact"/>
              <w:rPr>
                <w:sz w:val="20"/>
                <w:szCs w:val="20"/>
                <w:color w:val="auto"/>
              </w:rPr>
            </w:pPr>
            <w:r>
              <w:rPr>
                <w:rFonts w:ascii="Arial" w:cs="Arial" w:eastAsia="Arial" w:hAnsi="Arial"/>
                <w:sz w:val="17"/>
                <w:szCs w:val="17"/>
                <w:color w:val="auto"/>
              </w:rPr>
              <w:t>Klaus Ilgenfritz</w:t>
            </w:r>
          </w:p>
        </w:tc>
        <w:tc>
          <w:tcPr>
            <w:tcW w:w="1440" w:type="dxa"/>
            <w:vAlign w:val="bottom"/>
            <w:tcBorders>
              <w:right w:val="single" w:sz="8" w:color="3D85C6"/>
            </w:tcBorders>
            <w:vMerge w:val="restart"/>
            <w:shd w:val="clear" w:color="auto" w:fill="E6E6E6"/>
          </w:tcPr>
          <w:p>
            <w:pPr>
              <w:jc w:val="center"/>
              <w:spacing w:after="0"/>
              <w:rPr>
                <w:sz w:val="20"/>
                <w:szCs w:val="20"/>
                <w:color w:val="auto"/>
              </w:rPr>
            </w:pPr>
            <w:r>
              <w:rPr>
                <w:rFonts w:ascii="Arial" w:cs="Arial" w:eastAsia="Arial" w:hAnsi="Arial"/>
                <w:sz w:val="17"/>
                <w:szCs w:val="17"/>
                <w:color w:val="auto"/>
              </w:rPr>
              <w:t>N/A</w:t>
            </w:r>
            <w:r>
              <w:rPr>
                <w:rFonts w:ascii="Arial" w:cs="Arial" w:eastAsia="Arial" w:hAnsi="Arial"/>
                <w:sz w:val="14"/>
                <w:szCs w:val="14"/>
                <w:color w:val="auto"/>
              </w:rPr>
              <w:t>(1)</w:t>
            </w:r>
          </w:p>
        </w:tc>
        <w:tc>
          <w:tcPr>
            <w:tcW w:w="1920" w:type="dxa"/>
            <w:vAlign w:val="bottom"/>
            <w:tcBorders>
              <w:right w:val="single" w:sz="8" w:color="3D85C6"/>
            </w:tcBorders>
            <w:vMerge w:val="restart"/>
            <w:shd w:val="clear" w:color="auto" w:fill="E6E6E6"/>
          </w:tcPr>
          <w:p>
            <w:pPr>
              <w:jc w:val="center"/>
              <w:spacing w:after="0"/>
              <w:rPr>
                <w:sz w:val="20"/>
                <w:szCs w:val="20"/>
                <w:color w:val="auto"/>
              </w:rPr>
            </w:pPr>
            <w:r>
              <w:rPr>
                <w:rFonts w:ascii="Arial" w:cs="Arial" w:eastAsia="Arial" w:hAnsi="Arial"/>
                <w:sz w:val="17"/>
                <w:szCs w:val="17"/>
                <w:color w:val="auto"/>
              </w:rPr>
              <w:t>N/A</w:t>
            </w:r>
            <w:r>
              <w:rPr>
                <w:rFonts w:ascii="Arial" w:cs="Arial" w:eastAsia="Arial" w:hAnsi="Arial"/>
                <w:sz w:val="14"/>
                <w:szCs w:val="14"/>
                <w:color w:val="auto"/>
              </w:rPr>
              <w:t>(2)</w:t>
            </w:r>
          </w:p>
        </w:tc>
        <w:tc>
          <w:tcPr>
            <w:tcW w:w="1140" w:type="dxa"/>
            <w:vAlign w:val="bottom"/>
            <w:vMerge w:val="restart"/>
            <w:shd w:val="clear" w:color="auto" w:fill="E6E6E6"/>
          </w:tcPr>
          <w:p>
            <w:pPr>
              <w:jc w:val="center"/>
              <w:ind w:left="173"/>
              <w:spacing w:after="0"/>
              <w:rPr>
                <w:sz w:val="20"/>
                <w:szCs w:val="20"/>
                <w:color w:val="auto"/>
              </w:rPr>
            </w:pPr>
            <w:r>
              <w:rPr>
                <w:rFonts w:ascii="Arial" w:cs="Arial" w:eastAsia="Arial" w:hAnsi="Arial"/>
                <w:sz w:val="17"/>
                <w:szCs w:val="17"/>
                <w:color w:val="auto"/>
              </w:rPr>
              <w:t>150%</w:t>
            </w:r>
          </w:p>
        </w:tc>
        <w:tc>
          <w:tcPr>
            <w:tcW w:w="300" w:type="dxa"/>
            <w:vAlign w:val="bottom"/>
            <w:tcBorders>
              <w:right w:val="single" w:sz="8" w:color="3D85C6"/>
            </w:tcBorders>
            <w:shd w:val="clear" w:color="auto" w:fill="E6E6E6"/>
          </w:tcPr>
          <w:p>
            <w:pPr>
              <w:spacing w:after="0"/>
              <w:rPr>
                <w:sz w:val="14"/>
                <w:szCs w:val="14"/>
                <w:color w:val="auto"/>
              </w:rPr>
            </w:pPr>
          </w:p>
        </w:tc>
        <w:tc>
          <w:tcPr>
            <w:tcW w:w="1900" w:type="dxa"/>
            <w:vAlign w:val="bottom"/>
            <w:tcBorders>
              <w:right w:val="single" w:sz="8" w:color="3D85C6"/>
            </w:tcBorders>
            <w:vMerge w:val="restart"/>
            <w:shd w:val="clear" w:color="auto" w:fill="E6E6E6"/>
          </w:tcPr>
          <w:p>
            <w:pPr>
              <w:jc w:val="center"/>
              <w:spacing w:after="0"/>
              <w:rPr>
                <w:sz w:val="20"/>
                <w:szCs w:val="20"/>
                <w:color w:val="auto"/>
              </w:rPr>
            </w:pPr>
            <w:r>
              <w:rPr>
                <w:rFonts w:ascii="Arial" w:cs="Arial" w:eastAsia="Arial" w:hAnsi="Arial"/>
                <w:sz w:val="17"/>
                <w:szCs w:val="17"/>
                <w:color w:val="auto"/>
              </w:rPr>
              <w:t>N/A</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5"/>
        </w:trPr>
        <w:tc>
          <w:tcPr>
            <w:tcW w:w="4560" w:type="dxa"/>
            <w:vAlign w:val="bottom"/>
            <w:tcBorders>
              <w:left w:val="single" w:sz="8" w:color="3D85C6"/>
              <w:right w:val="single" w:sz="8" w:color="3D85C6"/>
            </w:tcBorders>
            <w:vMerge w:val="restart"/>
            <w:shd w:val="clear" w:color="auto" w:fill="E6E6E6"/>
          </w:tcPr>
          <w:p>
            <w:pPr>
              <w:ind w:left="180"/>
              <w:spacing w:after="0"/>
              <w:rPr>
                <w:sz w:val="20"/>
                <w:szCs w:val="20"/>
                <w:color w:val="auto"/>
              </w:rPr>
            </w:pPr>
            <w:r>
              <w:rPr>
                <w:rFonts w:ascii="Arial" w:cs="Arial" w:eastAsia="Arial" w:hAnsi="Arial"/>
                <w:sz w:val="17"/>
                <w:szCs w:val="17"/>
                <w:i w:val="1"/>
                <w:iCs w:val="1"/>
                <w:color w:val="auto"/>
              </w:rPr>
              <w:t>Sr. Vice President, Chief Product Officer</w:t>
            </w:r>
          </w:p>
        </w:tc>
        <w:tc>
          <w:tcPr>
            <w:tcW w:w="1440" w:type="dxa"/>
            <w:vAlign w:val="bottom"/>
            <w:tcBorders>
              <w:right w:val="single" w:sz="8" w:color="3D85C6"/>
            </w:tcBorders>
            <w:vMerge w:val="continue"/>
            <w:shd w:val="clear" w:color="auto" w:fill="E6E6E6"/>
          </w:tcPr>
          <w:p>
            <w:pPr>
              <w:spacing w:after="0"/>
              <w:rPr>
                <w:sz w:val="10"/>
                <w:szCs w:val="10"/>
                <w:color w:val="auto"/>
              </w:rPr>
            </w:pPr>
          </w:p>
        </w:tc>
        <w:tc>
          <w:tcPr>
            <w:tcW w:w="1920" w:type="dxa"/>
            <w:vAlign w:val="bottom"/>
            <w:tcBorders>
              <w:right w:val="single" w:sz="8" w:color="3D85C6"/>
            </w:tcBorders>
            <w:vMerge w:val="continue"/>
            <w:shd w:val="clear" w:color="auto" w:fill="E6E6E6"/>
          </w:tcPr>
          <w:p>
            <w:pPr>
              <w:spacing w:after="0"/>
              <w:rPr>
                <w:sz w:val="10"/>
                <w:szCs w:val="10"/>
                <w:color w:val="auto"/>
              </w:rPr>
            </w:pPr>
          </w:p>
        </w:tc>
        <w:tc>
          <w:tcPr>
            <w:tcW w:w="1140" w:type="dxa"/>
            <w:vAlign w:val="bottom"/>
            <w:vMerge w:val="continue"/>
            <w:shd w:val="clear" w:color="auto" w:fill="E6E6E6"/>
          </w:tcPr>
          <w:p>
            <w:pPr>
              <w:spacing w:after="0"/>
              <w:rPr>
                <w:sz w:val="10"/>
                <w:szCs w:val="10"/>
                <w:color w:val="auto"/>
              </w:rPr>
            </w:pPr>
          </w:p>
        </w:tc>
        <w:tc>
          <w:tcPr>
            <w:tcW w:w="300" w:type="dxa"/>
            <w:vAlign w:val="bottom"/>
            <w:tcBorders>
              <w:right w:val="single" w:sz="8" w:color="3D85C6"/>
            </w:tcBorders>
            <w:shd w:val="clear" w:color="auto" w:fill="E6E6E6"/>
          </w:tcPr>
          <w:p>
            <w:pPr>
              <w:spacing w:after="0"/>
              <w:rPr>
                <w:sz w:val="10"/>
                <w:szCs w:val="10"/>
                <w:color w:val="auto"/>
              </w:rPr>
            </w:pPr>
          </w:p>
        </w:tc>
        <w:tc>
          <w:tcPr>
            <w:tcW w:w="1900" w:type="dxa"/>
            <w:vAlign w:val="bottom"/>
            <w:tcBorders>
              <w:right w:val="single" w:sz="8" w:color="3D85C6"/>
            </w:tcBorders>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560" w:type="dxa"/>
            <w:vAlign w:val="bottom"/>
            <w:tcBorders>
              <w:left w:val="single" w:sz="8" w:color="3D85C6"/>
              <w:bottom w:val="single" w:sz="8" w:color="3D85C6"/>
              <w:right w:val="single" w:sz="8" w:color="3D85C6"/>
            </w:tcBorders>
            <w:vMerge w:val="continue"/>
            <w:shd w:val="clear" w:color="auto" w:fill="E6E6E6"/>
          </w:tcPr>
          <w:p>
            <w:pPr>
              <w:spacing w:after="0"/>
              <w:rPr>
                <w:sz w:val="7"/>
                <w:szCs w:val="7"/>
                <w:color w:val="auto"/>
              </w:rPr>
            </w:pPr>
          </w:p>
        </w:tc>
        <w:tc>
          <w:tcPr>
            <w:tcW w:w="1440" w:type="dxa"/>
            <w:vAlign w:val="bottom"/>
            <w:tcBorders>
              <w:bottom w:val="single" w:sz="8" w:color="3D85C6"/>
              <w:right w:val="single" w:sz="8" w:color="3D85C6"/>
            </w:tcBorders>
            <w:shd w:val="clear" w:color="auto" w:fill="E6E6E6"/>
          </w:tcPr>
          <w:p>
            <w:pPr>
              <w:spacing w:after="0"/>
              <w:rPr>
                <w:sz w:val="7"/>
                <w:szCs w:val="7"/>
                <w:color w:val="auto"/>
              </w:rPr>
            </w:pPr>
          </w:p>
        </w:tc>
        <w:tc>
          <w:tcPr>
            <w:tcW w:w="1920" w:type="dxa"/>
            <w:vAlign w:val="bottom"/>
            <w:tcBorders>
              <w:bottom w:val="single" w:sz="8" w:color="3D85C6"/>
              <w:right w:val="single" w:sz="8" w:color="3D85C6"/>
            </w:tcBorders>
            <w:shd w:val="clear" w:color="auto" w:fill="E6E6E6"/>
          </w:tcPr>
          <w:p>
            <w:pPr>
              <w:spacing w:after="0"/>
              <w:rPr>
                <w:sz w:val="7"/>
                <w:szCs w:val="7"/>
                <w:color w:val="auto"/>
              </w:rPr>
            </w:pPr>
          </w:p>
        </w:tc>
        <w:tc>
          <w:tcPr>
            <w:tcW w:w="1140" w:type="dxa"/>
            <w:vAlign w:val="bottom"/>
            <w:tcBorders>
              <w:bottom w:val="single" w:sz="8" w:color="3D85C6"/>
            </w:tcBorders>
            <w:shd w:val="clear" w:color="auto" w:fill="E6E6E6"/>
          </w:tcPr>
          <w:p>
            <w:pPr>
              <w:spacing w:after="0"/>
              <w:rPr>
                <w:sz w:val="7"/>
                <w:szCs w:val="7"/>
                <w:color w:val="auto"/>
              </w:rPr>
            </w:pPr>
          </w:p>
        </w:tc>
        <w:tc>
          <w:tcPr>
            <w:tcW w:w="300" w:type="dxa"/>
            <w:vAlign w:val="bottom"/>
            <w:tcBorders>
              <w:bottom w:val="single" w:sz="8" w:color="3D85C6"/>
              <w:right w:val="single" w:sz="8" w:color="3D85C6"/>
            </w:tcBorders>
            <w:shd w:val="clear" w:color="auto" w:fill="E6E6E6"/>
          </w:tcPr>
          <w:p>
            <w:pPr>
              <w:spacing w:after="0"/>
              <w:rPr>
                <w:sz w:val="7"/>
                <w:szCs w:val="7"/>
                <w:color w:val="auto"/>
              </w:rPr>
            </w:pPr>
          </w:p>
        </w:tc>
        <w:tc>
          <w:tcPr>
            <w:tcW w:w="1900" w:type="dxa"/>
            <w:vAlign w:val="bottom"/>
            <w:tcBorders>
              <w:bottom w:val="single" w:sz="8" w:color="3D85C6"/>
              <w:right w:val="single" w:sz="8" w:color="3D85C6"/>
            </w:tcBorders>
            <w:shd w:val="clear" w:color="auto" w:fill="E6E6E6"/>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20" w:right="120" w:hanging="316"/>
        <w:spacing w:after="0" w:line="269" w:lineRule="auto"/>
        <w:tabs>
          <w:tab w:leader="none" w:pos="320" w:val="left"/>
        </w:tabs>
        <w:numPr>
          <w:ilvl w:val="0"/>
          <w:numId w:val="139"/>
        </w:numPr>
        <w:rPr>
          <w:rFonts w:ascii="Times New Roman" w:cs="Times New Roman" w:eastAsia="Times New Roman" w:hAnsi="Times New Roman"/>
          <w:sz w:val="13"/>
          <w:szCs w:val="13"/>
          <w:color w:val="auto"/>
        </w:rPr>
      </w:pPr>
      <w:r>
        <w:rPr>
          <w:rFonts w:ascii="Arial" w:cs="Arial" w:eastAsia="Arial" w:hAnsi="Arial"/>
          <w:sz w:val="13"/>
          <w:szCs w:val="13"/>
          <w:color w:val="auto"/>
        </w:rPr>
        <w:t>Mr. Ilgenfritz’s local Managing Director’s Service Agreement provides for six months notice period for termination, during which he will receive his full salary payments, and could be entitled to a pro rata share of any bonus entitlements through the end of the notice period, each of which would be included in the “Accrued Amounts” described above.</w:t>
      </w:r>
    </w:p>
    <w:p>
      <w:pPr>
        <w:spacing w:after="0" w:line="1" w:lineRule="exact"/>
        <w:rPr>
          <w:rFonts w:ascii="Times New Roman" w:cs="Times New Roman" w:eastAsia="Times New Roman" w:hAnsi="Times New Roman"/>
          <w:sz w:val="13"/>
          <w:szCs w:val="13"/>
          <w:color w:val="auto"/>
        </w:rPr>
      </w:pPr>
    </w:p>
    <w:p>
      <w:pPr>
        <w:ind w:left="320" w:hanging="316"/>
        <w:spacing w:after="0"/>
        <w:tabs>
          <w:tab w:leader="none" w:pos="320" w:val="left"/>
        </w:tabs>
        <w:numPr>
          <w:ilvl w:val="0"/>
          <w:numId w:val="139"/>
        </w:numPr>
        <w:rPr>
          <w:rFonts w:ascii="Times New Roman" w:cs="Times New Roman" w:eastAsia="Times New Roman" w:hAnsi="Times New Roman"/>
          <w:sz w:val="14"/>
          <w:szCs w:val="14"/>
          <w:color w:val="auto"/>
        </w:rPr>
      </w:pPr>
      <w:r>
        <w:rPr>
          <w:rFonts w:ascii="Arial" w:cs="Arial" w:eastAsia="Arial" w:hAnsi="Arial"/>
          <w:sz w:val="14"/>
          <w:szCs w:val="14"/>
          <w:color w:val="auto"/>
        </w:rPr>
        <w:t>COBRA coverage which is not applicable in Germany where he is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1374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Qualifying Termination in Connection with a Change of Control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this purpose, a change in control of Cohu means the occurrence of any of the following, in one or a series of related transactions:</w:t>
      </w:r>
    </w:p>
    <w:p>
      <w:pPr>
        <w:spacing w:after="0" w:line="194" w:lineRule="exact"/>
        <w:rPr>
          <w:sz w:val="20"/>
          <w:szCs w:val="20"/>
          <w:color w:val="auto"/>
        </w:rPr>
      </w:pPr>
    </w:p>
    <w:p>
      <w:pPr>
        <w:ind w:left="320" w:right="260" w:hanging="316"/>
        <w:spacing w:after="0" w:line="249" w:lineRule="auto"/>
        <w:tabs>
          <w:tab w:leader="none" w:pos="3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Any one person, or more than one person acting as a group (“Person”) acquires ownership of Cohu’s securities that, together with the stock held by such Person, constitutes more than 50% of the total voting power of Cohu’s then outstanding stock;</w:t>
      </w:r>
    </w:p>
    <w:p>
      <w:pPr>
        <w:ind w:left="320" w:right="60" w:hanging="316"/>
        <w:spacing w:after="0" w:line="239" w:lineRule="auto"/>
        <w:tabs>
          <w:tab w:leader="none" w:pos="3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 change in the effective control of Cohu which occurs on the date that a majority of members of the Board is replaced during any 12-month period (six-month period in the case of our CEO) by members of the Board whose appointment or election is not endorsed by a majority of the members of the Board prior to the date of the appointment or election; or</w:t>
      </w:r>
    </w:p>
    <w:p>
      <w:pPr>
        <w:ind w:left="320" w:right="100" w:hanging="316"/>
        <w:spacing w:after="0" w:line="246" w:lineRule="auto"/>
        <w:tabs>
          <w:tab w:leader="none" w:pos="3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closing of any transaction involving a change in ownership of a substantial portion of Cohu’s assets which occurs on the date that any Person acquires (or has acquired during any 12 month period ending on the date of the most recent acquisition by such Person or Persons) assets from Cohu that have a total gross fair market value equal to or more than 50% of the total gross fair market value of all of the assets of Cohu immediately prior to such acquisition or acquisitions.</w:t>
      </w:r>
    </w:p>
    <w:p>
      <w:pPr>
        <w:spacing w:after="0" w:line="157"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color w:val="auto"/>
        </w:rPr>
        <w:t>The term “change in control” shall not include a consolidation, merger, or other reorganization if upon consummation of such transaction all of the outstanding voting stock of Cohu is owned, directly or indirectly, by a holding company, and the holders of Cohu’s common stock immediately prior to the transaction have substantially the same proportionate ownership and voting control of such holding company after such transaction.</w:t>
      </w:r>
    </w:p>
    <w:p>
      <w:pPr>
        <w:spacing w:after="0" w:line="147"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A transaction will not be deemed a change in control unless the transaction qualifies as a change in control event for the purposes of Section 409A of the Internal Revenue Code.</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Additionally, the 2005 Plan provides that in the event of a change in control of Cohu, as defined in the 2005 Plan, should the acquiring corporation not assume or substitute for the outstanding equity awards of Cohu, the exercisability and vesting of all such equity awards will be accelerated, effective as of a date prior to the change in control.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15" w:name="page116"/>
    <w:bookmarkEnd w:id="115"/>
    <w:p>
      <w:pPr>
        <w:ind w:right="20"/>
        <w:spacing w:after="0" w:line="259" w:lineRule="auto"/>
        <w:rPr>
          <w:sz w:val="20"/>
          <w:szCs w:val="20"/>
          <w:color w:val="auto"/>
        </w:rPr>
      </w:pPr>
      <w:r>
        <w:rPr>
          <w:rFonts w:ascii="Arial" w:cs="Arial" w:eastAsia="Arial" w:hAnsi="Arial"/>
          <w:sz w:val="17"/>
          <w:szCs w:val="17"/>
          <w:color w:val="auto"/>
        </w:rPr>
        <w:t>In the event of the occurrence of both a change in control and the subsequent termination of employment (as applicable), as of December 27, 2025, the amounts payable to our NEOs would have been as follows. In the event of the occurrence of a change in control on December 27, 2025, the amounts payable to our NEOs would have been as set forth in the following chart solely under the RSUs/PSUs column.</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520" w:type="dxa"/>
            <w:vAlign w:val="bottom"/>
            <w:tcBorders>
              <w:left w:val="single" w:sz="8" w:color="3D85C6"/>
              <w:right w:val="single" w:sz="8" w:color="3D85C6"/>
            </w:tcBorders>
            <w:shd w:val="clear" w:color="auto" w:fill="2D53A6"/>
          </w:tcPr>
          <w:p>
            <w:pPr>
              <w:spacing w:after="0"/>
              <w:rPr>
                <w:sz w:val="16"/>
                <w:szCs w:val="16"/>
                <w:color w:val="auto"/>
              </w:rPr>
            </w:pPr>
          </w:p>
        </w:tc>
        <w:tc>
          <w:tcPr>
            <w:tcW w:w="1360" w:type="dxa"/>
            <w:vAlign w:val="bottom"/>
            <w:tcBorders>
              <w:right w:val="single" w:sz="8" w:color="3D85C6"/>
            </w:tcBorders>
            <w:vMerge w:val="restart"/>
            <w:shd w:val="clear" w:color="auto" w:fill="2D53A6"/>
          </w:tcPr>
          <w:p>
            <w:pPr>
              <w:jc w:val="right"/>
              <w:ind w:right="393"/>
              <w:spacing w:after="0"/>
              <w:rPr>
                <w:sz w:val="20"/>
                <w:szCs w:val="20"/>
                <w:color w:val="auto"/>
              </w:rPr>
            </w:pPr>
            <w:r>
              <w:rPr>
                <w:rFonts w:ascii="Arial" w:cs="Arial" w:eastAsia="Arial" w:hAnsi="Arial"/>
                <w:sz w:val="17"/>
                <w:szCs w:val="17"/>
                <w:b w:val="1"/>
                <w:bCs w:val="1"/>
                <w:color w:val="FFFFFF"/>
              </w:rPr>
              <w:t>Total</w:t>
            </w:r>
          </w:p>
        </w:tc>
        <w:tc>
          <w:tcPr>
            <w:tcW w:w="1360" w:type="dxa"/>
            <w:vAlign w:val="bottom"/>
            <w:tcBorders>
              <w:right w:val="single" w:sz="8" w:color="3D85C6"/>
            </w:tcBorders>
            <w:vMerge w:val="restart"/>
            <w:shd w:val="clear" w:color="auto" w:fill="2D53A6"/>
          </w:tcPr>
          <w:p>
            <w:pPr>
              <w:jc w:val="right"/>
              <w:ind w:right="153"/>
              <w:spacing w:after="0"/>
              <w:rPr>
                <w:sz w:val="20"/>
                <w:szCs w:val="20"/>
                <w:color w:val="auto"/>
              </w:rPr>
            </w:pPr>
            <w:r>
              <w:rPr>
                <w:rFonts w:ascii="Arial" w:cs="Arial" w:eastAsia="Arial" w:hAnsi="Arial"/>
                <w:sz w:val="17"/>
                <w:szCs w:val="17"/>
                <w:b w:val="1"/>
                <w:bCs w:val="1"/>
                <w:color w:val="FFFFFF"/>
              </w:rPr>
              <w:t>Severance</w:t>
            </w:r>
          </w:p>
        </w:tc>
        <w:tc>
          <w:tcPr>
            <w:tcW w:w="1380" w:type="dxa"/>
            <w:vAlign w:val="bottom"/>
            <w:tcBorders>
              <w:right w:val="single" w:sz="8" w:color="3D85C6"/>
            </w:tcBorders>
            <w:vMerge w:val="restart"/>
            <w:shd w:val="clear" w:color="auto" w:fill="2D53A6"/>
          </w:tcPr>
          <w:p>
            <w:pPr>
              <w:jc w:val="right"/>
              <w:ind w:right="313"/>
              <w:spacing w:after="0"/>
              <w:rPr>
                <w:sz w:val="20"/>
                <w:szCs w:val="20"/>
                <w:color w:val="auto"/>
              </w:rPr>
            </w:pPr>
            <w:r>
              <w:rPr>
                <w:rFonts w:ascii="Arial" w:cs="Arial" w:eastAsia="Arial" w:hAnsi="Arial"/>
                <w:sz w:val="17"/>
                <w:szCs w:val="17"/>
                <w:b w:val="1"/>
                <w:bCs w:val="1"/>
                <w:color w:val="FFFFFF"/>
              </w:rPr>
              <w:t>Annual</w:t>
            </w:r>
          </w:p>
        </w:tc>
        <w:tc>
          <w:tcPr>
            <w:tcW w:w="1320" w:type="dxa"/>
            <w:vAlign w:val="bottom"/>
            <w:tcBorders>
              <w:right w:val="single" w:sz="8" w:color="3D85C6"/>
            </w:tcBorders>
            <w:shd w:val="clear" w:color="auto" w:fill="2D53A6"/>
          </w:tcPr>
          <w:p>
            <w:pPr>
              <w:jc w:val="center"/>
              <w:spacing w:after="0"/>
              <w:rPr>
                <w:sz w:val="20"/>
                <w:szCs w:val="20"/>
                <w:color w:val="auto"/>
              </w:rPr>
            </w:pPr>
            <w:r>
              <w:rPr>
                <w:rFonts w:ascii="Arial" w:cs="Arial" w:eastAsia="Arial" w:hAnsi="Arial"/>
                <w:sz w:val="17"/>
                <w:szCs w:val="17"/>
                <w:b w:val="1"/>
                <w:bCs w:val="1"/>
                <w:color w:val="FFFFFF"/>
              </w:rPr>
              <w:t>Medical</w:t>
            </w:r>
          </w:p>
        </w:tc>
        <w:tc>
          <w:tcPr>
            <w:tcW w:w="1320" w:type="dxa"/>
            <w:vAlign w:val="bottom"/>
            <w:tcBorders>
              <w:right w:val="single" w:sz="8" w:color="3D85C6"/>
            </w:tcBorders>
            <w:vMerge w:val="restart"/>
            <w:shd w:val="clear" w:color="auto" w:fill="2D53A6"/>
          </w:tcPr>
          <w:p>
            <w:pPr>
              <w:jc w:val="right"/>
              <w:ind w:right="113"/>
              <w:spacing w:after="0"/>
              <w:rPr>
                <w:sz w:val="20"/>
                <w:szCs w:val="20"/>
                <w:color w:val="auto"/>
              </w:rPr>
            </w:pPr>
            <w:r>
              <w:rPr>
                <w:rFonts w:ascii="Arial" w:cs="Arial" w:eastAsia="Arial" w:hAnsi="Arial"/>
                <w:sz w:val="17"/>
                <w:szCs w:val="17"/>
                <w:b w:val="1"/>
                <w:bCs w:val="1"/>
                <w:color w:val="FFFFFF"/>
              </w:rPr>
              <w:t>RSUs/PSUs</w:t>
            </w:r>
          </w:p>
        </w:tc>
        <w:tc>
          <w:tcPr>
            <w:tcW w:w="0" w:type="dxa"/>
            <w:vAlign w:val="bottom"/>
          </w:tcPr>
          <w:p>
            <w:pPr>
              <w:spacing w:after="0"/>
              <w:rPr>
                <w:sz w:val="1"/>
                <w:szCs w:val="1"/>
                <w:color w:val="auto"/>
              </w:rPr>
            </w:pPr>
          </w:p>
        </w:tc>
      </w:tr>
      <w:tr>
        <w:trPr>
          <w:trHeight w:val="91"/>
        </w:trPr>
        <w:tc>
          <w:tcPr>
            <w:tcW w:w="4520" w:type="dxa"/>
            <w:vAlign w:val="bottom"/>
            <w:tcBorders>
              <w:left w:val="single" w:sz="8" w:color="3D85C6"/>
              <w:right w:val="single" w:sz="8" w:color="3D85C6"/>
            </w:tcBorders>
            <w:vMerge w:val="restart"/>
            <w:shd w:val="clear" w:color="auto" w:fill="2D53A6"/>
          </w:tcPr>
          <w:p>
            <w:pPr>
              <w:ind w:left="20"/>
              <w:spacing w:after="0"/>
              <w:rPr>
                <w:sz w:val="20"/>
                <w:szCs w:val="20"/>
                <w:color w:val="auto"/>
              </w:rPr>
            </w:pPr>
            <w:r>
              <w:rPr>
                <w:rFonts w:ascii="Arial" w:cs="Arial" w:eastAsia="Arial" w:hAnsi="Arial"/>
                <w:sz w:val="17"/>
                <w:szCs w:val="17"/>
                <w:b w:val="1"/>
                <w:bCs w:val="1"/>
                <w:color w:val="FFFFFF"/>
              </w:rPr>
              <w:t>Named Executive Officer</w:t>
            </w:r>
          </w:p>
        </w:tc>
        <w:tc>
          <w:tcPr>
            <w:tcW w:w="1360" w:type="dxa"/>
            <w:vAlign w:val="bottom"/>
            <w:tcBorders>
              <w:right w:val="single" w:sz="8" w:color="3D85C6"/>
            </w:tcBorders>
            <w:vMerge w:val="continue"/>
            <w:shd w:val="clear" w:color="auto" w:fill="2D53A6"/>
          </w:tcPr>
          <w:p>
            <w:pPr>
              <w:spacing w:after="0"/>
              <w:rPr>
                <w:sz w:val="7"/>
                <w:szCs w:val="7"/>
                <w:color w:val="auto"/>
              </w:rPr>
            </w:pPr>
          </w:p>
        </w:tc>
        <w:tc>
          <w:tcPr>
            <w:tcW w:w="1360" w:type="dxa"/>
            <w:vAlign w:val="bottom"/>
            <w:tcBorders>
              <w:right w:val="single" w:sz="8" w:color="3D85C6"/>
            </w:tcBorders>
            <w:vMerge w:val="continue"/>
            <w:shd w:val="clear" w:color="auto" w:fill="2D53A6"/>
          </w:tcPr>
          <w:p>
            <w:pPr>
              <w:spacing w:after="0"/>
              <w:rPr>
                <w:sz w:val="7"/>
                <w:szCs w:val="7"/>
                <w:color w:val="auto"/>
              </w:rPr>
            </w:pPr>
          </w:p>
        </w:tc>
        <w:tc>
          <w:tcPr>
            <w:tcW w:w="1380" w:type="dxa"/>
            <w:vAlign w:val="bottom"/>
            <w:tcBorders>
              <w:right w:val="single" w:sz="8" w:color="3D85C6"/>
            </w:tcBorders>
            <w:vMerge w:val="continue"/>
            <w:shd w:val="clear" w:color="auto" w:fill="2D53A6"/>
          </w:tcPr>
          <w:p>
            <w:pPr>
              <w:spacing w:after="0"/>
              <w:rPr>
                <w:sz w:val="7"/>
                <w:szCs w:val="7"/>
                <w:color w:val="auto"/>
              </w:rPr>
            </w:pPr>
          </w:p>
        </w:tc>
        <w:tc>
          <w:tcPr>
            <w:tcW w:w="132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Benefits</w:t>
            </w:r>
          </w:p>
        </w:tc>
        <w:tc>
          <w:tcPr>
            <w:tcW w:w="1320" w:type="dxa"/>
            <w:vAlign w:val="bottom"/>
            <w:tcBorders>
              <w:right w:val="single" w:sz="8" w:color="3D85C6"/>
            </w:tcBorders>
            <w:vMerge w:val="continue"/>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520" w:type="dxa"/>
            <w:vAlign w:val="bottom"/>
            <w:tcBorders>
              <w:left w:val="single" w:sz="8" w:color="3D85C6"/>
              <w:right w:val="single" w:sz="8" w:color="3D85C6"/>
            </w:tcBorders>
            <w:vMerge w:val="continue"/>
            <w:shd w:val="clear" w:color="auto" w:fill="2D53A6"/>
          </w:tcPr>
          <w:p>
            <w:pPr>
              <w:spacing w:after="0"/>
              <w:rPr>
                <w:sz w:val="9"/>
                <w:szCs w:val="9"/>
                <w:color w:val="auto"/>
              </w:rPr>
            </w:pPr>
          </w:p>
        </w:tc>
        <w:tc>
          <w:tcPr>
            <w:tcW w:w="1360" w:type="dxa"/>
            <w:vAlign w:val="bottom"/>
            <w:tcBorders>
              <w:right w:val="single" w:sz="8" w:color="3D85C6"/>
            </w:tcBorders>
            <w:vMerge w:val="restart"/>
            <w:shd w:val="clear" w:color="auto" w:fill="2D53A6"/>
          </w:tcPr>
          <w:p>
            <w:pPr>
              <w:jc w:val="right"/>
              <w:ind w:right="493"/>
              <w:spacing w:after="0"/>
              <w:rPr>
                <w:sz w:val="20"/>
                <w:szCs w:val="20"/>
                <w:color w:val="auto"/>
              </w:rPr>
            </w:pPr>
            <w:r>
              <w:rPr>
                <w:rFonts w:ascii="Arial" w:cs="Arial" w:eastAsia="Arial" w:hAnsi="Arial"/>
                <w:sz w:val="17"/>
                <w:szCs w:val="17"/>
                <w:b w:val="1"/>
                <w:bCs w:val="1"/>
                <w:color w:val="FFFFFF"/>
              </w:rPr>
              <w:t>($)</w:t>
            </w:r>
          </w:p>
        </w:tc>
        <w:tc>
          <w:tcPr>
            <w:tcW w:w="1360" w:type="dxa"/>
            <w:vAlign w:val="bottom"/>
            <w:tcBorders>
              <w:right w:val="single" w:sz="8" w:color="3D85C6"/>
            </w:tcBorders>
            <w:vMerge w:val="restart"/>
            <w:shd w:val="clear" w:color="auto" w:fill="2D53A6"/>
          </w:tcPr>
          <w:p>
            <w:pPr>
              <w:jc w:val="right"/>
              <w:ind w:right="393"/>
              <w:spacing w:after="0"/>
              <w:rPr>
                <w:sz w:val="20"/>
                <w:szCs w:val="20"/>
                <w:color w:val="auto"/>
              </w:rPr>
            </w:pPr>
            <w:r>
              <w:rPr>
                <w:rFonts w:ascii="Arial" w:cs="Arial" w:eastAsia="Arial" w:hAnsi="Arial"/>
                <w:sz w:val="17"/>
                <w:szCs w:val="17"/>
                <w:b w:val="1"/>
                <w:bCs w:val="1"/>
                <w:color w:val="FFFFFF"/>
              </w:rPr>
              <w:t>($)</w:t>
            </w:r>
            <w:r>
              <w:rPr>
                <w:rFonts w:ascii="Arial" w:cs="Arial" w:eastAsia="Arial" w:hAnsi="Arial"/>
                <w:sz w:val="14"/>
                <w:szCs w:val="14"/>
                <w:b w:val="1"/>
                <w:bCs w:val="1"/>
                <w:color w:val="FFFFFF"/>
              </w:rPr>
              <w:t>(1)</w:t>
            </w:r>
          </w:p>
        </w:tc>
        <w:tc>
          <w:tcPr>
            <w:tcW w:w="1380" w:type="dxa"/>
            <w:vAlign w:val="bottom"/>
            <w:tcBorders>
              <w:right w:val="single" w:sz="8" w:color="3D85C6"/>
            </w:tcBorders>
            <w:vMerge w:val="restart"/>
            <w:shd w:val="clear" w:color="auto" w:fill="2D53A6"/>
          </w:tcPr>
          <w:p>
            <w:pPr>
              <w:jc w:val="right"/>
              <w:ind w:right="113"/>
              <w:spacing w:after="0"/>
              <w:rPr>
                <w:sz w:val="20"/>
                <w:szCs w:val="20"/>
                <w:color w:val="auto"/>
              </w:rPr>
            </w:pPr>
            <w:r>
              <w:rPr>
                <w:rFonts w:ascii="Arial" w:cs="Arial" w:eastAsia="Arial" w:hAnsi="Arial"/>
                <w:sz w:val="17"/>
                <w:szCs w:val="17"/>
                <w:b w:val="1"/>
                <w:bCs w:val="1"/>
                <w:color w:val="FFFFFF"/>
              </w:rPr>
              <w:t>Bonus ($)</w:t>
            </w:r>
            <w:r>
              <w:rPr>
                <w:rFonts w:ascii="Arial" w:cs="Arial" w:eastAsia="Arial" w:hAnsi="Arial"/>
                <w:sz w:val="14"/>
                <w:szCs w:val="14"/>
                <w:b w:val="1"/>
                <w:bCs w:val="1"/>
                <w:color w:val="FFFFFF"/>
              </w:rPr>
              <w:t>(1)</w:t>
            </w:r>
          </w:p>
        </w:tc>
        <w:tc>
          <w:tcPr>
            <w:tcW w:w="1320" w:type="dxa"/>
            <w:vAlign w:val="bottom"/>
            <w:tcBorders>
              <w:right w:val="single" w:sz="8" w:color="3D85C6"/>
            </w:tcBorders>
            <w:vMerge w:val="continue"/>
            <w:shd w:val="clear" w:color="auto" w:fill="2D53A6"/>
          </w:tcPr>
          <w:p>
            <w:pPr>
              <w:spacing w:after="0"/>
              <w:rPr>
                <w:sz w:val="9"/>
                <w:szCs w:val="9"/>
                <w:color w:val="auto"/>
              </w:rPr>
            </w:pPr>
          </w:p>
        </w:tc>
        <w:tc>
          <w:tcPr>
            <w:tcW w:w="1320" w:type="dxa"/>
            <w:vAlign w:val="bottom"/>
            <w:tcBorders>
              <w:right w:val="single" w:sz="8" w:color="3D85C6"/>
            </w:tcBorders>
            <w:vMerge w:val="restart"/>
            <w:shd w:val="clear" w:color="auto" w:fill="2D53A6"/>
          </w:tcPr>
          <w:p>
            <w:pPr>
              <w:jc w:val="right"/>
              <w:ind w:right="393"/>
              <w:spacing w:after="0"/>
              <w:rPr>
                <w:sz w:val="20"/>
                <w:szCs w:val="20"/>
                <w:color w:val="auto"/>
              </w:rPr>
            </w:pPr>
            <w:r>
              <w:rPr>
                <w:rFonts w:ascii="Arial" w:cs="Arial" w:eastAsia="Arial" w:hAnsi="Arial"/>
                <w:sz w:val="17"/>
                <w:szCs w:val="17"/>
                <w:b w:val="1"/>
                <w:bCs w:val="1"/>
                <w:color w:val="FFFFFF"/>
              </w:rPr>
              <w:t>($)</w:t>
            </w:r>
            <w:r>
              <w:rPr>
                <w:rFonts w:ascii="Arial" w:cs="Arial" w:eastAsia="Arial" w:hAnsi="Arial"/>
                <w:sz w:val="14"/>
                <w:szCs w:val="14"/>
                <w:b w:val="1"/>
                <w:bCs w:val="1"/>
                <w:color w:val="FFFFFF"/>
              </w:rPr>
              <w:t>(3)</w:t>
            </w:r>
          </w:p>
        </w:tc>
        <w:tc>
          <w:tcPr>
            <w:tcW w:w="0" w:type="dxa"/>
            <w:vAlign w:val="bottom"/>
          </w:tcPr>
          <w:p>
            <w:pPr>
              <w:spacing w:after="0"/>
              <w:rPr>
                <w:sz w:val="1"/>
                <w:szCs w:val="1"/>
                <w:color w:val="auto"/>
              </w:rPr>
            </w:pPr>
          </w:p>
        </w:tc>
      </w:tr>
      <w:tr>
        <w:trPr>
          <w:trHeight w:val="135"/>
        </w:trPr>
        <w:tc>
          <w:tcPr>
            <w:tcW w:w="4520" w:type="dxa"/>
            <w:vAlign w:val="bottom"/>
            <w:tcBorders>
              <w:left w:val="single" w:sz="8" w:color="3D85C6"/>
              <w:right w:val="single" w:sz="8" w:color="3D85C6"/>
            </w:tcBorders>
            <w:shd w:val="clear" w:color="auto" w:fill="2D53A6"/>
          </w:tcPr>
          <w:p>
            <w:pPr>
              <w:spacing w:after="0"/>
              <w:rPr>
                <w:sz w:val="11"/>
                <w:szCs w:val="11"/>
                <w:color w:val="auto"/>
              </w:rPr>
            </w:pPr>
          </w:p>
        </w:tc>
        <w:tc>
          <w:tcPr>
            <w:tcW w:w="1360" w:type="dxa"/>
            <w:vAlign w:val="bottom"/>
            <w:tcBorders>
              <w:right w:val="single" w:sz="8" w:color="3D85C6"/>
            </w:tcBorders>
            <w:vMerge w:val="continue"/>
            <w:shd w:val="clear" w:color="auto" w:fill="2D53A6"/>
          </w:tcPr>
          <w:p>
            <w:pPr>
              <w:spacing w:after="0"/>
              <w:rPr>
                <w:sz w:val="11"/>
                <w:szCs w:val="11"/>
                <w:color w:val="auto"/>
              </w:rPr>
            </w:pPr>
          </w:p>
        </w:tc>
        <w:tc>
          <w:tcPr>
            <w:tcW w:w="1360" w:type="dxa"/>
            <w:vAlign w:val="bottom"/>
            <w:tcBorders>
              <w:right w:val="single" w:sz="8" w:color="3D85C6"/>
            </w:tcBorders>
            <w:vMerge w:val="continue"/>
            <w:shd w:val="clear" w:color="auto" w:fill="2D53A6"/>
          </w:tcPr>
          <w:p>
            <w:pPr>
              <w:spacing w:after="0"/>
              <w:rPr>
                <w:sz w:val="11"/>
                <w:szCs w:val="11"/>
                <w:color w:val="auto"/>
              </w:rPr>
            </w:pPr>
          </w:p>
        </w:tc>
        <w:tc>
          <w:tcPr>
            <w:tcW w:w="1380" w:type="dxa"/>
            <w:vAlign w:val="bottom"/>
            <w:tcBorders>
              <w:right w:val="single" w:sz="8" w:color="3D85C6"/>
            </w:tcBorders>
            <w:vMerge w:val="continue"/>
            <w:shd w:val="clear" w:color="auto" w:fill="2D53A6"/>
          </w:tcPr>
          <w:p>
            <w:pPr>
              <w:spacing w:after="0"/>
              <w:rPr>
                <w:sz w:val="11"/>
                <w:szCs w:val="11"/>
                <w:color w:val="auto"/>
              </w:rPr>
            </w:pPr>
          </w:p>
        </w:tc>
        <w:tc>
          <w:tcPr>
            <w:tcW w:w="132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w:t>
            </w:r>
            <w:r>
              <w:rPr>
                <w:rFonts w:ascii="Arial" w:cs="Arial" w:eastAsia="Arial" w:hAnsi="Arial"/>
                <w:sz w:val="14"/>
                <w:szCs w:val="14"/>
                <w:b w:val="1"/>
                <w:bCs w:val="1"/>
                <w:color w:val="FFFFFF"/>
              </w:rPr>
              <w:t>(2)</w:t>
            </w:r>
          </w:p>
        </w:tc>
        <w:tc>
          <w:tcPr>
            <w:tcW w:w="1320" w:type="dxa"/>
            <w:vAlign w:val="bottom"/>
            <w:tcBorders>
              <w:right w:val="single" w:sz="8" w:color="3D85C6"/>
            </w:tcBorders>
            <w:vMerge w:val="continue"/>
            <w:shd w:val="clear" w:color="auto" w:fill="2D53A6"/>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520" w:type="dxa"/>
            <w:vAlign w:val="bottom"/>
            <w:tcBorders>
              <w:left w:val="single" w:sz="8" w:color="3D85C6"/>
              <w:right w:val="single" w:sz="8" w:color="3D85C6"/>
            </w:tcBorders>
            <w:shd w:val="clear" w:color="auto" w:fill="2D53A6"/>
          </w:tcPr>
          <w:p>
            <w:pPr>
              <w:spacing w:after="0"/>
              <w:rPr>
                <w:sz w:val="7"/>
                <w:szCs w:val="7"/>
                <w:color w:val="auto"/>
              </w:rPr>
            </w:pPr>
          </w:p>
        </w:tc>
        <w:tc>
          <w:tcPr>
            <w:tcW w:w="1360" w:type="dxa"/>
            <w:vAlign w:val="bottom"/>
            <w:tcBorders>
              <w:right w:val="single" w:sz="8" w:color="3D85C6"/>
            </w:tcBorders>
            <w:shd w:val="clear" w:color="auto" w:fill="2D53A6"/>
          </w:tcPr>
          <w:p>
            <w:pPr>
              <w:spacing w:after="0"/>
              <w:rPr>
                <w:sz w:val="7"/>
                <w:szCs w:val="7"/>
                <w:color w:val="auto"/>
              </w:rPr>
            </w:pPr>
          </w:p>
        </w:tc>
        <w:tc>
          <w:tcPr>
            <w:tcW w:w="1360" w:type="dxa"/>
            <w:vAlign w:val="bottom"/>
            <w:tcBorders>
              <w:right w:val="single" w:sz="8" w:color="3D85C6"/>
            </w:tcBorders>
            <w:shd w:val="clear" w:color="auto" w:fill="2D53A6"/>
          </w:tcPr>
          <w:p>
            <w:pPr>
              <w:spacing w:after="0"/>
              <w:rPr>
                <w:sz w:val="7"/>
                <w:szCs w:val="7"/>
                <w:color w:val="auto"/>
              </w:rPr>
            </w:pPr>
          </w:p>
        </w:tc>
        <w:tc>
          <w:tcPr>
            <w:tcW w:w="1380" w:type="dxa"/>
            <w:vAlign w:val="bottom"/>
            <w:tcBorders>
              <w:right w:val="single" w:sz="8" w:color="3D85C6"/>
            </w:tcBorders>
            <w:shd w:val="clear" w:color="auto" w:fill="2D53A6"/>
          </w:tcPr>
          <w:p>
            <w:pPr>
              <w:spacing w:after="0"/>
              <w:rPr>
                <w:sz w:val="7"/>
                <w:szCs w:val="7"/>
                <w:color w:val="auto"/>
              </w:rPr>
            </w:pPr>
          </w:p>
        </w:tc>
        <w:tc>
          <w:tcPr>
            <w:tcW w:w="1320" w:type="dxa"/>
            <w:vAlign w:val="bottom"/>
            <w:tcBorders>
              <w:right w:val="single" w:sz="8" w:color="3D85C6"/>
            </w:tcBorders>
            <w:vMerge w:val="continue"/>
            <w:shd w:val="clear" w:color="auto" w:fill="2D53A6"/>
          </w:tcPr>
          <w:p>
            <w:pPr>
              <w:spacing w:after="0"/>
              <w:rPr>
                <w:sz w:val="7"/>
                <w:szCs w:val="7"/>
                <w:color w:val="auto"/>
              </w:rPr>
            </w:pPr>
          </w:p>
        </w:tc>
        <w:tc>
          <w:tcPr>
            <w:tcW w:w="1320" w:type="dxa"/>
            <w:vAlign w:val="bottom"/>
            <w:tcBorders>
              <w:right w:val="single" w:sz="8" w:color="3D85C6"/>
            </w:tcBorders>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520" w:type="dxa"/>
            <w:vAlign w:val="bottom"/>
            <w:tcBorders>
              <w:left w:val="single" w:sz="8" w:color="3D85C6"/>
              <w:bottom w:val="single" w:sz="8" w:color="3D85C6"/>
              <w:right w:val="single" w:sz="8" w:color="3D85C6"/>
            </w:tcBorders>
          </w:tcPr>
          <w:p>
            <w:pPr>
              <w:ind w:left="20"/>
              <w:spacing w:after="0"/>
              <w:rPr>
                <w:sz w:val="20"/>
                <w:szCs w:val="20"/>
                <w:color w:val="auto"/>
              </w:rPr>
            </w:pPr>
            <w:r>
              <w:rPr>
                <w:rFonts w:ascii="Arial" w:cs="Arial" w:eastAsia="Arial" w:hAnsi="Arial"/>
                <w:sz w:val="17"/>
                <w:szCs w:val="17"/>
                <w:color w:val="auto"/>
              </w:rPr>
              <w:t>Luis A. Müller</w:t>
            </w:r>
          </w:p>
        </w:tc>
        <w:tc>
          <w:tcPr>
            <w:tcW w:w="136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14,507,704</w:t>
            </w:r>
          </w:p>
        </w:tc>
        <w:tc>
          <w:tcPr>
            <w:tcW w:w="136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3,003,000</w:t>
            </w:r>
          </w:p>
        </w:tc>
        <w:tc>
          <w:tcPr>
            <w:tcW w:w="1380" w:type="dxa"/>
            <w:vAlign w:val="bottom"/>
            <w:tcBorders>
              <w:bottom w:val="single" w:sz="8" w:color="3D85C6"/>
              <w:right w:val="single" w:sz="8" w:color="3D85C6"/>
            </w:tcBorders>
          </w:tcPr>
          <w:p>
            <w:pPr>
              <w:jc w:val="right"/>
              <w:ind w:right="53"/>
              <w:spacing w:after="0"/>
              <w:rPr>
                <w:sz w:val="20"/>
                <w:szCs w:val="20"/>
                <w:color w:val="auto"/>
              </w:rPr>
            </w:pPr>
            <w:r>
              <w:rPr>
                <w:rFonts w:ascii="Arial" w:cs="Arial" w:eastAsia="Arial" w:hAnsi="Arial"/>
                <w:sz w:val="17"/>
                <w:szCs w:val="17"/>
                <w:color w:val="auto"/>
              </w:rPr>
              <w:t>786,500</w:t>
            </w:r>
          </w:p>
        </w:tc>
        <w:tc>
          <w:tcPr>
            <w:tcW w:w="132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112,140</w:t>
            </w:r>
          </w:p>
        </w:tc>
        <w:tc>
          <w:tcPr>
            <w:tcW w:w="1320" w:type="dxa"/>
            <w:vAlign w:val="bottom"/>
            <w:tcBorders>
              <w:bottom w:val="single" w:sz="8" w:color="3D85C6"/>
              <w:right w:val="single" w:sz="8" w:color="3D85C6"/>
            </w:tcBorders>
          </w:tcPr>
          <w:p>
            <w:pPr>
              <w:jc w:val="right"/>
              <w:ind w:right="33"/>
              <w:spacing w:after="0"/>
              <w:rPr>
                <w:sz w:val="20"/>
                <w:szCs w:val="20"/>
                <w:color w:val="auto"/>
              </w:rPr>
            </w:pPr>
            <w:r>
              <w:rPr>
                <w:rFonts w:ascii="Arial" w:cs="Arial" w:eastAsia="Arial" w:hAnsi="Arial"/>
                <w:sz w:val="17"/>
                <w:szCs w:val="17"/>
                <w:color w:val="auto"/>
              </w:rPr>
              <w:t>10,606,064</w:t>
            </w:r>
          </w:p>
        </w:tc>
        <w:tc>
          <w:tcPr>
            <w:tcW w:w="0" w:type="dxa"/>
            <w:vAlign w:val="bottom"/>
          </w:tcPr>
          <w:p>
            <w:pPr>
              <w:spacing w:after="0"/>
              <w:rPr>
                <w:sz w:val="1"/>
                <w:szCs w:val="1"/>
                <w:color w:val="auto"/>
              </w:rPr>
            </w:pPr>
          </w:p>
        </w:tc>
      </w:tr>
      <w:tr>
        <w:trPr>
          <w:trHeight w:val="188"/>
        </w:trPr>
        <w:tc>
          <w:tcPr>
            <w:tcW w:w="4520" w:type="dxa"/>
            <w:vAlign w:val="bottom"/>
            <w:tcBorders>
              <w:left w:val="single" w:sz="8" w:color="3D85C6"/>
              <w:bottom w:val="single" w:sz="8" w:color="3D85C6"/>
              <w:right w:val="single" w:sz="8" w:color="3D85C6"/>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Jeffrey D. Jones</w:t>
            </w:r>
          </w:p>
        </w:tc>
        <w:tc>
          <w:tcPr>
            <w:tcW w:w="136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4,992,112</w:t>
            </w:r>
          </w:p>
        </w:tc>
        <w:tc>
          <w:tcPr>
            <w:tcW w:w="136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1,194,375</w:t>
            </w:r>
          </w:p>
        </w:tc>
        <w:tc>
          <w:tcPr>
            <w:tcW w:w="1380" w:type="dxa"/>
            <w:vAlign w:val="bottom"/>
            <w:tcBorders>
              <w:bottom w:val="single" w:sz="8" w:color="3D85C6"/>
              <w:right w:val="single" w:sz="8" w:color="3D85C6"/>
            </w:tcBorders>
            <w:shd w:val="clear" w:color="auto" w:fill="E6E6E6"/>
          </w:tcPr>
          <w:p>
            <w:pPr>
              <w:jc w:val="right"/>
              <w:ind w:right="53"/>
              <w:spacing w:after="0" w:line="188" w:lineRule="exact"/>
              <w:rPr>
                <w:sz w:val="20"/>
                <w:szCs w:val="20"/>
                <w:color w:val="auto"/>
              </w:rPr>
            </w:pPr>
            <w:r>
              <w:rPr>
                <w:rFonts w:ascii="Arial" w:cs="Arial" w:eastAsia="Arial" w:hAnsi="Arial"/>
                <w:sz w:val="17"/>
                <w:szCs w:val="17"/>
                <w:color w:val="auto"/>
              </w:rPr>
              <w:t>341,250</w:t>
            </w:r>
          </w:p>
        </w:tc>
        <w:tc>
          <w:tcPr>
            <w:tcW w:w="132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58,447</w:t>
            </w:r>
          </w:p>
        </w:tc>
        <w:tc>
          <w:tcPr>
            <w:tcW w:w="132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3,398,040</w:t>
            </w:r>
          </w:p>
        </w:tc>
        <w:tc>
          <w:tcPr>
            <w:tcW w:w="0" w:type="dxa"/>
            <w:vAlign w:val="bottom"/>
          </w:tcPr>
          <w:p>
            <w:pPr>
              <w:spacing w:after="0"/>
              <w:rPr>
                <w:sz w:val="1"/>
                <w:szCs w:val="1"/>
                <w:color w:val="auto"/>
              </w:rPr>
            </w:pPr>
          </w:p>
        </w:tc>
      </w:tr>
      <w:tr>
        <w:trPr>
          <w:trHeight w:val="188"/>
        </w:trPr>
        <w:tc>
          <w:tcPr>
            <w:tcW w:w="4520" w:type="dxa"/>
            <w:vAlign w:val="bottom"/>
            <w:tcBorders>
              <w:left w:val="single" w:sz="8" w:color="3D85C6"/>
              <w:bottom w:val="single" w:sz="8" w:color="3D85C6"/>
              <w:right w:val="single" w:sz="8" w:color="3D85C6"/>
            </w:tcBorders>
          </w:tcPr>
          <w:p>
            <w:pPr>
              <w:ind w:left="20"/>
              <w:spacing w:after="0" w:line="188" w:lineRule="exact"/>
              <w:rPr>
                <w:sz w:val="20"/>
                <w:szCs w:val="20"/>
                <w:color w:val="auto"/>
              </w:rPr>
            </w:pPr>
            <w:r>
              <w:rPr>
                <w:rFonts w:ascii="Arial" w:cs="Arial" w:eastAsia="Arial" w:hAnsi="Arial"/>
                <w:sz w:val="17"/>
                <w:szCs w:val="17"/>
                <w:color w:val="auto"/>
              </w:rPr>
              <w:t>Christopher G. Bohrson</w:t>
            </w:r>
          </w:p>
        </w:tc>
        <w:tc>
          <w:tcPr>
            <w:tcW w:w="136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4,013,722</w:t>
            </w:r>
          </w:p>
        </w:tc>
        <w:tc>
          <w:tcPr>
            <w:tcW w:w="136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1,115,625</w:t>
            </w:r>
          </w:p>
        </w:tc>
        <w:tc>
          <w:tcPr>
            <w:tcW w:w="1380" w:type="dxa"/>
            <w:vAlign w:val="bottom"/>
            <w:tcBorders>
              <w:bottom w:val="single" w:sz="8" w:color="3D85C6"/>
              <w:right w:val="single" w:sz="8" w:color="3D85C6"/>
            </w:tcBorders>
          </w:tcPr>
          <w:p>
            <w:pPr>
              <w:jc w:val="right"/>
              <w:ind w:right="53"/>
              <w:spacing w:after="0" w:line="188" w:lineRule="exact"/>
              <w:rPr>
                <w:sz w:val="20"/>
                <w:szCs w:val="20"/>
                <w:color w:val="auto"/>
              </w:rPr>
            </w:pPr>
            <w:r>
              <w:rPr>
                <w:rFonts w:ascii="Arial" w:cs="Arial" w:eastAsia="Arial" w:hAnsi="Arial"/>
                <w:sz w:val="17"/>
                <w:szCs w:val="17"/>
                <w:color w:val="auto"/>
              </w:rPr>
              <w:t>318,750</w:t>
            </w:r>
          </w:p>
        </w:tc>
        <w:tc>
          <w:tcPr>
            <w:tcW w:w="132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58,447</w:t>
            </w:r>
          </w:p>
        </w:tc>
        <w:tc>
          <w:tcPr>
            <w:tcW w:w="132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2,520,900</w:t>
            </w:r>
          </w:p>
        </w:tc>
        <w:tc>
          <w:tcPr>
            <w:tcW w:w="0" w:type="dxa"/>
            <w:vAlign w:val="bottom"/>
          </w:tcPr>
          <w:p>
            <w:pPr>
              <w:spacing w:after="0"/>
              <w:rPr>
                <w:sz w:val="1"/>
                <w:szCs w:val="1"/>
                <w:color w:val="auto"/>
              </w:rPr>
            </w:pPr>
          </w:p>
        </w:tc>
      </w:tr>
      <w:tr>
        <w:trPr>
          <w:trHeight w:val="188"/>
        </w:trPr>
        <w:tc>
          <w:tcPr>
            <w:tcW w:w="4520" w:type="dxa"/>
            <w:vAlign w:val="bottom"/>
            <w:tcBorders>
              <w:left w:val="single" w:sz="8" w:color="3D85C6"/>
              <w:bottom w:val="single" w:sz="8" w:color="3D85C6"/>
              <w:right w:val="single" w:sz="8" w:color="3D85C6"/>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Klaus Ilgenfritz</w:t>
            </w:r>
          </w:p>
        </w:tc>
        <w:tc>
          <w:tcPr>
            <w:tcW w:w="136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2,685,842</w:t>
            </w:r>
          </w:p>
        </w:tc>
        <w:tc>
          <w:tcPr>
            <w:tcW w:w="136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932,785</w:t>
            </w:r>
          </w:p>
        </w:tc>
        <w:tc>
          <w:tcPr>
            <w:tcW w:w="1380" w:type="dxa"/>
            <w:vAlign w:val="bottom"/>
            <w:tcBorders>
              <w:bottom w:val="single" w:sz="8" w:color="3D85C6"/>
              <w:right w:val="single" w:sz="8" w:color="3D85C6"/>
            </w:tcBorders>
            <w:shd w:val="clear" w:color="auto" w:fill="E6E6E6"/>
          </w:tcPr>
          <w:p>
            <w:pPr>
              <w:jc w:val="right"/>
              <w:ind w:right="53"/>
              <w:spacing w:after="0" w:line="188" w:lineRule="exact"/>
              <w:rPr>
                <w:sz w:val="20"/>
                <w:szCs w:val="20"/>
                <w:color w:val="auto"/>
              </w:rPr>
            </w:pPr>
            <w:r>
              <w:rPr>
                <w:rFonts w:ascii="Arial" w:cs="Arial" w:eastAsia="Arial" w:hAnsi="Arial"/>
                <w:sz w:val="17"/>
                <w:szCs w:val="17"/>
                <w:color w:val="auto"/>
              </w:rPr>
              <w:t>254,396</w:t>
            </w:r>
          </w:p>
        </w:tc>
        <w:tc>
          <w:tcPr>
            <w:tcW w:w="132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1,498,662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right="300" w:hanging="316"/>
        <w:spacing w:after="0" w:line="241" w:lineRule="auto"/>
        <w:tabs>
          <w:tab w:leader="none" w:pos="32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Reflects the cash severance benefits payable in the event of a qualifying termination under the Change in Control Agreements for Dr. Müller and Messrs. Jones, Bohrson and Ilgenfritz. These amounts are based on the individual’s base salary and target bonus rate in effect as of December 27, 2025.</w:t>
      </w:r>
    </w:p>
    <w:p>
      <w:pPr>
        <w:ind w:left="320" w:right="620" w:hanging="316"/>
        <w:spacing w:after="0" w:line="232" w:lineRule="auto"/>
        <w:tabs>
          <w:tab w:leader="none" w:pos="32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Reflects reimbursement for continued health care benefits pursuant to COBRA, 24 months for Dr. Müller, and 18 months for Messrs. Jones, and Bohrson. Mr. Ilgenfritz is employed in Germany and COBRA is not applicable in this jurisdiction.</w:t>
      </w:r>
    </w:p>
    <w:p>
      <w:pPr>
        <w:ind w:left="320" w:right="20" w:hanging="316"/>
        <w:spacing w:after="0" w:line="236" w:lineRule="auto"/>
        <w:tabs>
          <w:tab w:leader="none" w:pos="32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2005 Plan provides that in the event of a change in control of Cohu, as defined in the 2005 Plan, should the acquiring corporation not assume or substitute for the outstanding equity awards of Cohu, the exercisability and vesting of all such equity awards will be accelerated, effective as of a date prior to the change in control. As these awards were granted in 2024 or earlier, the applicable stock award agreement provides for acceleration upon a change in control. Amounts presented above for RSUs and PSUs have been calculated based on the total unvested RSUs and PSUs and the closing price of Cohu’s common stock of $23.49 per share on December 27, 2025, prior to the payment of associated taxes, held by Dr. Müller and Messrs. Jones, Bohrson and Ilgenfritz as of December 27, 2025.</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Estimated Payments Upon a Qualifying Termination Not in Connection with a Change of Control</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the event of termination of employment not in connection with a change of control in the case for Dr. Müller and Messrs. Jones, Bohrson and Ilgenfritz by Cohu without cause, or by Dr. Müller for Good Reason as of December 27, 2025, the amounts payable to each NEO would have been as follows:</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6200" w:type="dxa"/>
            <w:vAlign w:val="bottom"/>
            <w:tcBorders>
              <w:top w:val="single" w:sz="8" w:color="3D85C6"/>
              <w:left w:val="single" w:sz="8" w:color="3D85C6"/>
              <w:right w:val="single" w:sz="8" w:color="3D85C6"/>
            </w:tcBorders>
            <w:shd w:val="clear" w:color="auto" w:fill="2D53A6"/>
          </w:tcPr>
          <w:p>
            <w:pPr>
              <w:spacing w:after="0"/>
              <w:rPr>
                <w:sz w:val="16"/>
                <w:szCs w:val="16"/>
                <w:color w:val="auto"/>
              </w:rPr>
            </w:pPr>
          </w:p>
        </w:tc>
        <w:tc>
          <w:tcPr>
            <w:tcW w:w="1700" w:type="dxa"/>
            <w:vAlign w:val="bottom"/>
            <w:tcBorders>
              <w:top w:val="single" w:sz="8" w:color="2D53A6"/>
              <w:right w:val="single" w:sz="8" w:color="3D85C6"/>
            </w:tcBorders>
            <w:vMerge w:val="restart"/>
            <w:shd w:val="clear" w:color="auto" w:fill="2D53A6"/>
          </w:tcPr>
          <w:p>
            <w:pPr>
              <w:jc w:val="right"/>
              <w:ind w:right="573"/>
              <w:spacing w:after="0"/>
              <w:rPr>
                <w:sz w:val="20"/>
                <w:szCs w:val="20"/>
                <w:color w:val="auto"/>
              </w:rPr>
            </w:pPr>
            <w:r>
              <w:rPr>
                <w:rFonts w:ascii="Arial" w:cs="Arial" w:eastAsia="Arial" w:hAnsi="Arial"/>
                <w:sz w:val="17"/>
                <w:szCs w:val="17"/>
                <w:b w:val="1"/>
                <w:bCs w:val="1"/>
                <w:color w:val="FFFFFF"/>
              </w:rPr>
              <w:t>Total</w:t>
            </w:r>
          </w:p>
        </w:tc>
        <w:tc>
          <w:tcPr>
            <w:tcW w:w="1700" w:type="dxa"/>
            <w:vAlign w:val="bottom"/>
            <w:tcBorders>
              <w:top w:val="single" w:sz="8" w:color="2D53A6"/>
              <w:right w:val="single" w:sz="8" w:color="3D85C6"/>
            </w:tcBorders>
            <w:vMerge w:val="restart"/>
            <w:shd w:val="clear" w:color="auto" w:fill="2D53A6"/>
          </w:tcPr>
          <w:p>
            <w:pPr>
              <w:jc w:val="right"/>
              <w:ind w:right="333"/>
              <w:spacing w:after="0"/>
              <w:rPr>
                <w:sz w:val="20"/>
                <w:szCs w:val="20"/>
                <w:color w:val="auto"/>
              </w:rPr>
            </w:pPr>
            <w:r>
              <w:rPr>
                <w:rFonts w:ascii="Arial" w:cs="Arial" w:eastAsia="Arial" w:hAnsi="Arial"/>
                <w:sz w:val="17"/>
                <w:szCs w:val="17"/>
                <w:b w:val="1"/>
                <w:bCs w:val="1"/>
                <w:color w:val="FFFFFF"/>
              </w:rPr>
              <w:t>Severance</w:t>
            </w:r>
          </w:p>
        </w:tc>
        <w:tc>
          <w:tcPr>
            <w:tcW w:w="1660" w:type="dxa"/>
            <w:vAlign w:val="bottom"/>
            <w:tcBorders>
              <w:top w:val="single" w:sz="8" w:color="2D53A6"/>
              <w:right w:val="single" w:sz="8" w:color="3D85C6"/>
            </w:tcBorders>
            <w:shd w:val="clear" w:color="auto" w:fill="2D53A6"/>
          </w:tcPr>
          <w:p>
            <w:pPr>
              <w:jc w:val="center"/>
              <w:spacing w:after="0" w:line="193" w:lineRule="exact"/>
              <w:rPr>
                <w:sz w:val="20"/>
                <w:szCs w:val="20"/>
                <w:color w:val="auto"/>
              </w:rPr>
            </w:pPr>
            <w:r>
              <w:rPr>
                <w:rFonts w:ascii="Arial" w:cs="Arial" w:eastAsia="Arial" w:hAnsi="Arial"/>
                <w:sz w:val="17"/>
                <w:szCs w:val="17"/>
                <w:b w:val="1"/>
                <w:bCs w:val="1"/>
                <w:color w:val="FFFFFF"/>
              </w:rPr>
              <w:t>Medical</w:t>
            </w:r>
          </w:p>
        </w:tc>
        <w:tc>
          <w:tcPr>
            <w:tcW w:w="0" w:type="dxa"/>
            <w:vAlign w:val="bottom"/>
          </w:tcPr>
          <w:p>
            <w:pPr>
              <w:spacing w:after="0"/>
              <w:rPr>
                <w:sz w:val="1"/>
                <w:szCs w:val="1"/>
                <w:color w:val="auto"/>
              </w:rPr>
            </w:pPr>
          </w:p>
        </w:tc>
      </w:tr>
      <w:tr>
        <w:trPr>
          <w:trHeight w:val="91"/>
        </w:trPr>
        <w:tc>
          <w:tcPr>
            <w:tcW w:w="6200" w:type="dxa"/>
            <w:vAlign w:val="bottom"/>
            <w:tcBorders>
              <w:left w:val="single" w:sz="8" w:color="3D85C6"/>
              <w:right w:val="single" w:sz="8" w:color="3D85C6"/>
            </w:tcBorders>
            <w:vMerge w:val="restart"/>
            <w:shd w:val="clear" w:color="auto" w:fill="2D53A6"/>
          </w:tcPr>
          <w:p>
            <w:pPr>
              <w:ind w:left="20"/>
              <w:spacing w:after="0"/>
              <w:rPr>
                <w:sz w:val="20"/>
                <w:szCs w:val="20"/>
                <w:color w:val="auto"/>
              </w:rPr>
            </w:pPr>
            <w:r>
              <w:rPr>
                <w:rFonts w:ascii="Arial" w:cs="Arial" w:eastAsia="Arial" w:hAnsi="Arial"/>
                <w:sz w:val="17"/>
                <w:szCs w:val="17"/>
                <w:b w:val="1"/>
                <w:bCs w:val="1"/>
                <w:color w:val="FFFFFF"/>
              </w:rPr>
              <w:t>Named Executive Officer</w:t>
            </w:r>
          </w:p>
        </w:tc>
        <w:tc>
          <w:tcPr>
            <w:tcW w:w="1700" w:type="dxa"/>
            <w:vAlign w:val="bottom"/>
            <w:tcBorders>
              <w:right w:val="single" w:sz="8" w:color="3D85C6"/>
            </w:tcBorders>
            <w:vMerge w:val="continue"/>
            <w:shd w:val="clear" w:color="auto" w:fill="2D53A6"/>
          </w:tcPr>
          <w:p>
            <w:pPr>
              <w:spacing w:after="0"/>
              <w:rPr>
                <w:sz w:val="7"/>
                <w:szCs w:val="7"/>
                <w:color w:val="auto"/>
              </w:rPr>
            </w:pPr>
          </w:p>
        </w:tc>
        <w:tc>
          <w:tcPr>
            <w:tcW w:w="1700" w:type="dxa"/>
            <w:vAlign w:val="bottom"/>
            <w:tcBorders>
              <w:right w:val="single" w:sz="8" w:color="3D85C6"/>
            </w:tcBorders>
            <w:vMerge w:val="continue"/>
            <w:shd w:val="clear" w:color="auto" w:fill="2D53A6"/>
          </w:tcPr>
          <w:p>
            <w:pPr>
              <w:spacing w:after="0"/>
              <w:rPr>
                <w:sz w:val="7"/>
                <w:szCs w:val="7"/>
                <w:color w:val="auto"/>
              </w:rPr>
            </w:pPr>
          </w:p>
        </w:tc>
        <w:tc>
          <w:tcPr>
            <w:tcW w:w="166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Benefits</w:t>
            </w:r>
          </w:p>
        </w:tc>
        <w:tc>
          <w:tcPr>
            <w:tcW w:w="0" w:type="dxa"/>
            <w:vAlign w:val="bottom"/>
          </w:tcPr>
          <w:p>
            <w:pPr>
              <w:spacing w:after="0"/>
              <w:rPr>
                <w:sz w:val="1"/>
                <w:szCs w:val="1"/>
                <w:color w:val="auto"/>
              </w:rPr>
            </w:pPr>
          </w:p>
        </w:tc>
      </w:tr>
      <w:tr>
        <w:trPr>
          <w:trHeight w:val="104"/>
        </w:trPr>
        <w:tc>
          <w:tcPr>
            <w:tcW w:w="6200" w:type="dxa"/>
            <w:vAlign w:val="bottom"/>
            <w:tcBorders>
              <w:left w:val="single" w:sz="8" w:color="3D85C6"/>
              <w:right w:val="single" w:sz="8" w:color="3D85C6"/>
            </w:tcBorders>
            <w:vMerge w:val="continue"/>
            <w:shd w:val="clear" w:color="auto" w:fill="2D53A6"/>
          </w:tcPr>
          <w:p>
            <w:pPr>
              <w:spacing w:after="0"/>
              <w:rPr>
                <w:sz w:val="9"/>
                <w:szCs w:val="9"/>
                <w:color w:val="auto"/>
              </w:rPr>
            </w:pPr>
          </w:p>
        </w:tc>
        <w:tc>
          <w:tcPr>
            <w:tcW w:w="1700" w:type="dxa"/>
            <w:vAlign w:val="bottom"/>
            <w:tcBorders>
              <w:right w:val="single" w:sz="8" w:color="3D85C6"/>
            </w:tcBorders>
            <w:vMerge w:val="restart"/>
            <w:shd w:val="clear" w:color="auto" w:fill="2D53A6"/>
          </w:tcPr>
          <w:p>
            <w:pPr>
              <w:jc w:val="right"/>
              <w:ind w:right="673"/>
              <w:spacing w:after="0"/>
              <w:rPr>
                <w:sz w:val="20"/>
                <w:szCs w:val="20"/>
                <w:color w:val="auto"/>
              </w:rPr>
            </w:pPr>
            <w:r>
              <w:rPr>
                <w:rFonts w:ascii="Arial" w:cs="Arial" w:eastAsia="Arial" w:hAnsi="Arial"/>
                <w:sz w:val="17"/>
                <w:szCs w:val="17"/>
                <w:b w:val="1"/>
                <w:bCs w:val="1"/>
                <w:color w:val="FFFFFF"/>
              </w:rPr>
              <w:t>($)</w:t>
            </w:r>
          </w:p>
        </w:tc>
        <w:tc>
          <w:tcPr>
            <w:tcW w:w="1700" w:type="dxa"/>
            <w:vAlign w:val="bottom"/>
            <w:tcBorders>
              <w:right w:val="single" w:sz="8" w:color="3D85C6"/>
            </w:tcBorders>
            <w:vMerge w:val="restart"/>
            <w:shd w:val="clear" w:color="auto" w:fill="2D53A6"/>
          </w:tcPr>
          <w:p>
            <w:pPr>
              <w:jc w:val="right"/>
              <w:ind w:right="573"/>
              <w:spacing w:after="0"/>
              <w:rPr>
                <w:sz w:val="20"/>
                <w:szCs w:val="20"/>
                <w:color w:val="auto"/>
              </w:rPr>
            </w:pPr>
            <w:r>
              <w:rPr>
                <w:rFonts w:ascii="Arial" w:cs="Arial" w:eastAsia="Arial" w:hAnsi="Arial"/>
                <w:sz w:val="17"/>
                <w:szCs w:val="17"/>
                <w:b w:val="1"/>
                <w:bCs w:val="1"/>
                <w:color w:val="FFFFFF"/>
              </w:rPr>
              <w:t>($)</w:t>
            </w:r>
            <w:r>
              <w:rPr>
                <w:rFonts w:ascii="Arial" w:cs="Arial" w:eastAsia="Arial" w:hAnsi="Arial"/>
                <w:sz w:val="14"/>
                <w:szCs w:val="14"/>
                <w:b w:val="1"/>
                <w:bCs w:val="1"/>
                <w:color w:val="FFFFFF"/>
              </w:rPr>
              <w:t>(1)</w:t>
            </w:r>
          </w:p>
        </w:tc>
        <w:tc>
          <w:tcPr>
            <w:tcW w:w="1660" w:type="dxa"/>
            <w:vAlign w:val="bottom"/>
            <w:tcBorders>
              <w:right w:val="single" w:sz="8" w:color="3D85C6"/>
            </w:tcBorders>
            <w:vMerge w:val="continue"/>
            <w:shd w:val="clear" w:color="auto" w:fill="2D53A6"/>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00" w:type="dxa"/>
            <w:vAlign w:val="bottom"/>
            <w:tcBorders>
              <w:left w:val="single" w:sz="8" w:color="3D85C6"/>
              <w:right w:val="single" w:sz="8" w:color="3D85C6"/>
            </w:tcBorders>
            <w:shd w:val="clear" w:color="auto" w:fill="2D53A6"/>
          </w:tcPr>
          <w:p>
            <w:pPr>
              <w:spacing w:after="0"/>
              <w:rPr>
                <w:sz w:val="11"/>
                <w:szCs w:val="11"/>
                <w:color w:val="auto"/>
              </w:rPr>
            </w:pPr>
          </w:p>
        </w:tc>
        <w:tc>
          <w:tcPr>
            <w:tcW w:w="1700" w:type="dxa"/>
            <w:vAlign w:val="bottom"/>
            <w:tcBorders>
              <w:right w:val="single" w:sz="8" w:color="3D85C6"/>
            </w:tcBorders>
            <w:vMerge w:val="continue"/>
            <w:shd w:val="clear" w:color="auto" w:fill="2D53A6"/>
          </w:tcPr>
          <w:p>
            <w:pPr>
              <w:spacing w:after="0"/>
              <w:rPr>
                <w:sz w:val="11"/>
                <w:szCs w:val="11"/>
                <w:color w:val="auto"/>
              </w:rPr>
            </w:pPr>
          </w:p>
        </w:tc>
        <w:tc>
          <w:tcPr>
            <w:tcW w:w="1700" w:type="dxa"/>
            <w:vAlign w:val="bottom"/>
            <w:tcBorders>
              <w:right w:val="single" w:sz="8" w:color="3D85C6"/>
            </w:tcBorders>
            <w:vMerge w:val="continue"/>
            <w:shd w:val="clear" w:color="auto" w:fill="2D53A6"/>
          </w:tcPr>
          <w:p>
            <w:pPr>
              <w:spacing w:after="0"/>
              <w:rPr>
                <w:sz w:val="11"/>
                <w:szCs w:val="11"/>
                <w:color w:val="auto"/>
              </w:rPr>
            </w:pPr>
          </w:p>
        </w:tc>
        <w:tc>
          <w:tcPr>
            <w:tcW w:w="1660" w:type="dxa"/>
            <w:vAlign w:val="bottom"/>
            <w:tcBorders>
              <w:right w:val="single" w:sz="8" w:color="3D85C6"/>
            </w:tcBorders>
            <w:vMerge w:val="restart"/>
            <w:shd w:val="clear" w:color="auto" w:fill="2D53A6"/>
          </w:tcPr>
          <w:p>
            <w:pPr>
              <w:jc w:val="center"/>
              <w:spacing w:after="0"/>
              <w:rPr>
                <w:sz w:val="20"/>
                <w:szCs w:val="20"/>
                <w:color w:val="auto"/>
              </w:rPr>
            </w:pPr>
            <w:r>
              <w:rPr>
                <w:rFonts w:ascii="Arial" w:cs="Arial" w:eastAsia="Arial" w:hAnsi="Arial"/>
                <w:sz w:val="17"/>
                <w:szCs w:val="17"/>
                <w:b w:val="1"/>
                <w:bCs w:val="1"/>
                <w:color w:val="FFFFFF"/>
              </w:rPr>
              <w:t>($)</w:t>
            </w:r>
            <w:r>
              <w:rPr>
                <w:rFonts w:ascii="Arial" w:cs="Arial" w:eastAsia="Arial" w:hAnsi="Arial"/>
                <w:sz w:val="14"/>
                <w:szCs w:val="14"/>
                <w:b w:val="1"/>
                <w:bCs w:val="1"/>
                <w:color w:val="FFFFFF"/>
              </w:rPr>
              <w:t>(2)</w:t>
            </w:r>
          </w:p>
        </w:tc>
        <w:tc>
          <w:tcPr>
            <w:tcW w:w="0" w:type="dxa"/>
            <w:vAlign w:val="bottom"/>
          </w:tcPr>
          <w:p>
            <w:pPr>
              <w:spacing w:after="0"/>
              <w:rPr>
                <w:sz w:val="1"/>
                <w:szCs w:val="1"/>
                <w:color w:val="auto"/>
              </w:rPr>
            </w:pPr>
          </w:p>
        </w:tc>
      </w:tr>
      <w:tr>
        <w:trPr>
          <w:trHeight w:val="99"/>
        </w:trPr>
        <w:tc>
          <w:tcPr>
            <w:tcW w:w="6200" w:type="dxa"/>
            <w:vAlign w:val="bottom"/>
            <w:tcBorders>
              <w:left w:val="single" w:sz="8" w:color="3D85C6"/>
              <w:bottom w:val="single" w:sz="8" w:color="3D85C6"/>
              <w:right w:val="single" w:sz="8" w:color="3D85C6"/>
            </w:tcBorders>
            <w:shd w:val="clear" w:color="auto" w:fill="2D53A6"/>
          </w:tcPr>
          <w:p>
            <w:pPr>
              <w:spacing w:after="0"/>
              <w:rPr>
                <w:sz w:val="8"/>
                <w:szCs w:val="8"/>
                <w:color w:val="auto"/>
              </w:rPr>
            </w:pPr>
          </w:p>
        </w:tc>
        <w:tc>
          <w:tcPr>
            <w:tcW w:w="1700" w:type="dxa"/>
            <w:vAlign w:val="bottom"/>
            <w:tcBorders>
              <w:bottom w:val="single" w:sz="8" w:color="3D85C6"/>
              <w:right w:val="single" w:sz="8" w:color="3D85C6"/>
            </w:tcBorders>
            <w:shd w:val="clear" w:color="auto" w:fill="2D53A6"/>
          </w:tcPr>
          <w:p>
            <w:pPr>
              <w:spacing w:after="0"/>
              <w:rPr>
                <w:sz w:val="8"/>
                <w:szCs w:val="8"/>
                <w:color w:val="auto"/>
              </w:rPr>
            </w:pPr>
          </w:p>
        </w:tc>
        <w:tc>
          <w:tcPr>
            <w:tcW w:w="1700" w:type="dxa"/>
            <w:vAlign w:val="bottom"/>
            <w:tcBorders>
              <w:bottom w:val="single" w:sz="8" w:color="3D85C6"/>
              <w:right w:val="single" w:sz="8" w:color="3D85C6"/>
            </w:tcBorders>
            <w:shd w:val="clear" w:color="auto" w:fill="2D53A6"/>
          </w:tcPr>
          <w:p>
            <w:pPr>
              <w:spacing w:after="0"/>
              <w:rPr>
                <w:sz w:val="8"/>
                <w:szCs w:val="8"/>
                <w:color w:val="auto"/>
              </w:rPr>
            </w:pPr>
          </w:p>
        </w:tc>
        <w:tc>
          <w:tcPr>
            <w:tcW w:w="1660" w:type="dxa"/>
            <w:vAlign w:val="bottom"/>
            <w:tcBorders>
              <w:bottom w:val="single" w:sz="8" w:color="3D85C6"/>
              <w:right w:val="single" w:sz="8" w:color="3D85C6"/>
            </w:tcBorders>
            <w:vMerge w:val="continue"/>
            <w:shd w:val="clear" w:color="auto" w:fill="2D53A6"/>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6200" w:type="dxa"/>
            <w:vAlign w:val="bottom"/>
            <w:tcBorders>
              <w:left w:val="single" w:sz="8" w:color="3D85C6"/>
              <w:bottom w:val="single" w:sz="8" w:color="3D85C6"/>
              <w:right w:val="single" w:sz="8" w:color="3D85C6"/>
            </w:tcBorders>
          </w:tcPr>
          <w:p>
            <w:pPr>
              <w:ind w:left="20"/>
              <w:spacing w:after="0" w:line="168" w:lineRule="exact"/>
              <w:rPr>
                <w:sz w:val="20"/>
                <w:szCs w:val="20"/>
                <w:color w:val="auto"/>
              </w:rPr>
            </w:pPr>
            <w:r>
              <w:rPr>
                <w:rFonts w:ascii="Arial" w:cs="Arial" w:eastAsia="Arial" w:hAnsi="Arial"/>
                <w:sz w:val="17"/>
                <w:szCs w:val="17"/>
                <w:color w:val="auto"/>
              </w:rPr>
              <w:t>Luis A. Müller</w:t>
            </w:r>
          </w:p>
        </w:tc>
        <w:tc>
          <w:tcPr>
            <w:tcW w:w="1700" w:type="dxa"/>
            <w:vAlign w:val="bottom"/>
            <w:tcBorders>
              <w:bottom w:val="single" w:sz="8" w:color="3D85C6"/>
              <w:right w:val="single" w:sz="8" w:color="3D85C6"/>
            </w:tcBorders>
          </w:tcPr>
          <w:p>
            <w:pPr>
              <w:jc w:val="right"/>
              <w:ind w:right="33"/>
              <w:spacing w:after="0" w:line="168" w:lineRule="exact"/>
              <w:rPr>
                <w:sz w:val="20"/>
                <w:szCs w:val="20"/>
                <w:color w:val="auto"/>
              </w:rPr>
            </w:pPr>
            <w:r>
              <w:rPr>
                <w:rFonts w:ascii="Arial" w:cs="Arial" w:eastAsia="Arial" w:hAnsi="Arial"/>
                <w:sz w:val="17"/>
                <w:szCs w:val="17"/>
                <w:color w:val="auto"/>
              </w:rPr>
              <w:t>1,156,605</w:t>
            </w:r>
          </w:p>
        </w:tc>
        <w:tc>
          <w:tcPr>
            <w:tcW w:w="1700" w:type="dxa"/>
            <w:vAlign w:val="bottom"/>
            <w:tcBorders>
              <w:bottom w:val="single" w:sz="8" w:color="3D85C6"/>
              <w:right w:val="single" w:sz="8" w:color="3D85C6"/>
            </w:tcBorders>
          </w:tcPr>
          <w:p>
            <w:pPr>
              <w:jc w:val="right"/>
              <w:ind w:right="33"/>
              <w:spacing w:after="0" w:line="168" w:lineRule="exact"/>
              <w:rPr>
                <w:sz w:val="20"/>
                <w:szCs w:val="20"/>
                <w:color w:val="auto"/>
              </w:rPr>
            </w:pPr>
            <w:r>
              <w:rPr>
                <w:rFonts w:ascii="Arial" w:cs="Arial" w:eastAsia="Arial" w:hAnsi="Arial"/>
                <w:sz w:val="17"/>
                <w:szCs w:val="17"/>
                <w:color w:val="auto"/>
              </w:rPr>
              <w:t>1,072,500</w:t>
            </w:r>
          </w:p>
        </w:tc>
        <w:tc>
          <w:tcPr>
            <w:tcW w:w="1660" w:type="dxa"/>
            <w:vAlign w:val="bottom"/>
            <w:tcBorders>
              <w:bottom w:val="single" w:sz="8" w:color="3D85C6"/>
              <w:right w:val="single" w:sz="8" w:color="3D85C6"/>
            </w:tcBorders>
          </w:tcPr>
          <w:p>
            <w:pPr>
              <w:jc w:val="right"/>
              <w:ind w:right="33"/>
              <w:spacing w:after="0" w:line="168" w:lineRule="exact"/>
              <w:rPr>
                <w:sz w:val="20"/>
                <w:szCs w:val="20"/>
                <w:color w:val="auto"/>
              </w:rPr>
            </w:pPr>
            <w:r>
              <w:rPr>
                <w:rFonts w:ascii="Arial" w:cs="Arial" w:eastAsia="Arial" w:hAnsi="Arial"/>
                <w:sz w:val="17"/>
                <w:szCs w:val="17"/>
                <w:color w:val="auto"/>
              </w:rPr>
              <w:t>84,105</w:t>
            </w:r>
          </w:p>
        </w:tc>
        <w:tc>
          <w:tcPr>
            <w:tcW w:w="0" w:type="dxa"/>
            <w:vAlign w:val="bottom"/>
          </w:tcPr>
          <w:p>
            <w:pPr>
              <w:spacing w:after="0"/>
              <w:rPr>
                <w:sz w:val="1"/>
                <w:szCs w:val="1"/>
                <w:color w:val="auto"/>
              </w:rPr>
            </w:pPr>
          </w:p>
        </w:tc>
      </w:tr>
      <w:tr>
        <w:trPr>
          <w:trHeight w:val="188"/>
        </w:trPr>
        <w:tc>
          <w:tcPr>
            <w:tcW w:w="6200" w:type="dxa"/>
            <w:vAlign w:val="bottom"/>
            <w:tcBorders>
              <w:left w:val="single" w:sz="8" w:color="3D85C6"/>
              <w:bottom w:val="single" w:sz="8" w:color="3D85C6"/>
              <w:right w:val="single" w:sz="8" w:color="3D85C6"/>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Jeffrey D. Jones</w:t>
            </w:r>
          </w:p>
        </w:tc>
        <w:tc>
          <w:tcPr>
            <w:tcW w:w="170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493,964</w:t>
            </w:r>
          </w:p>
        </w:tc>
        <w:tc>
          <w:tcPr>
            <w:tcW w:w="170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455,000</w:t>
            </w:r>
          </w:p>
        </w:tc>
        <w:tc>
          <w:tcPr>
            <w:tcW w:w="166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38,964</w:t>
            </w:r>
          </w:p>
        </w:tc>
        <w:tc>
          <w:tcPr>
            <w:tcW w:w="0" w:type="dxa"/>
            <w:vAlign w:val="bottom"/>
          </w:tcPr>
          <w:p>
            <w:pPr>
              <w:spacing w:after="0"/>
              <w:rPr>
                <w:sz w:val="1"/>
                <w:szCs w:val="1"/>
                <w:color w:val="auto"/>
              </w:rPr>
            </w:pPr>
          </w:p>
        </w:tc>
      </w:tr>
      <w:tr>
        <w:trPr>
          <w:trHeight w:val="188"/>
        </w:trPr>
        <w:tc>
          <w:tcPr>
            <w:tcW w:w="6200" w:type="dxa"/>
            <w:vAlign w:val="bottom"/>
            <w:tcBorders>
              <w:left w:val="single" w:sz="8" w:color="3D85C6"/>
              <w:bottom w:val="single" w:sz="8" w:color="3D85C6"/>
              <w:right w:val="single" w:sz="8" w:color="3D85C6"/>
            </w:tcBorders>
          </w:tcPr>
          <w:p>
            <w:pPr>
              <w:ind w:left="20"/>
              <w:spacing w:after="0" w:line="188" w:lineRule="exact"/>
              <w:rPr>
                <w:sz w:val="20"/>
                <w:szCs w:val="20"/>
                <w:color w:val="auto"/>
              </w:rPr>
            </w:pPr>
            <w:r>
              <w:rPr>
                <w:rFonts w:ascii="Arial" w:cs="Arial" w:eastAsia="Arial" w:hAnsi="Arial"/>
                <w:sz w:val="17"/>
                <w:szCs w:val="17"/>
                <w:color w:val="auto"/>
              </w:rPr>
              <w:t>Christopher G. Bohrson</w:t>
            </w:r>
          </w:p>
        </w:tc>
        <w:tc>
          <w:tcPr>
            <w:tcW w:w="170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463,964</w:t>
            </w:r>
          </w:p>
        </w:tc>
        <w:tc>
          <w:tcPr>
            <w:tcW w:w="170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425,000</w:t>
            </w:r>
          </w:p>
        </w:tc>
        <w:tc>
          <w:tcPr>
            <w:tcW w:w="1660" w:type="dxa"/>
            <w:vAlign w:val="bottom"/>
            <w:tcBorders>
              <w:bottom w:val="single" w:sz="8" w:color="3D85C6"/>
              <w:right w:val="single" w:sz="8" w:color="3D85C6"/>
            </w:tcBorders>
          </w:tcPr>
          <w:p>
            <w:pPr>
              <w:jc w:val="right"/>
              <w:ind w:right="33"/>
              <w:spacing w:after="0" w:line="188" w:lineRule="exact"/>
              <w:rPr>
                <w:sz w:val="20"/>
                <w:szCs w:val="20"/>
                <w:color w:val="auto"/>
              </w:rPr>
            </w:pPr>
            <w:r>
              <w:rPr>
                <w:rFonts w:ascii="Arial" w:cs="Arial" w:eastAsia="Arial" w:hAnsi="Arial"/>
                <w:sz w:val="17"/>
                <w:szCs w:val="17"/>
                <w:color w:val="auto"/>
              </w:rPr>
              <w:t>38,964</w:t>
            </w:r>
          </w:p>
        </w:tc>
        <w:tc>
          <w:tcPr>
            <w:tcW w:w="0" w:type="dxa"/>
            <w:vAlign w:val="bottom"/>
          </w:tcPr>
          <w:p>
            <w:pPr>
              <w:spacing w:after="0"/>
              <w:rPr>
                <w:sz w:val="1"/>
                <w:szCs w:val="1"/>
                <w:color w:val="auto"/>
              </w:rPr>
            </w:pPr>
          </w:p>
        </w:tc>
      </w:tr>
      <w:tr>
        <w:trPr>
          <w:trHeight w:val="188"/>
        </w:trPr>
        <w:tc>
          <w:tcPr>
            <w:tcW w:w="6200" w:type="dxa"/>
            <w:vAlign w:val="bottom"/>
            <w:tcBorders>
              <w:left w:val="single" w:sz="8" w:color="3D85C6"/>
              <w:bottom w:val="single" w:sz="8" w:color="3D85C6"/>
              <w:right w:val="single" w:sz="8" w:color="3D85C6"/>
            </w:tcBorders>
            <w:shd w:val="clear" w:color="auto" w:fill="E6E6E6"/>
          </w:tcPr>
          <w:p>
            <w:pPr>
              <w:ind w:left="20"/>
              <w:spacing w:after="0" w:line="188" w:lineRule="exact"/>
              <w:rPr>
                <w:sz w:val="20"/>
                <w:szCs w:val="20"/>
                <w:color w:val="auto"/>
              </w:rPr>
            </w:pPr>
            <w:r>
              <w:rPr>
                <w:rFonts w:ascii="Arial" w:cs="Arial" w:eastAsia="Arial" w:hAnsi="Arial"/>
                <w:sz w:val="17"/>
                <w:szCs w:val="17"/>
                <w:color w:val="auto"/>
              </w:rPr>
              <w:t>Klaus Ilgenfritz</w:t>
            </w:r>
          </w:p>
        </w:tc>
        <w:tc>
          <w:tcPr>
            <w:tcW w:w="170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466,392</w:t>
            </w:r>
          </w:p>
        </w:tc>
        <w:tc>
          <w:tcPr>
            <w:tcW w:w="170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466,392</w:t>
            </w:r>
          </w:p>
        </w:tc>
        <w:tc>
          <w:tcPr>
            <w:tcW w:w="1660" w:type="dxa"/>
            <w:vAlign w:val="bottom"/>
            <w:tcBorders>
              <w:bottom w:val="single" w:sz="8" w:color="3D85C6"/>
              <w:right w:val="single" w:sz="8" w:color="3D85C6"/>
            </w:tcBorders>
            <w:shd w:val="clear" w:color="auto" w:fill="E6E6E6"/>
          </w:tcPr>
          <w:p>
            <w:pPr>
              <w:jc w:val="right"/>
              <w:ind w:right="33"/>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right="100" w:hanging="316"/>
        <w:spacing w:after="0" w:line="241" w:lineRule="auto"/>
        <w:tabs>
          <w:tab w:leader="none" w:pos="32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Reflects the cash severance benefits payable in the event of a qualifying termination under Dr. Müller’s and Messrs. Jones’, and Bohrson’s respective Severance Agreement and Mr. Ilgenfritz’s local Managing Director’s Service Agreement. These amounts are based on the individual’s base salary in effect as of December 27, 2025.</w:t>
      </w:r>
    </w:p>
    <w:p>
      <w:pPr>
        <w:ind w:left="320" w:right="20" w:hanging="316"/>
        <w:spacing w:after="0" w:line="244" w:lineRule="auto"/>
        <w:tabs>
          <w:tab w:leader="none" w:pos="32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Reflects reimbursement for continued health care benefits pursuant to COBRA,18 months for Dr. Müller, and 12 months for Messrs. Jones, and Bohrson. Mr. Ilgenfritz is employed in Germany and COBRA is not applicable in this jurisdiction.</w:t>
      </w:r>
    </w:p>
    <w:p>
      <w:pPr>
        <w:spacing w:after="0" w:line="158" w:lineRule="exact"/>
        <w:rPr>
          <w:sz w:val="20"/>
          <w:szCs w:val="20"/>
          <w:color w:val="auto"/>
        </w:rPr>
      </w:pPr>
    </w:p>
    <w:p>
      <w:pPr>
        <w:ind w:right="540"/>
        <w:spacing w:after="0" w:line="259" w:lineRule="auto"/>
        <w:rPr>
          <w:sz w:val="20"/>
          <w:szCs w:val="20"/>
          <w:color w:val="auto"/>
        </w:rPr>
      </w:pPr>
      <w:r>
        <w:rPr>
          <w:rFonts w:ascii="Arial" w:cs="Arial" w:eastAsia="Arial" w:hAnsi="Arial"/>
          <w:sz w:val="17"/>
          <w:szCs w:val="17"/>
          <w:color w:val="auto"/>
        </w:rPr>
        <w:t>Other than as described above, and in the “Employment Agreements” and “Post-Employment Compensation” sections of the Compensation Discussion and Analysis, there are no other benefits or payments that would be paid to our NEOs upon resignation, severance, retirement, termination or a change in control of Cohu.</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16" w:name="page117"/>
    <w:bookmarkEnd w:id="116"/>
    <w:p>
      <w:pPr>
        <w:spacing w:after="0"/>
        <w:rPr>
          <w:sz w:val="20"/>
          <w:szCs w:val="20"/>
          <w:color w:val="auto"/>
        </w:rPr>
      </w:pPr>
      <w:r>
        <w:rPr>
          <w:rFonts w:ascii="Arial" w:cs="Arial" w:eastAsia="Arial" w:hAnsi="Arial"/>
          <w:sz w:val="19"/>
          <w:szCs w:val="19"/>
          <w:b w:val="1"/>
          <w:bCs w:val="1"/>
          <w:color w:val="auto"/>
        </w:rPr>
        <w:t>Certain Relationships and Related Party Transactions</w:t>
      </w:r>
    </w:p>
    <w:p>
      <w:pPr>
        <w:spacing w:after="0" w:line="191" w:lineRule="exact"/>
        <w:rPr>
          <w:sz w:val="20"/>
          <w:szCs w:val="20"/>
          <w:color w:val="auto"/>
        </w:rPr>
      </w:pPr>
    </w:p>
    <w:p>
      <w:pPr>
        <w:jc w:val="both"/>
        <w:ind w:right="240"/>
        <w:spacing w:after="0" w:line="259" w:lineRule="auto"/>
        <w:rPr>
          <w:sz w:val="20"/>
          <w:szCs w:val="20"/>
          <w:color w:val="auto"/>
        </w:rPr>
      </w:pPr>
      <w:r>
        <w:rPr>
          <w:rFonts w:ascii="Arial" w:cs="Arial" w:eastAsia="Arial" w:hAnsi="Arial"/>
          <w:sz w:val="17"/>
          <w:szCs w:val="17"/>
          <w:color w:val="auto"/>
        </w:rPr>
        <w:t>The Board is committed to upholding high legal and ethical conduct in fulfilling its responsibilities and recognizes that related party transactions can present a heightened risk of potential or actual conflicts of interest. Accordingly, as a general matter, it is Cohu’s preference to avoid related party transactions.</w:t>
      </w:r>
    </w:p>
    <w:p>
      <w:pPr>
        <w:spacing w:after="0" w:line="147" w:lineRule="exact"/>
        <w:rPr>
          <w:sz w:val="20"/>
          <w:szCs w:val="20"/>
          <w:color w:val="auto"/>
        </w:rPr>
      </w:pPr>
    </w:p>
    <w:p>
      <w:pPr>
        <w:jc w:val="both"/>
        <w:ind w:right="100"/>
        <w:spacing w:after="0" w:line="252" w:lineRule="auto"/>
        <w:rPr>
          <w:sz w:val="20"/>
          <w:szCs w:val="20"/>
          <w:color w:val="auto"/>
        </w:rPr>
      </w:pPr>
      <w:r>
        <w:rPr>
          <w:rFonts w:ascii="Arial" w:cs="Arial" w:eastAsia="Arial" w:hAnsi="Arial"/>
          <w:sz w:val="17"/>
          <w:szCs w:val="17"/>
          <w:color w:val="auto"/>
        </w:rPr>
        <w:t>Since the beginning of the last fiscal year, there has not been nor are there currently proposed any transactions or a series of similar transactions to which Cohu was or is to be a party in which the amount involved exceeds $120,000 and in which any director, executive officer, holder of more than 5% of our common stock or any member of the immediate family of any of the foregoing persons had or will have a direct or indirect material interest.</w:t>
      </w:r>
    </w:p>
    <w:p>
      <w:pPr>
        <w:spacing w:after="0" w:line="154"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Cohu’s Audit Committee Charter requires that members of the Audit Committee, all of whom are independent directors, review and approve all related party transactions for which such approval is required under applicable law, including SEC and Nasdaq rules. Current SEC rules define a related party transaction to include any transaction, arrangement or relationship in which Cohu is a participant and in which any of the following persons has or will have a direct or indirect interest:</w:t>
      </w:r>
    </w:p>
    <w:p>
      <w:pPr>
        <w:spacing w:after="0" w:line="1" w:lineRule="exact"/>
        <w:rPr>
          <w:sz w:val="20"/>
          <w:szCs w:val="20"/>
          <w:color w:val="auto"/>
        </w:rPr>
      </w:pPr>
    </w:p>
    <w:p>
      <w:pPr>
        <w:ind w:left="940" w:hanging="312"/>
        <w:spacing w:after="0"/>
        <w:tabs>
          <w:tab w:leader="none" w:pos="9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 executive officer, director or director nominee of Cohu.</w:t>
      </w:r>
    </w:p>
    <w:p>
      <w:pPr>
        <w:spacing w:after="0" w:line="22" w:lineRule="exact"/>
        <w:rPr>
          <w:rFonts w:ascii="Arial" w:cs="Arial" w:eastAsia="Arial" w:hAnsi="Arial"/>
          <w:sz w:val="17"/>
          <w:szCs w:val="17"/>
          <w:color w:val="auto"/>
        </w:rPr>
      </w:pPr>
    </w:p>
    <w:p>
      <w:pPr>
        <w:ind w:left="940" w:hanging="312"/>
        <w:spacing w:after="0"/>
        <w:tabs>
          <w:tab w:leader="none" w:pos="9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Any person who is known to be the beneficial owner of more than 5% of Cohu’s common stock.</w:t>
      </w:r>
    </w:p>
    <w:p>
      <w:pPr>
        <w:spacing w:after="0" w:line="38" w:lineRule="exact"/>
        <w:rPr>
          <w:rFonts w:ascii="Arial" w:cs="Arial" w:eastAsia="Arial" w:hAnsi="Arial"/>
          <w:sz w:val="17"/>
          <w:szCs w:val="17"/>
          <w:color w:val="auto"/>
        </w:rPr>
      </w:pPr>
    </w:p>
    <w:p>
      <w:pPr>
        <w:ind w:left="940" w:right="420" w:hanging="312"/>
        <w:spacing w:after="0" w:line="249" w:lineRule="auto"/>
        <w:tabs>
          <w:tab w:leader="none" w:pos="9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Any person who is an immediate family member (as defined under Item 404 of Regulation S-K) of an executive officer, director or director nominee or beneficial owner of more than 5% of Cohu’s common stock.</w:t>
      </w:r>
    </w:p>
    <w:p>
      <w:pPr>
        <w:ind w:left="940" w:right="140" w:hanging="312"/>
        <w:spacing w:after="0" w:line="260" w:lineRule="auto"/>
        <w:tabs>
          <w:tab w:leader="none" w:pos="9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p>
      <w:pPr>
        <w:spacing w:after="0" w:line="145"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In addition, the Audit Committee is responsible for reviewing and investigating any matters pertaining to the integrity of management, including conflicts of interest and adherence to Cohu’s Code of Business Conduct and Ethics. Under this Code, directors, officers and all other employees are expected to avoid any relationship, influence or activity that would cause or even appear to cause a conflict of interest. Cohu’s Corporate Governance Guidelines require a director to promptly disclose to the Board any potential or actual conflict of interest. Under these Guidelines, the Board will determine an appropriate resolution on a case-by-case basis. All directors must recuse themselves from any discussion or decision affecting their personal, business or professional interests.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All related party transactions will be disclosed in Cohu’s applicable filings with the SEC as required under SEC rules.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2D53A6"/>
        </w:rPr>
        <w:t>Additional director information and disclosure updates</w:t>
      </w:r>
    </w:p>
    <w:p>
      <w:pPr>
        <w:spacing w:after="0" w:line="19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The following information describes the directors whose prior elections are submitted for ratification. It does not present nominees for new terms at the Special Meeting. Their original classes and scheduled term endpoints are shown in Proposals 5(a) through 5(i).</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William E. Bendush</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2011</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Age: 77</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Board Committees: Audit Committee (Chair); Nominating and Governance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3D85C6"/>
        </w:rPr>
        <w:t>Business experience and other directorships</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Mr. Bendush is the retired Senior Vice President and Chief Financial Officer of Applied Micro Circuits Corporation (“AMCC”), a communications semiconductor company, and during his tenure an S&amp;P 500 constituent company, where he served from 1999 to 2003. Mr. Bendush was a director of Microsemi Corp. from 2003 until the company was acquired in 2018, and also previously served as a director at Conexant Systems, Inc. (from 2008 to 2011) and Smartflex Systems, Inc. (from 1993 to 1999).</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3D85C6"/>
        </w:rPr>
        <w:t>Experience, qualifications and attributes</w:t>
      </w:r>
    </w:p>
    <w:p>
      <w:pPr>
        <w:spacing w:after="0" w:line="18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 believe Mr. Bendush’s qualifications to sit on our Board include his extensive board and executive experience in the semiconductor industry and his experience with financial accounting matters for complex global organizations as well as his knowledge of business strategy. He has been a member of four public company audit committees and chaired three, and also served as Chair of Microsemi’s compensation and nominating and governance committees during portions of his tenure there. Mr. Bendush qualifies as an “audit committee financial expert” under SEC guidelines.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E-39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117" w:name="page118"/>
    <w:bookmarkEnd w:id="117"/>
    <w:p>
      <w:pPr>
        <w:spacing w:after="0"/>
        <w:rPr>
          <w:sz w:val="20"/>
          <w:szCs w:val="20"/>
          <w:color w:val="auto"/>
        </w:rPr>
      </w:pPr>
      <w:r>
        <w:rPr>
          <w:rFonts w:ascii="Arial" w:cs="Arial" w:eastAsia="Arial" w:hAnsi="Arial"/>
          <w:sz w:val="19"/>
          <w:szCs w:val="19"/>
          <w:b w:val="1"/>
          <w:bCs w:val="1"/>
          <w:color w:val="auto"/>
        </w:rPr>
        <w:t>Karen M. Rapp</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2024</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Age: 59</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Board Committees: Audit Committee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Other current public-company boards: Microchip Technology Incorporated; Plexus Corp.</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3D85C6"/>
        </w:rPr>
        <w:t>Business experience and other directorships</w:t>
      </w:r>
    </w:p>
    <w:p>
      <w:pPr>
        <w:spacing w:after="0" w:line="18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Ms. Rapp served as chief financial officer of National Instruments Corporation from 2017 through January 2023. Prior to that, she served as Senior Vice President of Corporate Development of NXP Semiconductors N.V. Ms. Rapp also served in several positions at Freescale, including serving as Vice President and Chief Information Officer from April 2013 to December 2015 and as Director of Operations and Finance, Global Sales and Marketing from April 2010 to April 2013. Ms. Rapp also currently serves as a director of Microchip Technology, a position she has held since 2021 and where she serves as Chair of the compensation committee and a member of the audit committee; and as a director of Plexus Corp., a position she has held since 2018 and where she serves as a member of the compensation committee and a member of the audit committee.</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3D85C6"/>
        </w:rPr>
        <w:t>Experience, qualifications and attributes</w:t>
      </w:r>
    </w:p>
    <w:p>
      <w:pPr>
        <w:spacing w:after="0" w:line="189"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We believe Ms. Rapp’s qualifications to sit on our Board include her extensive executive experience in the semiconductor industry and her experience with financial accounting matters for complex global organizations as well as her knowledge of business strategy. Ms. Rapp qualifies as an “audit committee financial expert” under SEC guidelines. Ms. Rapp offers a broad perspective in that she has been a member of public company compensation and nominating and governance committees and is presently also a member of one public company sustainability committee. Ms. Rapp has also earned her NACD Director Certification ® credential.</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Nina L. Richardson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2019</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Age: 68</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Board Committees: Compensation Committee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Other current public-company boards: Resideo Technologies Inc.; Silicon Laboratories Inc.</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3D85C6"/>
        </w:rPr>
        <w:t>Business experience and other directorships</w:t>
      </w:r>
    </w:p>
    <w:p>
      <w:pPr>
        <w:spacing w:after="0" w:line="189"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Ms. Richardson served as chief operating officer of GoPro, Inc. from February 2013 to February 2015. Prior to that, she held several executive positions of increasing responsibility at Flex Ltd., a global electronics and manufacturing service provider, leading electronics manufacturing operations with over 1000 employees in multiple geographies. More recently, she served as managing director of Three Rivers Energy, Inc., a company she co-founded in 2004, until its sale in October of 2024 to Pilot Power. Ms. Richardson also currently serves as a director of Silicon Laboratories Inc., a position she has held since January 2016; and as a director of Resideo Technologies, Inc., a position she has held since October 2018. She also serves as a director at privately held technology company Tonal, a strength and personal training platform and as a member of the board of managers of incubator, ExploraMed MSD1. She previously served as a director at Eargo, Inc. (from 2020 to 2022), Zayo Group Holdings, Inc. (from 2015 to 2018), Callidus Software, Inc. (from 2017 to 2018) and Silicon Graphics International Corp. (“SGI”) (2016).</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3D85C6"/>
        </w:rPr>
        <w:t>Experience, qualifications and attributes</w:t>
      </w:r>
    </w:p>
    <w:p>
      <w:pPr>
        <w:spacing w:after="0" w:line="189"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We believe Ms. Richardson’s qualifications to sit on our Board include her extensive board and executive experience in engineering, manufacturing, sales, supply chain management and global operations. She has held executive positions in a variety of industry sectors including consumer electronics, technology, and manufacturing. Ms. Richardson offers a uniquely broad perspective in that she has been a member of six public company compensation committees and previously served as Chair of two public company nominating and governance committees.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Andrew M. Caggia</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2014</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Age: 77</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Board Committees: Nominating and Governance (Chair)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118" w:name="page119"/>
    <w:bookmarkEnd w:id="118"/>
    <w:p>
      <w:pPr>
        <w:spacing w:after="0"/>
        <w:rPr>
          <w:sz w:val="20"/>
          <w:szCs w:val="20"/>
          <w:color w:val="auto"/>
        </w:rPr>
      </w:pPr>
      <w:r>
        <w:rPr>
          <w:rFonts w:ascii="Arial" w:cs="Arial" w:eastAsia="Arial" w:hAnsi="Arial"/>
          <w:sz w:val="19"/>
          <w:szCs w:val="19"/>
          <w:color w:val="3D85C6"/>
        </w:rPr>
        <w:t>Business experience and other directorships</w:t>
      </w:r>
    </w:p>
    <w:p>
      <w:pPr>
        <w:spacing w:after="0" w:line="189"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color w:val="auto"/>
        </w:rPr>
        <w:t>Mr. Caggia is the retired Senior Vice President and Chief Financial Officer of SMSC, where he worked from 2000 until his retirement in 2006. Mr. Caggia also served as a director of SMSC from 2001 until its purchase by Microchip Technology Incorporated in 2012. Prior to SMSC, Mr. Caggia was Senior Vice President and Chief Financial Officer of General Semiconductor, Inc. from 1997 to 2000.</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color w:val="3D85C6"/>
        </w:rPr>
        <w:t>Experience, qualifications and attributes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We believe Mr. Caggia’s qualifications to sit on our Board include his extensive executive experience in the semiconductor industry and his experience with financial accounting matters for complex global organizations as well as his knowledge of business strategy. Mr. Caggia qualifies as an “audit committee financial expert” under SEC guidelines.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Yon Y. Jorden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2021</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Age: 71</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Board Committees: Audit Committee; Nominating and Governance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Other current public-company boards: Alignment Healthcare, Inc.</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3D85C6"/>
        </w:rPr>
        <w:t>Business experience and other directorships</w:t>
      </w:r>
    </w:p>
    <w:p>
      <w:pPr>
        <w:spacing w:after="0" w:line="189"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Ms. Jorden is the retired Executive Vice President and Chief Financial Officer of AdvancePCS, a position she held from 2002 to 2004. Prior to that she served as chief financial officer of three other publicly traded companies: Informix, Oxford Health Plans and WellPoint, Inc. She currently serves as a director and is Chair of the audit committee of Alignment Healthcare, Inc., a position she has held since January 2022, and as a director for the not-for-profit Methodist Health System, a position she has held since 2008. She previously served as a director at Capstone Green Energy (from 2017 to 2025), Maxwell Technologies (from 2008 to 2017), BioScrip (from 2014 to 2015), Magnetek, Inc. (from 2004 to 2013) and U.S. Oncology (from 2008 to 2010).</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3D85C6"/>
        </w:rPr>
        <w:t>Experience, qualifications and attributes</w:t>
      </w:r>
    </w:p>
    <w:p>
      <w:pPr>
        <w:spacing w:after="0" w:line="18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believe Ms. Jorden’s qualifications to sit on our Board include her extensive board and financial executive experience across several industries and her experience with financial accounting matters for complex global organizations. Ms. Jorden qualifies as an “audit committee financial expert” under SEC guidelines. She has vast experience serving on seven different public company boards, including time serving as the chairperson of audit, compensation and nominating and governance committees. Ms. Jorden is also a board leadership fellow of the National Association of Corporate Directors, demonstrating her commitment and leadership as a board member.</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Luis A. Müller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2014</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Age: 56</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Other current public-company boards: Ralliant, Inc.</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3D85C6"/>
        </w:rPr>
        <w:t>Business experience and other directorships</w:t>
      </w:r>
    </w:p>
    <w:p>
      <w:pPr>
        <w:spacing w:after="0" w:line="18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Dr. Müller has been the President and Chief Executive Officer of Cohu since December 28, 2014. He also currently serves as a director of Ralliant, Inc., a position he has held since June 2025. His previous roles at Cohu include serving as President of Cohu’s Semiconductor Equipment Group (“SEG”) from 2011 to 2014; Managing Director of Rasco GmbH from 2009 to 2011; Vice President of Delta Design’s High Speed Handling Group from 2008 to 2009; and Director of Engineering at Delta Design from 2005 to 2008. Prior to joining Cohu, Dr. Müller spent nine years at Teradyne Inc., where he held management positions in engineering and business development.</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3D85C6"/>
        </w:rPr>
        <w:t>Experience, qualifications and attributes</w:t>
      </w:r>
    </w:p>
    <w:p>
      <w:pPr>
        <w:spacing w:after="0" w:line="18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believe Dr. Müller’s qualifications to sit on our Board include his extensive executive, including CEO, experience in the semiconductor equipment industry, broad knowledge of business development and strategy, semiconductor technologies, corporate governance and international operations.</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Steven J. Bilodeau</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2009</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Age: 67</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Board Committees: Compensation Committee (Chair); Nominating and Governance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E-41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20"/>
          </w:cols>
          <w:pgMar w:left="320" w:top="560" w:right="35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3D85C6"/>
        </w:rPr>
        <w:t>Business experience and other directorships</w:t>
      </w:r>
    </w:p>
    <w:p>
      <w:pPr>
        <w:spacing w:after="0" w:line="18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Mr. Bilodeau is the retired President and Chief Executive Officer of Standard Microsystems Corporation (“SMSC”), a semiconductor manufacturer, where he served from 1999 until 2008. Mr. Bilodeau served as a director of Maxwell Technologies, Inc., from May 2016 and was appointed Chairperson in May 2017 until its sale to Tesla, Inc. in May 2019. Mr. Bilodeau also served as a director of SMSC from 1999 until 2012, including as SMSC’s Chairperson of the Board from 2000 until 2012. Mr. Bilodeau also previously served as a director of NuHorizons Electronic Corp. (from 2009 to 2011), Conexant Systems, Inc. (from 2004 to 2011) and Gennum Corporation (from 2008 to 2012).</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3D85C6"/>
        </w:rPr>
        <w:t>Experience, qualifications and attributes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believe Mr. Bilodeau’s qualifications to sit on our Board include his extensive board and executive, including CEO, experience in the high technology and semiconductor industries and his knowledge of international operations, business strategy and corporate governance. Mr. Bilodeau was first appointed Lead Independent Director of the Board in May 2018.</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James A. Donahue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1999</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(non-executive Director since 2015)</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Age: 78</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3D85C6"/>
        </w:rPr>
        <w:t>Business experience and other directorships</w:t>
      </w:r>
    </w:p>
    <w:p>
      <w:pPr>
        <w:spacing w:after="0" w:line="189"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Mr. Donahue has been the non-executive Chairperson of Cohu since December 24, 2015. Prior to this he served as Executive Chairperson of Cohu from December 28, 2014 to December 24, 2015, and as Chairperson of the Board from 2010 until 2014. Mr. Donahue was President and Chief Executive Officer of Cohu from 2000 to 2014, and President and Chief Operating Officer of Cohu from 1999 to 2000. He also served concurrently as President of Delta Design, Inc., a wholly owned subsidiary of Cohu from 1983 to 2010. Mr. Donahue also previously served as a director of SMSC from 2003 until 2012.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Experience, qualifications and attributes</w:t>
      </w:r>
    </w:p>
    <w:p>
      <w:pPr>
        <w:spacing w:after="0" w:line="194"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We believe Mr. Donahue’s qualifications to sit on our Board include his extensive board and executive, including CEO, experience in the semiconductor equipment industry and broad knowledge of business development and strategy, corporate governance and operations. Given these qualifications, the Board has determined that it is in the best interests of the Company and its stockholders for Mr. Donahue to continue serving on the Board.</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Andreas W. Mattes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2022</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Age: 65</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Board Committees: Compensation Committee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Other current public-company boards: Wolfspeed, Inc.; ams-OSRAM AG; AT&amp;S AG</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3D85C6"/>
        </w:rPr>
        <w:t>Business experience and other directorships</w:t>
      </w:r>
    </w:p>
    <w:p>
      <w:pPr>
        <w:spacing w:after="0" w:line="18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Mr. Mattes is the retired Chief Executive Officer, President and board member of Coherent, Inc., a position he held from April 2020 to July 2022. From June 2019 until joining Coherent, he was a Senior Advisor to McKinsey &amp; Company. From 2013 to 2017, he was the Chief Executive Officer and board member of Diebold Nixdorf Incorporated, and also served as its President from 2013 to 2016. Prior to that, Mr. Mattes was Senior Vice President, Global Strategic Partnerships at Violin Memory in 2013. He has also held various senior management positions with Hewlett-Packard Co. From 2008 to 2011, he was the Senior Vice President and General Manager of Hewlett Packard’s Enterprise Services for the Americas, and from 2006 to 2008, he was Hewlett Packard’s Chief Sales Officer for the Enterprise Business. Mr. Mattes spent the first 20 years of his career, from 1985 to 2005, at Siemens, holding a variety of senior leadership positions. Mr. Mattes has over 20 years of public board experience on three continents and he currently also serves on the board of ams-OSRAM AG, a position he has held since June 2023. Mr. Mattes joined the Supervisory Board of AT&amp;S AG (Austria Technologie &amp; Systemtechnik) in July 2025 and was appointed Chairman at that time. Mr. Mattes was appointed to the Board of Directors of Wolfspeed, Inc. in July 2026. He previously served on the board of Velodyne Lidar, Inc., from 2022 until its merger with Ouster in February 2023.</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3D85C6"/>
        </w:rPr>
        <w:t>Experience, qualifications and attributes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We believe Mr. Mattes’ qualifications to sit on our Board include his substantial technology industry experience, experience as Chief Executive Officer and board member of publicly traded companies, and extensive experience in managing large global businesses, sales organizations and mergers and acquisitions.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20" w:name="page121"/>
    <w:bookmarkEnd w:id="120"/>
    <w:p>
      <w:pPr>
        <w:ind w:left="14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205740</wp:posOffset>
            </wp:positionH>
            <wp:positionV relativeFrom="page">
              <wp:posOffset>666750</wp:posOffset>
            </wp:positionV>
            <wp:extent cx="7137400" cy="4457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7400" cy="445770"/>
                    </a:xfrm>
                    <a:prstGeom prst="rect">
                      <a:avLst/>
                    </a:prstGeom>
                    <a:noFill/>
                  </pic:spPr>
                </pic:pic>
              </a:graphicData>
            </a:graphic>
          </wp:anchor>
        </w:drawing>
        <w:t>Annex F: Non-GAAP Reconciliations Supporting the Compensation Discussion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reconciliations support the fiscal 2025 compensation discussion in Annex 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3D85C6"/>
        </w:rPr>
        <w:t>Non-GAAP Financial Measures</w:t>
      </w:r>
    </w:p>
    <w:p>
      <w:pPr>
        <w:spacing w:after="0" w:line="189"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This Proxy Statement includes references to non-GAAP Net loss, EPS, Gross Profit and Pre-tax loss. These financial measures differ from such figures prepared under generally accepted accounting principles (GAAP) by adjusting Cohu’s actual results prepared under GAAP to exclude charges and the related income tax effect for: share-based compensation, the amortization of purchased intangible assets, restructuring costs, manufacturing transition and severance costs, impairments, acquisition and financing-related costs, duplicated facility costs, adjustment to contingent consideration, adjustments to indemnification receivable, and pension curtailment adjustments. Reconciliations of GAAP to non-GAAP amounts for the periods presented herein are provided below and should be considered together with the Consolidated Statements of Operations. Human Resources and the Compensation Committee utilized these non-GAAP measure in evaluating compensation decisions in 2025 to benchmark compensation decisions based on measures utilized by management and the Board in evaluating Cohu’s performance.</w:t>
      </w:r>
    </w:p>
    <w:p>
      <w:pPr>
        <w:spacing w:after="0" w:line="15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These non-GAAP measures are not meant as a substitute for GAAP but are included for informational and comparative purposes. Cohu’s management believes that this information can assist investors in evaluating Cohu’s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these non-GAAP measures to GAAP is as follows:</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6200" w:type="dxa"/>
            <w:vAlign w:val="bottom"/>
            <w:tcBorders>
              <w:left w:val="single" w:sz="8" w:color="3D85C6"/>
              <w:right w:val="single" w:sz="8" w:color="3D85C6"/>
            </w:tcBorders>
            <w:vMerge w:val="restart"/>
            <w:shd w:val="clear" w:color="auto" w:fill="2D53A6"/>
          </w:tcPr>
          <w:p>
            <w:pPr>
              <w:ind w:left="20"/>
              <w:spacing w:after="0"/>
              <w:rPr>
                <w:sz w:val="20"/>
                <w:szCs w:val="20"/>
                <w:color w:val="auto"/>
              </w:rPr>
            </w:pPr>
            <w:r>
              <w:rPr>
                <w:rFonts w:ascii="Arial" w:cs="Arial" w:eastAsia="Arial" w:hAnsi="Arial"/>
                <w:sz w:val="17"/>
                <w:szCs w:val="17"/>
                <w:b w:val="1"/>
                <w:bCs w:val="1"/>
                <w:color w:val="FFFFFF"/>
              </w:rPr>
              <w:t>Net loss reconciliation (</w:t>
            </w:r>
            <w:r>
              <w:rPr>
                <w:rFonts w:ascii="Arial" w:cs="Arial" w:eastAsia="Arial" w:hAnsi="Arial"/>
                <w:sz w:val="17"/>
                <w:szCs w:val="17"/>
                <w:b w:val="1"/>
                <w:bCs w:val="1"/>
                <w:i w:val="1"/>
                <w:iCs w:val="1"/>
                <w:color w:val="FFFFFF"/>
              </w:rPr>
              <w:t>in thousands</w:t>
            </w:r>
            <w:r>
              <w:rPr>
                <w:rFonts w:ascii="Arial" w:cs="Arial" w:eastAsia="Arial" w:hAnsi="Arial"/>
                <w:sz w:val="17"/>
                <w:szCs w:val="17"/>
                <w:b w:val="1"/>
                <w:bCs w:val="1"/>
                <w:color w:val="FFFFFF"/>
              </w:rPr>
              <w:t>)</w:t>
            </w:r>
          </w:p>
        </w:tc>
        <w:tc>
          <w:tcPr>
            <w:tcW w:w="200" w:type="dxa"/>
            <w:vAlign w:val="bottom"/>
            <w:shd w:val="clear" w:color="auto" w:fill="2D53A6"/>
          </w:tcPr>
          <w:p>
            <w:pPr>
              <w:spacing w:after="0"/>
              <w:rPr>
                <w:sz w:val="24"/>
                <w:szCs w:val="24"/>
                <w:color w:val="auto"/>
              </w:rPr>
            </w:pPr>
          </w:p>
        </w:tc>
        <w:tc>
          <w:tcPr>
            <w:tcW w:w="2300" w:type="dxa"/>
            <w:vAlign w:val="bottom"/>
            <w:tcBorders>
              <w:right w:val="single" w:sz="8" w:color="3D85C6"/>
            </w:tcBorders>
            <w:shd w:val="clear" w:color="auto" w:fill="2D53A6"/>
          </w:tcPr>
          <w:p>
            <w:pPr>
              <w:jc w:val="right"/>
              <w:ind w:right="313"/>
              <w:spacing w:after="0"/>
              <w:rPr>
                <w:sz w:val="20"/>
                <w:szCs w:val="20"/>
                <w:color w:val="auto"/>
              </w:rPr>
            </w:pPr>
            <w:r>
              <w:rPr>
                <w:rFonts w:ascii="Arial" w:cs="Arial" w:eastAsia="Arial" w:hAnsi="Arial"/>
                <w:sz w:val="17"/>
                <w:szCs w:val="17"/>
                <w:b w:val="1"/>
                <w:bCs w:val="1"/>
                <w:color w:val="FFFFFF"/>
              </w:rPr>
              <w:t>Twelve Months Ended</w:t>
            </w:r>
          </w:p>
        </w:tc>
        <w:tc>
          <w:tcPr>
            <w:tcW w:w="480" w:type="dxa"/>
            <w:vAlign w:val="bottom"/>
            <w:shd w:val="clear" w:color="auto" w:fill="2D53A6"/>
          </w:tcPr>
          <w:p>
            <w:pPr>
              <w:spacing w:after="0"/>
              <w:rPr>
                <w:sz w:val="24"/>
                <w:szCs w:val="24"/>
                <w:color w:val="auto"/>
              </w:rPr>
            </w:pPr>
          </w:p>
        </w:tc>
        <w:tc>
          <w:tcPr>
            <w:tcW w:w="2060" w:type="dxa"/>
            <w:vAlign w:val="bottom"/>
            <w:vMerge w:val="restart"/>
            <w:shd w:val="clear" w:color="auto" w:fill="2D53A6"/>
          </w:tcPr>
          <w:p>
            <w:pPr>
              <w:jc w:val="right"/>
              <w:ind w:right="693"/>
              <w:spacing w:after="0"/>
              <w:rPr>
                <w:sz w:val="20"/>
                <w:szCs w:val="20"/>
                <w:color w:val="auto"/>
              </w:rPr>
            </w:pPr>
            <w:r>
              <w:rPr>
                <w:rFonts w:ascii="Arial" w:cs="Arial" w:eastAsia="Arial" w:hAnsi="Arial"/>
                <w:sz w:val="17"/>
                <w:szCs w:val="17"/>
                <w:b w:val="1"/>
                <w:bCs w:val="1"/>
                <w:color w:val="FFFFFF"/>
              </w:rPr>
              <w:t>Diluted EPS</w:t>
            </w:r>
          </w:p>
        </w:tc>
        <w:tc>
          <w:tcPr>
            <w:tcW w:w="0" w:type="dxa"/>
            <w:vAlign w:val="bottom"/>
          </w:tcPr>
          <w:p>
            <w:pPr>
              <w:spacing w:after="0"/>
              <w:rPr>
                <w:sz w:val="1"/>
                <w:szCs w:val="1"/>
                <w:color w:val="auto"/>
              </w:rPr>
            </w:pPr>
          </w:p>
        </w:tc>
      </w:tr>
      <w:tr>
        <w:trPr>
          <w:trHeight w:val="148"/>
        </w:trPr>
        <w:tc>
          <w:tcPr>
            <w:tcW w:w="6200" w:type="dxa"/>
            <w:vAlign w:val="bottom"/>
            <w:tcBorders>
              <w:left w:val="single" w:sz="8" w:color="3D85C6"/>
              <w:right w:val="single" w:sz="8" w:color="3D85C6"/>
            </w:tcBorders>
            <w:vMerge w:val="continue"/>
            <w:shd w:val="clear" w:color="auto" w:fill="2D53A6"/>
          </w:tcPr>
          <w:p>
            <w:pPr>
              <w:spacing w:after="0"/>
              <w:rPr>
                <w:sz w:val="12"/>
                <w:szCs w:val="12"/>
                <w:color w:val="auto"/>
              </w:rPr>
            </w:pPr>
          </w:p>
        </w:tc>
        <w:tc>
          <w:tcPr>
            <w:tcW w:w="200" w:type="dxa"/>
            <w:vAlign w:val="bottom"/>
            <w:shd w:val="clear" w:color="auto" w:fill="2D53A6"/>
          </w:tcPr>
          <w:p>
            <w:pPr>
              <w:spacing w:after="0"/>
              <w:rPr>
                <w:sz w:val="12"/>
                <w:szCs w:val="12"/>
                <w:color w:val="auto"/>
              </w:rPr>
            </w:pPr>
          </w:p>
        </w:tc>
        <w:tc>
          <w:tcPr>
            <w:tcW w:w="2300" w:type="dxa"/>
            <w:vAlign w:val="bottom"/>
            <w:tcBorders>
              <w:right w:val="single" w:sz="8" w:color="3D85C6"/>
            </w:tcBorders>
            <w:vMerge w:val="restart"/>
            <w:shd w:val="clear" w:color="auto" w:fill="2D53A6"/>
          </w:tcPr>
          <w:p>
            <w:pPr>
              <w:jc w:val="right"/>
              <w:ind w:right="433"/>
              <w:spacing w:after="0"/>
              <w:rPr>
                <w:sz w:val="20"/>
                <w:szCs w:val="20"/>
                <w:color w:val="auto"/>
              </w:rPr>
            </w:pPr>
            <w:r>
              <w:rPr>
                <w:rFonts w:ascii="Arial" w:cs="Arial" w:eastAsia="Arial" w:hAnsi="Arial"/>
                <w:sz w:val="17"/>
                <w:szCs w:val="17"/>
                <w:b w:val="1"/>
                <w:bCs w:val="1"/>
                <w:color w:val="FFFFFF"/>
              </w:rPr>
              <w:t>December 27, 2025</w:t>
            </w:r>
          </w:p>
        </w:tc>
        <w:tc>
          <w:tcPr>
            <w:tcW w:w="480" w:type="dxa"/>
            <w:vAlign w:val="bottom"/>
            <w:shd w:val="clear" w:color="auto" w:fill="2D53A6"/>
          </w:tcPr>
          <w:p>
            <w:pPr>
              <w:spacing w:after="0"/>
              <w:rPr>
                <w:sz w:val="12"/>
                <w:szCs w:val="12"/>
                <w:color w:val="auto"/>
              </w:rPr>
            </w:pPr>
          </w:p>
        </w:tc>
        <w:tc>
          <w:tcPr>
            <w:tcW w:w="2060" w:type="dxa"/>
            <w:vAlign w:val="bottom"/>
            <w:vMerge w:val="continue"/>
            <w:shd w:val="clear" w:color="auto" w:fill="2D53A6"/>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6200" w:type="dxa"/>
            <w:vAlign w:val="bottom"/>
            <w:tcBorders>
              <w:left w:val="single" w:sz="8" w:color="3D85C6"/>
              <w:right w:val="single" w:sz="8" w:color="3D85C6"/>
            </w:tcBorders>
            <w:shd w:val="clear" w:color="auto" w:fill="2D53A6"/>
          </w:tcPr>
          <w:p>
            <w:pPr>
              <w:spacing w:after="0"/>
              <w:rPr>
                <w:sz w:val="7"/>
                <w:szCs w:val="7"/>
                <w:color w:val="auto"/>
              </w:rPr>
            </w:pPr>
          </w:p>
        </w:tc>
        <w:tc>
          <w:tcPr>
            <w:tcW w:w="200" w:type="dxa"/>
            <w:vAlign w:val="bottom"/>
            <w:shd w:val="clear" w:color="auto" w:fill="2D53A6"/>
          </w:tcPr>
          <w:p>
            <w:pPr>
              <w:spacing w:after="0"/>
              <w:rPr>
                <w:sz w:val="7"/>
                <w:szCs w:val="7"/>
                <w:color w:val="auto"/>
              </w:rPr>
            </w:pPr>
          </w:p>
        </w:tc>
        <w:tc>
          <w:tcPr>
            <w:tcW w:w="2300" w:type="dxa"/>
            <w:vAlign w:val="bottom"/>
            <w:tcBorders>
              <w:right w:val="single" w:sz="8" w:color="3D85C6"/>
            </w:tcBorders>
            <w:vMerge w:val="continue"/>
            <w:shd w:val="clear" w:color="auto" w:fill="2D53A6"/>
          </w:tcPr>
          <w:p>
            <w:pPr>
              <w:spacing w:after="0"/>
              <w:rPr>
                <w:sz w:val="7"/>
                <w:szCs w:val="7"/>
                <w:color w:val="auto"/>
              </w:rPr>
            </w:pPr>
          </w:p>
        </w:tc>
        <w:tc>
          <w:tcPr>
            <w:tcW w:w="480" w:type="dxa"/>
            <w:vAlign w:val="bottom"/>
            <w:shd w:val="clear" w:color="auto" w:fill="2D53A6"/>
          </w:tcPr>
          <w:p>
            <w:pPr>
              <w:spacing w:after="0"/>
              <w:rPr>
                <w:sz w:val="7"/>
                <w:szCs w:val="7"/>
                <w:color w:val="auto"/>
              </w:rPr>
            </w:pPr>
          </w:p>
        </w:tc>
        <w:tc>
          <w:tcPr>
            <w:tcW w:w="2060" w:type="dxa"/>
            <w:vAlign w:val="bottom"/>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200" w:type="dxa"/>
            <w:vAlign w:val="bottom"/>
            <w:tcBorders>
              <w:left w:val="single" w:sz="8" w:color="3D85C6"/>
              <w:right w:val="single" w:sz="8" w:color="3D85C6"/>
            </w:tcBorders>
            <w:shd w:val="clear" w:color="auto" w:fill="2D53A6"/>
          </w:tcPr>
          <w:p>
            <w:pPr>
              <w:spacing w:after="0"/>
              <w:rPr>
                <w:sz w:val="7"/>
                <w:szCs w:val="7"/>
                <w:color w:val="auto"/>
              </w:rPr>
            </w:pPr>
          </w:p>
        </w:tc>
        <w:tc>
          <w:tcPr>
            <w:tcW w:w="200" w:type="dxa"/>
            <w:vAlign w:val="bottom"/>
            <w:shd w:val="clear" w:color="auto" w:fill="2D53A6"/>
          </w:tcPr>
          <w:p>
            <w:pPr>
              <w:spacing w:after="0"/>
              <w:rPr>
                <w:sz w:val="7"/>
                <w:szCs w:val="7"/>
                <w:color w:val="auto"/>
              </w:rPr>
            </w:pPr>
          </w:p>
        </w:tc>
        <w:tc>
          <w:tcPr>
            <w:tcW w:w="2300" w:type="dxa"/>
            <w:vAlign w:val="bottom"/>
            <w:tcBorders>
              <w:right w:val="single" w:sz="8" w:color="3D85C6"/>
            </w:tcBorders>
            <w:shd w:val="clear" w:color="auto" w:fill="2D53A6"/>
          </w:tcPr>
          <w:p>
            <w:pPr>
              <w:spacing w:after="0"/>
              <w:rPr>
                <w:sz w:val="7"/>
                <w:szCs w:val="7"/>
                <w:color w:val="auto"/>
              </w:rPr>
            </w:pPr>
          </w:p>
        </w:tc>
        <w:tc>
          <w:tcPr>
            <w:tcW w:w="480" w:type="dxa"/>
            <w:vAlign w:val="bottom"/>
            <w:shd w:val="clear" w:color="auto" w:fill="2D53A6"/>
          </w:tcPr>
          <w:p>
            <w:pPr>
              <w:spacing w:after="0"/>
              <w:rPr>
                <w:sz w:val="7"/>
                <w:szCs w:val="7"/>
                <w:color w:val="auto"/>
              </w:rPr>
            </w:pPr>
          </w:p>
        </w:tc>
        <w:tc>
          <w:tcPr>
            <w:tcW w:w="2060" w:type="dxa"/>
            <w:vAlign w:val="bottom"/>
            <w:shd w:val="clear" w:color="auto" w:fill="2D53A6"/>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6200" w:type="dxa"/>
            <w:vAlign w:val="bottom"/>
            <w:tcBorders>
              <w:right w:val="single" w:sz="8" w:color="3D85C6"/>
            </w:tcBorders>
          </w:tcPr>
          <w:p>
            <w:pPr>
              <w:spacing w:after="0" w:line="178" w:lineRule="exact"/>
              <w:rPr>
                <w:sz w:val="20"/>
                <w:szCs w:val="20"/>
                <w:color w:val="auto"/>
              </w:rPr>
            </w:pPr>
            <w:r>
              <w:rPr>
                <w:rFonts w:ascii="Arial" w:cs="Arial" w:eastAsia="Arial" w:hAnsi="Arial"/>
                <w:sz w:val="17"/>
                <w:szCs w:val="17"/>
                <w:color w:val="auto"/>
              </w:rPr>
              <w:t>Net loss - GAAP basis</w:t>
            </w:r>
          </w:p>
        </w:tc>
        <w:tc>
          <w:tcPr>
            <w:tcW w:w="200" w:type="dxa"/>
            <w:vAlign w:val="bottom"/>
          </w:tcPr>
          <w:p>
            <w:pPr>
              <w:jc w:val="right"/>
              <w:ind w:right="13"/>
              <w:spacing w:after="0" w:line="178" w:lineRule="exact"/>
              <w:rPr>
                <w:sz w:val="20"/>
                <w:szCs w:val="20"/>
                <w:color w:val="auto"/>
              </w:rPr>
            </w:pPr>
            <w:r>
              <w:rPr>
                <w:rFonts w:ascii="Arial" w:cs="Arial" w:eastAsia="Arial" w:hAnsi="Arial"/>
                <w:sz w:val="17"/>
                <w:szCs w:val="17"/>
                <w:color w:val="auto"/>
                <w:w w:val="84"/>
              </w:rPr>
              <w:t>$</w:t>
            </w:r>
          </w:p>
        </w:tc>
        <w:tc>
          <w:tcPr>
            <w:tcW w:w="2300" w:type="dxa"/>
            <w:vAlign w:val="bottom"/>
            <w:tcBorders>
              <w:right w:val="single" w:sz="8" w:color="3D85C6"/>
            </w:tcBorders>
          </w:tcPr>
          <w:p>
            <w:pPr>
              <w:jc w:val="right"/>
              <w:spacing w:after="0" w:line="178" w:lineRule="exact"/>
              <w:rPr>
                <w:sz w:val="20"/>
                <w:szCs w:val="20"/>
                <w:color w:val="auto"/>
              </w:rPr>
            </w:pPr>
            <w:r>
              <w:rPr>
                <w:rFonts w:ascii="Arial" w:cs="Arial" w:eastAsia="Arial" w:hAnsi="Arial"/>
                <w:sz w:val="17"/>
                <w:szCs w:val="17"/>
                <w:color w:val="auto"/>
              </w:rPr>
              <w:t>(74,273)</w:t>
            </w:r>
          </w:p>
        </w:tc>
        <w:tc>
          <w:tcPr>
            <w:tcW w:w="480" w:type="dxa"/>
            <w:vAlign w:val="bottom"/>
          </w:tcPr>
          <w:p>
            <w:pPr>
              <w:jc w:val="right"/>
              <w:ind w:right="213"/>
              <w:spacing w:after="0" w:line="178" w:lineRule="exact"/>
              <w:rPr>
                <w:sz w:val="20"/>
                <w:szCs w:val="20"/>
                <w:color w:val="auto"/>
              </w:rPr>
            </w:pPr>
            <w:r>
              <w:rPr>
                <w:rFonts w:ascii="Arial" w:cs="Arial" w:eastAsia="Arial" w:hAnsi="Arial"/>
                <w:sz w:val="17"/>
                <w:szCs w:val="17"/>
                <w:color w:val="auto"/>
              </w:rPr>
              <w:t>$</w:t>
            </w:r>
          </w:p>
        </w:tc>
        <w:tc>
          <w:tcPr>
            <w:tcW w:w="2060" w:type="dxa"/>
            <w:vAlign w:val="bottom"/>
          </w:tcPr>
          <w:p>
            <w:pPr>
              <w:jc w:val="right"/>
              <w:spacing w:after="0" w:line="178" w:lineRule="exact"/>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195"/>
        </w:trPr>
        <w:tc>
          <w:tcPr>
            <w:tcW w:w="620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Share-based compensation</w:t>
            </w:r>
          </w:p>
        </w:tc>
        <w:tc>
          <w:tcPr>
            <w:tcW w:w="200" w:type="dxa"/>
            <w:vAlign w:val="bottom"/>
          </w:tcPr>
          <w:p>
            <w:pPr>
              <w:spacing w:after="0"/>
              <w:rPr>
                <w:sz w:val="16"/>
                <w:szCs w:val="16"/>
                <w:color w:val="auto"/>
              </w:rPr>
            </w:pPr>
          </w:p>
        </w:tc>
        <w:tc>
          <w:tcPr>
            <w:tcW w:w="2300" w:type="dxa"/>
            <w:vAlign w:val="bottom"/>
            <w:tcBorders>
              <w:right w:val="single" w:sz="8" w:color="3D85C6"/>
            </w:tcBorders>
          </w:tcPr>
          <w:p>
            <w:pPr>
              <w:jc w:val="right"/>
              <w:ind w:right="33"/>
              <w:spacing w:after="0"/>
              <w:rPr>
                <w:sz w:val="20"/>
                <w:szCs w:val="20"/>
                <w:color w:val="auto"/>
              </w:rPr>
            </w:pPr>
            <w:r>
              <w:rPr>
                <w:rFonts w:ascii="Arial" w:cs="Arial" w:eastAsia="Arial" w:hAnsi="Arial"/>
                <w:sz w:val="17"/>
                <w:szCs w:val="17"/>
                <w:color w:val="auto"/>
              </w:rPr>
              <w:t>23,042</w:t>
            </w:r>
          </w:p>
        </w:tc>
        <w:tc>
          <w:tcPr>
            <w:tcW w:w="480" w:type="dxa"/>
            <w:vAlign w:val="bottom"/>
          </w:tcPr>
          <w:p>
            <w:pPr>
              <w:spacing w:after="0"/>
              <w:rPr>
                <w:sz w:val="16"/>
                <w:szCs w:val="16"/>
                <w:color w:val="auto"/>
              </w:rPr>
            </w:pPr>
          </w:p>
        </w:tc>
        <w:tc>
          <w:tcPr>
            <w:tcW w:w="2060" w:type="dxa"/>
            <w:vAlign w:val="bottom"/>
          </w:tcPr>
          <w:p>
            <w:pPr>
              <w:jc w:val="right"/>
              <w:ind w:right="13"/>
              <w:spacing w:after="0"/>
              <w:rPr>
                <w:sz w:val="20"/>
                <w:szCs w:val="20"/>
                <w:color w:val="auto"/>
              </w:rPr>
            </w:pPr>
            <w:r>
              <w:rPr>
                <w:rFonts w:ascii="Arial" w:cs="Arial" w:eastAsia="Arial" w:hAnsi="Arial"/>
                <w:sz w:val="17"/>
                <w:szCs w:val="17"/>
                <w:color w:val="auto"/>
              </w:rPr>
              <w:t>0.49</w:t>
            </w:r>
          </w:p>
        </w:tc>
        <w:tc>
          <w:tcPr>
            <w:tcW w:w="0" w:type="dxa"/>
            <w:vAlign w:val="bottom"/>
          </w:tcPr>
          <w:p>
            <w:pPr>
              <w:spacing w:after="0"/>
              <w:rPr>
                <w:sz w:val="1"/>
                <w:szCs w:val="1"/>
                <w:color w:val="auto"/>
              </w:rPr>
            </w:pPr>
          </w:p>
        </w:tc>
      </w:tr>
      <w:tr>
        <w:trPr>
          <w:trHeight w:val="195"/>
        </w:trPr>
        <w:tc>
          <w:tcPr>
            <w:tcW w:w="620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Amortization of purchased intangible assets</w:t>
            </w:r>
          </w:p>
        </w:tc>
        <w:tc>
          <w:tcPr>
            <w:tcW w:w="200" w:type="dxa"/>
            <w:vAlign w:val="bottom"/>
          </w:tcPr>
          <w:p>
            <w:pPr>
              <w:spacing w:after="0"/>
              <w:rPr>
                <w:sz w:val="16"/>
                <w:szCs w:val="16"/>
                <w:color w:val="auto"/>
              </w:rPr>
            </w:pPr>
          </w:p>
        </w:tc>
        <w:tc>
          <w:tcPr>
            <w:tcW w:w="2300" w:type="dxa"/>
            <w:vAlign w:val="bottom"/>
            <w:tcBorders>
              <w:right w:val="single" w:sz="8" w:color="3D85C6"/>
            </w:tcBorders>
          </w:tcPr>
          <w:p>
            <w:pPr>
              <w:jc w:val="right"/>
              <w:ind w:right="33"/>
              <w:spacing w:after="0"/>
              <w:rPr>
                <w:sz w:val="20"/>
                <w:szCs w:val="20"/>
                <w:color w:val="auto"/>
              </w:rPr>
            </w:pPr>
            <w:r>
              <w:rPr>
                <w:rFonts w:ascii="Arial" w:cs="Arial" w:eastAsia="Arial" w:hAnsi="Arial"/>
                <w:sz w:val="17"/>
                <w:szCs w:val="17"/>
                <w:color w:val="auto"/>
              </w:rPr>
              <w:t>37,466</w:t>
            </w:r>
          </w:p>
        </w:tc>
        <w:tc>
          <w:tcPr>
            <w:tcW w:w="480" w:type="dxa"/>
            <w:vAlign w:val="bottom"/>
          </w:tcPr>
          <w:p>
            <w:pPr>
              <w:spacing w:after="0"/>
              <w:rPr>
                <w:sz w:val="16"/>
                <w:szCs w:val="16"/>
                <w:color w:val="auto"/>
              </w:rPr>
            </w:pPr>
          </w:p>
        </w:tc>
        <w:tc>
          <w:tcPr>
            <w:tcW w:w="2060" w:type="dxa"/>
            <w:vAlign w:val="bottom"/>
          </w:tcPr>
          <w:p>
            <w:pPr>
              <w:jc w:val="right"/>
              <w:ind w:right="13"/>
              <w:spacing w:after="0"/>
              <w:rPr>
                <w:sz w:val="20"/>
                <w:szCs w:val="20"/>
                <w:color w:val="auto"/>
              </w:rPr>
            </w:pPr>
            <w:r>
              <w:rPr>
                <w:rFonts w:ascii="Arial" w:cs="Arial" w:eastAsia="Arial" w:hAnsi="Arial"/>
                <w:sz w:val="17"/>
                <w:szCs w:val="17"/>
                <w:color w:val="auto"/>
              </w:rPr>
              <w:t>0.80</w:t>
            </w:r>
          </w:p>
        </w:tc>
        <w:tc>
          <w:tcPr>
            <w:tcW w:w="0" w:type="dxa"/>
            <w:vAlign w:val="bottom"/>
          </w:tcPr>
          <w:p>
            <w:pPr>
              <w:spacing w:after="0"/>
              <w:rPr>
                <w:sz w:val="1"/>
                <w:szCs w:val="1"/>
                <w:color w:val="auto"/>
              </w:rPr>
            </w:pPr>
          </w:p>
        </w:tc>
      </w:tr>
      <w:tr>
        <w:trPr>
          <w:trHeight w:val="195"/>
        </w:trPr>
        <w:tc>
          <w:tcPr>
            <w:tcW w:w="620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Restructuring charges related to inventory adjustments in cost of sales</w:t>
            </w:r>
          </w:p>
        </w:tc>
        <w:tc>
          <w:tcPr>
            <w:tcW w:w="200" w:type="dxa"/>
            <w:vAlign w:val="bottom"/>
          </w:tcPr>
          <w:p>
            <w:pPr>
              <w:spacing w:after="0"/>
              <w:rPr>
                <w:sz w:val="16"/>
                <w:szCs w:val="16"/>
                <w:color w:val="auto"/>
              </w:rPr>
            </w:pPr>
          </w:p>
        </w:tc>
        <w:tc>
          <w:tcPr>
            <w:tcW w:w="2300" w:type="dxa"/>
            <w:vAlign w:val="bottom"/>
            <w:tcBorders>
              <w:right w:val="single" w:sz="8" w:color="3D85C6"/>
            </w:tcBorders>
          </w:tcPr>
          <w:p>
            <w:pPr>
              <w:jc w:val="right"/>
              <w:ind w:right="33"/>
              <w:spacing w:after="0"/>
              <w:rPr>
                <w:sz w:val="20"/>
                <w:szCs w:val="20"/>
                <w:color w:val="auto"/>
              </w:rPr>
            </w:pPr>
            <w:r>
              <w:rPr>
                <w:rFonts w:ascii="Arial" w:cs="Arial" w:eastAsia="Arial" w:hAnsi="Arial"/>
                <w:sz w:val="17"/>
                <w:szCs w:val="17"/>
                <w:color w:val="auto"/>
              </w:rPr>
              <w:t>745</w:t>
            </w:r>
          </w:p>
        </w:tc>
        <w:tc>
          <w:tcPr>
            <w:tcW w:w="480" w:type="dxa"/>
            <w:vAlign w:val="bottom"/>
          </w:tcPr>
          <w:p>
            <w:pPr>
              <w:spacing w:after="0"/>
              <w:rPr>
                <w:sz w:val="16"/>
                <w:szCs w:val="16"/>
                <w:color w:val="auto"/>
              </w:rPr>
            </w:pPr>
          </w:p>
        </w:tc>
        <w:tc>
          <w:tcPr>
            <w:tcW w:w="2060" w:type="dxa"/>
            <w:vAlign w:val="bottom"/>
          </w:tcPr>
          <w:p>
            <w:pPr>
              <w:jc w:val="right"/>
              <w:ind w:right="13"/>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195"/>
        </w:trPr>
        <w:tc>
          <w:tcPr>
            <w:tcW w:w="620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Restructuring charges</w:t>
            </w:r>
          </w:p>
        </w:tc>
        <w:tc>
          <w:tcPr>
            <w:tcW w:w="200" w:type="dxa"/>
            <w:vAlign w:val="bottom"/>
          </w:tcPr>
          <w:p>
            <w:pPr>
              <w:spacing w:after="0"/>
              <w:rPr>
                <w:sz w:val="16"/>
                <w:szCs w:val="16"/>
                <w:color w:val="auto"/>
              </w:rPr>
            </w:pPr>
          </w:p>
        </w:tc>
        <w:tc>
          <w:tcPr>
            <w:tcW w:w="2300" w:type="dxa"/>
            <w:vAlign w:val="bottom"/>
            <w:tcBorders>
              <w:right w:val="single" w:sz="8" w:color="3D85C6"/>
            </w:tcBorders>
          </w:tcPr>
          <w:p>
            <w:pPr>
              <w:jc w:val="right"/>
              <w:ind w:right="33"/>
              <w:spacing w:after="0"/>
              <w:rPr>
                <w:sz w:val="20"/>
                <w:szCs w:val="20"/>
                <w:color w:val="auto"/>
              </w:rPr>
            </w:pPr>
            <w:r>
              <w:rPr>
                <w:rFonts w:ascii="Arial" w:cs="Arial" w:eastAsia="Arial" w:hAnsi="Arial"/>
                <w:sz w:val="17"/>
                <w:szCs w:val="17"/>
                <w:color w:val="auto"/>
              </w:rPr>
              <w:t>10,143</w:t>
            </w:r>
          </w:p>
        </w:tc>
        <w:tc>
          <w:tcPr>
            <w:tcW w:w="480" w:type="dxa"/>
            <w:vAlign w:val="bottom"/>
          </w:tcPr>
          <w:p>
            <w:pPr>
              <w:spacing w:after="0"/>
              <w:rPr>
                <w:sz w:val="16"/>
                <w:szCs w:val="16"/>
                <w:color w:val="auto"/>
              </w:rPr>
            </w:pPr>
          </w:p>
        </w:tc>
        <w:tc>
          <w:tcPr>
            <w:tcW w:w="2060" w:type="dxa"/>
            <w:vAlign w:val="bottom"/>
          </w:tcPr>
          <w:p>
            <w:pPr>
              <w:jc w:val="right"/>
              <w:ind w:right="13"/>
              <w:spacing w:after="0"/>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195"/>
        </w:trPr>
        <w:tc>
          <w:tcPr>
            <w:tcW w:w="620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Manufacturing transition and severance costs</w:t>
            </w:r>
          </w:p>
        </w:tc>
        <w:tc>
          <w:tcPr>
            <w:tcW w:w="200" w:type="dxa"/>
            <w:vAlign w:val="bottom"/>
          </w:tcPr>
          <w:p>
            <w:pPr>
              <w:spacing w:after="0"/>
              <w:rPr>
                <w:sz w:val="16"/>
                <w:szCs w:val="16"/>
                <w:color w:val="auto"/>
              </w:rPr>
            </w:pPr>
          </w:p>
        </w:tc>
        <w:tc>
          <w:tcPr>
            <w:tcW w:w="2300" w:type="dxa"/>
            <w:vAlign w:val="bottom"/>
            <w:tcBorders>
              <w:right w:val="single" w:sz="8" w:color="3D85C6"/>
            </w:tcBorders>
          </w:tcPr>
          <w:p>
            <w:pPr>
              <w:jc w:val="right"/>
              <w:ind w:right="33"/>
              <w:spacing w:after="0"/>
              <w:rPr>
                <w:sz w:val="20"/>
                <w:szCs w:val="20"/>
                <w:color w:val="auto"/>
              </w:rPr>
            </w:pPr>
            <w:r>
              <w:rPr>
                <w:rFonts w:ascii="Arial" w:cs="Arial" w:eastAsia="Arial" w:hAnsi="Arial"/>
                <w:sz w:val="17"/>
                <w:szCs w:val="17"/>
                <w:color w:val="auto"/>
              </w:rPr>
              <w:t>519</w:t>
            </w:r>
          </w:p>
        </w:tc>
        <w:tc>
          <w:tcPr>
            <w:tcW w:w="480" w:type="dxa"/>
            <w:vAlign w:val="bottom"/>
          </w:tcPr>
          <w:p>
            <w:pPr>
              <w:spacing w:after="0"/>
              <w:rPr>
                <w:sz w:val="16"/>
                <w:szCs w:val="16"/>
                <w:color w:val="auto"/>
              </w:rPr>
            </w:pPr>
          </w:p>
        </w:tc>
        <w:tc>
          <w:tcPr>
            <w:tcW w:w="2060" w:type="dxa"/>
            <w:vAlign w:val="bottom"/>
          </w:tcPr>
          <w:p>
            <w:pPr>
              <w:jc w:val="right"/>
              <w:ind w:right="13"/>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95"/>
        </w:trPr>
        <w:tc>
          <w:tcPr>
            <w:tcW w:w="620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Impairment charges included in SG&amp;A</w:t>
            </w:r>
          </w:p>
        </w:tc>
        <w:tc>
          <w:tcPr>
            <w:tcW w:w="200" w:type="dxa"/>
            <w:vAlign w:val="bottom"/>
          </w:tcPr>
          <w:p>
            <w:pPr>
              <w:spacing w:after="0"/>
              <w:rPr>
                <w:sz w:val="16"/>
                <w:szCs w:val="16"/>
                <w:color w:val="auto"/>
              </w:rPr>
            </w:pPr>
          </w:p>
        </w:tc>
        <w:tc>
          <w:tcPr>
            <w:tcW w:w="2300" w:type="dxa"/>
            <w:vAlign w:val="bottom"/>
            <w:tcBorders>
              <w:right w:val="single" w:sz="8" w:color="3D85C6"/>
            </w:tcBorders>
          </w:tcPr>
          <w:p>
            <w:pPr>
              <w:jc w:val="right"/>
              <w:spacing w:after="0"/>
              <w:rPr>
                <w:sz w:val="20"/>
                <w:szCs w:val="20"/>
                <w:color w:val="auto"/>
              </w:rPr>
            </w:pPr>
            <w:r>
              <w:rPr>
                <w:rFonts w:ascii="Arial" w:cs="Arial" w:eastAsia="Arial" w:hAnsi="Arial"/>
                <w:sz w:val="17"/>
                <w:szCs w:val="17"/>
                <w:color w:val="auto"/>
              </w:rPr>
              <w:t>(449)</w:t>
            </w:r>
          </w:p>
        </w:tc>
        <w:tc>
          <w:tcPr>
            <w:tcW w:w="4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95"/>
        </w:trPr>
        <w:tc>
          <w:tcPr>
            <w:tcW w:w="620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Acquisition and financing costs included in SG&amp;A</w:t>
            </w:r>
          </w:p>
        </w:tc>
        <w:tc>
          <w:tcPr>
            <w:tcW w:w="200" w:type="dxa"/>
            <w:vAlign w:val="bottom"/>
          </w:tcPr>
          <w:p>
            <w:pPr>
              <w:spacing w:after="0"/>
              <w:rPr>
                <w:sz w:val="16"/>
                <w:szCs w:val="16"/>
                <w:color w:val="auto"/>
              </w:rPr>
            </w:pPr>
          </w:p>
        </w:tc>
        <w:tc>
          <w:tcPr>
            <w:tcW w:w="2300" w:type="dxa"/>
            <w:vAlign w:val="bottom"/>
            <w:tcBorders>
              <w:right w:val="single" w:sz="8" w:color="3D85C6"/>
            </w:tcBorders>
          </w:tcPr>
          <w:p>
            <w:pPr>
              <w:jc w:val="right"/>
              <w:ind w:right="33"/>
              <w:spacing w:after="0"/>
              <w:rPr>
                <w:sz w:val="20"/>
                <w:szCs w:val="20"/>
                <w:color w:val="auto"/>
              </w:rPr>
            </w:pPr>
            <w:r>
              <w:rPr>
                <w:rFonts w:ascii="Arial" w:cs="Arial" w:eastAsia="Arial" w:hAnsi="Arial"/>
                <w:sz w:val="17"/>
                <w:szCs w:val="17"/>
                <w:color w:val="auto"/>
              </w:rPr>
              <w:t>457</w:t>
            </w:r>
          </w:p>
        </w:tc>
        <w:tc>
          <w:tcPr>
            <w:tcW w:w="480" w:type="dxa"/>
            <w:vAlign w:val="bottom"/>
          </w:tcPr>
          <w:p>
            <w:pPr>
              <w:spacing w:after="0"/>
              <w:rPr>
                <w:sz w:val="16"/>
                <w:szCs w:val="16"/>
                <w:color w:val="auto"/>
              </w:rPr>
            </w:pPr>
          </w:p>
        </w:tc>
        <w:tc>
          <w:tcPr>
            <w:tcW w:w="2060" w:type="dxa"/>
            <w:vAlign w:val="bottom"/>
          </w:tcPr>
          <w:p>
            <w:pPr>
              <w:jc w:val="right"/>
              <w:ind w:right="13"/>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195"/>
        </w:trPr>
        <w:tc>
          <w:tcPr>
            <w:tcW w:w="620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Duplicate facility costs</w:t>
            </w:r>
          </w:p>
        </w:tc>
        <w:tc>
          <w:tcPr>
            <w:tcW w:w="200" w:type="dxa"/>
            <w:vAlign w:val="bottom"/>
          </w:tcPr>
          <w:p>
            <w:pPr>
              <w:spacing w:after="0"/>
              <w:rPr>
                <w:sz w:val="16"/>
                <w:szCs w:val="16"/>
                <w:color w:val="auto"/>
              </w:rPr>
            </w:pPr>
          </w:p>
        </w:tc>
        <w:tc>
          <w:tcPr>
            <w:tcW w:w="2300" w:type="dxa"/>
            <w:vAlign w:val="bottom"/>
            <w:tcBorders>
              <w:right w:val="single" w:sz="8" w:color="3D85C6"/>
            </w:tcBorders>
          </w:tcPr>
          <w:p>
            <w:pPr>
              <w:jc w:val="right"/>
              <w:ind w:right="33"/>
              <w:spacing w:after="0"/>
              <w:rPr>
                <w:sz w:val="20"/>
                <w:szCs w:val="20"/>
                <w:color w:val="auto"/>
              </w:rPr>
            </w:pPr>
            <w:r>
              <w:rPr>
                <w:rFonts w:ascii="Arial" w:cs="Arial" w:eastAsia="Arial" w:hAnsi="Arial"/>
                <w:sz w:val="17"/>
                <w:szCs w:val="17"/>
                <w:color w:val="auto"/>
              </w:rPr>
              <w:t>1,799</w:t>
            </w:r>
          </w:p>
        </w:tc>
        <w:tc>
          <w:tcPr>
            <w:tcW w:w="480" w:type="dxa"/>
            <w:vAlign w:val="bottom"/>
          </w:tcPr>
          <w:p>
            <w:pPr>
              <w:spacing w:after="0"/>
              <w:rPr>
                <w:sz w:val="16"/>
                <w:szCs w:val="16"/>
                <w:color w:val="auto"/>
              </w:rPr>
            </w:pPr>
          </w:p>
        </w:tc>
        <w:tc>
          <w:tcPr>
            <w:tcW w:w="2060" w:type="dxa"/>
            <w:vAlign w:val="bottom"/>
          </w:tcPr>
          <w:p>
            <w:pPr>
              <w:jc w:val="right"/>
              <w:ind w:right="13"/>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195"/>
        </w:trPr>
        <w:tc>
          <w:tcPr>
            <w:tcW w:w="620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Adjustment to contingent consideration</w:t>
            </w:r>
          </w:p>
        </w:tc>
        <w:tc>
          <w:tcPr>
            <w:tcW w:w="200" w:type="dxa"/>
            <w:vAlign w:val="bottom"/>
          </w:tcPr>
          <w:p>
            <w:pPr>
              <w:spacing w:after="0"/>
              <w:rPr>
                <w:sz w:val="16"/>
                <w:szCs w:val="16"/>
                <w:color w:val="auto"/>
              </w:rPr>
            </w:pPr>
          </w:p>
        </w:tc>
        <w:tc>
          <w:tcPr>
            <w:tcW w:w="2300" w:type="dxa"/>
            <w:vAlign w:val="bottom"/>
            <w:tcBorders>
              <w:right w:val="single" w:sz="8" w:color="3D85C6"/>
            </w:tcBorders>
          </w:tcPr>
          <w:p>
            <w:pPr>
              <w:jc w:val="right"/>
              <w:spacing w:after="0"/>
              <w:rPr>
                <w:sz w:val="20"/>
                <w:szCs w:val="20"/>
                <w:color w:val="auto"/>
              </w:rPr>
            </w:pPr>
            <w:r>
              <w:rPr>
                <w:rFonts w:ascii="Arial" w:cs="Arial" w:eastAsia="Arial" w:hAnsi="Arial"/>
                <w:sz w:val="17"/>
                <w:szCs w:val="17"/>
                <w:color w:val="auto"/>
              </w:rPr>
              <w:t>(1,700)</w:t>
            </w:r>
          </w:p>
        </w:tc>
        <w:tc>
          <w:tcPr>
            <w:tcW w:w="4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195"/>
        </w:trPr>
        <w:tc>
          <w:tcPr>
            <w:tcW w:w="620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Adjustments to indemnification receivable</w:t>
            </w:r>
          </w:p>
        </w:tc>
        <w:tc>
          <w:tcPr>
            <w:tcW w:w="200" w:type="dxa"/>
            <w:vAlign w:val="bottom"/>
          </w:tcPr>
          <w:p>
            <w:pPr>
              <w:spacing w:after="0"/>
              <w:rPr>
                <w:sz w:val="16"/>
                <w:szCs w:val="16"/>
                <w:color w:val="auto"/>
              </w:rPr>
            </w:pPr>
          </w:p>
        </w:tc>
        <w:tc>
          <w:tcPr>
            <w:tcW w:w="2300" w:type="dxa"/>
            <w:vAlign w:val="bottom"/>
            <w:tcBorders>
              <w:right w:val="single" w:sz="8" w:color="3D85C6"/>
            </w:tcBorders>
          </w:tcPr>
          <w:p>
            <w:pPr>
              <w:jc w:val="right"/>
              <w:spacing w:after="0"/>
              <w:rPr>
                <w:sz w:val="20"/>
                <w:szCs w:val="20"/>
                <w:color w:val="auto"/>
              </w:rPr>
            </w:pPr>
            <w:r>
              <w:rPr>
                <w:rFonts w:ascii="Arial" w:cs="Arial" w:eastAsia="Arial" w:hAnsi="Arial"/>
                <w:sz w:val="17"/>
                <w:szCs w:val="17"/>
                <w:color w:val="auto"/>
              </w:rPr>
              <w:t>(123)</w:t>
            </w:r>
          </w:p>
        </w:tc>
        <w:tc>
          <w:tcPr>
            <w:tcW w:w="4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195"/>
        </w:trPr>
        <w:tc>
          <w:tcPr>
            <w:tcW w:w="620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Tax effect of non-GAAP adjustments</w:t>
            </w:r>
          </w:p>
        </w:tc>
        <w:tc>
          <w:tcPr>
            <w:tcW w:w="200" w:type="dxa"/>
            <w:vAlign w:val="bottom"/>
          </w:tcPr>
          <w:p>
            <w:pPr>
              <w:spacing w:after="0"/>
              <w:rPr>
                <w:sz w:val="16"/>
                <w:szCs w:val="16"/>
                <w:color w:val="auto"/>
              </w:rPr>
            </w:pPr>
          </w:p>
        </w:tc>
        <w:tc>
          <w:tcPr>
            <w:tcW w:w="2300" w:type="dxa"/>
            <w:vAlign w:val="bottom"/>
            <w:tcBorders>
              <w:right w:val="single" w:sz="8" w:color="3D85C6"/>
            </w:tcBorders>
          </w:tcPr>
          <w:p>
            <w:pPr>
              <w:jc w:val="right"/>
              <w:spacing w:after="0"/>
              <w:rPr>
                <w:sz w:val="20"/>
                <w:szCs w:val="20"/>
                <w:color w:val="auto"/>
              </w:rPr>
            </w:pPr>
            <w:r>
              <w:rPr>
                <w:rFonts w:ascii="Arial" w:cs="Arial" w:eastAsia="Arial" w:hAnsi="Arial"/>
                <w:sz w:val="17"/>
                <w:szCs w:val="17"/>
                <w:color w:val="auto"/>
              </w:rPr>
              <w:t>(5,553)</w:t>
            </w:r>
          </w:p>
        </w:tc>
        <w:tc>
          <w:tcPr>
            <w:tcW w:w="4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12"/>
        </w:trPr>
        <w:tc>
          <w:tcPr>
            <w:tcW w:w="6200" w:type="dxa"/>
            <w:vAlign w:val="bottom"/>
            <w:tcBorders>
              <w:bottom w:val="single" w:sz="8" w:color="3D85C6"/>
              <w:right w:val="single" w:sz="8" w:color="3D85C6"/>
            </w:tcBorders>
          </w:tcPr>
          <w:p>
            <w:pPr>
              <w:ind w:left="320"/>
              <w:spacing w:after="0"/>
              <w:rPr>
                <w:sz w:val="20"/>
                <w:szCs w:val="20"/>
                <w:color w:val="auto"/>
              </w:rPr>
            </w:pPr>
            <w:r>
              <w:rPr>
                <w:rFonts w:ascii="Arial" w:cs="Arial" w:eastAsia="Arial" w:hAnsi="Arial"/>
                <w:sz w:val="17"/>
                <w:szCs w:val="17"/>
                <w:color w:val="auto"/>
              </w:rPr>
              <w:t>Pension curtailment adjustment</w:t>
            </w:r>
          </w:p>
        </w:tc>
        <w:tc>
          <w:tcPr>
            <w:tcW w:w="200" w:type="dxa"/>
            <w:vAlign w:val="bottom"/>
            <w:tcBorders>
              <w:bottom w:val="single" w:sz="8" w:color="3D85C6"/>
            </w:tcBorders>
          </w:tcPr>
          <w:p>
            <w:pPr>
              <w:spacing w:after="0"/>
              <w:rPr>
                <w:sz w:val="18"/>
                <w:szCs w:val="18"/>
                <w:color w:val="auto"/>
              </w:rPr>
            </w:pPr>
          </w:p>
        </w:tc>
        <w:tc>
          <w:tcPr>
            <w:tcW w:w="2300" w:type="dxa"/>
            <w:vAlign w:val="bottom"/>
            <w:tcBorders>
              <w:bottom w:val="single" w:sz="8" w:color="3D85C6"/>
              <w:right w:val="single" w:sz="8" w:color="3D85C6"/>
            </w:tcBorders>
          </w:tcPr>
          <w:p>
            <w:pPr>
              <w:jc w:val="right"/>
              <w:spacing w:after="0"/>
              <w:rPr>
                <w:sz w:val="20"/>
                <w:szCs w:val="20"/>
                <w:color w:val="auto"/>
              </w:rPr>
            </w:pPr>
            <w:r>
              <w:rPr>
                <w:rFonts w:ascii="Arial" w:cs="Arial" w:eastAsia="Arial" w:hAnsi="Arial"/>
                <w:sz w:val="17"/>
                <w:szCs w:val="17"/>
                <w:color w:val="auto"/>
              </w:rPr>
              <w:t>(2,159)</w:t>
            </w:r>
          </w:p>
        </w:tc>
        <w:tc>
          <w:tcPr>
            <w:tcW w:w="480" w:type="dxa"/>
            <w:vAlign w:val="bottom"/>
            <w:tcBorders>
              <w:bottom w:val="single" w:sz="8" w:color="3D85C6"/>
            </w:tcBorders>
          </w:tcPr>
          <w:p>
            <w:pPr>
              <w:spacing w:after="0"/>
              <w:rPr>
                <w:sz w:val="18"/>
                <w:szCs w:val="18"/>
                <w:color w:val="auto"/>
              </w:rPr>
            </w:pPr>
          </w:p>
        </w:tc>
        <w:tc>
          <w:tcPr>
            <w:tcW w:w="2060" w:type="dxa"/>
            <w:vAlign w:val="bottom"/>
            <w:tcBorders>
              <w:bottom w:val="single" w:sz="8" w:color="3D85C6"/>
            </w:tcBorders>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188"/>
        </w:trPr>
        <w:tc>
          <w:tcPr>
            <w:tcW w:w="6200" w:type="dxa"/>
            <w:vAlign w:val="bottom"/>
            <w:tcBorders>
              <w:bottom w:val="single" w:sz="8" w:color="3D85C6"/>
            </w:tcBorders>
          </w:tcPr>
          <w:p>
            <w:pPr>
              <w:spacing w:after="0" w:line="188" w:lineRule="exact"/>
              <w:rPr>
                <w:sz w:val="20"/>
                <w:szCs w:val="20"/>
                <w:color w:val="auto"/>
              </w:rPr>
            </w:pPr>
            <w:r>
              <w:rPr>
                <w:rFonts w:ascii="Arial" w:cs="Arial" w:eastAsia="Arial" w:hAnsi="Arial"/>
                <w:sz w:val="17"/>
                <w:szCs w:val="17"/>
                <w:color w:val="auto"/>
              </w:rPr>
              <w:t>Net loss - non-GAAP basis</w:t>
            </w:r>
          </w:p>
        </w:tc>
        <w:tc>
          <w:tcPr>
            <w:tcW w:w="200" w:type="dxa"/>
            <w:vAlign w:val="bottom"/>
            <w:tcBorders>
              <w:bottom w:val="single" w:sz="8" w:color="3D85C6"/>
            </w:tcBorders>
          </w:tcPr>
          <w:p>
            <w:pPr>
              <w:jc w:val="right"/>
              <w:ind w:right="13"/>
              <w:spacing w:after="0" w:line="188" w:lineRule="exact"/>
              <w:rPr>
                <w:sz w:val="20"/>
                <w:szCs w:val="20"/>
                <w:color w:val="auto"/>
              </w:rPr>
            </w:pPr>
            <w:r>
              <w:rPr>
                <w:rFonts w:ascii="Arial" w:cs="Arial" w:eastAsia="Arial" w:hAnsi="Arial"/>
                <w:sz w:val="17"/>
                <w:szCs w:val="17"/>
                <w:color w:val="auto"/>
                <w:w w:val="84"/>
              </w:rPr>
              <w:t>$</w:t>
            </w:r>
          </w:p>
        </w:tc>
        <w:tc>
          <w:tcPr>
            <w:tcW w:w="2300" w:type="dxa"/>
            <w:vAlign w:val="bottom"/>
            <w:tcBorders>
              <w:bottom w:val="single" w:sz="8" w:color="3D85C6"/>
              <w:right w:val="single" w:sz="8" w:color="3D85C6"/>
            </w:tcBorders>
          </w:tcPr>
          <w:p>
            <w:pPr>
              <w:jc w:val="right"/>
              <w:spacing w:after="0" w:line="188" w:lineRule="exact"/>
              <w:rPr>
                <w:sz w:val="20"/>
                <w:szCs w:val="20"/>
                <w:color w:val="auto"/>
              </w:rPr>
            </w:pPr>
            <w:r>
              <w:rPr>
                <w:rFonts w:ascii="Arial" w:cs="Arial" w:eastAsia="Arial" w:hAnsi="Arial"/>
                <w:sz w:val="17"/>
                <w:szCs w:val="17"/>
                <w:color w:val="auto"/>
              </w:rPr>
              <w:t>(10,086)</w:t>
            </w:r>
          </w:p>
        </w:tc>
        <w:tc>
          <w:tcPr>
            <w:tcW w:w="480" w:type="dxa"/>
            <w:vAlign w:val="bottom"/>
            <w:tcBorders>
              <w:bottom w:val="single" w:sz="8" w:color="3D85C6"/>
            </w:tcBorders>
          </w:tcPr>
          <w:p>
            <w:pPr>
              <w:jc w:val="right"/>
              <w:ind w:right="213"/>
              <w:spacing w:after="0" w:line="188" w:lineRule="exact"/>
              <w:rPr>
                <w:sz w:val="20"/>
                <w:szCs w:val="20"/>
                <w:color w:val="auto"/>
              </w:rPr>
            </w:pPr>
            <w:r>
              <w:rPr>
                <w:rFonts w:ascii="Arial" w:cs="Arial" w:eastAsia="Arial" w:hAnsi="Arial"/>
                <w:sz w:val="17"/>
                <w:szCs w:val="17"/>
                <w:color w:val="auto"/>
              </w:rPr>
              <w:t>$</w:t>
            </w:r>
          </w:p>
        </w:tc>
        <w:tc>
          <w:tcPr>
            <w:tcW w:w="2060" w:type="dxa"/>
            <w:vAlign w:val="bottom"/>
            <w:tcBorders>
              <w:bottom w:val="single" w:sz="8" w:color="3D85C6"/>
            </w:tcBorders>
          </w:tcPr>
          <w:p>
            <w:pPr>
              <w:jc w:val="right"/>
              <w:spacing w:after="0" w:line="188" w:lineRule="exact"/>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171"/>
        </w:trPr>
        <w:tc>
          <w:tcPr>
            <w:tcW w:w="6200" w:type="dxa"/>
            <w:vAlign w:val="bottom"/>
          </w:tcPr>
          <w:p>
            <w:pPr>
              <w:spacing w:after="0" w:line="172" w:lineRule="exact"/>
              <w:rPr>
                <w:sz w:val="20"/>
                <w:szCs w:val="20"/>
                <w:color w:val="auto"/>
              </w:rPr>
            </w:pPr>
            <w:r>
              <w:rPr>
                <w:rFonts w:ascii="Arial" w:cs="Arial" w:eastAsia="Arial" w:hAnsi="Arial"/>
                <w:sz w:val="17"/>
                <w:szCs w:val="17"/>
                <w:color w:val="auto"/>
              </w:rPr>
              <w:t>Weighted average diluted shares used in computing loss per share:</w:t>
            </w:r>
          </w:p>
        </w:tc>
        <w:tc>
          <w:tcPr>
            <w:tcW w:w="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00" w:type="dxa"/>
            <w:vAlign w:val="bottom"/>
          </w:tcPr>
          <w:p>
            <w:pPr>
              <w:ind w:left="320"/>
              <w:spacing w:after="0"/>
              <w:rPr>
                <w:sz w:val="20"/>
                <w:szCs w:val="20"/>
                <w:color w:val="auto"/>
              </w:rPr>
            </w:pPr>
            <w:r>
              <w:rPr>
                <w:rFonts w:ascii="Arial" w:cs="Arial" w:eastAsia="Arial" w:hAnsi="Arial"/>
                <w:sz w:val="17"/>
                <w:szCs w:val="17"/>
                <w:color w:val="auto"/>
              </w:rPr>
              <w:t>GAAP-basis</w:t>
            </w:r>
          </w:p>
        </w:tc>
        <w:tc>
          <w:tcPr>
            <w:tcW w:w="2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tcPr>
          <w:p>
            <w:pPr>
              <w:jc w:val="right"/>
              <w:ind w:right="13"/>
              <w:spacing w:after="0"/>
              <w:rPr>
                <w:sz w:val="20"/>
                <w:szCs w:val="20"/>
                <w:color w:val="auto"/>
              </w:rPr>
            </w:pPr>
            <w:r>
              <w:rPr>
                <w:rFonts w:ascii="Arial" w:cs="Arial" w:eastAsia="Arial" w:hAnsi="Arial"/>
                <w:sz w:val="17"/>
                <w:szCs w:val="17"/>
                <w:color w:val="auto"/>
              </w:rPr>
              <w:t>46,723</w:t>
            </w:r>
          </w:p>
        </w:tc>
        <w:tc>
          <w:tcPr>
            <w:tcW w:w="0" w:type="dxa"/>
            <w:vAlign w:val="bottom"/>
          </w:tcPr>
          <w:p>
            <w:pPr>
              <w:spacing w:after="0"/>
              <w:rPr>
                <w:sz w:val="1"/>
                <w:szCs w:val="1"/>
                <w:color w:val="auto"/>
              </w:rPr>
            </w:pPr>
          </w:p>
        </w:tc>
      </w:tr>
      <w:tr>
        <w:trPr>
          <w:trHeight w:val="229"/>
        </w:trPr>
        <w:tc>
          <w:tcPr>
            <w:tcW w:w="6200" w:type="dxa"/>
            <w:vAlign w:val="bottom"/>
          </w:tcPr>
          <w:p>
            <w:pPr>
              <w:ind w:left="320"/>
              <w:spacing w:after="0"/>
              <w:rPr>
                <w:sz w:val="20"/>
                <w:szCs w:val="20"/>
                <w:color w:val="auto"/>
              </w:rPr>
            </w:pPr>
            <w:r>
              <w:rPr>
                <w:rFonts w:ascii="Arial" w:cs="Arial" w:eastAsia="Arial" w:hAnsi="Arial"/>
                <w:sz w:val="17"/>
                <w:szCs w:val="17"/>
                <w:color w:val="auto"/>
              </w:rPr>
              <w:t>Non-GAAP basis</w:t>
            </w:r>
          </w:p>
        </w:tc>
        <w:tc>
          <w:tcPr>
            <w:tcW w:w="2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60" w:type="dxa"/>
            <w:vAlign w:val="bottom"/>
          </w:tcPr>
          <w:p>
            <w:pPr>
              <w:jc w:val="right"/>
              <w:ind w:right="13"/>
              <w:spacing w:after="0"/>
              <w:rPr>
                <w:sz w:val="20"/>
                <w:szCs w:val="20"/>
                <w:color w:val="auto"/>
              </w:rPr>
            </w:pPr>
            <w:r>
              <w:rPr>
                <w:rFonts w:ascii="Arial" w:cs="Arial" w:eastAsia="Arial" w:hAnsi="Arial"/>
                <w:sz w:val="17"/>
                <w:szCs w:val="17"/>
                <w:color w:val="auto"/>
              </w:rPr>
              <w:t>46,723</w:t>
            </w:r>
          </w:p>
        </w:tc>
        <w:tc>
          <w:tcPr>
            <w:tcW w:w="0" w:type="dxa"/>
            <w:vAlign w:val="bottom"/>
          </w:tcPr>
          <w:p>
            <w:pPr>
              <w:spacing w:after="0"/>
              <w:rPr>
                <w:sz w:val="1"/>
                <w:szCs w:val="1"/>
                <w:color w:val="auto"/>
              </w:rPr>
            </w:pPr>
          </w:p>
        </w:tc>
      </w:tr>
      <w:tr>
        <w:trPr>
          <w:trHeight w:val="386"/>
        </w:trPr>
        <w:tc>
          <w:tcPr>
            <w:tcW w:w="6200" w:type="dxa"/>
            <w:vAlign w:val="bottom"/>
          </w:tcPr>
          <w:p>
            <w:pPr>
              <w:ind w:left="5500"/>
              <w:spacing w:after="0"/>
              <w:rPr>
                <w:sz w:val="20"/>
                <w:szCs w:val="20"/>
                <w:color w:val="auto"/>
              </w:rPr>
            </w:pPr>
            <w:r>
              <w:rPr>
                <w:rFonts w:ascii="Times New Roman" w:cs="Times New Roman" w:eastAsia="Times New Roman" w:hAnsi="Times New Roman"/>
                <w:sz w:val="17"/>
                <w:szCs w:val="17"/>
                <w:color w:val="auto"/>
              </w:rPr>
              <w:t>F-1</w:t>
            </w:r>
          </w:p>
        </w:tc>
        <w:tc>
          <w:tcPr>
            <w:tcW w:w="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7" w:right="339" w:bottom="1440" w:gutter="0" w:footer="0" w:header="0"/>
        </w:sectPr>
      </w:pPr>
    </w:p>
    <w:bookmarkStart w:id="121" w:name="page122"/>
    <w:bookmarkEnd w:id="1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6840" w:type="dxa"/>
            <w:vAlign w:val="bottom"/>
            <w:tcBorders>
              <w:top w:val="single" w:sz="8" w:color="3D85C6"/>
              <w:left w:val="single" w:sz="8" w:color="3D85C6"/>
              <w:right w:val="single" w:sz="8" w:color="2D53A6"/>
            </w:tcBorders>
            <w:vMerge w:val="restart"/>
            <w:shd w:val="clear" w:color="auto" w:fill="2D53A6"/>
          </w:tcPr>
          <w:p>
            <w:pPr>
              <w:ind w:left="20"/>
              <w:spacing w:after="0"/>
              <w:rPr>
                <w:sz w:val="20"/>
                <w:szCs w:val="20"/>
                <w:color w:val="auto"/>
              </w:rPr>
            </w:pPr>
            <w:r>
              <w:rPr>
                <w:rFonts w:ascii="Arial" w:cs="Arial" w:eastAsia="Arial" w:hAnsi="Arial"/>
                <w:sz w:val="17"/>
                <w:szCs w:val="17"/>
                <w:b w:val="1"/>
                <w:bCs w:val="1"/>
                <w:color w:val="FFFFFF"/>
              </w:rPr>
              <w:t>Gross Profit Reconciliation (</w:t>
            </w:r>
            <w:r>
              <w:rPr>
                <w:rFonts w:ascii="Arial" w:cs="Arial" w:eastAsia="Arial" w:hAnsi="Arial"/>
                <w:sz w:val="17"/>
                <w:szCs w:val="17"/>
                <w:b w:val="1"/>
                <w:bCs w:val="1"/>
                <w:i w:val="1"/>
                <w:iCs w:val="1"/>
                <w:color w:val="FFFFFF"/>
              </w:rPr>
              <w:t>in thousands</w:t>
            </w:r>
            <w:r>
              <w:rPr>
                <w:rFonts w:ascii="Arial" w:cs="Arial" w:eastAsia="Arial" w:hAnsi="Arial"/>
                <w:sz w:val="17"/>
                <w:szCs w:val="17"/>
                <w:b w:val="1"/>
                <w:bCs w:val="1"/>
                <w:color w:val="FFFFFF"/>
              </w:rPr>
              <w:t>)</w:t>
            </w:r>
          </w:p>
        </w:tc>
        <w:tc>
          <w:tcPr>
            <w:tcW w:w="260" w:type="dxa"/>
            <w:vAlign w:val="bottom"/>
            <w:tcBorders>
              <w:top w:val="single" w:sz="8" w:color="2D53A6"/>
            </w:tcBorders>
            <w:shd w:val="clear" w:color="auto" w:fill="2D53A6"/>
          </w:tcPr>
          <w:p>
            <w:pPr>
              <w:spacing w:after="0"/>
              <w:rPr>
                <w:sz w:val="16"/>
                <w:szCs w:val="16"/>
                <w:color w:val="auto"/>
              </w:rPr>
            </w:pPr>
          </w:p>
        </w:tc>
        <w:tc>
          <w:tcPr>
            <w:tcW w:w="2460" w:type="dxa"/>
            <w:vAlign w:val="bottom"/>
            <w:tcBorders>
              <w:top w:val="single" w:sz="8" w:color="2D53A6"/>
              <w:right w:val="single" w:sz="8" w:color="3D85C6"/>
            </w:tcBorders>
            <w:shd w:val="clear" w:color="auto" w:fill="2D53A6"/>
          </w:tcPr>
          <w:p>
            <w:pPr>
              <w:jc w:val="right"/>
              <w:ind w:right="413"/>
              <w:spacing w:after="0" w:line="193" w:lineRule="exact"/>
              <w:rPr>
                <w:sz w:val="20"/>
                <w:szCs w:val="20"/>
                <w:color w:val="auto"/>
              </w:rPr>
            </w:pPr>
            <w:r>
              <w:rPr>
                <w:rFonts w:ascii="Arial" w:cs="Arial" w:eastAsia="Arial" w:hAnsi="Arial"/>
                <w:sz w:val="17"/>
                <w:szCs w:val="17"/>
                <w:b w:val="1"/>
                <w:bCs w:val="1"/>
                <w:color w:val="FFFFFF"/>
              </w:rPr>
              <w:t>Twelve Months Ended</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840" w:type="dxa"/>
            <w:vAlign w:val="bottom"/>
            <w:tcBorders>
              <w:left w:val="single" w:sz="8" w:color="3D85C6"/>
              <w:right w:val="single" w:sz="8" w:color="2D53A6"/>
            </w:tcBorders>
            <w:vMerge w:val="continue"/>
            <w:shd w:val="clear" w:color="auto" w:fill="2D53A6"/>
          </w:tcPr>
          <w:p>
            <w:pPr>
              <w:spacing w:after="0"/>
              <w:rPr>
                <w:sz w:val="11"/>
                <w:szCs w:val="11"/>
                <w:color w:val="auto"/>
              </w:rPr>
            </w:pPr>
          </w:p>
        </w:tc>
        <w:tc>
          <w:tcPr>
            <w:tcW w:w="260" w:type="dxa"/>
            <w:vAlign w:val="bottom"/>
            <w:shd w:val="clear" w:color="auto" w:fill="2D53A6"/>
          </w:tcPr>
          <w:p>
            <w:pPr>
              <w:spacing w:after="0"/>
              <w:rPr>
                <w:sz w:val="11"/>
                <w:szCs w:val="11"/>
                <w:color w:val="auto"/>
              </w:rPr>
            </w:pPr>
          </w:p>
        </w:tc>
        <w:tc>
          <w:tcPr>
            <w:tcW w:w="2460" w:type="dxa"/>
            <w:vAlign w:val="bottom"/>
            <w:tcBorders>
              <w:right w:val="single" w:sz="8" w:color="3D85C6"/>
            </w:tcBorders>
            <w:vMerge w:val="restart"/>
            <w:shd w:val="clear" w:color="auto" w:fill="2D53A6"/>
          </w:tcPr>
          <w:p>
            <w:pPr>
              <w:jc w:val="right"/>
              <w:ind w:right="533"/>
              <w:spacing w:after="0"/>
              <w:rPr>
                <w:sz w:val="20"/>
                <w:szCs w:val="20"/>
                <w:color w:val="auto"/>
              </w:rPr>
            </w:pPr>
            <w:r>
              <w:rPr>
                <w:rFonts w:ascii="Arial" w:cs="Arial" w:eastAsia="Arial" w:hAnsi="Arial"/>
                <w:sz w:val="17"/>
                <w:szCs w:val="17"/>
                <w:b w:val="1"/>
                <w:bCs w:val="1"/>
                <w:color w:val="FFFFFF"/>
              </w:rPr>
              <w:t>December 27, 2025</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6840" w:type="dxa"/>
            <w:vAlign w:val="bottom"/>
            <w:tcBorders>
              <w:left w:val="single" w:sz="8" w:color="3D85C6"/>
              <w:bottom w:val="single" w:sz="8" w:color="3D85C6"/>
              <w:right w:val="single" w:sz="8" w:color="2D53A6"/>
            </w:tcBorders>
            <w:shd w:val="clear" w:color="auto" w:fill="2D53A6"/>
          </w:tcPr>
          <w:p>
            <w:pPr>
              <w:spacing w:after="0"/>
              <w:rPr>
                <w:sz w:val="8"/>
                <w:szCs w:val="8"/>
                <w:color w:val="auto"/>
              </w:rPr>
            </w:pPr>
          </w:p>
        </w:tc>
        <w:tc>
          <w:tcPr>
            <w:tcW w:w="260" w:type="dxa"/>
            <w:vAlign w:val="bottom"/>
            <w:tcBorders>
              <w:bottom w:val="single" w:sz="8" w:color="3D85C6"/>
            </w:tcBorders>
            <w:shd w:val="clear" w:color="auto" w:fill="2D53A6"/>
          </w:tcPr>
          <w:p>
            <w:pPr>
              <w:spacing w:after="0"/>
              <w:rPr>
                <w:sz w:val="8"/>
                <w:szCs w:val="8"/>
                <w:color w:val="auto"/>
              </w:rPr>
            </w:pPr>
          </w:p>
        </w:tc>
        <w:tc>
          <w:tcPr>
            <w:tcW w:w="2460" w:type="dxa"/>
            <w:vAlign w:val="bottom"/>
            <w:tcBorders>
              <w:bottom w:val="single" w:sz="8" w:color="3D85C6"/>
              <w:right w:val="single" w:sz="8" w:color="3D85C6"/>
            </w:tcBorders>
            <w:vMerge w:val="continue"/>
            <w:shd w:val="clear" w:color="auto" w:fill="2D53A6"/>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6840" w:type="dxa"/>
            <w:vAlign w:val="bottom"/>
            <w:tcBorders>
              <w:right w:val="single" w:sz="8" w:color="3D85C6"/>
            </w:tcBorders>
          </w:tcPr>
          <w:p>
            <w:pPr>
              <w:spacing w:after="0"/>
              <w:rPr>
                <w:sz w:val="20"/>
                <w:szCs w:val="20"/>
                <w:color w:val="auto"/>
              </w:rPr>
            </w:pPr>
            <w:r>
              <w:rPr>
                <w:rFonts w:ascii="Arial" w:cs="Arial" w:eastAsia="Arial" w:hAnsi="Arial"/>
                <w:sz w:val="17"/>
                <w:szCs w:val="17"/>
                <w:color w:val="auto"/>
              </w:rPr>
              <w:t>Net sales</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60" w:type="dxa"/>
            <w:vAlign w:val="bottom"/>
          </w:tcPr>
          <w:p>
            <w:pPr>
              <w:jc w:val="right"/>
              <w:ind w:right="73"/>
              <w:spacing w:after="0"/>
              <w:rPr>
                <w:sz w:val="20"/>
                <w:szCs w:val="20"/>
                <w:color w:val="auto"/>
              </w:rPr>
            </w:pPr>
            <w:r>
              <w:rPr>
                <w:rFonts w:ascii="Arial" w:cs="Arial" w:eastAsia="Arial" w:hAnsi="Arial"/>
                <w:sz w:val="17"/>
                <w:szCs w:val="17"/>
                <w:color w:val="auto"/>
              </w:rPr>
              <w:t>452,956</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6840" w:type="dxa"/>
            <w:vAlign w:val="bottom"/>
            <w:tcBorders>
              <w:right w:val="single" w:sz="8" w:color="3D85C6"/>
            </w:tcBorders>
          </w:tcPr>
          <w:p>
            <w:pPr>
              <w:spacing w:after="0"/>
              <w:rPr>
                <w:sz w:val="20"/>
                <w:szCs w:val="20"/>
                <w:color w:val="auto"/>
              </w:rPr>
            </w:pPr>
            <w:r>
              <w:rPr>
                <w:rFonts w:ascii="Arial" w:cs="Arial" w:eastAsia="Arial" w:hAnsi="Arial"/>
                <w:sz w:val="17"/>
                <w:szCs w:val="17"/>
                <w:color w:val="auto"/>
              </w:rPr>
              <w:t xml:space="preserve">Gross profit - GAAP basis </w:t>
            </w:r>
            <w:r>
              <w:rPr>
                <w:rFonts w:ascii="Arial" w:cs="Arial" w:eastAsia="Arial" w:hAnsi="Arial"/>
                <w:sz w:val="14"/>
                <w:szCs w:val="14"/>
                <w:color w:val="auto"/>
              </w:rPr>
              <w:t>(1)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460" w:type="dxa"/>
            <w:vAlign w:val="bottom"/>
          </w:tcPr>
          <w:p>
            <w:pPr>
              <w:jc w:val="right"/>
              <w:ind w:right="73"/>
              <w:spacing w:after="0"/>
              <w:rPr>
                <w:sz w:val="20"/>
                <w:szCs w:val="20"/>
                <w:color w:val="auto"/>
              </w:rPr>
            </w:pPr>
            <w:r>
              <w:rPr>
                <w:rFonts w:ascii="Arial" w:cs="Arial" w:eastAsia="Arial" w:hAnsi="Arial"/>
                <w:sz w:val="17"/>
                <w:szCs w:val="17"/>
                <w:color w:val="auto"/>
              </w:rPr>
              <w:t>193,619</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84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Share-based compensation</w:t>
            </w:r>
          </w:p>
        </w:tc>
        <w:tc>
          <w:tcPr>
            <w:tcW w:w="260" w:type="dxa"/>
            <w:vAlign w:val="bottom"/>
          </w:tcPr>
          <w:p>
            <w:pPr>
              <w:spacing w:after="0"/>
              <w:rPr>
                <w:sz w:val="16"/>
                <w:szCs w:val="16"/>
                <w:color w:val="auto"/>
              </w:rPr>
            </w:pPr>
          </w:p>
        </w:tc>
        <w:tc>
          <w:tcPr>
            <w:tcW w:w="2460" w:type="dxa"/>
            <w:vAlign w:val="bottom"/>
          </w:tcPr>
          <w:p>
            <w:pPr>
              <w:jc w:val="right"/>
              <w:ind w:right="73"/>
              <w:spacing w:after="0"/>
              <w:rPr>
                <w:sz w:val="20"/>
                <w:szCs w:val="20"/>
                <w:color w:val="auto"/>
              </w:rPr>
            </w:pPr>
            <w:r>
              <w:rPr>
                <w:rFonts w:ascii="Arial" w:cs="Arial" w:eastAsia="Arial" w:hAnsi="Arial"/>
                <w:sz w:val="17"/>
                <w:szCs w:val="17"/>
                <w:color w:val="auto"/>
              </w:rPr>
              <w:t>1,396</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Restructuring charges related to inventory adjustments in cost of sales</w:t>
            </w:r>
          </w:p>
        </w:tc>
        <w:tc>
          <w:tcPr>
            <w:tcW w:w="260" w:type="dxa"/>
            <w:vAlign w:val="bottom"/>
          </w:tcPr>
          <w:p>
            <w:pPr>
              <w:spacing w:after="0"/>
              <w:rPr>
                <w:sz w:val="16"/>
                <w:szCs w:val="16"/>
                <w:color w:val="auto"/>
              </w:rPr>
            </w:pPr>
          </w:p>
        </w:tc>
        <w:tc>
          <w:tcPr>
            <w:tcW w:w="2460" w:type="dxa"/>
            <w:vAlign w:val="bottom"/>
          </w:tcPr>
          <w:p>
            <w:pPr>
              <w:jc w:val="right"/>
              <w:ind w:right="73"/>
              <w:spacing w:after="0"/>
              <w:rPr>
                <w:sz w:val="20"/>
                <w:szCs w:val="20"/>
                <w:color w:val="auto"/>
              </w:rPr>
            </w:pPr>
            <w:r>
              <w:rPr>
                <w:rFonts w:ascii="Arial" w:cs="Arial" w:eastAsia="Arial" w:hAnsi="Arial"/>
                <w:sz w:val="17"/>
                <w:szCs w:val="17"/>
                <w:color w:val="auto"/>
              </w:rPr>
              <w:t>745</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840" w:type="dxa"/>
            <w:vAlign w:val="bottom"/>
            <w:tcBorders>
              <w:bottom w:val="single" w:sz="8" w:color="3D85C6"/>
              <w:right w:val="single" w:sz="8" w:color="3D85C6"/>
            </w:tcBorders>
          </w:tcPr>
          <w:p>
            <w:pPr>
              <w:ind w:left="320"/>
              <w:spacing w:after="0"/>
              <w:rPr>
                <w:sz w:val="20"/>
                <w:szCs w:val="20"/>
                <w:color w:val="auto"/>
              </w:rPr>
            </w:pPr>
            <w:r>
              <w:rPr>
                <w:rFonts w:ascii="Arial" w:cs="Arial" w:eastAsia="Arial" w:hAnsi="Arial"/>
                <w:sz w:val="17"/>
                <w:szCs w:val="17"/>
                <w:color w:val="auto"/>
              </w:rPr>
              <w:t>Manufacturing transition and severance costs</w:t>
            </w:r>
          </w:p>
        </w:tc>
        <w:tc>
          <w:tcPr>
            <w:tcW w:w="260" w:type="dxa"/>
            <w:vAlign w:val="bottom"/>
            <w:tcBorders>
              <w:bottom w:val="single" w:sz="8" w:color="3D85C6"/>
            </w:tcBorders>
          </w:tcPr>
          <w:p>
            <w:pPr>
              <w:spacing w:after="0"/>
              <w:rPr>
                <w:sz w:val="18"/>
                <w:szCs w:val="18"/>
                <w:color w:val="auto"/>
              </w:rPr>
            </w:pPr>
          </w:p>
        </w:tc>
        <w:tc>
          <w:tcPr>
            <w:tcW w:w="2460" w:type="dxa"/>
            <w:vAlign w:val="bottom"/>
            <w:tcBorders>
              <w:bottom w:val="single" w:sz="8" w:color="3D85C6"/>
            </w:tcBorders>
          </w:tcPr>
          <w:p>
            <w:pPr>
              <w:jc w:val="right"/>
              <w:ind w:right="73"/>
              <w:spacing w:after="0"/>
              <w:rPr>
                <w:sz w:val="20"/>
                <w:szCs w:val="20"/>
                <w:color w:val="auto"/>
              </w:rPr>
            </w:pPr>
            <w:r>
              <w:rPr>
                <w:rFonts w:ascii="Arial" w:cs="Arial" w:eastAsia="Arial" w:hAnsi="Arial"/>
                <w:sz w:val="17"/>
                <w:szCs w:val="17"/>
                <w:color w:val="auto"/>
              </w:rPr>
              <w:t>334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40" w:type="dxa"/>
            <w:vAlign w:val="bottom"/>
            <w:tcBorders>
              <w:bottom w:val="single" w:sz="8" w:color="3D85C6"/>
            </w:tcBorders>
          </w:tcPr>
          <w:p>
            <w:pPr>
              <w:spacing w:after="0" w:line="188" w:lineRule="exact"/>
              <w:rPr>
                <w:sz w:val="20"/>
                <w:szCs w:val="20"/>
                <w:color w:val="auto"/>
              </w:rPr>
            </w:pPr>
            <w:r>
              <w:rPr>
                <w:rFonts w:ascii="Arial" w:cs="Arial" w:eastAsia="Arial" w:hAnsi="Arial"/>
                <w:sz w:val="17"/>
                <w:szCs w:val="17"/>
                <w:color w:val="auto"/>
              </w:rPr>
              <w:t>Gross profit - non-GAAP basis</w:t>
            </w:r>
          </w:p>
        </w:tc>
        <w:tc>
          <w:tcPr>
            <w:tcW w:w="260" w:type="dxa"/>
            <w:vAlign w:val="bottom"/>
            <w:tcBorders>
              <w:bottom w:val="single" w:sz="8" w:color="3D85C6"/>
            </w:tcBorders>
          </w:tcPr>
          <w:p>
            <w:pPr>
              <w:jc w:val="right"/>
              <w:spacing w:after="0" w:line="188" w:lineRule="exact"/>
              <w:rPr>
                <w:sz w:val="20"/>
                <w:szCs w:val="20"/>
                <w:color w:val="auto"/>
              </w:rPr>
            </w:pPr>
            <w:r>
              <w:rPr>
                <w:rFonts w:ascii="Arial" w:cs="Arial" w:eastAsia="Arial" w:hAnsi="Arial"/>
                <w:sz w:val="17"/>
                <w:szCs w:val="17"/>
                <w:color w:val="auto"/>
              </w:rPr>
              <w:t>$</w:t>
            </w:r>
          </w:p>
        </w:tc>
        <w:tc>
          <w:tcPr>
            <w:tcW w:w="2460" w:type="dxa"/>
            <w:vAlign w:val="bottom"/>
            <w:tcBorders>
              <w:bottom w:val="single" w:sz="8" w:color="3D85C6"/>
            </w:tcBorders>
          </w:tcPr>
          <w:p>
            <w:pPr>
              <w:jc w:val="right"/>
              <w:ind w:right="73"/>
              <w:spacing w:after="0" w:line="188" w:lineRule="exact"/>
              <w:rPr>
                <w:sz w:val="20"/>
                <w:szCs w:val="20"/>
                <w:color w:val="auto"/>
              </w:rPr>
            </w:pPr>
            <w:r>
              <w:rPr>
                <w:rFonts w:ascii="Arial" w:cs="Arial" w:eastAsia="Arial" w:hAnsi="Arial"/>
                <w:sz w:val="17"/>
                <w:szCs w:val="17"/>
                <w:color w:val="auto"/>
              </w:rPr>
              <w:t>196,094</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6840" w:type="dxa"/>
            <w:vAlign w:val="bottom"/>
          </w:tcPr>
          <w:p>
            <w:pPr>
              <w:spacing w:after="0"/>
              <w:rPr>
                <w:sz w:val="20"/>
                <w:szCs w:val="20"/>
                <w:color w:val="auto"/>
              </w:rPr>
            </w:pPr>
            <w:r>
              <w:rPr>
                <w:rFonts w:ascii="Arial" w:cs="Arial" w:eastAsia="Arial" w:hAnsi="Arial"/>
                <w:sz w:val="17"/>
                <w:szCs w:val="17"/>
                <w:color w:val="auto"/>
              </w:rPr>
              <w:t>(1) Excludes amortization of $28,086 for the fiscal year ended December 27, 2025.</w:t>
            </w: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840" w:type="dxa"/>
            <w:vAlign w:val="bottom"/>
          </w:tcPr>
          <w:p>
            <w:pPr>
              <w:spacing w:after="0"/>
              <w:rPr>
                <w:sz w:val="20"/>
                <w:szCs w:val="20"/>
                <w:color w:val="auto"/>
              </w:rPr>
            </w:pPr>
            <w:r>
              <w:rPr>
                <w:rFonts w:ascii="Arial" w:cs="Arial" w:eastAsia="Arial" w:hAnsi="Arial"/>
                <w:sz w:val="17"/>
                <w:szCs w:val="17"/>
                <w:color w:val="auto"/>
              </w:rPr>
              <w:t>GAAP gross profit (as a % of net sales)</w:t>
            </w:r>
          </w:p>
        </w:tc>
        <w:tc>
          <w:tcPr>
            <w:tcW w:w="2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7"/>
                <w:szCs w:val="17"/>
                <w:color w:val="auto"/>
              </w:rPr>
              <w:t>42.7%</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7"/>
                <w:szCs w:val="17"/>
                <w:color w:val="auto"/>
              </w:rPr>
              <w:t>Non-GAAP gross profit (as a % of net sales)</w:t>
            </w:r>
          </w:p>
        </w:tc>
        <w:tc>
          <w:tcPr>
            <w:tcW w:w="2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7"/>
                <w:szCs w:val="17"/>
                <w:color w:val="auto"/>
              </w:rPr>
              <w:t>43.3%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Borders>
              <w:left w:val="single" w:sz="8" w:color="3D85C6"/>
              <w:right w:val="single" w:sz="8" w:color="2D53A6"/>
            </w:tcBorders>
            <w:vMerge w:val="restart"/>
            <w:shd w:val="clear" w:color="auto" w:fill="2D53A6"/>
          </w:tcPr>
          <w:p>
            <w:pPr>
              <w:ind w:left="20"/>
              <w:spacing w:after="0"/>
              <w:rPr>
                <w:sz w:val="20"/>
                <w:szCs w:val="20"/>
                <w:color w:val="auto"/>
              </w:rPr>
            </w:pPr>
            <w:r>
              <w:rPr>
                <w:rFonts w:ascii="Arial" w:cs="Arial" w:eastAsia="Arial" w:hAnsi="Arial"/>
                <w:sz w:val="17"/>
                <w:szCs w:val="17"/>
                <w:b w:val="1"/>
                <w:bCs w:val="1"/>
                <w:color w:val="FFFFFF"/>
              </w:rPr>
              <w:t>Pretax income reconciliation (</w:t>
            </w:r>
            <w:r>
              <w:rPr>
                <w:rFonts w:ascii="Arial" w:cs="Arial" w:eastAsia="Arial" w:hAnsi="Arial"/>
                <w:sz w:val="17"/>
                <w:szCs w:val="17"/>
                <w:b w:val="1"/>
                <w:bCs w:val="1"/>
                <w:i w:val="1"/>
                <w:iCs w:val="1"/>
                <w:color w:val="FFFFFF"/>
              </w:rPr>
              <w:t>in thousands</w:t>
            </w:r>
            <w:r>
              <w:rPr>
                <w:rFonts w:ascii="Arial" w:cs="Arial" w:eastAsia="Arial" w:hAnsi="Arial"/>
                <w:sz w:val="17"/>
                <w:szCs w:val="17"/>
                <w:b w:val="1"/>
                <w:bCs w:val="1"/>
                <w:color w:val="FFFFFF"/>
              </w:rPr>
              <w:t>)</w:t>
            </w:r>
          </w:p>
        </w:tc>
        <w:tc>
          <w:tcPr>
            <w:tcW w:w="260" w:type="dxa"/>
            <w:vAlign w:val="bottom"/>
            <w:shd w:val="clear" w:color="auto" w:fill="2D53A6"/>
          </w:tcPr>
          <w:p>
            <w:pPr>
              <w:spacing w:after="0"/>
              <w:rPr>
                <w:sz w:val="15"/>
                <w:szCs w:val="15"/>
                <w:color w:val="auto"/>
              </w:rPr>
            </w:pPr>
          </w:p>
        </w:tc>
        <w:tc>
          <w:tcPr>
            <w:tcW w:w="2460" w:type="dxa"/>
            <w:vAlign w:val="bottom"/>
            <w:tcBorders>
              <w:right w:val="single" w:sz="8" w:color="2D53A6"/>
            </w:tcBorders>
            <w:shd w:val="clear" w:color="auto" w:fill="2D53A6"/>
          </w:tcPr>
          <w:p>
            <w:pPr>
              <w:jc w:val="right"/>
              <w:ind w:right="473"/>
              <w:spacing w:after="0" w:line="176" w:lineRule="exact"/>
              <w:rPr>
                <w:sz w:val="20"/>
                <w:szCs w:val="20"/>
                <w:color w:val="auto"/>
              </w:rPr>
            </w:pPr>
            <w:r>
              <w:rPr>
                <w:rFonts w:ascii="Arial" w:cs="Arial" w:eastAsia="Arial" w:hAnsi="Arial"/>
                <w:sz w:val="17"/>
                <w:szCs w:val="17"/>
                <w:b w:val="1"/>
                <w:bCs w:val="1"/>
                <w:color w:val="FFFFFF"/>
              </w:rPr>
              <w:t>Twelve Months Ended</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840" w:type="dxa"/>
            <w:vAlign w:val="bottom"/>
            <w:tcBorders>
              <w:left w:val="single" w:sz="8" w:color="3D85C6"/>
              <w:right w:val="single" w:sz="8" w:color="2D53A6"/>
            </w:tcBorders>
            <w:vMerge w:val="continue"/>
            <w:shd w:val="clear" w:color="auto" w:fill="2D53A6"/>
          </w:tcPr>
          <w:p>
            <w:pPr>
              <w:spacing w:after="0"/>
              <w:rPr>
                <w:sz w:val="11"/>
                <w:szCs w:val="11"/>
                <w:color w:val="auto"/>
              </w:rPr>
            </w:pPr>
          </w:p>
        </w:tc>
        <w:tc>
          <w:tcPr>
            <w:tcW w:w="260" w:type="dxa"/>
            <w:vAlign w:val="bottom"/>
            <w:shd w:val="clear" w:color="auto" w:fill="2D53A6"/>
          </w:tcPr>
          <w:p>
            <w:pPr>
              <w:spacing w:after="0"/>
              <w:rPr>
                <w:sz w:val="11"/>
                <w:szCs w:val="11"/>
                <w:color w:val="auto"/>
              </w:rPr>
            </w:pPr>
          </w:p>
        </w:tc>
        <w:tc>
          <w:tcPr>
            <w:tcW w:w="2460" w:type="dxa"/>
            <w:vAlign w:val="bottom"/>
            <w:tcBorders>
              <w:right w:val="single" w:sz="8" w:color="2D53A6"/>
            </w:tcBorders>
            <w:vMerge w:val="restart"/>
            <w:shd w:val="clear" w:color="auto" w:fill="2D53A6"/>
          </w:tcPr>
          <w:p>
            <w:pPr>
              <w:jc w:val="right"/>
              <w:ind w:right="593"/>
              <w:spacing w:after="0"/>
              <w:rPr>
                <w:sz w:val="20"/>
                <w:szCs w:val="20"/>
                <w:color w:val="auto"/>
              </w:rPr>
            </w:pPr>
            <w:r>
              <w:rPr>
                <w:rFonts w:ascii="Arial" w:cs="Arial" w:eastAsia="Arial" w:hAnsi="Arial"/>
                <w:sz w:val="17"/>
                <w:szCs w:val="17"/>
                <w:b w:val="1"/>
                <w:bCs w:val="1"/>
                <w:color w:val="FFFFFF"/>
              </w:rPr>
              <w:t>December 27, 2025</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6840" w:type="dxa"/>
            <w:vAlign w:val="bottom"/>
            <w:tcBorders>
              <w:left w:val="single" w:sz="8" w:color="3D85C6"/>
              <w:right w:val="single" w:sz="8" w:color="2D53A6"/>
            </w:tcBorders>
            <w:shd w:val="clear" w:color="auto" w:fill="2D53A6"/>
          </w:tcPr>
          <w:p>
            <w:pPr>
              <w:spacing w:after="0"/>
              <w:rPr>
                <w:sz w:val="7"/>
                <w:szCs w:val="7"/>
                <w:color w:val="auto"/>
              </w:rPr>
            </w:pPr>
          </w:p>
        </w:tc>
        <w:tc>
          <w:tcPr>
            <w:tcW w:w="260" w:type="dxa"/>
            <w:vAlign w:val="bottom"/>
            <w:shd w:val="clear" w:color="auto" w:fill="2D53A6"/>
          </w:tcPr>
          <w:p>
            <w:pPr>
              <w:spacing w:after="0"/>
              <w:rPr>
                <w:sz w:val="7"/>
                <w:szCs w:val="7"/>
                <w:color w:val="auto"/>
              </w:rPr>
            </w:pPr>
          </w:p>
        </w:tc>
        <w:tc>
          <w:tcPr>
            <w:tcW w:w="2460" w:type="dxa"/>
            <w:vAlign w:val="bottom"/>
            <w:tcBorders>
              <w:right w:val="single" w:sz="8" w:color="2D53A6"/>
            </w:tcBorders>
            <w:vMerge w:val="continue"/>
            <w:shd w:val="clear" w:color="auto" w:fill="2D53A6"/>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6840" w:type="dxa"/>
            <w:vAlign w:val="bottom"/>
            <w:tcBorders>
              <w:right w:val="single" w:sz="8" w:color="3D85C6"/>
            </w:tcBorders>
          </w:tcPr>
          <w:p>
            <w:pPr>
              <w:spacing w:after="0" w:line="178" w:lineRule="exact"/>
              <w:rPr>
                <w:sz w:val="20"/>
                <w:szCs w:val="20"/>
                <w:color w:val="auto"/>
              </w:rPr>
            </w:pPr>
            <w:r>
              <w:rPr>
                <w:rFonts w:ascii="Arial" w:cs="Arial" w:eastAsia="Arial" w:hAnsi="Arial"/>
                <w:sz w:val="17"/>
                <w:szCs w:val="17"/>
                <w:color w:val="auto"/>
              </w:rPr>
              <w:t>Pretax loss - GAAP basis</w:t>
            </w:r>
          </w:p>
        </w:tc>
        <w:tc>
          <w:tcPr>
            <w:tcW w:w="260" w:type="dxa"/>
            <w:vAlign w:val="bottom"/>
          </w:tcPr>
          <w:p>
            <w:pPr>
              <w:jc w:val="right"/>
              <w:ind w:right="33"/>
              <w:spacing w:after="0" w:line="178" w:lineRule="exact"/>
              <w:rPr>
                <w:sz w:val="20"/>
                <w:szCs w:val="20"/>
                <w:color w:val="auto"/>
              </w:rPr>
            </w:pPr>
            <w:r>
              <w:rPr>
                <w:rFonts w:ascii="Arial" w:cs="Arial" w:eastAsia="Arial" w:hAnsi="Arial"/>
                <w:sz w:val="17"/>
                <w:szCs w:val="17"/>
                <w:color w:val="auto"/>
              </w:rPr>
              <w:t>$</w:t>
            </w:r>
          </w:p>
        </w:tc>
        <w:tc>
          <w:tcPr>
            <w:tcW w:w="2460" w:type="dxa"/>
            <w:vAlign w:val="bottom"/>
          </w:tcPr>
          <w:p>
            <w:pPr>
              <w:jc w:val="right"/>
              <w:ind w:right="73"/>
              <w:spacing w:after="0" w:line="178" w:lineRule="exact"/>
              <w:rPr>
                <w:sz w:val="20"/>
                <w:szCs w:val="20"/>
                <w:color w:val="auto"/>
              </w:rPr>
            </w:pPr>
            <w:r>
              <w:rPr>
                <w:rFonts w:ascii="Arial" w:cs="Arial" w:eastAsia="Arial" w:hAnsi="Arial"/>
                <w:sz w:val="17"/>
                <w:szCs w:val="17"/>
                <w:color w:val="auto"/>
              </w:rPr>
              <w:t>(62,407)</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4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Share-based compensation</w:t>
            </w:r>
          </w:p>
        </w:tc>
        <w:tc>
          <w:tcPr>
            <w:tcW w:w="260" w:type="dxa"/>
            <w:vAlign w:val="bottom"/>
          </w:tcPr>
          <w:p>
            <w:pPr>
              <w:spacing w:after="0"/>
              <w:rPr>
                <w:sz w:val="16"/>
                <w:szCs w:val="16"/>
                <w:color w:val="auto"/>
              </w:rPr>
            </w:pP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23,042</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Amortization of purchased intangible assets</w:t>
            </w:r>
          </w:p>
        </w:tc>
        <w:tc>
          <w:tcPr>
            <w:tcW w:w="260" w:type="dxa"/>
            <w:vAlign w:val="bottom"/>
          </w:tcPr>
          <w:p>
            <w:pPr>
              <w:spacing w:after="0"/>
              <w:rPr>
                <w:sz w:val="16"/>
                <w:szCs w:val="16"/>
                <w:color w:val="auto"/>
              </w:rPr>
            </w:pP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37,466</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Restructuring charges related to inventory adjustments in cost of sales</w:t>
            </w:r>
          </w:p>
        </w:tc>
        <w:tc>
          <w:tcPr>
            <w:tcW w:w="260" w:type="dxa"/>
            <w:vAlign w:val="bottom"/>
          </w:tcPr>
          <w:p>
            <w:pPr>
              <w:spacing w:after="0"/>
              <w:rPr>
                <w:sz w:val="16"/>
                <w:szCs w:val="16"/>
                <w:color w:val="auto"/>
              </w:rPr>
            </w:pP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745</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Restructuring charges</w:t>
            </w:r>
          </w:p>
        </w:tc>
        <w:tc>
          <w:tcPr>
            <w:tcW w:w="260" w:type="dxa"/>
            <w:vAlign w:val="bottom"/>
          </w:tcPr>
          <w:p>
            <w:pPr>
              <w:spacing w:after="0"/>
              <w:rPr>
                <w:sz w:val="16"/>
                <w:szCs w:val="16"/>
                <w:color w:val="auto"/>
              </w:rPr>
            </w:pP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10,143</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Manufacturing transition and severance costs</w:t>
            </w:r>
          </w:p>
        </w:tc>
        <w:tc>
          <w:tcPr>
            <w:tcW w:w="260" w:type="dxa"/>
            <w:vAlign w:val="bottom"/>
          </w:tcPr>
          <w:p>
            <w:pPr>
              <w:spacing w:after="0"/>
              <w:rPr>
                <w:sz w:val="16"/>
                <w:szCs w:val="16"/>
                <w:color w:val="auto"/>
              </w:rPr>
            </w:pP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519</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Impairment charges included in SG&amp;A</w:t>
            </w:r>
          </w:p>
        </w:tc>
        <w:tc>
          <w:tcPr>
            <w:tcW w:w="260" w:type="dxa"/>
            <w:vAlign w:val="bottom"/>
          </w:tcPr>
          <w:p>
            <w:pPr>
              <w:spacing w:after="0"/>
              <w:rPr>
                <w:sz w:val="16"/>
                <w:szCs w:val="16"/>
                <w:color w:val="auto"/>
              </w:rPr>
            </w:pPr>
          </w:p>
        </w:tc>
        <w:tc>
          <w:tcPr>
            <w:tcW w:w="2460" w:type="dxa"/>
            <w:vAlign w:val="bottom"/>
          </w:tcPr>
          <w:p>
            <w:pPr>
              <w:jc w:val="right"/>
              <w:ind w:right="73"/>
              <w:spacing w:after="0"/>
              <w:rPr>
                <w:sz w:val="20"/>
                <w:szCs w:val="20"/>
                <w:color w:val="auto"/>
              </w:rPr>
            </w:pPr>
            <w:r>
              <w:rPr>
                <w:rFonts w:ascii="Arial" w:cs="Arial" w:eastAsia="Arial" w:hAnsi="Arial"/>
                <w:sz w:val="17"/>
                <w:szCs w:val="17"/>
                <w:color w:val="auto"/>
              </w:rPr>
              <w:t>(449)</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Acquisition and financing costs included in SG&amp;A</w:t>
            </w:r>
          </w:p>
        </w:tc>
        <w:tc>
          <w:tcPr>
            <w:tcW w:w="260" w:type="dxa"/>
            <w:vAlign w:val="bottom"/>
          </w:tcPr>
          <w:p>
            <w:pPr>
              <w:spacing w:after="0"/>
              <w:rPr>
                <w:sz w:val="16"/>
                <w:szCs w:val="16"/>
                <w:color w:val="auto"/>
              </w:rPr>
            </w:pP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457</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Duplicate facility costs</w:t>
            </w:r>
          </w:p>
        </w:tc>
        <w:tc>
          <w:tcPr>
            <w:tcW w:w="260" w:type="dxa"/>
            <w:vAlign w:val="bottom"/>
          </w:tcPr>
          <w:p>
            <w:pPr>
              <w:spacing w:after="0"/>
              <w:rPr>
                <w:sz w:val="16"/>
                <w:szCs w:val="16"/>
                <w:color w:val="auto"/>
              </w:rPr>
            </w:pPr>
          </w:p>
        </w:tc>
        <w:tc>
          <w:tcPr>
            <w:tcW w:w="2460" w:type="dxa"/>
            <w:vAlign w:val="bottom"/>
          </w:tcPr>
          <w:p>
            <w:pPr>
              <w:jc w:val="right"/>
              <w:ind w:right="133"/>
              <w:spacing w:after="0"/>
              <w:rPr>
                <w:sz w:val="20"/>
                <w:szCs w:val="20"/>
                <w:color w:val="auto"/>
              </w:rPr>
            </w:pPr>
            <w:r>
              <w:rPr>
                <w:rFonts w:ascii="Arial" w:cs="Arial" w:eastAsia="Arial" w:hAnsi="Arial"/>
                <w:sz w:val="17"/>
                <w:szCs w:val="17"/>
                <w:color w:val="auto"/>
              </w:rPr>
              <w:t>1,799</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Adjustment to contingent consideration</w:t>
            </w:r>
          </w:p>
        </w:tc>
        <w:tc>
          <w:tcPr>
            <w:tcW w:w="260" w:type="dxa"/>
            <w:vAlign w:val="bottom"/>
          </w:tcPr>
          <w:p>
            <w:pPr>
              <w:spacing w:after="0"/>
              <w:rPr>
                <w:sz w:val="16"/>
                <w:szCs w:val="16"/>
                <w:color w:val="auto"/>
              </w:rPr>
            </w:pPr>
          </w:p>
        </w:tc>
        <w:tc>
          <w:tcPr>
            <w:tcW w:w="2460" w:type="dxa"/>
            <w:vAlign w:val="bottom"/>
          </w:tcPr>
          <w:p>
            <w:pPr>
              <w:jc w:val="right"/>
              <w:ind w:right="73"/>
              <w:spacing w:after="0"/>
              <w:rPr>
                <w:sz w:val="20"/>
                <w:szCs w:val="20"/>
                <w:color w:val="auto"/>
              </w:rPr>
            </w:pPr>
            <w:r>
              <w:rPr>
                <w:rFonts w:ascii="Arial" w:cs="Arial" w:eastAsia="Arial" w:hAnsi="Arial"/>
                <w:sz w:val="17"/>
                <w:szCs w:val="17"/>
                <w:color w:val="auto"/>
              </w:rPr>
              <w:t>(1,700)</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Adjustments to indemnification receivable</w:t>
            </w:r>
          </w:p>
        </w:tc>
        <w:tc>
          <w:tcPr>
            <w:tcW w:w="260" w:type="dxa"/>
            <w:vAlign w:val="bottom"/>
          </w:tcPr>
          <w:p>
            <w:pPr>
              <w:spacing w:after="0"/>
              <w:rPr>
                <w:sz w:val="16"/>
                <w:szCs w:val="16"/>
                <w:color w:val="auto"/>
              </w:rPr>
            </w:pPr>
          </w:p>
        </w:tc>
        <w:tc>
          <w:tcPr>
            <w:tcW w:w="2460" w:type="dxa"/>
            <w:vAlign w:val="bottom"/>
          </w:tcPr>
          <w:p>
            <w:pPr>
              <w:jc w:val="right"/>
              <w:ind w:right="73"/>
              <w:spacing w:after="0"/>
              <w:rPr>
                <w:sz w:val="20"/>
                <w:szCs w:val="20"/>
                <w:color w:val="auto"/>
              </w:rPr>
            </w:pPr>
            <w:r>
              <w:rPr>
                <w:rFonts w:ascii="Arial" w:cs="Arial" w:eastAsia="Arial" w:hAnsi="Arial"/>
                <w:sz w:val="17"/>
                <w:szCs w:val="17"/>
                <w:color w:val="auto"/>
              </w:rPr>
              <w:t>(123)</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right w:val="single" w:sz="8" w:color="3D85C6"/>
            </w:tcBorders>
          </w:tcPr>
          <w:p>
            <w:pPr>
              <w:ind w:left="320"/>
              <w:spacing w:after="0"/>
              <w:rPr>
                <w:sz w:val="20"/>
                <w:szCs w:val="20"/>
                <w:color w:val="auto"/>
              </w:rPr>
            </w:pPr>
            <w:r>
              <w:rPr>
                <w:rFonts w:ascii="Arial" w:cs="Arial" w:eastAsia="Arial" w:hAnsi="Arial"/>
                <w:sz w:val="17"/>
                <w:szCs w:val="17"/>
                <w:color w:val="auto"/>
              </w:rPr>
              <w:t>Pension curtailment adjustment</w:t>
            </w:r>
          </w:p>
        </w:tc>
        <w:tc>
          <w:tcPr>
            <w:tcW w:w="260" w:type="dxa"/>
            <w:vAlign w:val="bottom"/>
          </w:tcPr>
          <w:p>
            <w:pPr>
              <w:spacing w:after="0"/>
              <w:rPr>
                <w:sz w:val="16"/>
                <w:szCs w:val="16"/>
                <w:color w:val="auto"/>
              </w:rPr>
            </w:pPr>
          </w:p>
        </w:tc>
        <w:tc>
          <w:tcPr>
            <w:tcW w:w="2460" w:type="dxa"/>
            <w:vAlign w:val="bottom"/>
          </w:tcPr>
          <w:p>
            <w:pPr>
              <w:jc w:val="right"/>
              <w:ind w:right="73"/>
              <w:spacing w:after="0"/>
              <w:rPr>
                <w:sz w:val="20"/>
                <w:szCs w:val="20"/>
                <w:color w:val="auto"/>
              </w:rPr>
            </w:pPr>
            <w:r>
              <w:rPr>
                <w:rFonts w:ascii="Arial" w:cs="Arial" w:eastAsia="Arial" w:hAnsi="Arial"/>
                <w:sz w:val="17"/>
                <w:szCs w:val="17"/>
                <w:color w:val="auto"/>
              </w:rPr>
              <w:t>(2,159)</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840" w:type="dxa"/>
            <w:vAlign w:val="bottom"/>
            <w:tcBorders>
              <w:bottom w:val="single" w:sz="8" w:color="3D85C6"/>
              <w:right w:val="single" w:sz="8" w:color="3D85C6"/>
            </w:tcBorders>
          </w:tcPr>
          <w:p>
            <w:pPr>
              <w:spacing w:after="0"/>
              <w:rPr>
                <w:sz w:val="20"/>
                <w:szCs w:val="20"/>
                <w:color w:val="auto"/>
              </w:rPr>
            </w:pPr>
            <w:r>
              <w:rPr>
                <w:rFonts w:ascii="Arial" w:cs="Arial" w:eastAsia="Arial" w:hAnsi="Arial"/>
                <w:sz w:val="17"/>
                <w:szCs w:val="17"/>
                <w:color w:val="auto"/>
              </w:rPr>
              <w:t>Pretax income - non-GAAP basis</w:t>
            </w:r>
          </w:p>
        </w:tc>
        <w:tc>
          <w:tcPr>
            <w:tcW w:w="260" w:type="dxa"/>
            <w:vAlign w:val="bottom"/>
            <w:tcBorders>
              <w:bottom w:val="single" w:sz="8" w:color="3D85C6"/>
            </w:tcBorders>
          </w:tcPr>
          <w:p>
            <w:pPr>
              <w:jc w:val="right"/>
              <w:ind w:right="33"/>
              <w:spacing w:after="0"/>
              <w:rPr>
                <w:sz w:val="20"/>
                <w:szCs w:val="20"/>
                <w:color w:val="auto"/>
              </w:rPr>
            </w:pPr>
            <w:r>
              <w:rPr>
                <w:rFonts w:ascii="Arial" w:cs="Arial" w:eastAsia="Arial" w:hAnsi="Arial"/>
                <w:sz w:val="17"/>
                <w:szCs w:val="17"/>
                <w:color w:val="auto"/>
              </w:rPr>
              <w:t>$</w:t>
            </w:r>
          </w:p>
        </w:tc>
        <w:tc>
          <w:tcPr>
            <w:tcW w:w="2460" w:type="dxa"/>
            <w:vAlign w:val="bottom"/>
            <w:tcBorders>
              <w:bottom w:val="single" w:sz="8" w:color="3D85C6"/>
            </w:tcBorders>
          </w:tcPr>
          <w:p>
            <w:pPr>
              <w:jc w:val="right"/>
              <w:ind w:right="133"/>
              <w:spacing w:after="0"/>
              <w:rPr>
                <w:sz w:val="20"/>
                <w:szCs w:val="20"/>
                <w:color w:val="auto"/>
              </w:rPr>
            </w:pPr>
            <w:r>
              <w:rPr>
                <w:rFonts w:ascii="Arial" w:cs="Arial" w:eastAsia="Arial" w:hAnsi="Arial"/>
                <w:sz w:val="17"/>
                <w:szCs w:val="17"/>
                <w:color w:val="auto"/>
              </w:rPr>
              <w:t>7,333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40" w:type="dxa"/>
            <w:vAlign w:val="bottom"/>
            <w:tcBorders>
              <w:bottom w:val="single" w:sz="8" w:color="3D85C6"/>
            </w:tcBorders>
          </w:tcPr>
          <w:p>
            <w:pPr>
              <w:spacing w:after="0"/>
              <w:rPr>
                <w:sz w:val="16"/>
                <w:szCs w:val="16"/>
                <w:color w:val="auto"/>
              </w:rPr>
            </w:pPr>
          </w:p>
        </w:tc>
        <w:tc>
          <w:tcPr>
            <w:tcW w:w="260" w:type="dxa"/>
            <w:vAlign w:val="bottom"/>
            <w:tcBorders>
              <w:bottom w:val="single" w:sz="8" w:color="3D85C6"/>
            </w:tcBorders>
          </w:tcPr>
          <w:p>
            <w:pPr>
              <w:spacing w:after="0"/>
              <w:rPr>
                <w:sz w:val="16"/>
                <w:szCs w:val="16"/>
                <w:color w:val="auto"/>
              </w:rPr>
            </w:pPr>
          </w:p>
        </w:tc>
        <w:tc>
          <w:tcPr>
            <w:tcW w:w="2460" w:type="dxa"/>
            <w:vAlign w:val="bottom"/>
            <w:tcBorders>
              <w:bottom w:val="single" w:sz="8" w:color="3D85C6"/>
            </w:tcBorders>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840" w:type="dxa"/>
            <w:vAlign w:val="bottom"/>
          </w:tcPr>
          <w:p>
            <w:pPr>
              <w:spacing w:after="0" w:line="172" w:lineRule="exact"/>
              <w:rPr>
                <w:sz w:val="20"/>
                <w:szCs w:val="20"/>
                <w:color w:val="auto"/>
              </w:rPr>
            </w:pPr>
            <w:r>
              <w:rPr>
                <w:rFonts w:ascii="Arial" w:cs="Arial" w:eastAsia="Arial" w:hAnsi="Arial"/>
                <w:sz w:val="17"/>
                <w:szCs w:val="17"/>
                <w:color w:val="auto"/>
              </w:rPr>
              <w:t>Pretax loss - GAAP basis (as a % of net sales)</w:t>
            </w:r>
          </w:p>
        </w:tc>
        <w:tc>
          <w:tcPr>
            <w:tcW w:w="260" w:type="dxa"/>
            <w:vAlign w:val="bottom"/>
          </w:tcPr>
          <w:p>
            <w:pPr>
              <w:spacing w:after="0"/>
              <w:rPr>
                <w:sz w:val="14"/>
                <w:szCs w:val="14"/>
                <w:color w:val="auto"/>
              </w:rPr>
            </w:pPr>
          </w:p>
        </w:tc>
        <w:tc>
          <w:tcPr>
            <w:tcW w:w="2460" w:type="dxa"/>
            <w:vAlign w:val="bottom"/>
          </w:tcPr>
          <w:p>
            <w:pPr>
              <w:jc w:val="right"/>
              <w:spacing w:after="0" w:line="172" w:lineRule="exact"/>
              <w:rPr>
                <w:sz w:val="20"/>
                <w:szCs w:val="20"/>
                <w:color w:val="auto"/>
              </w:rPr>
            </w:pPr>
            <w:r>
              <w:rPr>
                <w:rFonts w:ascii="Arial" w:cs="Arial" w:eastAsia="Arial" w:hAnsi="Arial"/>
                <w:sz w:val="17"/>
                <w:szCs w:val="17"/>
                <w:color w:val="auto"/>
              </w:rPr>
              <w:t>(13.8)%</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7"/>
                <w:szCs w:val="17"/>
                <w:color w:val="auto"/>
              </w:rPr>
              <w:t>Pretax income - non-GAAP basis (as a % of net sales)</w:t>
            </w:r>
          </w:p>
        </w:tc>
        <w:tc>
          <w:tcPr>
            <w:tcW w:w="2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7"/>
                <w:szCs w:val="17"/>
                <w:color w:val="auto"/>
              </w:rPr>
              <w:t>1.6%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6840" w:type="dxa"/>
            <w:vAlign w:val="bottom"/>
          </w:tcPr>
          <w:p>
            <w:pPr>
              <w:ind w:left="5500"/>
              <w:spacing w:after="0"/>
              <w:rPr>
                <w:sz w:val="20"/>
                <w:szCs w:val="20"/>
                <w:color w:val="auto"/>
              </w:rPr>
            </w:pPr>
            <w:r>
              <w:rPr>
                <w:rFonts w:ascii="Times New Roman" w:cs="Times New Roman" w:eastAsia="Times New Roman" w:hAnsi="Times New Roman"/>
                <w:sz w:val="17"/>
                <w:szCs w:val="17"/>
                <w:color w:val="auto"/>
              </w:rPr>
              <w:t>F-2</w:t>
            </w: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8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8" w:right="339" w:bottom="1440"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386080</wp:posOffset>
            </wp:positionV>
            <wp:extent cx="7137400" cy="87382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7400" cy="8738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478155</wp:posOffset>
            </wp:positionH>
            <wp:positionV relativeFrom="page">
              <wp:posOffset>369570</wp:posOffset>
            </wp:positionV>
            <wp:extent cx="6600825" cy="85401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6600825" cy="85401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1"/>
      <w:numFmt w:val="bullet"/>
      <w:start w:val="1"/>
    </w:lvl>
  </w:abstractNum>
  <w:abstractNum w:abstractNumId="5">
    <w:nsid w:val="540A471C"/>
    <w:multiLevelType w:val="hybridMultilevel"/>
    <w:lvl w:ilvl="0">
      <w:lvlJc w:val="left"/>
      <w:lvlText w:val="2"/>
      <w:numFmt w:val="bullet"/>
      <w:start w:val="1"/>
    </w:lvl>
  </w:abstractNum>
  <w:abstractNum w:abstractNumId="6">
    <w:nsid w:val="7BD3EE7B"/>
    <w:multiLevelType w:val="hybridMultilevel"/>
    <w:lvl w:ilvl="0">
      <w:lvlJc w:val="left"/>
      <w:lvlText w:val="3"/>
      <w:numFmt w:val="bullet"/>
      <w:start w:val="1"/>
    </w:lvl>
  </w:abstractNum>
  <w:abstractNum w:abstractNumId="7">
    <w:nsid w:val="51D9C564"/>
    <w:multiLevelType w:val="hybridMultilevel"/>
    <w:lvl w:ilvl="0">
      <w:lvlJc w:val="left"/>
      <w:lvlText w:val="4"/>
      <w:numFmt w:val="bullet"/>
      <w:start w:val="1"/>
    </w:lvl>
  </w:abstractNum>
  <w:abstractNum w:abstractNumId="8">
    <w:nsid w:val="613EFDC5"/>
    <w:multiLevelType w:val="hybridMultilevel"/>
    <w:lvl w:ilvl="0">
      <w:lvlJc w:val="left"/>
      <w:lvlText w:val="6"/>
      <w:numFmt w:val="bullet"/>
      <w:start w:val="1"/>
    </w:lvl>
  </w:abstractNum>
  <w:abstractNum w:abstractNumId="9">
    <w:nsid w:val="BF72B14"/>
    <w:multiLevelType w:val="hybridMultilevel"/>
    <w:lvl w:ilvl="0">
      <w:lvlJc w:val="left"/>
      <w:lvlText w:val="(%1)"/>
      <w:numFmt w:val="decimal"/>
      <w:start w:val="212"/>
    </w:lvl>
  </w:abstractNum>
  <w:abstractNum w:abstractNumId="10">
    <w:nsid w:val="11447B73"/>
    <w:multiLevelType w:val="hybridMultilevel"/>
    <w:lvl w:ilvl="0">
      <w:lvlJc w:val="left"/>
      <w:lvlText w:val="6"/>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1)"/>
      <w:numFmt w:val="lowerLetter"/>
      <w:start w:val="2"/>
    </w:lvl>
  </w:abstractNum>
  <w:abstractNum w:abstractNumId="13">
    <w:nsid w:val="8F2B15E"/>
    <w:multiLevelType w:val="hybridMultilevel"/>
    <w:lvl w:ilvl="0">
      <w:lvlJc w:val="left"/>
      <w:lvlText w:val="(%1)"/>
      <w:numFmt w:val="decimal"/>
      <w:start w:val="1"/>
    </w:lvl>
  </w:abstractNum>
  <w:abstractNum w:abstractNumId="14">
    <w:nsid w:val="1A32234B"/>
    <w:multiLevelType w:val="hybridMultilevel"/>
    <w:lvl w:ilvl="0">
      <w:lvlJc w:val="left"/>
      <w:lvlText w:val="(%1)"/>
      <w:numFmt w:val="decimal"/>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1)"/>
      <w:numFmt w:val="lowerRoman"/>
      <w:start w:val="2"/>
    </w:lvl>
  </w:abstractNum>
  <w:abstractNum w:abstractNumId="17">
    <w:nsid w:val="4962813B"/>
    <w:multiLevelType w:val="hybridMultilevel"/>
    <w:lvl w:ilvl="0">
      <w:lvlJc w:val="left"/>
      <w:lvlText w:val="(%1)"/>
      <w:numFmt w:val="lowerRoman"/>
      <w:start w:val="2"/>
    </w:lvl>
  </w:abstractNum>
  <w:abstractNum w:abstractNumId="18">
    <w:nsid w:val="60B6DF70"/>
    <w:multiLevelType w:val="hybridMultilevel"/>
    <w:lvl w:ilvl="0">
      <w:lvlJc w:val="left"/>
      <w:lvlText w:val="(%1)"/>
      <w:numFmt w:val="decimal"/>
      <w:start w:val="1"/>
    </w:lvl>
  </w:abstractNum>
  <w:abstractNum w:abstractNumId="19">
    <w:nsid w:val="6A5EE64"/>
    <w:multiLevelType w:val="hybridMultilevel"/>
    <w:lvl w:ilvl="0">
      <w:lvlJc w:val="left"/>
      <w:lvlText w:val="%1."/>
      <w:numFmt w:val="decimal"/>
      <w:start w:val="1"/>
    </w:lvl>
  </w:abstractNum>
  <w:abstractNum w:abstractNumId="20">
    <w:nsid w:val="14330624"/>
    <w:multiLevelType w:val="hybridMultilevel"/>
    <w:lvl w:ilvl="0">
      <w:lvlJc w:val="left"/>
      <w:lvlText w:val="(%1)"/>
      <w:numFmt w:val="lowerLetter"/>
      <w:start w:val="1"/>
    </w:lvl>
  </w:abstractNum>
  <w:abstractNum w:abstractNumId="21">
    <w:nsid w:val="7FFFCA11"/>
    <w:multiLevelType w:val="hybridMultilevel"/>
    <w:lvl w:ilvl="0">
      <w:lvlJc w:val="left"/>
      <w:lvlText w:val="%1."/>
      <w:numFmt w:val="decimal"/>
      <w:start w:val="2"/>
    </w:lvl>
  </w:abstractNum>
  <w:abstractNum w:abstractNumId="22">
    <w:nsid w:val="1A27709E"/>
    <w:multiLevelType w:val="hybridMultilevel"/>
    <w:lvl w:ilvl="0">
      <w:lvlJc w:val="left"/>
      <w:lvlText w:val="(%1)"/>
      <w:numFmt w:val="lowerLetter"/>
      <w:start w:val="1"/>
    </w:lvl>
  </w:abstractNum>
  <w:abstractNum w:abstractNumId="23">
    <w:nsid w:val="71EA1109"/>
    <w:multiLevelType w:val="hybridMultilevel"/>
    <w:lvl w:ilvl="0">
      <w:lvlJc w:val="left"/>
      <w:lvlText w:val="(%1)"/>
      <w:numFmt w:val="lowerLetter"/>
      <w:start w:val="3"/>
    </w:lvl>
    <w:lvl w:ilvl="1">
      <w:lvlJc w:val="left"/>
      <w:lvlText w:val="(%2)"/>
      <w:numFmt w:val="lowerRoman"/>
      <w:start w:val="1"/>
    </w:lvl>
  </w:abstractNum>
  <w:abstractNum w:abstractNumId="24">
    <w:nsid w:val="100F59DC"/>
    <w:multiLevelType w:val="hybridMultilevel"/>
    <w:lvl w:ilvl="0">
      <w:lvlJc w:val="left"/>
      <w:lvlText w:val="(%1)"/>
      <w:numFmt w:val="lowerRoman"/>
      <w:start w:val="3"/>
    </w:lvl>
  </w:abstractNum>
  <w:abstractNum w:abstractNumId="25">
    <w:nsid w:val="7FB7E0AA"/>
    <w:multiLevelType w:val="hybridMultilevel"/>
    <w:lvl w:ilvl="0">
      <w:lvlJc w:val="left"/>
      <w:lvlText w:val="(%1)"/>
      <w:numFmt w:val="lowerLetter"/>
      <w:start w:val="9"/>
    </w:lvl>
  </w:abstractNum>
  <w:abstractNum w:abstractNumId="26">
    <w:nsid w:val="6EB5BD4"/>
    <w:multiLevelType w:val="hybridMultilevel"/>
    <w:lvl w:ilvl="0">
      <w:lvlJc w:val="left"/>
      <w:lvlText w:val="(%1)"/>
      <w:numFmt w:val="lowerLetter"/>
      <w:start w:val="13"/>
    </w:lvl>
  </w:abstractNum>
  <w:abstractNum w:abstractNumId="27">
    <w:nsid w:val="6F6DD9AC"/>
    <w:multiLevelType w:val="hybridMultilevel"/>
    <w:lvl w:ilvl="0">
      <w:lvlJc w:val="left"/>
      <w:lvlText w:val="(%1)"/>
      <w:numFmt w:val="lowerLetter"/>
      <w:start w:val="15"/>
    </w:lvl>
    <w:lvl w:ilvl="1">
      <w:lvlJc w:val="left"/>
      <w:lvlText w:val="(%2)"/>
      <w:numFmt w:val="lowerRoman"/>
      <w:start w:val="1"/>
    </w:lvl>
  </w:abstractNum>
  <w:abstractNum w:abstractNumId="28">
    <w:nsid w:val="94211F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9">
    <w:nsid w:val="885E1B"/>
    <w:multiLevelType w:val="hybridMultilevel"/>
    <w:lvl w:ilvl="0">
      <w:lvlJc w:val="left"/>
      <w:lvlText w:val="%1"/>
      <w:numFmt w:val="lowerLetter"/>
      <w:start w:val="1"/>
    </w:lvl>
    <w:lvl w:ilvl="1">
      <w:lvlJc w:val="left"/>
      <w:lvlText w:val="(%2)"/>
      <w:numFmt w:val="lowerLetter"/>
      <w:start w:val="20"/>
    </w:lvl>
    <w:lvl w:ilvl="2">
      <w:lvlJc w:val="left"/>
      <w:lvlText w:val="%3"/>
      <w:numFmt w:val="lowerLetter"/>
      <w:start w:val="1"/>
    </w:lvl>
  </w:abstractNum>
  <w:abstractNum w:abstractNumId="30">
    <w:nsid w:val="76272110"/>
    <w:multiLevelType w:val="hybridMultilevel"/>
    <w:lvl w:ilvl="0">
      <w:lvlJc w:val="left"/>
      <w:lvlText w:val="(%1)"/>
      <w:numFmt w:val="lowerLetter"/>
      <w:start w:val="61"/>
    </w:lvl>
    <w:lvl w:ilvl="1">
      <w:lvlJc w:val="left"/>
      <w:lvlText w:val="(%2)"/>
      <w:numFmt w:val="lowerLetter"/>
      <w:start w:val="21"/>
    </w:lvl>
    <w:lvl w:ilvl="2">
      <w:lvlJc w:val="left"/>
      <w:lvlText w:val="%3"/>
      <w:numFmt w:val="lowerLetter"/>
      <w:start w:val="1"/>
    </w:lvl>
  </w:abstractNum>
  <w:abstractNum w:abstractNumId="31">
    <w:nsid w:val="4C04A8AF"/>
    <w:multiLevelType w:val="hybridMultilevel"/>
    <w:lvl w:ilvl="0">
      <w:lvlJc w:val="left"/>
      <w:lvlText w:val="(%1)"/>
      <w:numFmt w:val="lowerLetter"/>
      <w:start w:val="9"/>
    </w:lvl>
    <w:lvl w:ilvl="1">
      <w:lvlJc w:val="left"/>
      <w:lvlText w:val="(%2)"/>
      <w:numFmt w:val="lowerLetter"/>
      <w:start w:val="25"/>
    </w:lvl>
    <w:lvl w:ilvl="2">
      <w:lvlJc w:val="left"/>
      <w:lvlText w:val="%3"/>
      <w:numFmt w:val="lowerLetter"/>
      <w:start w:val="1"/>
    </w:lvl>
  </w:abstractNum>
  <w:abstractNum w:abstractNumId="32">
    <w:nsid w:val="1716703B"/>
    <w:multiLevelType w:val="hybridMultilevel"/>
    <w:lvl w:ilvl="0">
      <w:lvlJc w:val="left"/>
      <w:lvlText w:val="(%1)"/>
      <w:numFmt w:val="lowerLetter"/>
      <w:start w:val="27"/>
    </w:lvl>
  </w:abstractNum>
  <w:abstractNum w:abstractNumId="33">
    <w:nsid w:val="14E17E33"/>
    <w:multiLevelType w:val="hybridMultilevel"/>
    <w:lvl w:ilvl="0">
      <w:lvlJc w:val="left"/>
      <w:lvlText w:val="(%1)"/>
      <w:numFmt w:val="lowerLetter"/>
      <w:start w:val="30"/>
    </w:lvl>
  </w:abstractNum>
  <w:abstractNum w:abstractNumId="34">
    <w:nsid w:val="3222E7CD"/>
    <w:multiLevelType w:val="hybridMultilevel"/>
    <w:lvl w:ilvl="0">
      <w:lvlJc w:val="left"/>
      <w:lvlText w:val="(%1)"/>
      <w:numFmt w:val="lowerLetter"/>
      <w:start w:val="32"/>
    </w:lvl>
  </w:abstractNum>
  <w:abstractNum w:abstractNumId="35">
    <w:nsid w:val="74DE0EE3"/>
    <w:multiLevelType w:val="hybridMultilevel"/>
    <w:lvl w:ilvl="0">
      <w:lvlJc w:val="left"/>
      <w:lvlText w:val="(%1)"/>
      <w:numFmt w:val="lowerLetter"/>
      <w:start w:val="44"/>
    </w:lvl>
  </w:abstractNum>
  <w:abstractNum w:abstractNumId="36">
    <w:nsid w:val="68EBC550"/>
    <w:multiLevelType w:val="hybridMultilevel"/>
    <w:lvl w:ilvl="0">
      <w:lvlJc w:val="left"/>
      <w:lvlText w:val="(%1)"/>
      <w:numFmt w:val="lowerLetter"/>
      <w:start w:val="53"/>
    </w:lvl>
  </w:abstractNum>
  <w:abstractNum w:abstractNumId="37">
    <w:nsid w:val="2DF6D648"/>
    <w:multiLevelType w:val="hybridMultilevel"/>
    <w:lvl w:ilvl="0">
      <w:lvlJc w:val="left"/>
      <w:lvlText w:val="(%1)"/>
      <w:numFmt w:val="lowerLetter"/>
      <w:start w:val="56"/>
    </w:lvl>
  </w:abstractNum>
  <w:abstractNum w:abstractNumId="38">
    <w:nsid w:val="46B7D447"/>
    <w:multiLevelType w:val="hybridMultilevel"/>
    <w:lvl w:ilvl="0">
      <w:lvlJc w:val="left"/>
      <w:lvlText w:val="%1."/>
      <w:numFmt w:val="decimal"/>
      <w:start w:val="3"/>
    </w:lvl>
  </w:abstractNum>
  <w:abstractNum w:abstractNumId="39">
    <w:nsid w:val="4A2AC315"/>
    <w:multiLevelType w:val="hybridMultilevel"/>
    <w:lvl w:ilvl="0">
      <w:lvlJc w:val="left"/>
      <w:lvlText w:val="(%1)"/>
      <w:numFmt w:val="lowerLetter"/>
      <w:start w:val="1"/>
    </w:lvl>
  </w:abstractNum>
  <w:abstractNum w:abstractNumId="40">
    <w:nsid w:val="39EE015C"/>
    <w:multiLevelType w:val="hybridMultilevel"/>
    <w:lvl w:ilvl="0">
      <w:lvlJc w:val="left"/>
      <w:lvlText w:val="(%1)"/>
      <w:numFmt w:val="lowerLetter"/>
      <w:start w:val="9"/>
    </w:lvl>
  </w:abstractNum>
  <w:abstractNum w:abstractNumId="41">
    <w:nsid w:val="57FC4FBB"/>
    <w:multiLevelType w:val="hybridMultilevel"/>
    <w:lvl w:ilvl="0">
      <w:lvlJc w:val="left"/>
      <w:lvlText w:val="(%1)"/>
      <w:numFmt w:val="lowerRoman"/>
      <w:start w:val="2"/>
    </w:lvl>
  </w:abstractNum>
  <w:abstractNum w:abstractNumId="42">
    <w:nsid w:val="CC1016F"/>
    <w:multiLevelType w:val="hybridMultilevel"/>
    <w:lvl w:ilvl="0">
      <w:lvlJc w:val="left"/>
      <w:lvlText w:val="%1."/>
      <w:numFmt w:val="decimal"/>
      <w:start w:val="4"/>
    </w:lvl>
  </w:abstractNum>
  <w:abstractNum w:abstractNumId="43">
    <w:nsid w:val="43F18422"/>
    <w:multiLevelType w:val="hybridMultilevel"/>
    <w:lvl w:ilvl="0">
      <w:lvlJc w:val="left"/>
      <w:lvlText w:val="%1."/>
      <w:numFmt w:val="decimal"/>
      <w:start w:val="5"/>
    </w:lvl>
  </w:abstractNum>
  <w:abstractNum w:abstractNumId="44">
    <w:nsid w:val="60EF0119"/>
    <w:multiLevelType w:val="hybridMultilevel"/>
    <w:lvl w:ilvl="0">
      <w:lvlJc w:val="left"/>
      <w:lvlText w:val="(%1)"/>
      <w:numFmt w:val="lowerLetter"/>
      <w:start w:val="1"/>
    </w:lvl>
  </w:abstractNum>
  <w:abstractNum w:abstractNumId="45">
    <w:nsid w:val="26F324BA"/>
    <w:multiLevelType w:val="hybridMultilevel"/>
    <w:lvl w:ilvl="0">
      <w:lvlJc w:val="left"/>
      <w:lvlText w:val="(%1)"/>
      <w:numFmt w:val="lowerLetter"/>
      <w:start w:val="3"/>
    </w:lvl>
  </w:abstractNum>
  <w:abstractNum w:abstractNumId="46">
    <w:nsid w:val="7F01579B"/>
    <w:multiLevelType w:val="hybridMultilevel"/>
    <w:lvl w:ilvl="0">
      <w:lvlJc w:val="left"/>
      <w:lvlText w:val="%1."/>
      <w:numFmt w:val="decimal"/>
      <w:start w:val="6"/>
    </w:lvl>
  </w:abstractNum>
  <w:abstractNum w:abstractNumId="47">
    <w:nsid w:val="49DA307D"/>
    <w:multiLevelType w:val="hybridMultilevel"/>
    <w:lvl w:ilvl="0">
      <w:lvlJc w:val="left"/>
      <w:lvlText w:val="(%1)"/>
      <w:numFmt w:val="lowerLetter"/>
      <w:start w:val="1"/>
    </w:lvl>
  </w:abstractNum>
  <w:abstractNum w:abstractNumId="48">
    <w:nsid w:val="7055A5F5"/>
    <w:multiLevelType w:val="hybridMultilevel"/>
    <w:lvl w:ilvl="0">
      <w:lvlJc w:val="left"/>
      <w:lvlText w:val="(%1)"/>
      <w:numFmt w:val="lowerLetter"/>
      <w:start w:val="2"/>
    </w:lvl>
    <w:lvl w:ilvl="1">
      <w:lvlJc w:val="left"/>
      <w:lvlText w:val="(%2)"/>
      <w:numFmt w:val="lowerRoman"/>
      <w:start w:val="1"/>
    </w:lvl>
  </w:abstractNum>
  <w:abstractNum w:abstractNumId="49">
    <w:nsid w:val="5FB8370B"/>
    <w:multiLevelType w:val="hybridMultilevel"/>
    <w:lvl w:ilvl="0">
      <w:lvlJc w:val="left"/>
      <w:lvlText w:val="(%1)"/>
      <w:numFmt w:val="lowerLetter"/>
      <w:start w:val="1"/>
    </w:lvl>
    <w:lvl w:ilvl="1">
      <w:lvlJc w:val="left"/>
      <w:lvlText w:val="(%2)"/>
      <w:numFmt w:val="lowerLetter"/>
      <w:start w:val="9"/>
    </w:lvl>
  </w:abstractNum>
  <w:abstractNum w:abstractNumId="50">
    <w:nsid w:val="50801EE1"/>
    <w:multiLevelType w:val="hybridMultilevel"/>
    <w:lvl w:ilvl="0">
      <w:lvlJc w:val="left"/>
      <w:lvlText w:val="%1"/>
      <w:numFmt w:val="lowerLetter"/>
      <w:start w:val="1"/>
    </w:lvl>
    <w:lvl w:ilvl="1">
      <w:lvlJc w:val="left"/>
      <w:lvlText w:val="(%2)"/>
      <w:numFmt w:val="lowerRoman"/>
      <w:start w:val="2"/>
    </w:lvl>
  </w:abstractNum>
  <w:abstractNum w:abstractNumId="51">
    <w:nsid w:val="488AC1A"/>
    <w:multiLevelType w:val="hybridMultilevel"/>
    <w:lvl w:ilvl="0">
      <w:lvlJc w:val="left"/>
      <w:lvlText w:val="(%1)"/>
      <w:numFmt w:val="lowerLetter"/>
      <w:start w:val="2"/>
    </w:lvl>
    <w:lvl w:ilvl="1">
      <w:lvlJc w:val="left"/>
      <w:lvlText w:val="%2"/>
      <w:numFmt w:val="lowerRoman"/>
      <w:start w:val="1"/>
    </w:lvl>
  </w:abstractNum>
  <w:abstractNum w:abstractNumId="52">
    <w:nsid w:val="5FB8011C"/>
    <w:multiLevelType w:val="hybridMultilevel"/>
    <w:lvl w:ilvl="0">
      <w:lvlJc w:val="left"/>
      <w:lvlText w:val="%1."/>
      <w:numFmt w:val="decimal"/>
      <w:start w:val="7"/>
    </w:lvl>
  </w:abstractNum>
  <w:abstractNum w:abstractNumId="53">
    <w:nsid w:val="6AA78F7F"/>
    <w:multiLevelType w:val="hybridMultilevel"/>
    <w:lvl w:ilvl="0">
      <w:lvlJc w:val="left"/>
      <w:lvlText w:val="(%1)"/>
      <w:numFmt w:val="lowerLetter"/>
      <w:start w:val="1"/>
    </w:lvl>
  </w:abstractNum>
  <w:abstractNum w:abstractNumId="54">
    <w:nsid w:val="7672BD23"/>
    <w:multiLevelType w:val="hybridMultilevel"/>
    <w:lvl w:ilvl="0">
      <w:lvlJc w:val="left"/>
      <w:lvlText w:val="%1."/>
      <w:numFmt w:val="decimal"/>
      <w:start w:val="8"/>
    </w:lvl>
  </w:abstractNum>
  <w:abstractNum w:abstractNumId="55">
    <w:nsid w:val="6FC75AF8"/>
    <w:multiLevelType w:val="hybridMultilevel"/>
    <w:lvl w:ilvl="0">
      <w:lvlJc w:val="left"/>
      <w:lvlText w:val="%1."/>
      <w:numFmt w:val="decimal"/>
      <w:start w:val="9"/>
    </w:lvl>
  </w:abstractNum>
  <w:abstractNum w:abstractNumId="56">
    <w:nsid w:val="6A5F7029"/>
    <w:multiLevelType w:val="hybridMultilevel"/>
    <w:lvl w:ilvl="0">
      <w:lvlJc w:val="left"/>
      <w:lvlText w:val="%1."/>
      <w:numFmt w:val="decimal"/>
      <w:start w:val="10"/>
    </w:lvl>
  </w:abstractNum>
  <w:abstractNum w:abstractNumId="57">
    <w:nsid w:val="7D5E18F8"/>
    <w:multiLevelType w:val="hybridMultilevel"/>
    <w:lvl w:ilvl="0">
      <w:lvlJc w:val="left"/>
      <w:lvlText w:val="(%1)"/>
      <w:numFmt w:val="lowerLetter"/>
      <w:start w:val="1"/>
    </w:lvl>
  </w:abstractNum>
  <w:abstractNum w:abstractNumId="58">
    <w:nsid w:val="5F3534A4"/>
    <w:multiLevelType w:val="hybridMultilevel"/>
    <w:lvl w:ilvl="0">
      <w:lvlJc w:val="left"/>
      <w:lvlText w:val="(%1)"/>
      <w:numFmt w:val="lowerLetter"/>
      <w:start w:val="1"/>
    </w:lvl>
  </w:abstractNum>
  <w:abstractNum w:abstractNumId="59">
    <w:nsid w:val="73A1821B"/>
    <w:multiLevelType w:val="hybridMultilevel"/>
    <w:lvl w:ilvl="0">
      <w:lvlJc w:val="left"/>
      <w:lvlText w:val="(%1)"/>
      <w:numFmt w:val="lowerLetter"/>
      <w:start w:val="4"/>
    </w:lvl>
  </w:abstractNum>
  <w:abstractNum w:abstractNumId="60">
    <w:nsid w:val="7DE67713"/>
    <w:multiLevelType w:val="hybridMultilevel"/>
    <w:lvl w:ilvl="0">
      <w:lvlJc w:val="left"/>
      <w:lvlText w:val="(%1)"/>
      <w:numFmt w:val="lowerLetter"/>
      <w:start w:val="1"/>
    </w:lvl>
  </w:abstractNum>
  <w:abstractNum w:abstractNumId="61">
    <w:nsid w:val="555C55B5"/>
    <w:multiLevelType w:val="hybridMultilevel"/>
    <w:lvl w:ilvl="0">
      <w:lvlJc w:val="left"/>
      <w:lvlText w:val="(%1)"/>
      <w:numFmt w:val="lowerLetter"/>
      <w:start w:val="2"/>
    </w:lvl>
  </w:abstractNum>
  <w:abstractNum w:abstractNumId="62">
    <w:nsid w:val="3FA62ACA"/>
    <w:multiLevelType w:val="hybridMultilevel"/>
    <w:lvl w:ilvl="0">
      <w:lvlJc w:val="left"/>
      <w:lvlText w:val="%1."/>
      <w:numFmt w:val="decimal"/>
      <w:start w:val="11"/>
    </w:lvl>
  </w:abstractNum>
  <w:abstractNum w:abstractNumId="63">
    <w:nsid w:val="14FCE74E"/>
    <w:multiLevelType w:val="hybridMultilevel"/>
    <w:lvl w:ilvl="0">
      <w:lvlJc w:val="left"/>
      <w:lvlText w:val="%1."/>
      <w:numFmt w:val="decimal"/>
      <w:start w:val="12"/>
    </w:lvl>
  </w:abstractNum>
  <w:abstractNum w:abstractNumId="64">
    <w:nsid w:val="6A3DD3E8"/>
    <w:multiLevelType w:val="hybridMultilevel"/>
    <w:lvl w:ilvl="0">
      <w:lvlJc w:val="left"/>
      <w:lvlText w:val="%1."/>
      <w:numFmt w:val="decimal"/>
      <w:start w:val="13"/>
    </w:lvl>
  </w:abstractNum>
  <w:abstractNum w:abstractNumId="65">
    <w:nsid w:val="71C91298"/>
    <w:multiLevelType w:val="hybridMultilevel"/>
    <w:lvl w:ilvl="0">
      <w:lvlJc w:val="left"/>
      <w:lvlText w:val="(%1)"/>
      <w:numFmt w:val="lowerLetter"/>
      <w:start w:val="1"/>
    </w:lvl>
  </w:abstractNum>
  <w:abstractNum w:abstractNumId="66">
    <w:nsid w:val="9DAF632"/>
    <w:multiLevelType w:val="hybridMultilevel"/>
    <w:lvl w:ilvl="0">
      <w:lvlJc w:val="left"/>
      <w:lvlText w:val="(%1)"/>
      <w:numFmt w:val="lowerLetter"/>
      <w:start w:val="5"/>
    </w:lvl>
  </w:abstractNum>
  <w:abstractNum w:abstractNumId="67">
    <w:nsid w:val="53299938"/>
    <w:multiLevelType w:val="hybridMultilevel"/>
    <w:lvl w:ilvl="0">
      <w:lvlJc w:val="left"/>
      <w:lvlText w:val="(%1)"/>
      <w:numFmt w:val="lowerLetter"/>
      <w:start w:val="1"/>
    </w:lvl>
  </w:abstractNum>
  <w:abstractNum w:abstractNumId="68">
    <w:nsid w:val="1FBFE8E0"/>
    <w:multiLevelType w:val="hybridMultilevel"/>
    <w:lvl w:ilvl="0">
      <w:lvlJc w:val="left"/>
      <w:lvlText w:val="%1."/>
      <w:numFmt w:val="decimal"/>
      <w:start w:val="14"/>
    </w:lvl>
  </w:abstractNum>
  <w:abstractNum w:abstractNumId="69">
    <w:nsid w:val="5092CA79"/>
    <w:multiLevelType w:val="hybridMultilevel"/>
    <w:lvl w:ilvl="0">
      <w:lvlJc w:val="left"/>
      <w:lvlText w:val="%1."/>
      <w:numFmt w:val="decimal"/>
      <w:start w:val="15"/>
    </w:lvl>
  </w:abstractNum>
  <w:abstractNum w:abstractNumId="70">
    <w:nsid w:val="1D545C4D"/>
    <w:multiLevelType w:val="hybridMultilevel"/>
    <w:lvl w:ilvl="0">
      <w:lvlJc w:val="left"/>
      <w:lvlText w:val="(%1)"/>
      <w:numFmt w:val="lowerLetter"/>
      <w:start w:val="1"/>
    </w:lvl>
  </w:abstractNum>
  <w:abstractNum w:abstractNumId="71">
    <w:nsid w:val="59ADEA3D"/>
    <w:multiLevelType w:val="hybridMultilevel"/>
    <w:lvl w:ilvl="0">
      <w:lvlJc w:val="left"/>
      <w:lvlText w:val="(%1)"/>
      <w:numFmt w:val="lowerLetter"/>
      <w:start w:val="1"/>
    </w:lvl>
  </w:abstractNum>
  <w:abstractNum w:abstractNumId="72">
    <w:nsid w:val="288F1A34"/>
    <w:multiLevelType w:val="hybridMultilevel"/>
    <w:lvl w:ilvl="0">
      <w:lvlJc w:val="left"/>
      <w:lvlText w:val="(%1)"/>
      <w:numFmt w:val="lowerLetter"/>
      <w:start w:val="2"/>
    </w:lvl>
  </w:abstractNum>
  <w:abstractNum w:abstractNumId="73">
    <w:nsid w:val="2A155DBC"/>
    <w:multiLevelType w:val="hybridMultilevel"/>
    <w:lvl w:ilvl="0">
      <w:lvlJc w:val="left"/>
      <w:lvlText w:val="(%1)"/>
      <w:numFmt w:val="lowerLetter"/>
      <w:start w:val="1"/>
    </w:lvl>
  </w:abstractNum>
  <w:abstractNum w:abstractNumId="74">
    <w:nsid w:val="1D9F6E5F"/>
    <w:multiLevelType w:val="hybridMultilevel"/>
    <w:lvl w:ilvl="0">
      <w:lvlJc w:val="left"/>
      <w:lvlText w:val="(%1)"/>
      <w:numFmt w:val="lowerLetter"/>
      <w:start w:val="2"/>
    </w:lvl>
  </w:abstractNum>
  <w:abstractNum w:abstractNumId="75">
    <w:nsid w:val="97E1B4E"/>
    <w:multiLevelType w:val="hybridMultilevel"/>
    <w:lvl w:ilvl="0">
      <w:lvlJc w:val="left"/>
      <w:lvlText w:val="(%1)"/>
      <w:numFmt w:val="lowerLetter"/>
      <w:start w:val="1"/>
    </w:lvl>
    <w:lvl w:ilvl="1">
      <w:lvlJc w:val="left"/>
      <w:lvlText w:val="(%2)"/>
      <w:numFmt w:val="lowerRoman"/>
      <w:start w:val="1"/>
    </w:lvl>
  </w:abstractNum>
  <w:abstractNum w:abstractNumId="76">
    <w:nsid w:val="51088277"/>
    <w:multiLevelType w:val="hybridMultilevel"/>
    <w:lvl w:ilvl="0">
      <w:lvlJc w:val="left"/>
      <w:lvlText w:val="(%1)"/>
      <w:numFmt w:val="lowerLetter"/>
      <w:start w:val="2"/>
    </w:lvl>
  </w:abstractNum>
  <w:abstractNum w:abstractNumId="77">
    <w:nsid w:val="1CA0C5FA"/>
    <w:multiLevelType w:val="hybridMultilevel"/>
    <w:lvl w:ilvl="0">
      <w:lvlJc w:val="left"/>
      <w:lvlText w:val="%1"/>
      <w:numFmt w:val="decimal"/>
      <w:start w:val="1"/>
    </w:lvl>
    <w:lvl w:ilvl="1">
      <w:lvlJc w:val="left"/>
      <w:lvlText w:val="(%2)"/>
      <w:numFmt w:val="lowerLetter"/>
      <w:start w:val="8"/>
    </w:lvl>
  </w:abstractNum>
  <w:abstractNum w:abstractNumId="78">
    <w:nsid w:val="53584BCB"/>
    <w:multiLevelType w:val="hybridMultilevel"/>
    <w:lvl w:ilvl="0">
      <w:lvlJc w:val="left"/>
      <w:lvlText w:val="%1."/>
      <w:numFmt w:val="decimal"/>
      <w:start w:val="16"/>
    </w:lvl>
    <w:lvl w:ilvl="1">
      <w:lvlJc w:val="left"/>
      <w:lvlText w:val="%2"/>
      <w:numFmt w:val="lowerLetter"/>
      <w:start w:val="1"/>
    </w:lvl>
  </w:abstractNum>
  <w:abstractNum w:abstractNumId="79">
    <w:nsid w:val="415E286C"/>
    <w:multiLevelType w:val="hybridMultilevel"/>
    <w:lvl w:ilvl="0">
      <w:lvlJc w:val="left"/>
      <w:lvlText w:val="%1."/>
      <w:numFmt w:val="decimal"/>
      <w:start w:val="17"/>
    </w:lvl>
  </w:abstractNum>
  <w:abstractNum w:abstractNumId="80">
    <w:nsid w:val="7C58FD05"/>
    <w:multiLevelType w:val="hybridMultilevel"/>
    <w:lvl w:ilvl="0">
      <w:lvlJc w:val="left"/>
      <w:lvlText w:val="%1."/>
      <w:numFmt w:val="decimal"/>
      <w:start w:val="18"/>
    </w:lvl>
  </w:abstractNum>
  <w:abstractNum w:abstractNumId="81">
    <w:nsid w:val="23D86AAC"/>
    <w:multiLevelType w:val="hybridMultilevel"/>
    <w:lvl w:ilvl="0">
      <w:lvlJc w:val="left"/>
      <w:lvlText w:val="(%1)"/>
      <w:numFmt w:val="lowerLetter"/>
      <w:start w:val="1"/>
    </w:lvl>
  </w:abstractNum>
  <w:abstractNum w:abstractNumId="82">
    <w:nsid w:val="45E6D486"/>
    <w:multiLevelType w:val="hybridMultilevel"/>
    <w:lvl w:ilvl="0">
      <w:lvlJc w:val="left"/>
      <w:lvlText w:val="%1."/>
      <w:numFmt w:val="decimal"/>
      <w:start w:val="1"/>
    </w:lvl>
  </w:abstractNum>
  <w:abstractNum w:abstractNumId="83">
    <w:nsid w:val="5C10FE21"/>
    <w:multiLevelType w:val="hybridMultilevel"/>
    <w:lvl w:ilvl="0">
      <w:lvlJc w:val="left"/>
      <w:lvlText w:val="%1."/>
      <w:numFmt w:val="decimal"/>
      <w:start w:val="2"/>
    </w:lvl>
  </w:abstractNum>
  <w:abstractNum w:abstractNumId="84">
    <w:nsid w:val="E7FFA2B"/>
    <w:multiLevelType w:val="hybridMultilevel"/>
    <w:lvl w:ilvl="0">
      <w:lvlJc w:val="left"/>
      <w:lvlText w:val="(%1)"/>
      <w:numFmt w:val="lowerLetter"/>
      <w:start w:val="1"/>
    </w:lvl>
  </w:abstractNum>
  <w:abstractNum w:abstractNumId="85">
    <w:nsid w:val="3C5991AA"/>
    <w:multiLevelType w:val="hybridMultilevel"/>
    <w:lvl w:ilvl="0">
      <w:lvlJc w:val="left"/>
      <w:lvlText w:val="(%1)"/>
      <w:numFmt w:val="lowerLetter"/>
      <w:start w:val="6"/>
    </w:lvl>
    <w:lvl w:ilvl="1">
      <w:lvlJc w:val="left"/>
      <w:lvlText w:val="(%2)"/>
      <w:numFmt w:val="lowerLetter"/>
      <w:start w:val="8"/>
    </w:lvl>
  </w:abstractNum>
  <w:abstractNum w:abstractNumId="86">
    <w:nsid w:val="4BD8591A"/>
    <w:multiLevelType w:val="hybridMultilevel"/>
    <w:lvl w:ilvl="0">
      <w:lvlJc w:val="left"/>
      <w:lvlText w:val="(%1)"/>
      <w:numFmt w:val="lowerLetter"/>
      <w:start w:val="20"/>
    </w:lvl>
  </w:abstractNum>
  <w:abstractNum w:abstractNumId="87">
    <w:nsid w:val="78DF6A55"/>
    <w:multiLevelType w:val="hybridMultilevel"/>
    <w:lvl w:ilvl="0">
      <w:lvlJc w:val="left"/>
      <w:lvlText w:val="(%1)"/>
      <w:numFmt w:val="lowerLetter"/>
      <w:start w:val="21"/>
    </w:lvl>
  </w:abstractNum>
  <w:abstractNum w:abstractNumId="88">
    <w:nsid w:val="39B7AAA2"/>
    <w:multiLevelType w:val="hybridMultilevel"/>
    <w:lvl w:ilvl="0">
      <w:lvlJc w:val="left"/>
      <w:lvlText w:val="%1"/>
      <w:numFmt w:val="decimal"/>
      <w:start w:val="1"/>
    </w:lvl>
    <w:lvl w:ilvl="1">
      <w:lvlJc w:val="left"/>
      <w:lvlText w:val="%2."/>
      <w:numFmt w:val="decimal"/>
      <w:start w:val="3"/>
    </w:lvl>
  </w:abstractNum>
  <w:abstractNum w:abstractNumId="89">
    <w:nsid w:val="2B0D8DBE"/>
    <w:multiLevelType w:val="hybridMultilevel"/>
    <w:lvl w:ilvl="0">
      <w:lvlJc w:val="left"/>
      <w:lvlText w:val="%1."/>
      <w:numFmt w:val="decimal"/>
      <w:start w:val="4"/>
    </w:lvl>
    <w:lvl w:ilvl="1">
      <w:lvlJc w:val="left"/>
      <w:lvlText w:val="%2"/>
      <w:numFmt w:val="decimal"/>
      <w:start w:val="1"/>
    </w:lvl>
  </w:abstractNum>
  <w:abstractNum w:abstractNumId="90">
    <w:nsid w:val="6C80EC70"/>
    <w:multiLevelType w:val="hybridMultilevel"/>
    <w:lvl w:ilvl="0">
      <w:lvlJc w:val="left"/>
      <w:lvlText w:val="%1."/>
      <w:numFmt w:val="decimal"/>
      <w:start w:val="5"/>
    </w:lvl>
  </w:abstractNum>
  <w:abstractNum w:abstractNumId="91">
    <w:nsid w:val="379E21B5"/>
    <w:multiLevelType w:val="hybridMultilevel"/>
    <w:lvl w:ilvl="0">
      <w:lvlJc w:val="left"/>
      <w:lvlText w:val="(%1)"/>
      <w:numFmt w:val="lowerLetter"/>
      <w:start w:val="1"/>
    </w:lvl>
  </w:abstractNum>
  <w:abstractNum w:abstractNumId="92">
    <w:nsid w:val="69E373"/>
    <w:multiLevelType w:val="hybridMultilevel"/>
    <w:lvl w:ilvl="0">
      <w:lvlJc w:val="left"/>
      <w:lvlText w:val="%1."/>
      <w:numFmt w:val="decimal"/>
      <w:start w:val="6"/>
    </w:lvl>
  </w:abstractNum>
  <w:abstractNum w:abstractNumId="93">
    <w:nsid w:val="2C27173B"/>
    <w:multiLevelType w:val="hybridMultilevel"/>
    <w:lvl w:ilvl="0">
      <w:lvlJc w:val="left"/>
      <w:lvlText w:val="%1."/>
      <w:numFmt w:val="decimal"/>
      <w:start w:val="7"/>
    </w:lvl>
  </w:abstractNum>
  <w:abstractNum w:abstractNumId="94">
    <w:nsid w:val="4C9B0904"/>
    <w:multiLevelType w:val="hybridMultilevel"/>
    <w:lvl w:ilvl="0">
      <w:lvlJc w:val="left"/>
      <w:lvlText w:val="%1."/>
      <w:numFmt w:val="decimal"/>
      <w:start w:val="8"/>
    </w:lvl>
  </w:abstractNum>
  <w:abstractNum w:abstractNumId="95">
    <w:nsid w:val="6AA7B75C"/>
    <w:multiLevelType w:val="hybridMultilevel"/>
    <w:lvl w:ilvl="0">
      <w:lvlJc w:val="left"/>
      <w:lvlText w:val="%1"/>
      <w:numFmt w:val="lowerLetter"/>
      <w:start w:val="1"/>
    </w:lvl>
    <w:lvl w:ilvl="1">
      <w:lvlJc w:val="left"/>
      <w:lvlText w:val="%2."/>
      <w:numFmt w:val="decimal"/>
      <w:start w:val="9"/>
    </w:lvl>
  </w:abstractNum>
  <w:abstractNum w:abstractNumId="96">
    <w:nsid w:val="1DF029D3"/>
    <w:multiLevelType w:val="hybridMultilevel"/>
    <w:lvl w:ilvl="0">
      <w:lvlJc w:val="left"/>
      <w:lvlText w:val="(%1)"/>
      <w:numFmt w:val="lowerLetter"/>
      <w:start w:val="1"/>
    </w:lvl>
    <w:lvl w:ilvl="1">
      <w:lvlJc w:val="left"/>
      <w:lvlText w:val="%2"/>
      <w:numFmt w:val="decimal"/>
      <w:start w:val="1"/>
    </w:lvl>
  </w:abstractNum>
  <w:abstractNum w:abstractNumId="97">
    <w:nsid w:val="5675FF36"/>
    <w:multiLevelType w:val="hybridMultilevel"/>
    <w:lvl w:ilvl="0">
      <w:lvlJc w:val="left"/>
      <w:lvlText w:val="%1."/>
      <w:numFmt w:val="decimal"/>
      <w:start w:val="10"/>
    </w:lvl>
  </w:abstractNum>
  <w:abstractNum w:abstractNumId="98">
    <w:nsid w:val="3DD15094"/>
    <w:multiLevelType w:val="hybridMultilevel"/>
    <w:lvl w:ilvl="0">
      <w:lvlJc w:val="left"/>
      <w:lvlText w:val="%1."/>
      <w:numFmt w:val="decimal"/>
      <w:start w:val="11"/>
    </w:lvl>
  </w:abstractNum>
  <w:abstractNum w:abstractNumId="99">
    <w:nsid w:val="3DB012B3"/>
    <w:multiLevelType w:val="hybridMultilevel"/>
    <w:lvl w:ilvl="0">
      <w:lvlJc w:val="left"/>
      <w:lvlText w:val="%1."/>
      <w:numFmt w:val="decimal"/>
      <w:start w:val="12"/>
    </w:lvl>
  </w:abstractNum>
  <w:abstractNum w:abstractNumId="100">
    <w:nsid w:val="2708C9AF"/>
    <w:multiLevelType w:val="hybridMultilevel"/>
    <w:lvl w:ilvl="0">
      <w:lvlJc w:val="left"/>
      <w:lvlText w:val="%1."/>
      <w:numFmt w:val="decimal"/>
      <w:start w:val="13"/>
    </w:lvl>
  </w:abstractNum>
  <w:abstractNum w:abstractNumId="101">
    <w:nsid w:val="5B25ACE2"/>
    <w:multiLevelType w:val="hybridMultilevel"/>
    <w:lvl w:ilvl="0">
      <w:lvlJc w:val="left"/>
      <w:lvlText w:val="%1."/>
      <w:numFmt w:val="decimal"/>
      <w:start w:val="14"/>
    </w:lvl>
  </w:abstractNum>
  <w:abstractNum w:abstractNumId="102">
    <w:nsid w:val="175DFCF0"/>
    <w:multiLevelType w:val="hybridMultilevel"/>
    <w:lvl w:ilvl="0">
      <w:lvlJc w:val="left"/>
      <w:lvlText w:val="(%1)"/>
      <w:numFmt w:val="lowerLetter"/>
      <w:start w:val="1"/>
    </w:lvl>
  </w:abstractNum>
  <w:abstractNum w:abstractNumId="103">
    <w:nsid w:val="4F97E3E4"/>
    <w:multiLevelType w:val="hybridMultilevel"/>
    <w:lvl w:ilvl="0">
      <w:lvlJc w:val="left"/>
      <w:lvlText w:val="(%1)"/>
      <w:numFmt w:val="lowerLetter"/>
      <w:start w:val="2"/>
    </w:lvl>
  </w:abstractNum>
  <w:abstractNum w:abstractNumId="104">
    <w:nsid w:val="53B0A9E"/>
    <w:multiLevelType w:val="hybridMultilevel"/>
    <w:lvl w:ilvl="0">
      <w:lvlJc w:val="left"/>
      <w:lvlText w:val="%1."/>
      <w:numFmt w:val="decimal"/>
      <w:start w:val="16"/>
    </w:lvl>
  </w:abstractNum>
  <w:abstractNum w:abstractNumId="105">
    <w:nsid w:val="34FD6B4F"/>
    <w:multiLevelType w:val="hybridMultilevel"/>
    <w:lvl w:ilvl="0">
      <w:lvlJc w:val="left"/>
      <w:lvlText w:val="%1."/>
      <w:numFmt w:val="decimal"/>
      <w:start w:val="18"/>
    </w:lvl>
  </w:abstractNum>
  <w:abstractNum w:abstractNumId="106">
    <w:nsid w:val="5915FF32"/>
    <w:multiLevelType w:val="hybridMultilevel"/>
    <w:lvl w:ilvl="0">
      <w:lvlJc w:val="left"/>
      <w:lvlText w:val="%1."/>
      <w:numFmt w:val="decimal"/>
      <w:start w:val="20"/>
    </w:lvl>
  </w:abstractNum>
  <w:abstractNum w:abstractNumId="107">
    <w:nsid w:val="56438D15"/>
    <w:multiLevelType w:val="hybridMultilevel"/>
    <w:lvl w:ilvl="0">
      <w:lvlJc w:val="left"/>
      <w:lvlText w:val="%1."/>
      <w:numFmt w:val="decimal"/>
      <w:start w:val="22"/>
    </w:lvl>
  </w:abstractNum>
  <w:abstractNum w:abstractNumId="108">
    <w:nsid w:val="519E3149"/>
    <w:multiLevelType w:val="hybridMultilevel"/>
    <w:lvl w:ilvl="0">
      <w:lvlJc w:val="left"/>
      <w:lvlText w:val="(%1)"/>
      <w:numFmt w:val="decimal"/>
      <w:start w:val="9"/>
    </w:lvl>
    <w:lvl w:ilvl="1">
      <w:lvlJc w:val="left"/>
      <w:lvlText w:val="●"/>
      <w:numFmt w:val="bullet"/>
      <w:start w:val="1"/>
    </w:lvl>
  </w:abstractNum>
  <w:abstractNum w:abstractNumId="109">
    <w:nsid w:val="2C6E4AFD"/>
    <w:multiLevelType w:val="hybridMultilevel"/>
    <w:lvl w:ilvl="0">
      <w:lvlJc w:val="left"/>
      <w:lvlText w:val="(%1)"/>
      <w:numFmt w:val="decimal"/>
      <w:start w:val="1"/>
    </w:lvl>
  </w:abstractNum>
  <w:abstractNum w:abstractNumId="110">
    <w:nsid w:val="17A1B582"/>
    <w:multiLevelType w:val="hybridMultilevel"/>
    <w:lvl w:ilvl="0">
      <w:lvlJc w:val="left"/>
      <w:lvlText w:val="(%1)"/>
      <w:numFmt w:val="decimal"/>
    </w:lvl>
    <w:lvl w:ilvl="1">
      <w:lvlJc w:val="left"/>
      <w:lvlText w:val="•"/>
      <w:numFmt w:val="bullet"/>
      <w:start w:val="1"/>
    </w:lvl>
  </w:abstractNum>
  <w:abstractNum w:abstractNumId="111">
    <w:nsid w:val="4DF72E4E"/>
    <w:multiLevelType w:val="hybridMultilevel"/>
    <w:lvl w:ilvl="0">
      <w:lvlJc w:val="left"/>
      <w:lvlText w:val="•"/>
      <w:numFmt w:val="bullet"/>
      <w:start w:val="1"/>
    </w:lvl>
  </w:abstractNum>
  <w:abstractNum w:abstractNumId="112">
    <w:nsid w:val="5046B5A9"/>
    <w:multiLevelType w:val="hybridMultilevel"/>
    <w:lvl w:ilvl="0">
      <w:lvlJc w:val="left"/>
      <w:lvlText w:val="•"/>
      <w:numFmt w:val="bullet"/>
      <w:start w:val="1"/>
    </w:lvl>
  </w:abstractNum>
  <w:abstractNum w:abstractNumId="113">
    <w:nsid w:val="5D888A08"/>
    <w:multiLevelType w:val="hybridMultilevel"/>
    <w:lvl w:ilvl="0">
      <w:lvlJc w:val="left"/>
      <w:lvlText w:val="•"/>
      <w:numFmt w:val="bullet"/>
      <w:start w:val="1"/>
    </w:lvl>
  </w:abstractNum>
  <w:abstractNum w:abstractNumId="114">
    <w:nsid w:val="2A082C70"/>
    <w:multiLevelType w:val="hybridMultilevel"/>
    <w:lvl w:ilvl="0">
      <w:lvlJc w:val="left"/>
      <w:lvlText w:val="•"/>
      <w:numFmt w:val="bullet"/>
      <w:start w:val="1"/>
    </w:lvl>
  </w:abstractNum>
  <w:abstractNum w:abstractNumId="115">
    <w:nsid w:val="5EC6AFD4"/>
    <w:multiLevelType w:val="hybridMultilevel"/>
    <w:lvl w:ilvl="0">
      <w:lvlJc w:val="left"/>
      <w:lvlText w:val="●"/>
      <w:numFmt w:val="bullet"/>
      <w:start w:val="1"/>
    </w:lvl>
  </w:abstractNum>
  <w:abstractNum w:abstractNumId="116">
    <w:nsid w:val="19E21BB2"/>
    <w:multiLevelType w:val="hybridMultilevel"/>
    <w:lvl w:ilvl="0">
      <w:lvlJc w:val="left"/>
      <w:lvlText w:val="●"/>
      <w:numFmt w:val="bullet"/>
      <w:start w:val="1"/>
    </w:lvl>
    <w:lvl w:ilvl="1">
      <w:lvlJc w:val="left"/>
      <w:lvlText w:val="-"/>
      <w:numFmt w:val="bullet"/>
      <w:start w:val="1"/>
    </w:lvl>
  </w:abstractNum>
  <w:abstractNum w:abstractNumId="117">
    <w:nsid w:val="75E0858A"/>
    <w:multiLevelType w:val="hybridMultilevel"/>
    <w:lvl w:ilvl="0">
      <w:lvlJc w:val="left"/>
      <w:lvlText w:val="(%1)"/>
      <w:numFmt w:val="decimal"/>
      <w:start w:val="1"/>
    </w:lvl>
  </w:abstractNum>
  <w:abstractNum w:abstractNumId="118">
    <w:nsid w:val="57A61A29"/>
    <w:multiLevelType w:val="hybridMultilevel"/>
    <w:lvl w:ilvl="0">
      <w:lvlJc w:val="left"/>
      <w:lvlText w:val="•"/>
      <w:numFmt w:val="bullet"/>
      <w:start w:val="1"/>
    </w:lvl>
  </w:abstractNum>
  <w:abstractNum w:abstractNumId="119">
    <w:nsid w:val="5399C654"/>
    <w:multiLevelType w:val="hybridMultilevel"/>
    <w:lvl w:ilvl="0">
      <w:lvlJc w:val="left"/>
      <w:lvlText w:val="•"/>
      <w:numFmt w:val="bullet"/>
      <w:start w:val="1"/>
    </w:lvl>
    <w:lvl w:ilvl="1">
      <w:lvlJc w:val="left"/>
      <w:lvlText w:val="-"/>
      <w:numFmt w:val="bullet"/>
      <w:start w:val="1"/>
    </w:lvl>
  </w:abstractNum>
  <w:abstractNum w:abstractNumId="120">
    <w:nsid w:val="20EE1348"/>
    <w:multiLevelType w:val="hybridMultilevel"/>
    <w:lvl w:ilvl="0">
      <w:lvlJc w:val="left"/>
      <w:lvlText w:val="•"/>
      <w:numFmt w:val="bullet"/>
      <w:start w:val="1"/>
    </w:lvl>
  </w:abstractNum>
  <w:abstractNum w:abstractNumId="121">
    <w:nsid w:val="4427069A"/>
    <w:multiLevelType w:val="hybridMultilevel"/>
    <w:lvl w:ilvl="0">
      <w:lvlJc w:val="left"/>
      <w:lvlText w:val="●"/>
      <w:numFmt w:val="bullet"/>
      <w:start w:val="1"/>
    </w:lvl>
  </w:abstractNum>
  <w:abstractNum w:abstractNumId="122">
    <w:nsid w:val="B37E80A"/>
    <w:multiLevelType w:val="hybridMultilevel"/>
    <w:lvl w:ilvl="0">
      <w:lvlJc w:val="left"/>
      <w:lvlText w:val="(%1)"/>
      <w:numFmt w:val="decimal"/>
      <w:start w:val="1"/>
    </w:lvl>
  </w:abstractNum>
  <w:abstractNum w:abstractNumId="123">
    <w:nsid w:val="2157F6BC"/>
    <w:multiLevelType w:val="hybridMultilevel"/>
    <w:lvl w:ilvl="0">
      <w:lvlJc w:val="left"/>
      <w:lvlText w:val="●"/>
      <w:numFmt w:val="bullet"/>
      <w:start w:val="1"/>
    </w:lvl>
  </w:abstractNum>
  <w:abstractNum w:abstractNumId="124">
    <w:nsid w:val="704E1DD5"/>
    <w:multiLevelType w:val="hybridMultilevel"/>
    <w:lvl w:ilvl="0">
      <w:lvlJc w:val="left"/>
      <w:lvlText w:val="(%1)"/>
      <w:numFmt w:val="decimal"/>
      <w:start w:val="1"/>
    </w:lvl>
  </w:abstractNum>
  <w:abstractNum w:abstractNumId="125">
    <w:nsid w:val="57D2F10E"/>
    <w:multiLevelType w:val="hybridMultilevel"/>
    <w:lvl w:ilvl="0">
      <w:lvlJc w:val="left"/>
      <w:lvlText w:val="(%1)"/>
      <w:numFmt w:val="decimal"/>
      <w:start w:val="1"/>
    </w:lvl>
  </w:abstractNum>
  <w:abstractNum w:abstractNumId="126">
    <w:nsid w:val="BFFAE18"/>
    <w:multiLevelType w:val="hybridMultilevel"/>
    <w:lvl w:ilvl="0">
      <w:lvlJc w:val="left"/>
      <w:lvlText w:val="(%1)"/>
      <w:numFmt w:val="decimal"/>
      <w:start w:val="1"/>
    </w:lvl>
  </w:abstractNum>
  <w:abstractNum w:abstractNumId="127">
    <w:nsid w:val="E3E47A8"/>
    <w:multiLevelType w:val="hybridMultilevel"/>
    <w:lvl w:ilvl="0">
      <w:lvlJc w:val="left"/>
      <w:lvlText w:val="(%1)"/>
      <w:numFmt w:val="decimal"/>
      <w:start w:val="1"/>
    </w:lvl>
  </w:abstractNum>
  <w:abstractNum w:abstractNumId="128">
    <w:nsid w:val="2E48F044"/>
    <w:multiLevelType w:val="hybridMultilevel"/>
    <w:lvl w:ilvl="0">
      <w:lvlJc w:val="left"/>
      <w:lvlText w:val="(%1)"/>
      <w:numFmt w:val="decimal"/>
      <w:start w:val="1"/>
    </w:lvl>
    <w:lvl w:ilvl="1">
      <w:lvlJc w:val="left"/>
      <w:lvlText w:val="■"/>
      <w:numFmt w:val="bullet"/>
      <w:start w:val="1"/>
    </w:lvl>
  </w:abstractNum>
  <w:abstractNum w:abstractNumId="129">
    <w:nsid w:val="49D0FEAC"/>
    <w:multiLevelType w:val="hybridMultilevel"/>
    <w:lvl w:ilvl="0">
      <w:lvlJc w:val="left"/>
      <w:lvlText w:val="(%1)"/>
      <w:numFmt w:val="decimal"/>
      <w:start w:val="1"/>
    </w:lvl>
  </w:abstractNum>
  <w:abstractNum w:abstractNumId="130">
    <w:nsid w:val="4BEE5A5B"/>
    <w:multiLevelType w:val="hybridMultilevel"/>
    <w:lvl w:ilvl="0">
      <w:lvlJc w:val="left"/>
      <w:lvlText w:val="(%1)"/>
      <w:numFmt w:val="decimal"/>
      <w:start w:val="1"/>
    </w:lvl>
  </w:abstractNum>
  <w:abstractNum w:abstractNumId="131">
    <w:nsid w:val="5551B9F3"/>
    <w:multiLevelType w:val="hybridMultilevel"/>
    <w:lvl w:ilvl="0">
      <w:lvlJc w:val="left"/>
      <w:lvlText w:val="(%1)"/>
      <w:numFmt w:val="decimal"/>
      <w:start w:val="1"/>
    </w:lvl>
  </w:abstractNum>
  <w:abstractNum w:abstractNumId="132">
    <w:nsid w:val="24F6AB8E"/>
    <w:multiLevelType w:val="hybridMultilevel"/>
    <w:lvl w:ilvl="0">
      <w:lvlJc w:val="left"/>
      <w:lvlText w:val="●"/>
      <w:numFmt w:val="bullet"/>
      <w:start w:val="1"/>
    </w:lvl>
  </w:abstractNum>
  <w:abstractNum w:abstractNumId="133">
    <w:nsid w:val="634C574C"/>
    <w:multiLevelType w:val="hybridMultilevel"/>
    <w:lvl w:ilvl="0">
      <w:lvlJc w:val="left"/>
      <w:lvlText w:val="●"/>
      <w:numFmt w:val="bullet"/>
      <w:start w:val="1"/>
    </w:lvl>
  </w:abstractNum>
  <w:abstractNum w:abstractNumId="134">
    <w:nsid w:val="24E99DD7"/>
    <w:multiLevelType w:val="hybridMultilevel"/>
    <w:lvl w:ilvl="0">
      <w:lvlJc w:val="left"/>
      <w:lvlText w:val="(%1)"/>
      <w:numFmt w:val="decimal"/>
      <w:start w:val="1"/>
    </w:lvl>
  </w:abstractNum>
  <w:abstractNum w:abstractNumId="135">
    <w:nsid w:val="2A31B62D"/>
    <w:multiLevelType w:val="hybridMultilevel"/>
    <w:lvl w:ilvl="0">
      <w:lvlJc w:val="left"/>
      <w:lvlText w:val="(%1)"/>
      <w:numFmt w:val="decimal"/>
      <w:start w:val="1"/>
    </w:lvl>
  </w:abstractNum>
  <w:abstractNum w:abstractNumId="136">
    <w:nsid w:val="1849C29B"/>
    <w:multiLevelType w:val="hybridMultilevel"/>
    <w:lvl w:ilvl="0">
      <w:lvlJc w:val="left"/>
      <w:lvlText w:val="(%1)"/>
      <w:numFmt w:val="decimal"/>
      <w:start w:val="1"/>
    </w:lvl>
  </w:abstractNum>
  <w:abstractNum w:abstractNumId="137">
    <w:nsid w:val="7DFF9D09"/>
    <w:multiLevelType w:val="hybridMultilevel"/>
    <w:lvl w:ilvl="0">
      <w:lvlJc w:val="left"/>
      <w:lvlText w:val="(%1)"/>
      <w:numFmt w:val="decimal"/>
      <w:start w:val="1"/>
    </w:lvl>
  </w:abstractNum>
  <w:abstractNum w:abstractNumId="138">
    <w:nsid w:val="754342"/>
    <w:multiLevelType w:val="hybridMultilevel"/>
    <w:lvl w:ilvl="0">
      <w:lvlJc w:val="left"/>
      <w:lvlText w:val="(%1)"/>
      <w:numFmt w:val="decimal"/>
      <w:start w:val="1"/>
    </w:lvl>
  </w:abstractNum>
  <w:abstractNum w:abstractNumId="139">
    <w:nsid w:val="69E7F3E5"/>
    <w:multiLevelType w:val="hybridMultilevel"/>
    <w:lvl w:ilvl="0">
      <w:lvlJc w:val="left"/>
      <w:lvlText w:val="(%1)"/>
      <w:numFmt w:val="lowerRoman"/>
      <w:start w:val="1"/>
    </w:lvl>
  </w:abstractNum>
  <w:abstractNum w:abstractNumId="140">
    <w:nsid w:val="2A6DE806"/>
    <w:multiLevelType w:val="hybridMultilevel"/>
    <w:lvl w:ilvl="0">
      <w:lvlJc w:val="left"/>
      <w:lvlText w:val="(%1)"/>
      <w:numFmt w:val="decimal"/>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2026-10-28T16:14:21Z</dcterms:created>
  <dcterms:modified xsi:type="dcterms:W3CDTF">2026-10-28T16:14:21Z</dcterms:modified>
</cp:coreProperties>
</file>