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hu20260328_10q.htm"/>
      <w:bookmarkStart w:id="1" w:name="kscohu20260328_10q"/>
      <w:bookmarkEnd w:id="0"/>
      <w:bookmarkEnd w:id="1"/>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UNITED STATES</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60"/>
        <w:gridCol w:w="289"/>
        <w:gridCol w:w="9856"/>
      </w:tblGrid>
      <w:tr>
        <w:trPr/>
        <w:tc>
          <w:tcPr>
            <w:tcW w:w="6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0"/>
              <w:ind w:left="0" w:right="0" w:hanging="0"/>
              <w:jc w:val="both"/>
              <w:rPr/>
            </w:pPr>
            <w:r>
              <w:rPr/>
              <w:t xml:space="preserve">☑ </w:t>
            </w:r>
          </w:p>
        </w:tc>
        <w:tc>
          <w:tcPr>
            <w:tcW w:w="985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60"/>
        <w:gridCol w:w="230"/>
        <w:gridCol w:w="986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t>☐</w:t>
            </w:r>
          </w:p>
        </w:tc>
        <w:tc>
          <w:tcPr>
            <w:tcW w:w="98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001-04298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COHU,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3800"/>
        <w:gridCol w:w="2885"/>
      </w:tblGrid>
      <w:tr>
        <w:trPr/>
        <w:tc>
          <w:tcPr>
            <w:tcW w:w="38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8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95-1934119</w:t>
            </w:r>
          </w:p>
        </w:tc>
      </w:tr>
      <w:tr>
        <w:trPr/>
        <w:tc>
          <w:tcPr>
            <w:tcW w:w="380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(State or other jurisdiction of</w:t>
            </w:r>
          </w:p>
        </w:tc>
        <w:tc>
          <w:tcPr>
            <w:tcW w:w="288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(I.R.S. Employer Identification No.)</w:t>
            </w:r>
          </w:p>
        </w:tc>
      </w:tr>
      <w:tr>
        <w:trPr/>
        <w:tc>
          <w:tcPr>
            <w:tcW w:w="380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incorporation or organization)</w:t>
            </w:r>
          </w:p>
        </w:tc>
        <w:tc>
          <w:tcPr>
            <w:tcW w:w="2885" w:type="dxa"/>
            <w:tcBorders/>
            <w:vAlign w:val="center"/>
          </w:tcPr>
          <w:p>
            <w:pPr>
              <w:pStyle w:val="TableContents"/>
              <w:bidi w:val="0"/>
              <w:spacing w:before="0" w:after="283"/>
              <w:jc w:val="center"/>
              <w:rPr/>
            </w:pPr>
            <w:r>
              <w:rPr/>
              <w:t> </w:t>
            </w:r>
          </w:p>
        </w:tc>
      </w:tr>
      <w:tr>
        <w:trPr/>
        <w:tc>
          <w:tcPr>
            <w:tcW w:w="380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17087 Via Del Campo, San Diego, California</w:t>
            </w:r>
          </w:p>
        </w:tc>
        <w:tc>
          <w:tcPr>
            <w:tcW w:w="28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92127-1711</w:t>
            </w:r>
          </w:p>
        </w:tc>
      </w:tr>
      <w:tr>
        <w:trPr/>
        <w:tc>
          <w:tcPr>
            <w:tcW w:w="380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tc>
        <w:tc>
          <w:tcPr>
            <w:tcW w:w="288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(858) 848-8100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2720"/>
        <w:gridCol w:w="1610"/>
        <w:gridCol w:w="3410"/>
      </w:tblGrid>
      <w:tr>
        <w:trPr/>
        <w:tc>
          <w:tcPr>
            <w:tcW w:w="272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4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Exchange on Which Registered</w:t>
            </w:r>
          </w:p>
        </w:tc>
      </w:tr>
      <w:tr>
        <w:trPr/>
        <w:tc>
          <w:tcPr>
            <w:tcW w:w="27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$1.00 par value</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w:t>
            </w:r>
          </w:p>
        </w:tc>
        <w:tc>
          <w:tcPr>
            <w:tcW w:w="34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Large accelerated filer ☑        Accelerated filer ☐        Non-accelerated filer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Smaller reporting company ☐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April 21, 2026, the Registrant had 47,175,347 shares of its $1.00 par value common stock outstanding.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5"/>
        <w:gridCol w:w="8282"/>
        <w:gridCol w:w="1048"/>
      </w:tblGrid>
      <w:tr>
        <w:trPr/>
        <w:tc>
          <w:tcPr>
            <w:tcW w:w="875"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Part I</w:t>
            </w:r>
          </w:p>
        </w:tc>
        <w:tc>
          <w:tcPr>
            <w:tcW w:w="8282" w:type="dxa"/>
            <w:tcBorders/>
            <w:vAlign w:val="center"/>
          </w:tcPr>
          <w:p>
            <w:pPr>
              <w:pStyle w:val="TableContents"/>
              <w:bidi w:val="0"/>
              <w:spacing w:before="0" w:after="0"/>
              <w:ind w:left="0" w:right="0" w:hanging="0"/>
              <w:jc w:val="both"/>
              <w:rPr/>
            </w:pPr>
            <w:hyperlink w:anchor="bs">
              <w:r>
                <w:rPr>
                  <w:rStyle w:val="InternetLink"/>
                  <w:rFonts w:ascii="Times New Roman" w:hAnsi="Times New Roman"/>
                  <w:b/>
                  <w:caps w:val="false"/>
                  <w:smallCaps w:val="false"/>
                  <w:sz w:val="20"/>
                </w:rPr>
                <w:t>Financial Information</w:t>
              </w:r>
            </w:hyperlink>
          </w:p>
        </w:tc>
        <w:tc>
          <w:tcPr>
            <w:tcW w:w="1048"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 Number</w:t>
            </w:r>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w:t>
            </w:r>
          </w:p>
        </w:tc>
        <w:tc>
          <w:tcPr>
            <w:tcW w:w="8282" w:type="dxa"/>
            <w:tcBorders/>
            <w:vAlign w:val="center"/>
          </w:tcPr>
          <w:p>
            <w:pPr>
              <w:pStyle w:val="TableContents"/>
              <w:bidi w:val="0"/>
              <w:spacing w:before="0" w:after="0"/>
              <w:ind w:left="0" w:right="0" w:hanging="0"/>
              <w:jc w:val="both"/>
              <w:rPr/>
            </w:pPr>
            <w:hyperlink w:anchor="bs">
              <w:r>
                <w:rPr>
                  <w:rStyle w:val="InternetLink"/>
                  <w:rFonts w:ascii="Times New Roman" w:hAnsi="Times New Roman"/>
                  <w:caps w:val="false"/>
                  <w:smallCaps w:val="false"/>
                  <w:sz w:val="20"/>
                </w:rPr>
                <w:t>Financial Statements:</w:t>
              </w:r>
            </w:hyperlink>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282" w:type="dxa"/>
            <w:tcBorders/>
            <w:vAlign w:val="center"/>
          </w:tcPr>
          <w:p>
            <w:pPr>
              <w:pStyle w:val="TableContents"/>
              <w:bidi w:val="0"/>
              <w:spacing w:before="0" w:after="0"/>
              <w:ind w:left="0" w:right="0" w:hanging="0"/>
              <w:jc w:val="both"/>
              <w:rPr/>
            </w:pPr>
            <w:hyperlink w:anchor="bs">
              <w:r>
                <w:rPr>
                  <w:rStyle w:val="InternetLink"/>
                  <w:rFonts w:ascii="Times New Roman" w:hAnsi="Times New Roman"/>
                  <w:caps w:val="false"/>
                  <w:smallCaps w:val="false"/>
                  <w:sz w:val="20"/>
                </w:rPr>
                <w:t>Condensed Consolidated Balance Sheets March 28, 2026 (unaudited) and December 27, 2025</w:t>
              </w:r>
            </w:hyperlink>
          </w:p>
        </w:tc>
        <w:tc>
          <w:tcPr>
            <w:tcW w:w="1048" w:type="dxa"/>
            <w:tcBorders/>
            <w:vAlign w:val="center"/>
          </w:tcPr>
          <w:p>
            <w:pPr>
              <w:pStyle w:val="TableContents"/>
              <w:bidi w:val="0"/>
              <w:spacing w:before="0" w:after="0"/>
              <w:ind w:left="0" w:right="0" w:hanging="0"/>
              <w:jc w:val="center"/>
              <w:rPr/>
            </w:pPr>
            <w:hyperlink w:anchor="bs">
              <w:r>
                <w:rPr>
                  <w:rStyle w:val="InternetLink"/>
                  <w:rFonts w:ascii="Times New Roman" w:hAnsi="Times New Roman"/>
                  <w:caps w:val="false"/>
                  <w:smallCaps w:val="false"/>
                  <w:sz w:val="20"/>
                </w:rPr>
                <w:t>3</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282" w:type="dxa"/>
            <w:tcBorders/>
            <w:vAlign w:val="center"/>
          </w:tcPr>
          <w:p>
            <w:pPr>
              <w:pStyle w:val="TableContents"/>
              <w:bidi w:val="0"/>
              <w:spacing w:before="0" w:after="0"/>
              <w:ind w:left="0" w:right="0" w:hanging="0"/>
              <w:jc w:val="both"/>
              <w:rPr/>
            </w:pPr>
            <w:hyperlink w:anchor="sop">
              <w:r>
                <w:rPr>
                  <w:rStyle w:val="InternetLink"/>
                  <w:rFonts w:ascii="Times New Roman" w:hAnsi="Times New Roman"/>
                  <w:caps w:val="false"/>
                  <w:smallCaps w:val="false"/>
                  <w:sz w:val="20"/>
                </w:rPr>
                <w:t>Condensed Consolidated Statements of Operations (unaudited) Three Months Ended March 28, 2026 and March 29, 2025</w:t>
              </w:r>
            </w:hyperlink>
          </w:p>
        </w:tc>
        <w:tc>
          <w:tcPr>
            <w:tcW w:w="1048" w:type="dxa"/>
            <w:tcBorders/>
            <w:vAlign w:val="center"/>
          </w:tcPr>
          <w:p>
            <w:pPr>
              <w:pStyle w:val="TableContents"/>
              <w:bidi w:val="0"/>
              <w:spacing w:before="0" w:after="0"/>
              <w:ind w:left="0" w:right="0" w:hanging="0"/>
              <w:jc w:val="center"/>
              <w:rPr/>
            </w:pPr>
            <w:hyperlink w:anchor="sop">
              <w:r>
                <w:rPr>
                  <w:rStyle w:val="InternetLink"/>
                  <w:rFonts w:ascii="Times New Roman" w:hAnsi="Times New Roman"/>
                  <w:caps w:val="false"/>
                  <w:smallCaps w:val="false"/>
                  <w:sz w:val="20"/>
                </w:rPr>
                <w:t>4</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282" w:type="dxa"/>
            <w:tcBorders/>
            <w:vAlign w:val="center"/>
          </w:tcPr>
          <w:p>
            <w:pPr>
              <w:pStyle w:val="TableContents"/>
              <w:bidi w:val="0"/>
              <w:spacing w:before="0" w:after="0"/>
              <w:ind w:left="0" w:right="0" w:hanging="0"/>
              <w:jc w:val="both"/>
              <w:rPr/>
            </w:pPr>
            <w:hyperlink w:anchor="cl">
              <w:r>
                <w:rPr>
                  <w:rStyle w:val="InternetLink"/>
                  <w:rFonts w:ascii="Times New Roman" w:hAnsi="Times New Roman"/>
                  <w:caps w:val="false"/>
                  <w:smallCaps w:val="false"/>
                  <w:sz w:val="20"/>
                </w:rPr>
                <w:t>Condensed Consolidated Statements of Comprehensive Loss (unaudited) Three Months Ended March 28, 2026 and March 29, 2025</w:t>
              </w:r>
            </w:hyperlink>
          </w:p>
        </w:tc>
        <w:tc>
          <w:tcPr>
            <w:tcW w:w="1048" w:type="dxa"/>
            <w:tcBorders/>
            <w:vAlign w:val="center"/>
          </w:tcPr>
          <w:p>
            <w:pPr>
              <w:pStyle w:val="TableContents"/>
              <w:bidi w:val="0"/>
              <w:spacing w:before="0" w:after="0"/>
              <w:ind w:left="0" w:right="0" w:hanging="0"/>
              <w:jc w:val="center"/>
              <w:rPr/>
            </w:pPr>
            <w:hyperlink w:anchor="cl">
              <w:r>
                <w:rPr>
                  <w:rStyle w:val="InternetLink"/>
                  <w:rFonts w:ascii="Times New Roman" w:hAnsi="Times New Roman"/>
                  <w:caps w:val="false"/>
                  <w:smallCaps w:val="false"/>
                  <w:sz w:val="20"/>
                </w:rPr>
                <w:t>5</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282" w:type="dxa"/>
            <w:tcBorders/>
            <w:vAlign w:val="center"/>
          </w:tcPr>
          <w:p>
            <w:pPr>
              <w:pStyle w:val="TableContents"/>
              <w:bidi w:val="0"/>
              <w:spacing w:before="0" w:after="0"/>
              <w:ind w:left="0" w:right="0" w:hanging="0"/>
              <w:jc w:val="both"/>
              <w:rPr/>
            </w:pPr>
            <w:hyperlink w:anchor="es">
              <w:r>
                <w:rPr>
                  <w:rStyle w:val="InternetLink"/>
                  <w:rFonts w:ascii="Times New Roman" w:hAnsi="Times New Roman"/>
                  <w:caps w:val="false"/>
                  <w:smallCaps w:val="false"/>
                  <w:sz w:val="20"/>
                </w:rPr>
                <w:t>Condensed Consolidated Statements of Stockholders’ Equity (unaudited) Three Months Ended March 28, 2026 and March 29, 2025</w:t>
              </w:r>
            </w:hyperlink>
          </w:p>
        </w:tc>
        <w:tc>
          <w:tcPr>
            <w:tcW w:w="1048" w:type="dxa"/>
            <w:tcBorders/>
            <w:vAlign w:val="center"/>
          </w:tcPr>
          <w:p>
            <w:pPr>
              <w:pStyle w:val="TableContents"/>
              <w:bidi w:val="0"/>
              <w:spacing w:before="0" w:after="0"/>
              <w:ind w:left="0" w:right="0" w:hanging="0"/>
              <w:jc w:val="center"/>
              <w:rPr/>
            </w:pPr>
            <w:hyperlink w:anchor="es">
              <w:r>
                <w:rPr>
                  <w:rStyle w:val="InternetLink"/>
                  <w:rFonts w:ascii="Times New Roman" w:hAnsi="Times New Roman"/>
                  <w:caps w:val="false"/>
                  <w:smallCaps w:val="false"/>
                  <w:sz w:val="20"/>
                </w:rPr>
                <w:t>6</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282" w:type="dxa"/>
            <w:tcBorders/>
            <w:vAlign w:val="center"/>
          </w:tcPr>
          <w:p>
            <w:pPr>
              <w:pStyle w:val="TableContents"/>
              <w:bidi w:val="0"/>
              <w:spacing w:before="0" w:after="0"/>
              <w:ind w:left="0" w:right="0" w:hanging="0"/>
              <w:jc w:val="both"/>
              <w:rPr/>
            </w:pPr>
            <w:hyperlink w:anchor="cf">
              <w:r>
                <w:rPr>
                  <w:rStyle w:val="InternetLink"/>
                  <w:rFonts w:ascii="Times New Roman" w:hAnsi="Times New Roman"/>
                  <w:caps w:val="false"/>
                  <w:smallCaps w:val="false"/>
                  <w:sz w:val="20"/>
                </w:rPr>
                <w:t>Condensed Consolidated Statements of Cash Flows (unaudited) Three Months Ended March 28, 2026 and March 29, 2025</w:t>
              </w:r>
            </w:hyperlink>
          </w:p>
        </w:tc>
        <w:tc>
          <w:tcPr>
            <w:tcW w:w="1048" w:type="dxa"/>
            <w:tcBorders/>
            <w:vAlign w:val="center"/>
          </w:tcPr>
          <w:p>
            <w:pPr>
              <w:pStyle w:val="TableContents"/>
              <w:bidi w:val="0"/>
              <w:spacing w:before="0" w:after="0"/>
              <w:ind w:left="0" w:right="0" w:hanging="0"/>
              <w:jc w:val="center"/>
              <w:rPr/>
            </w:pPr>
            <w:hyperlink w:anchor="cf">
              <w:r>
                <w:rPr>
                  <w:rStyle w:val="InternetLink"/>
                  <w:rFonts w:ascii="Times New Roman" w:hAnsi="Times New Roman"/>
                  <w:caps w:val="false"/>
                  <w:smallCaps w:val="false"/>
                  <w:sz w:val="20"/>
                </w:rPr>
                <w:t>7</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282" w:type="dxa"/>
            <w:tcBorders/>
            <w:vAlign w:val="center"/>
          </w:tcPr>
          <w:p>
            <w:pPr>
              <w:pStyle w:val="TableContents"/>
              <w:bidi w:val="0"/>
              <w:spacing w:before="0" w:after="0"/>
              <w:ind w:left="0" w:right="0" w:hanging="0"/>
              <w:jc w:val="both"/>
              <w:rPr/>
            </w:pPr>
            <w:hyperlink w:anchor="notes">
              <w:r>
                <w:rPr>
                  <w:rStyle w:val="InternetLink"/>
                  <w:rFonts w:ascii="Times New Roman" w:hAnsi="Times New Roman"/>
                  <w:caps w:val="false"/>
                  <w:smallCaps w:val="false"/>
                  <w:sz w:val="20"/>
                </w:rPr>
                <w:t>Notes to Unaudited Condensed Consolidated Financial Statements</w:t>
              </w:r>
            </w:hyperlink>
          </w:p>
        </w:tc>
        <w:tc>
          <w:tcPr>
            <w:tcW w:w="1048"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8</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2.</w:t>
            </w:r>
          </w:p>
        </w:tc>
        <w:tc>
          <w:tcPr>
            <w:tcW w:w="8282" w:type="dxa"/>
            <w:tcBorders/>
            <w:vAlign w:val="center"/>
          </w:tcPr>
          <w:p>
            <w:pPr>
              <w:pStyle w:val="TableContents"/>
              <w:bidi w:val="0"/>
              <w:spacing w:before="0" w:after="0"/>
              <w:ind w:left="0" w:right="0" w:hanging="0"/>
              <w:jc w:val="both"/>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1048" w:type="dxa"/>
            <w:tcBorders/>
            <w:vAlign w:val="center"/>
          </w:tcPr>
          <w:p>
            <w:pPr>
              <w:pStyle w:val="TableContents"/>
              <w:bidi w:val="0"/>
              <w:spacing w:before="0" w:after="0"/>
              <w:ind w:left="0" w:right="0" w:hanging="0"/>
              <w:jc w:val="center"/>
              <w:rPr/>
            </w:pPr>
            <w:hyperlink w:anchor="mda">
              <w:r>
                <w:rPr>
                  <w:rStyle w:val="InternetLink"/>
                  <w:rFonts w:ascii="Times New Roman" w:hAnsi="Times New Roman"/>
                  <w:caps w:val="false"/>
                  <w:smallCaps w:val="false"/>
                  <w:sz w:val="20"/>
                </w:rPr>
                <w:t>29</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3.</w:t>
            </w:r>
          </w:p>
        </w:tc>
        <w:tc>
          <w:tcPr>
            <w:tcW w:w="8282" w:type="dxa"/>
            <w:tcBorders/>
            <w:vAlign w:val="center"/>
          </w:tcPr>
          <w:p>
            <w:pPr>
              <w:pStyle w:val="TableContents"/>
              <w:bidi w:val="0"/>
              <w:spacing w:before="0" w:after="0"/>
              <w:ind w:left="0" w:right="0" w:hanging="0"/>
              <w:jc w:val="both"/>
              <w:rPr/>
            </w:pPr>
            <w:hyperlink w:anchor="qqd">
              <w:r>
                <w:rPr>
                  <w:rStyle w:val="InternetLink"/>
                  <w:rFonts w:ascii="Times New Roman" w:hAnsi="Times New Roman"/>
                  <w:caps w:val="false"/>
                  <w:smallCaps w:val="false"/>
                  <w:sz w:val="20"/>
                </w:rPr>
                <w:t>Quantitative and Qualitative Disclosures About Market Risk</w:t>
              </w:r>
            </w:hyperlink>
          </w:p>
        </w:tc>
        <w:tc>
          <w:tcPr>
            <w:tcW w:w="1048" w:type="dxa"/>
            <w:tcBorders/>
            <w:vAlign w:val="center"/>
          </w:tcPr>
          <w:p>
            <w:pPr>
              <w:pStyle w:val="TableContents"/>
              <w:bidi w:val="0"/>
              <w:spacing w:before="0" w:after="0"/>
              <w:ind w:left="0" w:right="0" w:hanging="0"/>
              <w:jc w:val="center"/>
              <w:rPr/>
            </w:pPr>
            <w:hyperlink w:anchor="qqd">
              <w:r>
                <w:rPr>
                  <w:rStyle w:val="InternetLink"/>
                  <w:rFonts w:ascii="Times New Roman" w:hAnsi="Times New Roman"/>
                  <w:caps w:val="false"/>
                  <w:smallCaps w:val="false"/>
                  <w:sz w:val="20"/>
                </w:rPr>
                <w:t>38</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4.</w:t>
            </w:r>
          </w:p>
        </w:tc>
        <w:tc>
          <w:tcPr>
            <w:tcW w:w="8282" w:type="dxa"/>
            <w:tcBorders/>
            <w:vAlign w:val="center"/>
          </w:tcPr>
          <w:p>
            <w:pPr>
              <w:pStyle w:val="TableContents"/>
              <w:bidi w:val="0"/>
              <w:spacing w:before="0" w:after="0"/>
              <w:ind w:left="0" w:right="0" w:hanging="0"/>
              <w:jc w:val="both"/>
              <w:rPr/>
            </w:pPr>
            <w:hyperlink w:anchor="cp">
              <w:r>
                <w:rPr>
                  <w:rStyle w:val="InternetLink"/>
                  <w:rFonts w:ascii="Times New Roman" w:hAnsi="Times New Roman"/>
                  <w:caps w:val="false"/>
                  <w:smallCaps w:val="false"/>
                  <w:sz w:val="20"/>
                </w:rPr>
                <w:t>Controls and Procedures</w:t>
              </w:r>
            </w:hyperlink>
          </w:p>
        </w:tc>
        <w:tc>
          <w:tcPr>
            <w:tcW w:w="1048" w:type="dxa"/>
            <w:tcBorders/>
            <w:vAlign w:val="center"/>
          </w:tcPr>
          <w:p>
            <w:pPr>
              <w:pStyle w:val="TableContents"/>
              <w:bidi w:val="0"/>
              <w:spacing w:before="0" w:after="0"/>
              <w:ind w:left="0" w:right="0" w:hanging="0"/>
              <w:jc w:val="center"/>
              <w:rPr/>
            </w:pPr>
            <w:hyperlink w:anchor="cp">
              <w:r>
                <w:rPr>
                  <w:rStyle w:val="InternetLink"/>
                  <w:rFonts w:ascii="Times New Roman" w:hAnsi="Times New Roman"/>
                  <w:caps w:val="false"/>
                  <w:smallCaps w:val="false"/>
                  <w:sz w:val="20"/>
                </w:rPr>
                <w:t>39</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Part II</w:t>
            </w:r>
          </w:p>
        </w:tc>
        <w:tc>
          <w:tcPr>
            <w:tcW w:w="8282" w:type="dxa"/>
            <w:tcBorders/>
            <w:vAlign w:val="center"/>
          </w:tcPr>
          <w:p>
            <w:pPr>
              <w:pStyle w:val="TableContents"/>
              <w:bidi w:val="0"/>
              <w:spacing w:before="0" w:after="0"/>
              <w:ind w:left="0" w:right="0" w:hanging="0"/>
              <w:jc w:val="both"/>
              <w:rPr/>
            </w:pPr>
            <w:hyperlink w:anchor="part2">
              <w:r>
                <w:rPr>
                  <w:rStyle w:val="InternetLink"/>
                  <w:rFonts w:ascii="Times New Roman" w:hAnsi="Times New Roman"/>
                  <w:b/>
                  <w:caps w:val="false"/>
                  <w:smallCaps w:val="false"/>
                  <w:sz w:val="20"/>
                </w:rPr>
                <w:t>Other Information</w:t>
              </w:r>
            </w:hyperlink>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w:t>
            </w:r>
          </w:p>
        </w:tc>
        <w:tc>
          <w:tcPr>
            <w:tcW w:w="8282" w:type="dxa"/>
            <w:tcBorders/>
            <w:vAlign w:val="center"/>
          </w:tcPr>
          <w:p>
            <w:pPr>
              <w:pStyle w:val="TableContents"/>
              <w:bidi w:val="0"/>
              <w:spacing w:before="0" w:after="0"/>
              <w:ind w:left="0" w:right="0" w:hanging="0"/>
              <w:jc w:val="both"/>
              <w:rPr/>
            </w:pPr>
            <w:hyperlink w:anchor="lp">
              <w:r>
                <w:rPr>
                  <w:rStyle w:val="InternetLink"/>
                  <w:rFonts w:ascii="Times New Roman" w:hAnsi="Times New Roman"/>
                  <w:caps w:val="false"/>
                  <w:smallCaps w:val="false"/>
                  <w:sz w:val="20"/>
                </w:rPr>
                <w:t>Legal Proceedings</w:t>
              </w:r>
            </w:hyperlink>
          </w:p>
        </w:tc>
        <w:tc>
          <w:tcPr>
            <w:tcW w:w="1048" w:type="dxa"/>
            <w:tcBorders/>
            <w:vAlign w:val="center"/>
          </w:tcPr>
          <w:p>
            <w:pPr>
              <w:pStyle w:val="TableContents"/>
              <w:bidi w:val="0"/>
              <w:spacing w:before="0" w:after="0"/>
              <w:ind w:left="0" w:right="0" w:hanging="0"/>
              <w:jc w:val="center"/>
              <w:rPr/>
            </w:pPr>
            <w:hyperlink w:anchor="lp">
              <w:r>
                <w:rPr>
                  <w:rStyle w:val="InternetLink"/>
                  <w:rFonts w:ascii="Times New Roman" w:hAnsi="Times New Roman"/>
                  <w:caps w:val="false"/>
                  <w:smallCaps w:val="false"/>
                  <w:sz w:val="20"/>
                </w:rPr>
                <w:t>40</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1A.</w:t>
            </w:r>
          </w:p>
        </w:tc>
        <w:tc>
          <w:tcPr>
            <w:tcW w:w="8282" w:type="dxa"/>
            <w:tcBorders/>
            <w:vAlign w:val="center"/>
          </w:tcPr>
          <w:p>
            <w:pPr>
              <w:pStyle w:val="TableContents"/>
              <w:bidi w:val="0"/>
              <w:spacing w:before="0" w:after="0"/>
              <w:ind w:left="0" w:right="0" w:hanging="0"/>
              <w:jc w:val="both"/>
              <w:rPr/>
            </w:pPr>
            <w:hyperlink w:anchor="rf">
              <w:r>
                <w:rPr>
                  <w:rStyle w:val="InternetLink"/>
                  <w:rFonts w:ascii="Times New Roman" w:hAnsi="Times New Roman"/>
                  <w:caps w:val="false"/>
                  <w:smallCaps w:val="false"/>
                  <w:sz w:val="20"/>
                </w:rPr>
                <w:t>Risk Factors</w:t>
              </w:r>
            </w:hyperlink>
          </w:p>
        </w:tc>
        <w:tc>
          <w:tcPr>
            <w:tcW w:w="1048" w:type="dxa"/>
            <w:tcBorders/>
            <w:vAlign w:val="center"/>
          </w:tcPr>
          <w:p>
            <w:pPr>
              <w:pStyle w:val="TableContents"/>
              <w:bidi w:val="0"/>
              <w:spacing w:before="0" w:after="0"/>
              <w:ind w:left="0" w:right="0" w:hanging="0"/>
              <w:jc w:val="center"/>
              <w:rPr/>
            </w:pPr>
            <w:hyperlink w:anchor="rf">
              <w:r>
                <w:rPr>
                  <w:rStyle w:val="InternetLink"/>
                  <w:rFonts w:ascii="Times New Roman" w:hAnsi="Times New Roman"/>
                  <w:caps w:val="false"/>
                  <w:smallCaps w:val="false"/>
                  <w:sz w:val="20"/>
                </w:rPr>
                <w:t>40</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2.</w:t>
            </w:r>
          </w:p>
        </w:tc>
        <w:tc>
          <w:tcPr>
            <w:tcW w:w="8282" w:type="dxa"/>
            <w:tcBorders/>
            <w:vAlign w:val="center"/>
          </w:tcPr>
          <w:p>
            <w:pPr>
              <w:pStyle w:val="TableContents"/>
              <w:bidi w:val="0"/>
              <w:spacing w:before="0" w:after="0"/>
              <w:ind w:left="0" w:right="0" w:hanging="0"/>
              <w:jc w:val="both"/>
              <w:rPr/>
            </w:pPr>
            <w:hyperlink w:anchor="uses">
              <w:r>
                <w:rPr>
                  <w:rStyle w:val="InternetLink"/>
                  <w:rFonts w:ascii="Times New Roman" w:hAnsi="Times New Roman"/>
                  <w:caps w:val="false"/>
                  <w:smallCaps w:val="false"/>
                  <w:sz w:val="20"/>
                </w:rPr>
                <w:t>Unregistered Sales of Equity Securities and Use of Proceeds</w:t>
              </w:r>
            </w:hyperlink>
          </w:p>
        </w:tc>
        <w:tc>
          <w:tcPr>
            <w:tcW w:w="1048" w:type="dxa"/>
            <w:tcBorders/>
            <w:vAlign w:val="center"/>
          </w:tcPr>
          <w:p>
            <w:pPr>
              <w:pStyle w:val="TableContents"/>
              <w:bidi w:val="0"/>
              <w:spacing w:before="0" w:after="0"/>
              <w:ind w:left="0" w:right="0" w:hanging="0"/>
              <w:jc w:val="center"/>
              <w:rPr/>
            </w:pPr>
            <w:hyperlink w:anchor="uses">
              <w:r>
                <w:rPr>
                  <w:rStyle w:val="InternetLink"/>
                  <w:rFonts w:ascii="Times New Roman" w:hAnsi="Times New Roman"/>
                  <w:caps w:val="false"/>
                  <w:smallCaps w:val="false"/>
                  <w:sz w:val="20"/>
                </w:rPr>
                <w:t>40</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3.</w:t>
            </w:r>
          </w:p>
        </w:tc>
        <w:tc>
          <w:tcPr>
            <w:tcW w:w="8282" w:type="dxa"/>
            <w:tcBorders/>
            <w:vAlign w:val="center"/>
          </w:tcPr>
          <w:p>
            <w:pPr>
              <w:pStyle w:val="TableContents"/>
              <w:bidi w:val="0"/>
              <w:spacing w:before="0" w:after="0"/>
              <w:ind w:left="0" w:right="0" w:hanging="0"/>
              <w:jc w:val="both"/>
              <w:rPr/>
            </w:pPr>
            <w:hyperlink w:anchor="duss">
              <w:r>
                <w:rPr>
                  <w:rStyle w:val="InternetLink"/>
                  <w:rFonts w:ascii="Times New Roman" w:hAnsi="Times New Roman"/>
                  <w:caps w:val="false"/>
                  <w:smallCaps w:val="false"/>
                  <w:sz w:val="20"/>
                </w:rPr>
                <w:t>Defaults Upon Senior Securities</w:t>
              </w:r>
            </w:hyperlink>
          </w:p>
        </w:tc>
        <w:tc>
          <w:tcPr>
            <w:tcW w:w="1048" w:type="dxa"/>
            <w:tcBorders/>
            <w:vAlign w:val="center"/>
          </w:tcPr>
          <w:p>
            <w:pPr>
              <w:pStyle w:val="TableContents"/>
              <w:bidi w:val="0"/>
              <w:spacing w:before="0" w:after="0"/>
              <w:ind w:left="0" w:right="0" w:hanging="0"/>
              <w:jc w:val="center"/>
              <w:rPr/>
            </w:pPr>
            <w:hyperlink w:anchor="duss">
              <w:r>
                <w:rPr>
                  <w:rStyle w:val="InternetLink"/>
                  <w:rFonts w:ascii="Times New Roman" w:hAnsi="Times New Roman"/>
                  <w:caps w:val="false"/>
                  <w:smallCaps w:val="false"/>
                  <w:sz w:val="20"/>
                </w:rPr>
                <w:t>40</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4.</w:t>
            </w:r>
          </w:p>
        </w:tc>
        <w:tc>
          <w:tcPr>
            <w:tcW w:w="8282" w:type="dxa"/>
            <w:tcBorders/>
            <w:vAlign w:val="center"/>
          </w:tcPr>
          <w:p>
            <w:pPr>
              <w:pStyle w:val="TableContents"/>
              <w:bidi w:val="0"/>
              <w:spacing w:before="0" w:after="0"/>
              <w:ind w:left="0" w:right="0" w:hanging="0"/>
              <w:jc w:val="both"/>
              <w:rPr/>
            </w:pPr>
            <w:hyperlink w:anchor="msd">
              <w:r>
                <w:rPr>
                  <w:rStyle w:val="InternetLink"/>
                  <w:rFonts w:ascii="Times New Roman" w:hAnsi="Times New Roman"/>
                  <w:caps w:val="false"/>
                  <w:smallCaps w:val="false"/>
                  <w:sz w:val="20"/>
                </w:rPr>
                <w:t>Mine Safety Disclosures</w:t>
              </w:r>
            </w:hyperlink>
          </w:p>
        </w:tc>
        <w:tc>
          <w:tcPr>
            <w:tcW w:w="1048" w:type="dxa"/>
            <w:tcBorders/>
            <w:vAlign w:val="center"/>
          </w:tcPr>
          <w:p>
            <w:pPr>
              <w:pStyle w:val="TableContents"/>
              <w:bidi w:val="0"/>
              <w:spacing w:before="0" w:after="0"/>
              <w:ind w:left="0" w:right="0" w:hanging="0"/>
              <w:jc w:val="center"/>
              <w:rPr/>
            </w:pPr>
            <w:hyperlink w:anchor="msd">
              <w:r>
                <w:rPr>
                  <w:rStyle w:val="InternetLink"/>
                  <w:rFonts w:ascii="Times New Roman" w:hAnsi="Times New Roman"/>
                  <w:caps w:val="false"/>
                  <w:smallCaps w:val="false"/>
                  <w:sz w:val="20"/>
                </w:rPr>
                <w:t>41</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5.</w:t>
            </w:r>
          </w:p>
        </w:tc>
        <w:tc>
          <w:tcPr>
            <w:tcW w:w="8282" w:type="dxa"/>
            <w:tcBorders/>
            <w:vAlign w:val="center"/>
          </w:tcPr>
          <w:p>
            <w:pPr>
              <w:pStyle w:val="TableContents"/>
              <w:bidi w:val="0"/>
              <w:spacing w:before="0" w:after="0"/>
              <w:ind w:left="0" w:right="0" w:hanging="0"/>
              <w:jc w:val="both"/>
              <w:rPr/>
            </w:pPr>
            <w:hyperlink w:anchor="oi">
              <w:r>
                <w:rPr>
                  <w:rStyle w:val="InternetLink"/>
                  <w:rFonts w:ascii="Times New Roman" w:hAnsi="Times New Roman"/>
                  <w:caps w:val="false"/>
                  <w:smallCaps w:val="false"/>
                  <w:sz w:val="20"/>
                </w:rPr>
                <w:t>Other Information</w:t>
              </w:r>
            </w:hyperlink>
          </w:p>
        </w:tc>
        <w:tc>
          <w:tcPr>
            <w:tcW w:w="1048" w:type="dxa"/>
            <w:tcBorders/>
            <w:vAlign w:val="center"/>
          </w:tcPr>
          <w:p>
            <w:pPr>
              <w:pStyle w:val="TableContents"/>
              <w:bidi w:val="0"/>
              <w:spacing w:before="0" w:after="0"/>
              <w:ind w:left="0" w:right="0" w:hanging="0"/>
              <w:jc w:val="center"/>
              <w:rPr/>
            </w:pPr>
            <w:hyperlink w:anchor="oi">
              <w:r>
                <w:rPr>
                  <w:rStyle w:val="InternetLink"/>
                  <w:rFonts w:ascii="Times New Roman" w:hAnsi="Times New Roman"/>
                  <w:caps w:val="false"/>
                  <w:smallCaps w:val="false"/>
                  <w:sz w:val="20"/>
                </w:rPr>
                <w:t>41</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6.</w:t>
            </w:r>
          </w:p>
        </w:tc>
        <w:tc>
          <w:tcPr>
            <w:tcW w:w="8282" w:type="dxa"/>
            <w:tcBorders/>
            <w:vAlign w:val="center"/>
          </w:tcPr>
          <w:p>
            <w:pPr>
              <w:pStyle w:val="TableContents"/>
              <w:bidi w:val="0"/>
              <w:spacing w:before="0" w:after="0"/>
              <w:ind w:left="0" w:right="0" w:hanging="0"/>
              <w:jc w:val="both"/>
              <w:rPr/>
            </w:pPr>
            <w:hyperlink w:anchor="ex">
              <w:r>
                <w:rPr>
                  <w:rStyle w:val="InternetLink"/>
                  <w:rFonts w:ascii="Times New Roman" w:hAnsi="Times New Roman"/>
                  <w:caps w:val="false"/>
                  <w:smallCaps w:val="false"/>
                  <w:sz w:val="20"/>
                </w:rPr>
                <w:t>Exhibits</w:t>
              </w:r>
            </w:hyperlink>
          </w:p>
        </w:tc>
        <w:tc>
          <w:tcPr>
            <w:tcW w:w="1048" w:type="dxa"/>
            <w:tcBorders/>
            <w:vAlign w:val="center"/>
          </w:tcPr>
          <w:p>
            <w:pPr>
              <w:pStyle w:val="TableContents"/>
              <w:bidi w:val="0"/>
              <w:spacing w:before="0" w:after="0"/>
              <w:ind w:left="0" w:right="0" w:hanging="0"/>
              <w:jc w:val="center"/>
              <w:rPr/>
            </w:pPr>
            <w:hyperlink w:anchor="ex">
              <w:r>
                <w:rPr>
                  <w:rStyle w:val="InternetLink"/>
                  <w:rFonts w:ascii="Times New Roman" w:hAnsi="Times New Roman"/>
                  <w:caps w:val="false"/>
                  <w:smallCaps w:val="false"/>
                  <w:sz w:val="20"/>
                </w:rPr>
                <w:t>42</w:t>
              </w:r>
            </w:hyperlink>
          </w:p>
        </w:tc>
      </w:tr>
      <w:tr>
        <w:trPr/>
        <w:tc>
          <w:tcPr>
            <w:tcW w:w="875"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rPr>
                <w:t>Signatures</w:t>
              </w:r>
            </w:hyperlink>
          </w:p>
        </w:tc>
        <w:tc>
          <w:tcPr>
            <w:tcW w:w="828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0"/>
              <w:ind w:left="0" w:right="0" w:hanging="0"/>
              <w:jc w:val="center"/>
              <w:rPr/>
            </w:pPr>
            <w:hyperlink w:anchor="sigs">
              <w:r>
                <w:rPr>
                  <w:rStyle w:val="InternetLink"/>
                  <w:rFonts w:ascii="Times New Roman" w:hAnsi="Times New Roman"/>
                  <w:caps w:val="false"/>
                  <w:smallCaps w:val="false"/>
                  <w:sz w:val="20"/>
                </w:rPr>
                <w:t>43</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4625" w:type="dxa"/>
        <w:jc w:val="left"/>
        <w:tblInd w:w="0" w:type="dxa"/>
        <w:tblLayout w:type="fixed"/>
        <w:tblCellMar>
          <w:top w:w="0" w:type="dxa"/>
          <w:left w:w="0" w:type="dxa"/>
          <w:bottom w:w="0" w:type="dxa"/>
          <w:right w:w="0" w:type="dxa"/>
        </w:tblCellMar>
      </w:tblPr>
      <w:tblGrid>
        <w:gridCol w:w="4625"/>
      </w:tblGrid>
      <w:tr>
        <w:trPr/>
        <w:tc>
          <w:tcPr>
            <w:tcW w:w="46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3" w:name="bs"/>
            <w:bookmarkEnd w:id="3"/>
            <w:r>
              <w:rPr>
                <w:rFonts w:ascii="Times New Roman" w:hAnsi="Times New Roman"/>
                <w:b/>
                <w:caps w:val="false"/>
                <w:smallCaps w:val="false"/>
                <w:sz w:val="20"/>
              </w:rPr>
              <w:t>Item 1.</w:t>
            </w:r>
          </w:p>
        </w:tc>
      </w:tr>
      <w:tr>
        <w:trPr/>
        <w:tc>
          <w:tcPr>
            <w:tcW w:w="4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tc>
      </w:tr>
      <w:tr>
        <w:trPr/>
        <w:tc>
          <w:tcPr>
            <w:tcW w:w="4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tc>
      </w:tr>
      <w:tr>
        <w:trPr/>
        <w:tc>
          <w:tcPr>
            <w:tcW w:w="46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par value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856"/>
        <w:gridCol w:w="60"/>
        <w:gridCol w:w="127"/>
        <w:gridCol w:w="859"/>
        <w:gridCol w:w="80"/>
        <w:gridCol w:w="60"/>
        <w:gridCol w:w="139"/>
        <w:gridCol w:w="942"/>
        <w:gridCol w:w="82"/>
      </w:tblGrid>
      <w:tr>
        <w:trPr/>
        <w:tc>
          <w:tcPr>
            <w:tcW w:w="7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p>
        </w:tc>
        <w:tc>
          <w:tcPr>
            <w:tcW w:w="82" w:type="dxa"/>
            <w:tcBorders/>
            <w:vAlign w:val="center"/>
          </w:tcPr>
          <w:p>
            <w:pPr>
              <w:pStyle w:val="TableContents"/>
              <w:bidi w:val="0"/>
              <w:spacing w:before="0" w:after="283"/>
              <w:jc w:val="left"/>
              <w:rPr/>
            </w:pPr>
            <w:r>
              <w:rPr/>
              <w:t> </w:t>
            </w:r>
          </w:p>
        </w:tc>
      </w:tr>
      <w:tr>
        <w:trPr/>
        <w:tc>
          <w:tcPr>
            <w:tcW w:w="7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 *</w:t>
            </w:r>
          </w:p>
        </w:tc>
        <w:tc>
          <w:tcPr>
            <w:tcW w:w="82" w:type="dxa"/>
            <w:tcBorders/>
            <w:vAlign w:val="center"/>
          </w:tcPr>
          <w:p>
            <w:pPr>
              <w:pStyle w:val="TableContents"/>
              <w:bidi w:val="0"/>
              <w:spacing w:before="0" w:after="283"/>
              <w:jc w:val="left"/>
              <w:rPr/>
            </w:pPr>
            <w:r>
              <w:rPr/>
              <w:t> </w:t>
            </w:r>
          </w:p>
        </w:tc>
      </w:tr>
      <w:tr>
        <w:trPr/>
        <w:tc>
          <w:tcPr>
            <w:tcW w:w="78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left"/>
              <w:rPr/>
            </w:pPr>
            <w:r>
              <w:rPr/>
              <w:t> </w:t>
            </w:r>
          </w:p>
        </w:tc>
        <w:tc>
          <w:tcPr>
            <w:tcW w:w="98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227,053</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256,928</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108,754</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129,006</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24,356</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3,893</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749,990</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76,987</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280,253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283,027</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79,272</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24,435</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29,271</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1,235,037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1,242,982</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9,807</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40,708</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2,802</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22,463</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8,626</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warranty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4,179</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2,789</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16,460</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109,078</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285,026</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15,469</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income tax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3,975</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retirement benefits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5,472</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31,693</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6,730</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1,000 shares authorized, none issued</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 par value; 90,000 shares authorized, 50,166 shares issued and outstanding in 2026 and 49,875 shares in 2025</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49,875</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Paid-in capital</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681,353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681,509</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2,997 shares in 2026 and 3,030 shares in 2025</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(87,842</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174,467</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(32,470</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768,993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785,539</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1,235,037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1,242,982</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Derived from December 27, 2025, audited financial statements</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4" w:name="sop"/>
            <w:bookmarkEnd w:id="4"/>
            <w:r>
              <w:rPr>
                <w:rFonts w:ascii="Times New Roman" w:hAnsi="Times New Roman"/>
                <w:b/>
                <w:caps w:val="false"/>
                <w:smallCaps w:val="false"/>
                <w:sz w:val="20"/>
              </w:rPr>
              <w:t>COHU,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tc>
      </w:tr>
    </w:tbl>
    <w:p>
      <w:pPr>
        <w:pStyle w:val="TextBody"/>
        <w:bidi w:val="0"/>
        <w:spacing w:before="0" w:after="0"/>
        <w:ind w:left="0" w:right="0" w:hanging="0"/>
        <w:jc w:val="left"/>
        <w:rPr/>
      </w:pPr>
      <w:r>
        <w:rPr/>
        <w:t> </w:t>
      </w:r>
    </w:p>
    <w:tbl>
      <w:tblPr>
        <w:tblW w:w="6743" w:type="dxa"/>
        <w:jc w:val="left"/>
        <w:tblInd w:w="0" w:type="dxa"/>
        <w:tblLayout w:type="fixed"/>
        <w:tblCellMar>
          <w:top w:w="0" w:type="dxa"/>
          <w:left w:w="0" w:type="dxa"/>
          <w:bottom w:w="0" w:type="dxa"/>
          <w:right w:w="0" w:type="dxa"/>
        </w:tblCellMar>
      </w:tblPr>
      <w:tblGrid>
        <w:gridCol w:w="4775"/>
        <w:gridCol w:w="60"/>
        <w:gridCol w:w="128"/>
        <w:gridCol w:w="716"/>
        <w:gridCol w:w="80"/>
        <w:gridCol w:w="60"/>
        <w:gridCol w:w="128"/>
        <w:gridCol w:w="716"/>
        <w:gridCol w:w="8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96,797</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Cost of sales </w:t>
            </w:r>
            <w:r>
              <w:rPr>
                <w:rFonts w:ascii="Times New Roman;Times;serif" w:hAnsi="Times New Roman;Times;serif"/>
                <w:caps w:val="false"/>
                <w:smallCaps w:val="false"/>
                <w:sz w:val="16"/>
              </w:rPr>
              <w:t>(1)</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54,480</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23,152</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30,011</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6,628</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124,123</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loss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computing loss per share: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46,645</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46,645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7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Excludes amortization of purchased intangibles of $4,931 and $7,559 for the three months ended March 28, 2026, and March 29, 2025, respectively.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6830" w:type="dxa"/>
        <w:jc w:val="left"/>
        <w:tblInd w:w="0" w:type="dxa"/>
        <w:tblLayout w:type="fixed"/>
        <w:tblCellMar>
          <w:top w:w="0" w:type="dxa"/>
          <w:left w:w="0" w:type="dxa"/>
          <w:bottom w:w="0" w:type="dxa"/>
          <w:right w:w="0" w:type="dxa"/>
        </w:tblCellMar>
      </w:tblPr>
      <w:tblGrid>
        <w:gridCol w:w="6830"/>
      </w:tblGrid>
      <w:tr>
        <w:trPr/>
        <w:tc>
          <w:tcPr>
            <w:tcW w:w="6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5" w:name="cl"/>
            <w:bookmarkEnd w:id="5"/>
            <w:r>
              <w:rPr>
                <w:rFonts w:ascii="Times New Roman" w:hAnsi="Times New Roman"/>
                <w:b/>
                <w:caps w:val="false"/>
                <w:smallCaps w:val="false"/>
                <w:sz w:val="20"/>
              </w:rPr>
              <w:t>COHU, INC.</w:t>
            </w:r>
          </w:p>
        </w:tc>
      </w:tr>
      <w:tr>
        <w:trPr/>
        <w:tc>
          <w:tcPr>
            <w:tcW w:w="6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LOSS</w:t>
            </w:r>
          </w:p>
        </w:tc>
      </w:tr>
      <w:tr>
        <w:trPr/>
        <w:tc>
          <w:tcPr>
            <w:tcW w:w="6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6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r>
    </w:tbl>
    <w:p>
      <w:pPr>
        <w:pStyle w:val="TextBody"/>
        <w:bidi w:val="0"/>
        <w:spacing w:before="0" w:after="0"/>
        <w:ind w:left="0" w:right="0" w:hanging="0"/>
        <w:jc w:val="left"/>
        <w:rPr/>
      </w:pPr>
      <w:r>
        <w:rPr/>
        <w:t> </w:t>
      </w:r>
    </w:p>
    <w:tbl>
      <w:tblPr>
        <w:tblW w:w="5785" w:type="dxa"/>
        <w:jc w:val="left"/>
        <w:tblInd w:w="0" w:type="dxa"/>
        <w:tblLayout w:type="fixed"/>
        <w:tblCellMar>
          <w:top w:w="0" w:type="dxa"/>
          <w:left w:w="0" w:type="dxa"/>
          <w:bottom w:w="0" w:type="dxa"/>
          <w:right w:w="0" w:type="dxa"/>
        </w:tblCellMar>
      </w:tblPr>
      <w:tblGrid>
        <w:gridCol w:w="3815"/>
        <w:gridCol w:w="60"/>
        <w:gridCol w:w="135"/>
        <w:gridCol w:w="709"/>
        <w:gridCol w:w="81"/>
        <w:gridCol w:w="61"/>
        <w:gridCol w:w="135"/>
        <w:gridCol w:w="709"/>
        <w:gridCol w:w="8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(5,091</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6,399</w:t>
            </w:r>
          </w:p>
        </w:tc>
        <w:tc>
          <w:tcPr>
            <w:tcW w:w="8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unrealized gain/loss on investments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(17,658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7055" w:type="dxa"/>
        <w:jc w:val="left"/>
        <w:tblInd w:w="0" w:type="dxa"/>
        <w:tblLayout w:type="fixed"/>
        <w:tblCellMar>
          <w:top w:w="0" w:type="dxa"/>
          <w:left w:w="0" w:type="dxa"/>
          <w:bottom w:w="0" w:type="dxa"/>
          <w:right w:w="0" w:type="dxa"/>
        </w:tblCellMar>
      </w:tblPr>
      <w:tblGrid>
        <w:gridCol w:w="7055"/>
      </w:tblGrid>
      <w:tr>
        <w:trPr/>
        <w:tc>
          <w:tcPr>
            <w:tcW w:w="70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6" w:name="es"/>
            <w:bookmarkEnd w:id="6"/>
            <w:r>
              <w:rPr>
                <w:rFonts w:ascii="Times New Roman" w:hAnsi="Times New Roman"/>
                <w:b/>
                <w:caps w:val="false"/>
                <w:smallCaps w:val="false"/>
                <w:sz w:val="20"/>
              </w:rPr>
              <w:t>COHU, INC.</w:t>
            </w:r>
          </w:p>
        </w:tc>
      </w:tr>
      <w:tr>
        <w:trPr/>
        <w:tc>
          <w:tcPr>
            <w:tcW w:w="70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w:t>
            </w:r>
          </w:p>
        </w:tc>
      </w:tr>
      <w:tr>
        <w:trPr/>
        <w:tc>
          <w:tcPr>
            <w:tcW w:w="705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par value and per share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37"/>
        <w:gridCol w:w="60"/>
        <w:gridCol w:w="163"/>
        <w:gridCol w:w="778"/>
        <w:gridCol w:w="80"/>
        <w:gridCol w:w="60"/>
        <w:gridCol w:w="125"/>
        <w:gridCol w:w="695"/>
        <w:gridCol w:w="80"/>
        <w:gridCol w:w="60"/>
        <w:gridCol w:w="125"/>
        <w:gridCol w:w="695"/>
        <w:gridCol w:w="80"/>
        <w:gridCol w:w="60"/>
        <w:gridCol w:w="201"/>
        <w:gridCol w:w="1049"/>
        <w:gridCol w:w="80"/>
        <w:gridCol w:w="60"/>
        <w:gridCol w:w="125"/>
        <w:gridCol w:w="650"/>
        <w:gridCol w:w="80"/>
        <w:gridCol w:w="60"/>
        <w:gridCol w:w="125"/>
        <w:gridCol w:w="695"/>
        <w:gridCol w:w="82"/>
      </w:tblGrid>
      <w:tr>
        <w:trPr/>
        <w:tc>
          <w:tcPr>
            <w:tcW w:w="39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39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39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3937" w:type="dxa"/>
            <w:tcBorders>
              <w:bottom w:val="single" w:sz="2" w:space="0" w:color="000000"/>
            </w:tcBorders>
            <w:tcMar>
              <w:bottom w:w="28" w:type="dxa"/>
            </w:tcM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29, 2025</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 par value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2" w:type="dxa"/>
            <w:tcBorders/>
            <w:vAlign w:val="center"/>
          </w:tcPr>
          <w:p>
            <w:pPr>
              <w:pStyle w:val="TableContents"/>
              <w:bidi w:val="0"/>
              <w:spacing w:before="0" w:after="283"/>
              <w:jc w:val="left"/>
              <w:rPr/>
            </w:pPr>
            <w:r>
              <w:rPr/>
              <w:t> </w:t>
            </w:r>
          </w:p>
        </w:tc>
      </w:tr>
      <w:tr>
        <w:trPr/>
        <w:tc>
          <w:tcPr>
            <w:tcW w:w="39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856,891</w:t>
            </w:r>
          </w:p>
        </w:tc>
        <w:tc>
          <w:tcPr>
            <w:tcW w:w="82" w:type="dxa"/>
            <w:tcBorders/>
            <w:shd w:fill="CCEEFF" w:val="clear"/>
            <w:vAlign w:val="center"/>
          </w:tcPr>
          <w:p>
            <w:pPr>
              <w:pStyle w:val="TableContents"/>
              <w:bidi w:val="0"/>
              <w:spacing w:before="0" w:after="283"/>
              <w:jc w:val="left"/>
              <w:rPr/>
            </w:pPr>
            <w:r>
              <w:rPr/>
              <w:t> </w:t>
            </w:r>
          </w:p>
        </w:tc>
      </w:tr>
      <w:tr>
        <w:trPr/>
        <w:tc>
          <w:tcPr>
            <w:tcW w:w="39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cumulative translation adjustment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6,399</w:t>
            </w:r>
          </w:p>
        </w:tc>
        <w:tc>
          <w:tcPr>
            <w:tcW w:w="82" w:type="dxa"/>
            <w:tcBorders/>
            <w:shd w:fill="CCEEFF" w:val="clear"/>
            <w:vAlign w:val="center"/>
          </w:tcPr>
          <w:p>
            <w:pPr>
              <w:pStyle w:val="TableContents"/>
              <w:bidi w:val="0"/>
              <w:spacing w:before="0" w:after="283"/>
              <w:jc w:val="left"/>
              <w:rPr/>
            </w:pPr>
            <w:r>
              <w:rPr/>
              <w:t> </w:t>
            </w:r>
          </w:p>
        </w:tc>
      </w:tr>
      <w:tr>
        <w:trPr/>
        <w:tc>
          <w:tcPr>
            <w:tcW w:w="393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 net of tax</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unrealized gains and losses on investments, net of tax</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2" w:type="dxa"/>
            <w:tcBorders/>
            <w:shd w:fill="CCEEFF" w:val="clear"/>
            <w:vAlign w:val="center"/>
          </w:tcPr>
          <w:p>
            <w:pPr>
              <w:pStyle w:val="TableContents"/>
              <w:bidi w:val="0"/>
              <w:spacing w:before="0" w:after="283"/>
              <w:jc w:val="left"/>
              <w:rPr/>
            </w:pPr>
            <w:r>
              <w:rPr/>
              <w:t> </w:t>
            </w:r>
          </w:p>
        </w:tc>
      </w:tr>
      <w:tr>
        <w:trPr/>
        <w:tc>
          <w:tcPr>
            <w:tcW w:w="393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restricted stock units vested</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393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and retirement of stock</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bottom w:val="single" w:sz="2" w:space="0" w:color="000000"/>
            </w:tcBorders>
            <w:shd w:fill="CCEEFF" w:val="clear"/>
            <w:tcMar>
              <w:bottom w:w="28"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p>
        </w:tc>
        <w:tc>
          <w:tcPr>
            <w:tcW w:w="82" w:type="dxa"/>
            <w:tcBorders/>
            <w:shd w:fill="CCEEFF" w:val="clear"/>
            <w:vAlign w:val="center"/>
          </w:tcPr>
          <w:p>
            <w:pPr>
              <w:pStyle w:val="TableContents"/>
              <w:bidi w:val="0"/>
              <w:spacing w:before="0" w:after="283"/>
              <w:jc w:val="left"/>
              <w:rPr/>
            </w:pPr>
            <w:r>
              <w:rPr/>
              <w:t> </w:t>
            </w:r>
          </w:p>
        </w:tc>
      </w:tr>
      <w:tr>
        <w:trPr/>
        <w:tc>
          <w:tcPr>
            <w:tcW w:w="3937" w:type="dxa"/>
            <w:tcBorders>
              <w:bottom w:val="double" w:sz="6" w:space="0" w:color="000000"/>
            </w:tcBorders>
            <w:shd w:fill="FFFFFF" w:val="clear"/>
            <w:tcMar>
              <w:bottom w:w="28"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29, 2025</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694,994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827,717</w:t>
            </w:r>
          </w:p>
        </w:tc>
        <w:tc>
          <w:tcPr>
            <w:tcW w:w="82" w:type="dxa"/>
            <w:tcBorders/>
            <w:shd w:fill="FFFFFF" w:val="clear"/>
            <w:vAlign w:val="center"/>
          </w:tcPr>
          <w:p>
            <w:pPr>
              <w:pStyle w:val="TableContents"/>
              <w:bidi w:val="0"/>
              <w:spacing w:before="0" w:after="283"/>
              <w:jc w:val="left"/>
              <w:rPr/>
            </w:pPr>
            <w:r>
              <w:rPr/>
              <w:t> </w:t>
            </w:r>
          </w:p>
        </w:tc>
      </w:tr>
      <w:tr>
        <w:trPr/>
        <w:tc>
          <w:tcPr>
            <w:tcW w:w="3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937" w:type="dxa"/>
            <w:tcBorders>
              <w:bottom w:val="single" w:sz="2" w:space="0" w:color="000000"/>
            </w:tcBorders>
            <w:shd w:fill="FFFFFF" w:val="clear"/>
            <w:tcMar>
              <w:bottom w:w="28" w:type="dxa"/>
            </w:tcM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28,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937"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27, 2025</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785,539</w:t>
            </w:r>
          </w:p>
        </w:tc>
        <w:tc>
          <w:tcPr>
            <w:tcW w:w="82" w:type="dxa"/>
            <w:tcBorders/>
            <w:shd w:fill="CCEEFF" w:val="clear"/>
            <w:vAlign w:val="center"/>
          </w:tcPr>
          <w:p>
            <w:pPr>
              <w:pStyle w:val="TableContents"/>
              <w:bidi w:val="0"/>
              <w:spacing w:before="0" w:after="283"/>
              <w:jc w:val="left"/>
              <w:rPr/>
            </w:pPr>
            <w:r>
              <w:rPr/>
              <w:t> </w:t>
            </w:r>
          </w:p>
        </w:tc>
      </w:tr>
      <w:tr>
        <w:trPr/>
        <w:tc>
          <w:tcPr>
            <w:tcW w:w="39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(12,068</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cumulative translation adjustment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(5,091</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 net of tax</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2" w:type="dxa"/>
            <w:tcBorders/>
            <w:shd w:fill="FFFFFF" w:val="clear"/>
            <w:vAlign w:val="center"/>
          </w:tcPr>
          <w:p>
            <w:pPr>
              <w:pStyle w:val="TableContents"/>
              <w:bidi w:val="0"/>
              <w:spacing w:before="0" w:after="283"/>
              <w:jc w:val="left"/>
              <w:rPr/>
            </w:pPr>
            <w:r>
              <w:rPr/>
              <w:t> </w:t>
            </w:r>
          </w:p>
        </w:tc>
      </w:tr>
      <w:tr>
        <w:trPr/>
        <w:tc>
          <w:tcPr>
            <w:tcW w:w="393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unrealized gains and losses on investments, net of tax</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restricted stock units vested</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393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and retirement of stock</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(5,164</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7" w:type="dxa"/>
            <w:tcBorders>
              <w:bottom w:val="single" w:sz="2" w:space="0" w:color="000000"/>
            </w:tcBorders>
            <w:shd w:fill="FFFFFF" w:val="clear"/>
            <w:tcMar>
              <w:bottom w:w="28"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w:t>
            </w:r>
          </w:p>
        </w:tc>
        <w:tc>
          <w:tcPr>
            <w:tcW w:w="82" w:type="dxa"/>
            <w:tcBorders/>
            <w:shd w:fill="FFFFFF" w:val="clear"/>
            <w:vAlign w:val="center"/>
          </w:tcPr>
          <w:p>
            <w:pPr>
              <w:pStyle w:val="TableContents"/>
              <w:bidi w:val="0"/>
              <w:spacing w:before="0" w:after="283"/>
              <w:jc w:val="left"/>
              <w:rPr/>
            </w:pPr>
            <w:r>
              <w:rPr/>
              <w:t> </w:t>
            </w:r>
          </w:p>
        </w:tc>
      </w:tr>
      <w:tr>
        <w:trPr/>
        <w:tc>
          <w:tcPr>
            <w:tcW w:w="3937" w:type="dxa"/>
            <w:tcBorders>
              <w:bottom w:val="double" w:sz="6" w:space="0" w:color="000000"/>
            </w:tcBorders>
            <w:shd w:fill="CCEEFF" w:val="clear"/>
            <w:tcMar>
              <w:bottom w:w="28"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28, 2026</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681,353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162,399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(38,060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(86,865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768,993</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7" w:name="cf"/>
            <w:bookmarkEnd w:id="7"/>
            <w:r>
              <w:rPr>
                <w:rFonts w:ascii="Times New Roman" w:hAnsi="Times New Roman"/>
                <w:b/>
                <w:caps w:val="false"/>
                <w:smallCaps w:val="false"/>
                <w:sz w:val="20"/>
              </w:rPr>
              <w:t>COHU,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r>
    </w:tbl>
    <w:p>
      <w:pPr>
        <w:pStyle w:val="TextBody"/>
        <w:bidi w:val="0"/>
        <w:spacing w:before="0" w:after="0"/>
        <w:ind w:left="0" w:right="0" w:hanging="0"/>
        <w:jc w:val="left"/>
        <w:rPr/>
      </w:pPr>
      <w:r>
        <w:rPr/>
        <w:t> </w:t>
      </w:r>
    </w:p>
    <w:tbl>
      <w:tblPr>
        <w:tblW w:w="9053" w:type="dxa"/>
        <w:jc w:val="left"/>
        <w:tblInd w:w="0" w:type="dxa"/>
        <w:tblLayout w:type="fixed"/>
        <w:tblCellMar>
          <w:top w:w="0" w:type="dxa"/>
          <w:left w:w="0" w:type="dxa"/>
          <w:bottom w:w="0" w:type="dxa"/>
          <w:right w:w="0" w:type="dxa"/>
        </w:tblCellMar>
      </w:tblPr>
      <w:tblGrid>
        <w:gridCol w:w="7085"/>
        <w:gridCol w:w="60"/>
        <w:gridCol w:w="128"/>
        <w:gridCol w:w="716"/>
        <w:gridCol w:w="80"/>
        <w:gridCol w:w="60"/>
        <w:gridCol w:w="128"/>
        <w:gridCol w:w="716"/>
        <w:gridCol w:w="80"/>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accretion on investments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13,084</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inventory related charges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accrued retiree medical benefits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accrued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assets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cloud-based software implementation costs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to market adjustment to contingent consideration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discounts and issuance costs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excluding effects from acquisitions: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warranty and other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and 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 excluding effects from acquisitions: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short-term investments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maturities of short-term investments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23,902</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of net investment hedge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4,888</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received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purchase of Tignis, net of cash received</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current and long-term finance lease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 net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revolving line of credit and revolving credit facility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8,730</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long-term debt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treasury stock</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206,407</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151,876</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6,466</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capitalized as property, plant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purchases included in 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0"/>
        <w:ind w:left="560" w:right="0" w:hanging="560"/>
        <w:jc w:val="both"/>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notes"/>
      <w:bookmarkEnd w:id="8"/>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28, 2026</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w:t>
            </w:r>
          </w:p>
        </w:tc>
        <w:tc>
          <w:tcPr>
            <w:tcW w:w="37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fiscal years are based on a 52- or 53-week period ending on the last Saturday in December. The condensed consolidated balance sheet at December 27, 2025, has been derived from our audited financial statements at that date. The interim condensed consolidated financial statements as of March 28, 2026, (also referred to as “the first quarter of fiscal 2026” and “the first three months of fiscal 2026”) and March 29, 2025, (also referred to as “the first quarter of fiscal 2025” and “the first three months of fiscal 2025”) are unaudited. However, in management’s opinion, these financial statements reflect all adjustments (consisting only of normal, recurring items) necessary to provide a fair presentation of our financial position, results of operations and cash flows for the periods presented. The first quarter of fiscal 2026 and 2025 were both comprised of 13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interim results are not necessarily indicative of the results that should be expected for the full year. The condensed consolidated financial statements presented herein reflect estimates and assumptions made by management at March 28, 2026 and for the three-month period ended March 28, 2026. For a better understanding of Cohu, Inc. and our financial statements, we recommend reading these interim condensed consolidated financial statements in conjunction with our audited financial statements for the year ended December 27, 2025, which are included in our 2025 Annual Report on Form 10-K, filed with the U.S. Securities and Exchange Commission (“SEC”). In the following notes to our interim condensed consolidated financial statements, Cohu, Inc., is referred to as “Cohu”, the “Company”, “we”, “our”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All significant intercompany transactions and balances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trade accounts receivable are presented net of an allowance for credit losses, which is determined in accordance with the guidance provided by Accounting Standards Codification (“ASC”) Topic 326, </w:t>
      </w:r>
      <w:r>
        <w:rPr>
          <w:rFonts w:ascii="Times New Roman" w:hAnsi="Times New Roman"/>
          <w:i/>
          <w:caps w:val="false"/>
          <w:smallCaps w:val="false"/>
          <w:sz w:val="20"/>
        </w:rPr>
        <w:t xml:space="preserve">Financial Instruments-Credit Losses </w:t>
      </w:r>
      <w:r>
        <w:rPr>
          <w:rFonts w:ascii="Times New Roman" w:hAnsi="Times New Roman"/>
          <w:caps w:val="false"/>
          <w:smallCaps w:val="false"/>
          <w:sz w:val="20"/>
        </w:rPr>
        <w:t>(“ASC 326”). At March 28, 2026, and December 27, 2025, our allowance for credit losses was $0.5 million, and $0.1 million, respectively. Our customers include semiconductor manufacturers and semiconductor test subcontractors and other customers located throughout many areas of the world. While we believe that our allowance for credit losses is adequate and represents our best estimate at March 28, 2026, we will continue to monitor customer liquidity and other economic conditions, which may result in changes to our estimates regarding expected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Inventories are stated at the lower of cost, determined on a first-in, first-out basis, or net realizable value. Cost includes labor, material and overhead costs. Determining the net realizable value of inventories involves numerous estimates and judgments including projecting average selling prices and sales volumes for future periods. As a result of these analyses, we record a charge to cost of sales in advance of the period when the inventory is sold when estimated market values are below our costs.</w:t>
      </w:r>
    </w:p>
    <w:p>
      <w:pPr>
        <w:pStyle w:val="TextBody"/>
        <w:bidi w:val="0"/>
        <w:spacing w:before="0" w:after="283"/>
        <w:jc w:val="left"/>
        <w:rPr/>
      </w:pPr>
      <w:r>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Inventories by category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23" w:type="dxa"/>
        <w:jc w:val="left"/>
        <w:tblInd w:w="0" w:type="dxa"/>
        <w:tblLayout w:type="fixed"/>
        <w:tblCellMar>
          <w:top w:w="0" w:type="dxa"/>
          <w:left w:w="0" w:type="dxa"/>
          <w:bottom w:w="0" w:type="dxa"/>
          <w:right w:w="0" w:type="dxa"/>
        </w:tblCellMar>
      </w:tblPr>
      <w:tblGrid>
        <w:gridCol w:w="2810"/>
        <w:gridCol w:w="60"/>
        <w:gridCol w:w="128"/>
        <w:gridCol w:w="716"/>
        <w:gridCol w:w="60"/>
        <w:gridCol w:w="60"/>
        <w:gridCol w:w="171"/>
        <w:gridCol w:w="958"/>
        <w:gridCol w:w="6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 and purchased parts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84,797</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23,388</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20,821</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129,006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20"/>
        <w:jc w:val="both"/>
        <w:rPr>
          <w:rFonts w:ascii="Times New Roman" w:hAnsi="Times New Roman"/>
          <w:b/>
          <w:caps w:val="false"/>
          <w:smallCaps w:val="false"/>
          <w:sz w:val="20"/>
        </w:rPr>
      </w:pPr>
      <w:r>
        <w:rPr>
          <w:rFonts w:ascii="Times New Roman" w:hAnsi="Times New Roman"/>
          <w:b/>
          <w:caps w:val="false"/>
          <w:smallCaps w:val="false"/>
          <w:sz w:val="20"/>
        </w:rPr>
        <w:t>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of property, plant and equipment, both owned and under financing lease, is calculated principally on the straight</w:t>
        <w:noBreakHyphen/>
        <w:t xml:space="preserve">line method based on estimated useful lives of thirty to forty years for buildings, five to fifteen years for building improvements, three to ten years for machinery, equipment and software, and the lease life for financing leases. Land is not depreciated. Property, plant and equipment, at cost, consisted of the following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203" w:type="dxa"/>
        <w:jc w:val="left"/>
        <w:tblInd w:w="0" w:type="dxa"/>
        <w:tblLayout w:type="fixed"/>
        <w:tblCellMar>
          <w:top w:w="0" w:type="dxa"/>
          <w:left w:w="0" w:type="dxa"/>
          <w:bottom w:w="0" w:type="dxa"/>
          <w:right w:w="0" w:type="dxa"/>
        </w:tblCellMar>
      </w:tblPr>
      <w:tblGrid>
        <w:gridCol w:w="3950"/>
        <w:gridCol w:w="60"/>
        <w:gridCol w:w="128"/>
        <w:gridCol w:w="716"/>
        <w:gridCol w:w="80"/>
        <w:gridCol w:w="60"/>
        <w:gridCol w:w="171"/>
        <w:gridCol w:w="958"/>
        <w:gridCol w:w="8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and 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12,364</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building improvements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49,469</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103,273</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165,106</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76,987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Cloud-based Enterprise Resource Planning Implementation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capitalized certain costs associated with the implementation of our cloud-based Enterprise Resource Planning (“ERP”) system in accordance with ASC Topic 350,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 xml:space="preserve">Goodwill and Other </w:t>
      </w:r>
      <w:r>
        <w:rPr>
          <w:rFonts w:ascii="Times New Roman" w:hAnsi="Times New Roman"/>
          <w:caps w:val="false"/>
          <w:smallCaps w:val="false"/>
          <w:sz w:val="20"/>
        </w:rPr>
        <w:t>(“ASC 350”). Capitalized costs include only external direct costs of materials and services consumed in developing the system and interest costs incurred, when material, while developing the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unamortized capitalized cloud computing implementation costs totaled $6.3 million and $7.0 million at March 28, 2026, and December 27, 2025, respectively. These amounts are recorded in other assets in our condensed consolidated balance sheets. Implementation costs are amortized using the straight-line method over seven years and we recorded $0.7 million in amortization expense during both the three months ended March 28, 2026, and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apply the provisions of ASC Topic 280, </w:t>
      </w:r>
      <w:r>
        <w:rPr>
          <w:rFonts w:ascii="Times New Roman" w:hAnsi="Times New Roman"/>
          <w:i/>
          <w:caps w:val="false"/>
          <w:smallCaps w:val="false"/>
          <w:sz w:val="20"/>
        </w:rPr>
        <w:t>Segment Reporting</w:t>
      </w:r>
      <w:r>
        <w:rPr>
          <w:rFonts w:ascii="Times New Roman" w:hAnsi="Times New Roman"/>
          <w:caps w:val="false"/>
          <w:smallCaps w:val="false"/>
          <w:sz w:val="20"/>
        </w:rPr>
        <w:t xml:space="preserve">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Under ASC 280, an operating segment is defined as a component that engages in business activities whose operating results are reviewed by the Chief Operating Decision Maker (“CODM”) and for which discrete financial information is available. We have determined that our three identified operating segments are: Test Handler (“TH”), Semiconductor Tester (“ST”) and Interface Solutions (“IS”). Our TH, ST and IS operating segments qualify for aggregation under ASC 280 due to similarities in their customers, their economic characteristics, and the nature of products and services provided. As a result, we report in one segment, Semiconductor Test and Inspection Equipment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Goodwill, Intangible Assets and Other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evaluate goodwill for impairment annually and whenever events or changes in circumstances indicate that the carrying value may not be recoverable. Goodwill impairment testing is performed at the reporting unit level by comparing the estimated fair value of the reporting unit to its carrying value, including goodwill. If the carrying value exceeds fair value, an impairment charge is recognized for the amount by which the carrying value exceeds the fair value, limited to the carrying amount of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estimate the fair values of our reporting units using a weighting of the income and market approaches. Under the income approach, we use a discounted cash flow methodology, which requires significant judgment and estimates related to, among other things, forecasted revenues, gross profit margins, operating income margins, working capital cash flows, perpetual growth rates, and long</w:t>
        <w:noBreakHyphen/>
        <w:t>term discount rates. The market approach utilizes the guideline public company method, under which valuation multiples derived from comparable publicly traded companies with similar operating and investment characteristics are applied to the reporting unit’s operating performance metrics. The indicated values derived from the income and market approaches are equally weighted to determine the estimated fair value of each reporting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Forecasts of future cash flows are based on management’s best estimates of future net sales and operating expenses, taking into account customer forecasts, industry trade organization data, and general economic and market conditions. Fair value measurements are inherently subjective and sensitive to changes in assumptions. Adverse changes in forecasted results, discount rates, long</w:t>
        <w:noBreakHyphen/>
        <w:t>term growth assumptions, macroeconomic conditions, customer demand, competitive dynamics, or other factors could result in a reduction in the estimated fair value of one or more reporting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performed our annual goodwill impairment test as of October 1, 2025, and determined that the estimated fair values of our reporting units exceeded their respective carrying values. As disclosed in our Annual Report on Form 10</w:t>
        <w:noBreakHyphen/>
        <w:t>K for fiscal 2025, our IS reporting unit had less excess fair value over carrying value relative to our other reporting units as of the annual assessment date. Goodwill associated with the IS reporting unit represented approximately 39% of total goodwill as of the annual assessment date. Based on our analysis, including all relevant qualitative and quantitative factors, we concluded that no impairment existed as of the annual assessment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Goodwill is also required to be evaluated for impairment between annual testing dates if indicators of impairment arise. Based on our evaluation of events, including operating results and market conditions through March 28, 2026, we determined that no such triggering events had occurred. If circumstances change and an interim impairment assessment is required, it could result in a non</w:t>
        <w:noBreakHyphen/>
        <w:t>cash impairment charge, which could be material and would adversely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three months of fiscal 2026 and 2025, no events or conditions occurred suggesting an impairment in our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Product warranty costs are accrued in the period sales are recognized. Our products are generally sold with standard warranty periods, which differ by product, ranging from 12 to 36 months. Parts and labor are typically covered under the terms of the warranty agreement. Our warranty expense accruals are based on historical and estimated costs by product and configuration. From time to time we offer customers extended warranties beyond the standard warranty period. In those situations, the revenue relating to the extended warranty is deferred at its estimated relative standalone selling price and recognized on a straight-line basis over the contract period. Costs associated with our extended warranty contracts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Restructuring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record restructuring activities including costs for one-time termination benefits in accordance with ASC Topic 420, </w:t>
      </w:r>
      <w:r>
        <w:rPr>
          <w:rFonts w:ascii="Times New Roman" w:hAnsi="Times New Roman"/>
          <w:i/>
          <w:caps w:val="false"/>
          <w:smallCaps w:val="false"/>
          <w:sz w:val="20"/>
        </w:rPr>
        <w:t>Exit or Disposal Cost Obligations</w:t>
      </w:r>
      <w:r>
        <w:rPr>
          <w:rFonts w:ascii="Times New Roman" w:hAnsi="Times New Roman"/>
          <w:caps w:val="false"/>
          <w:smallCaps w:val="false"/>
          <w:sz w:val="20"/>
        </w:rPr>
        <w:t xml:space="preserve"> (“ASC 420”)</w:t>
      </w:r>
      <w:r>
        <w:rPr>
          <w:rFonts w:ascii="Times New Roman" w:hAnsi="Times New Roman"/>
          <w:i/>
          <w:caps w:val="false"/>
          <w:smallCaps w:val="false"/>
          <w:sz w:val="20"/>
        </w:rPr>
        <w:t>.</w:t>
      </w:r>
      <w:r>
        <w:rPr>
          <w:rFonts w:ascii="Times New Roman" w:hAnsi="Times New Roman"/>
          <w:caps w:val="false"/>
          <w:smallCaps w:val="false"/>
          <w:sz w:val="20"/>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Times New Roman" w:hAnsi="Times New Roman"/>
          <w:i/>
          <w:caps w:val="false"/>
          <w:smallCaps w:val="false"/>
          <w:sz w:val="20"/>
        </w:rPr>
        <w:t>Nonretirement Postemployment Benefits</w:t>
      </w:r>
      <w:r>
        <w:rPr>
          <w:rFonts w:ascii="Times New Roman" w:hAnsi="Times New Roman"/>
          <w:caps w:val="false"/>
          <w:smallCaps w:val="false"/>
          <w:sz w:val="20"/>
        </w:rPr>
        <w:t>. These costs are recognized when management has committed to a restructuring plan and the severance costs are probable and estimable. See Note 4, “Restructuring Charges”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Debt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defer costs related to the issuance of debt. Debt issuance costs directly related to our Convertible Notes (the “Notes”) presented within noncurrent liabilities as a reduction of long-term debt in our consolidated balance sheets. The amortization of such costs is recognized as interest expense using the effective interest method over the term of the respective debt issue. Amortization related to deferred debt issuance costs and original discount costs was $0.4 million for the three months ended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Foreign Remeasurement and Currency Translation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Assets and liabilities of our wholly owned foreign subsidiaries that use the U.S. Dollar as 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three months ended March 28, 2026, we recognized foreign exchange losses, net of the impact of foreign exchange derivative contracts, of $0.1 million, in our condensed consolidated statements of operations. During the three months ended March 29, 2025, we recognized foreign exchange losses, net of the impact of foreign exchange derivative contracts, of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foreign currency translation adjustments resulting from the translation of the financial statements are included as a separate component of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Foreign Exchange Derivative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operate and sell our products in various global markets. As a result, we are exposed to changes in foreign currency exchange rates. To minimize foreign exchange volatility, we enter into foreign currency forward contracts with a financial institution to hedge against future movements in foreign exchange rates. We do not use derivative financial instruments for speculative or trading purposes. The accounting for changes in the fair value of our derivatives depends on the intended use of the derivative and whether we have elected to designate a derivative as a hedging relationship and apply hedge accounting. All derivative instruments are recognized at fair value on our condensed consolidated balance sheets and all changes in fair value are recognized in net earnings or in the condensed consolidated statements of stockholders’ equity through accumulated other comprehensive loss (AOCL).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For contracts that qualify for hedge accounting treatment, the hedge contracts must be effective at reducing the risk associated with the exposure being hedged and must be designated as a hedge at the inception of the contract. Hedge effectiveness is assessed periodically. For accounting purposes, certain of our foreign currency forward contracts are not designated as hedging instruments and, accordingly, we record the fair value of these contracts as of the end of our reporting period in our condensed consolidated balance sheets with changes in fair value recorded within foreign transaction gain (loss) in our condensed consolidated statements of operations for both realized and unrealized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See Note 7, “Derivative Financial Instruments”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measure and recognize all share-based compensation under the fair value method. Reported share-based compensation is classified in the condensed consolidated interim financial statements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973" w:type="dxa"/>
        <w:jc w:val="left"/>
        <w:tblInd w:w="0" w:type="dxa"/>
        <w:tblLayout w:type="fixed"/>
        <w:tblCellMar>
          <w:top w:w="0" w:type="dxa"/>
          <w:left w:w="0" w:type="dxa"/>
          <w:bottom w:w="0" w:type="dxa"/>
          <w:right w:w="0" w:type="dxa"/>
        </w:tblCellMar>
      </w:tblPr>
      <w:tblGrid>
        <w:gridCol w:w="2975"/>
        <w:gridCol w:w="60"/>
        <w:gridCol w:w="173"/>
        <w:gridCol w:w="671"/>
        <w:gridCol w:w="97"/>
        <w:gridCol w:w="73"/>
        <w:gridCol w:w="157"/>
        <w:gridCol w:w="687"/>
        <w:gridCol w:w="8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4,686</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effect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net</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6,113</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Loss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Basic loss per common share is computed by dividing net loss by the weighted-average number of common shares outstanding during the reporting period. Diluted loss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loss per share, certain restricted and performance stock units and stock options with exercise prices that exceed the average fair market value of our common stock for the period are excluded. The dilutive effect of the Notes is calculated under the if-converted method. Shares issuable upon conversion of the Notes are excluded from diluted net loss per common share in any quarter when the weighted average fair market value of our common stock is below the conversion price. For the year to date diluted net loss per common share calculation, the number of incremental common shares is determined by averaging the number of incremental common shares included in each calculation of quarterly diluted net loss per common share. For the three months ended March 28, 2026, approximately 5,000 potentially issuable shares of common stock were excluded from the computation. For the three months ended March 29, 2025, 701,000 potentially issuable shares were excluded from the computation. All shares repurchased and held as treasury stock are reflected as a reduction to our basic weighted average shares outstanding based on the trade date of the share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reconciles the denominators used in computing basic and diluted loss per share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734" w:type="dxa"/>
        <w:jc w:val="left"/>
        <w:tblInd w:w="0" w:type="dxa"/>
        <w:tblLayout w:type="fixed"/>
        <w:tblCellMar>
          <w:top w:w="0" w:type="dxa"/>
          <w:left w:w="0" w:type="dxa"/>
          <w:bottom w:w="0" w:type="dxa"/>
          <w:right w:w="0" w:type="dxa"/>
        </w:tblCellMar>
      </w:tblPr>
      <w:tblGrid>
        <w:gridCol w:w="2780"/>
        <w:gridCol w:w="60"/>
        <w:gridCol w:w="77"/>
        <w:gridCol w:w="767"/>
        <w:gridCol w:w="73"/>
        <w:gridCol w:w="73"/>
        <w:gridCol w:w="77"/>
        <w:gridCol w:w="767"/>
        <w:gridCol w:w="6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3"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46,996</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46,645</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46,996</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46,645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determine if a contract contains a lease at inception. Operating leases are included in operating lease right of use (“ROU”) assets, current other accrued liabilities, and long-term lease liabilities on our condensed consolidated balance sheets. Finance leases are included in property, plant and equipment, other current accrued liabilities, and long-term lease liabilities on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Operating lease ROU assets and operating lease liabilities are recognized based on the present value of the future minimum lease payments over the lease term at January 1, 2019, the adoption date of ASU 2016-02, </w:t>
      </w:r>
      <w:r>
        <w:rPr>
          <w:rFonts w:ascii="Times New Roman" w:hAnsi="Times New Roman"/>
          <w:i/>
          <w:caps w:val="false"/>
          <w:smallCaps w:val="false"/>
          <w:sz w:val="20"/>
        </w:rPr>
        <w:t>Leases (Topic 842)</w:t>
      </w:r>
      <w:r>
        <w:rPr>
          <w:rFonts w:ascii="Times New Roman" w:hAnsi="Times New Roman"/>
          <w:caps w:val="false"/>
          <w:smallCaps w:val="false"/>
          <w:sz w:val="20"/>
        </w:rPr>
        <w:t>,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Leases with an initial term of 12 months or less are not recorded on the consolidated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Certain of our equipment sales have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Unsatisfied performance obligations primarily represent contracts for products with future delivery dates. At March 28, 2026, we had $4.9 million of revenue expected to be recognized in the future related to performance obligations that were unsatisfied (or partially unsatisfied) for contracts with original expected durations of over one year. As allowed under ASC Topic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606”), we have opted to not disclose unsatisfied performance obligations for contracts with original expected durations of less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hAnsi="Times New Roman"/>
          <w:i/>
          <w:caps w:val="false"/>
          <w:smallCaps w:val="false"/>
          <w:sz w:val="20"/>
        </w:rPr>
        <w:t xml:space="preserve">Guarantees </w:t>
      </w:r>
      <w:r>
        <w:rPr>
          <w:rFonts w:ascii="Times New Roman" w:hAnsi="Times New Roman"/>
          <w:caps w:val="false"/>
          <w:smallCaps w:val="false"/>
          <w:sz w:val="20"/>
        </w:rPr>
        <w:t>(“ASC 460”), and not as a separate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transaction price reflects our expectations about the consideration we will be entitled to receive from the customer and may include fixed or variable amounts. Fixed consideration primarily includes sales to customers in which the amount of consideration is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For contracts that are less than one year in duration, we have elected to use the practical expedient available in ASC 606 to expense cost to obtain contracts as they are incurred because they would be amortized over less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represents our unconditional right to receive consideration from our customer. Payment terms do not exceed one year from the invoice date and therefore do not include a significant financing component. To date, there have been no material impairment losses on accounts receivable. There were no material contract assets or contract liabilities recorded on our condensed consolidated balance sheet in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On shipments where sales are not recognized, gross profit is recorded as deferred profit in our condensed consolidated balance sheet, representing the difference between the receivable recorded and the inventory shipped. In certain instances where customer payments are received prior to product shipment, the customer’s payments are recorded as customer advances. At March 28, 2026, we had deferred revenue totaling approximately $13.4 million, current deferred profit of $7.6 million and deferred profit expected to be recognized after one year included in noncurrent other accrued liabilities of $3.6 million. At December 27, 2025, we had deferred revenue totaling approximately $15.3 million, current deferred profit of $8.6 million and deferred profit expected to be recognized after one year included in noncurrent other accrued liabilities of $3.7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Net sales by type are as follows </w:t>
      </w:r>
      <w:r>
        <w:rPr>
          <w:rFonts w:ascii="Times New Roman" w:hAnsi="Times New Roman"/>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4907" w:type="dxa"/>
        <w:jc w:val="left"/>
        <w:tblInd w:w="0" w:type="dxa"/>
        <w:tblLayout w:type="fixed"/>
        <w:tblCellMar>
          <w:top w:w="0" w:type="dxa"/>
          <w:left w:w="0" w:type="dxa"/>
          <w:bottom w:w="0" w:type="dxa"/>
          <w:right w:w="0" w:type="dxa"/>
        </w:tblCellMar>
      </w:tblPr>
      <w:tblGrid>
        <w:gridCol w:w="2045"/>
        <w:gridCol w:w="60"/>
        <w:gridCol w:w="198"/>
        <w:gridCol w:w="1111"/>
        <w:gridCol w:w="62"/>
        <w:gridCol w:w="62"/>
        <w:gridCol w:w="228"/>
        <w:gridCol w:w="1081"/>
        <w:gridCol w:w="6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Disaggregated Net Sales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 2026</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2025</w:t>
            </w:r>
          </w:p>
        </w:tc>
        <w:tc>
          <w:tcPr>
            <w:tcW w:w="6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49,440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35,642</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Non-systems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75,679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61,155</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125,119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Revenue by geographic area based upon product shipment destination was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907" w:type="dxa"/>
        <w:jc w:val="left"/>
        <w:tblInd w:w="0" w:type="dxa"/>
        <w:tblLayout w:type="fixed"/>
        <w:tblCellMar>
          <w:top w:w="0" w:type="dxa"/>
          <w:left w:w="0" w:type="dxa"/>
          <w:bottom w:w="0" w:type="dxa"/>
          <w:right w:w="0" w:type="dxa"/>
        </w:tblCellMar>
      </w:tblPr>
      <w:tblGrid>
        <w:gridCol w:w="2045"/>
        <w:gridCol w:w="60"/>
        <w:gridCol w:w="198"/>
        <w:gridCol w:w="1111"/>
        <w:gridCol w:w="62"/>
        <w:gridCol w:w="62"/>
        <w:gridCol w:w="228"/>
        <w:gridCol w:w="1081"/>
        <w:gridCol w:w="6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Disaggregated Net Sales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 2026</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2025</w:t>
            </w:r>
          </w:p>
        </w:tc>
        <w:tc>
          <w:tcPr>
            <w:tcW w:w="6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Malaysia</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18,162</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Philippines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13,186</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6,287</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14,128</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45,034</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125,119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96,797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 small number of customers historically have been responsible for a significant portion of our net sales. Significant customer concentration information is as follows:</w:t>
      </w:r>
    </w:p>
    <w:p>
      <w:pPr>
        <w:pStyle w:val="TextBody"/>
        <w:bidi w:val="0"/>
        <w:spacing w:before="0" w:after="0"/>
        <w:ind w:left="0" w:right="0" w:hanging="0"/>
        <w:jc w:val="left"/>
        <w:rPr>
          <w:caps w:val="false"/>
          <w:smallCaps w:val="false"/>
        </w:rPr>
      </w:pPr>
      <w:r>
        <w:rPr>
          <w:caps w:val="false"/>
          <w:smallCaps w:val="false"/>
        </w:rPr>
        <w:t> </w:t>
      </w:r>
    </w:p>
    <w:tbl>
      <w:tblPr>
        <w:tblW w:w="7625" w:type="dxa"/>
        <w:jc w:val="left"/>
        <w:tblInd w:w="0" w:type="dxa"/>
        <w:tblLayout w:type="fixed"/>
        <w:tblCellMar>
          <w:top w:w="0" w:type="dxa"/>
          <w:left w:w="0" w:type="dxa"/>
          <w:bottom w:w="0" w:type="dxa"/>
          <w:right w:w="0" w:type="dxa"/>
        </w:tblCellMar>
      </w:tblPr>
      <w:tblGrid>
        <w:gridCol w:w="5210"/>
        <w:gridCol w:w="60"/>
        <w:gridCol w:w="272"/>
        <w:gridCol w:w="572"/>
        <w:gridCol w:w="90"/>
        <w:gridCol w:w="90"/>
        <w:gridCol w:w="1271"/>
        <w:gridCol w:w="60"/>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5" w:type="dxa"/>
            <w:gridSpan w:val="5"/>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27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6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Customers individually representing more than 10% of net sales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57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27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one</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 of net sales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572"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271"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070" w:type="dxa"/>
        <w:jc w:val="left"/>
        <w:tblInd w:w="0" w:type="dxa"/>
        <w:tblLayout w:type="fixed"/>
        <w:tblCellMar>
          <w:top w:w="28" w:type="dxa"/>
          <w:left w:w="0" w:type="dxa"/>
          <w:bottom w:w="0" w:type="dxa"/>
          <w:right w:w="0" w:type="dxa"/>
        </w:tblCellMar>
      </w:tblPr>
      <w:tblGrid>
        <w:gridCol w:w="140"/>
        <w:gridCol w:w="5930"/>
      </w:tblGrid>
      <w:tr>
        <w:trPr/>
        <w:tc>
          <w:tcPr>
            <w:tcW w:w="140"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30"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single customer represented more than 10% of consolidated net sales.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accumulated other comprehensive loss balance totaled approximately $38.1 million and $32.5 million at March 28, 2026 and December 27, 2025, respectively, and was attributed to all non-owner changes in stockholders’ equity and consists of, on an after-tax basis where applicable, foreign currency adjustments resulting from the translation of certain of our subsidiary accounts where the functional currency is not the U.S. Dollar, unrealized loss on investments and adjustments related to postretirement benefits. Reclassification adjustments from accumulated other comprehensive loss during the three months of fiscal 2026 and 2025 were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Retiree Medical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provide post-retirement health benefits to certain retired executives, one director (who is a former executive) and their eligible dependents under a noncontributory plan. These benefits are no longer offered to any other retired Cohu employees. The net periodic benefit cost incurred during the three months of fiscal 2026 and 2025 was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Statement-Reporting Comprehensive Income-Expense Disaggregation Disclosures (Subtopic 220-40): Disaggregation of Income Statement Expenses</w:t>
      </w:r>
      <w:r>
        <w:rPr>
          <w:rFonts w:ascii="Times New Roman" w:hAnsi="Times New Roman"/>
          <w:caps w:val="false"/>
          <w:smallCaps w:val="false"/>
          <w:sz w:val="20"/>
        </w:rPr>
        <w:t xml:space="preserve">, requiring public entities to disclose additional information about specific expense categories in the notes to the financial statements on an interim and annual basis. The FASB subsequently issued ASU 2025-01, </w:t>
      </w:r>
      <w:r>
        <w:rPr>
          <w:rFonts w:ascii="Times New Roman" w:hAnsi="Times New Roman"/>
          <w:i/>
          <w:caps w:val="false"/>
          <w:smallCaps w:val="false"/>
          <w:sz w:val="20"/>
        </w:rPr>
        <w:t>Income Statement - Reporting Comprehensive Income - Expense Disaggregation Disclosures (Subtopic 220-40): Clarifying the Effective Date</w:t>
      </w:r>
      <w:r>
        <w:rPr>
          <w:rFonts w:ascii="Times New Roman" w:hAnsi="Times New Roman"/>
          <w:caps w:val="false"/>
          <w:smallCaps w:val="false"/>
          <w:sz w:val="20"/>
        </w:rPr>
        <w:t>, to clarify the effective date of ASU 2024-03. The guidance is effective for fiscal years beginning after December 15, 2026, and for interim periods beginning after December 15, 2027, with early adoption permitted. We are currently evaluating the impact of adopting the new standard; however, we do not expect it to have a material impact on Cohu’s financial statements other than enhanced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170"/>
        <w:gridCol w:w="54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54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Acquisitions, Goodwill and Purchased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Tignis,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January 7, 2025, we completed the acquisition of Tignis, Inc. (“Tignis”), a provider of artificial intelligence (“AI”) process control and analytics-based monitoring software. This strategic acquisition is intended to enable us to expand our analytics offerings to the semiconductor process control market. Tignis’ PAICe Monitor and PAICe Maker solutions leverage the insights of physical phenomena with cutting-edge AI, machine learning and data science to deliver advanced predictive and prescriptive automation solutions for semiconductor manufacturing. Tignis is also expected to deepen Cohu’s expertise in data science while adding advanced analytics to our DI-Core software. The acquisition of Tignis is a debt free transaction and was subject to a working capital adjustment which we finalized in the third quarter of fiscal 2025. We made a cash payment totaling approximately $34.9 million, net of cash received, for Tignis which was paid out of cash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initial consideration paid, the Tignis shareholders had the right to receive an additional $5.0 million of contingent consideration subject to Tignis achieving certain sales and expense targets through December 2025. The contingent consideration payable was classified as Level 3 in the fair value hierarchy. See Note 5 “Financial Instruments Measured at Fair Value” for additional information on the three-tier fair value hierarchy. Contingent consideration is recorded in our condensed consolidated balance sheets in other accrued liabilities. Adjustments to the fair value of contingent consideration are reflected in selling, general, and administrative expense in our condensed consolidated statements of operations. The initial fair value of the contingent consideration recognized at acquisition date was $1.7 million. In the first quarter of fiscal 2025, we updated the fair value of contingent consideration to zero based on management’s current estimates at that date which differed from those used as of January 7, 2025. The sales and expense targets were not met in fiscal 2025 and no additional payment was owed to Tignis’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Including cash paid, the impact of our working capital adjustment and the fair value of the contingent consideration, the purchase price for Tignis is $36.6 million. During the three months ending March 29, 2025, we incurred acquisition-related costs totaling approximately $0.3 million, which were expensed as selling,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acquisition of Tignis has been accounted for in conformity with ASC Topic 805,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(“ASC 805”). The acquired assets and liabilities of Tignis were recorded at their respective fair values including an amount for goodwill representing the difference between the consideration paid and the fair value of the identifiable net assets. The purchase price allocation was finalized during the third quarter of 2025. The table below summarizes the assets acquired and liabilities assumed as of January 7,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25" w:type="dxa"/>
        <w:jc w:val="left"/>
        <w:tblInd w:w="0" w:type="dxa"/>
        <w:tblLayout w:type="fixed"/>
        <w:tblCellMar>
          <w:top w:w="0" w:type="dxa"/>
          <w:left w:w="0" w:type="dxa"/>
          <w:bottom w:w="0" w:type="dxa"/>
          <w:right w:w="0" w:type="dxa"/>
        </w:tblCellMar>
      </w:tblPr>
      <w:tblGrid>
        <w:gridCol w:w="3170"/>
        <w:gridCol w:w="60"/>
        <w:gridCol w:w="125"/>
        <w:gridCol w:w="590"/>
        <w:gridCol w:w="80"/>
      </w:tblGrid>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including cash received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33,688</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36,956</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allocation of the intangible assets subject to amortization is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333" w:type="dxa"/>
        <w:jc w:val="left"/>
        <w:tblInd w:w="0" w:type="dxa"/>
        <w:tblLayout w:type="fixed"/>
        <w:tblCellMar>
          <w:top w:w="0" w:type="dxa"/>
          <w:left w:w="0" w:type="dxa"/>
          <w:bottom w:w="0" w:type="dxa"/>
          <w:right w:w="0" w:type="dxa"/>
        </w:tblCellMar>
      </w:tblPr>
      <w:tblGrid>
        <w:gridCol w:w="2315"/>
        <w:gridCol w:w="60"/>
        <w:gridCol w:w="176"/>
        <w:gridCol w:w="683"/>
        <w:gridCol w:w="60"/>
        <w:gridCol w:w="60"/>
        <w:gridCol w:w="163"/>
        <w:gridCol w:w="756"/>
        <w:gridCol w:w="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Useful Life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(years)</w:t>
            </w:r>
          </w:p>
        </w:tc>
        <w:tc>
          <w:tcPr>
            <w:tcW w:w="60" w:type="dxa"/>
            <w:tcBorders/>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 and trade names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Acquired intangible assets reported above are being amortized using the straight-line method over their estimated useful lives which approximates the pattern of how the economic benefit is expected to be used. While high customer retention rates are common in the semiconductor capital equipment industry, amounts allocated to customer relationships are being amortized on an accelerated basis over their estimated useful lives due to the early-stage nature of Tignis’ business and historical customer turnover.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Tignis’ product line. The revenue estimates used to value the developed technology were based on estimates of relevant market sizes and growth factors, expected trends in technology and the nature and expected timing of new product introductions by Tignis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customer relationships was determined by using the multi-period excess earnings method under the income approach. The estimated cash flow was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earnout agreement was measured at fair value in accordance with the guidance provided by ASC Topic 820, </w:t>
      </w:r>
      <w:r>
        <w:rPr>
          <w:rFonts w:ascii="Times New Roman" w:hAnsi="Times New Roman"/>
          <w:i/>
          <w:caps w:val="false"/>
          <w:smallCaps w:val="false"/>
          <w:sz w:val="20"/>
        </w:rPr>
        <w:t>Fair Value Measurement</w:t>
      </w:r>
      <w:r>
        <w:rPr>
          <w:rFonts w:ascii="Times New Roman" w:hAnsi="Times New Roman"/>
          <w:caps w:val="false"/>
          <w:smallCaps w:val="false"/>
          <w:sz w:val="20"/>
        </w:rPr>
        <w:t xml:space="preserve"> (“ASC 820”). ASC 820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their fair values, we consider the principal or most advantageous market in which we would transact and consider assumptions that market participants would use when pricing the assets or liabilities, such as inherent risk, transfer restrictions, and risk of nonperformance.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Tignis’ results of operations have been included starting January 7, 2025. The impact of Tignis on our condensed consolidated statements of operations and comprehensive loss was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the carrying value of goodwill during the year ended December 27, 2025, and the three-month period ended March 28, 2026,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320" w:type="dxa"/>
        <w:jc w:val="left"/>
        <w:tblInd w:w="0" w:type="dxa"/>
        <w:tblLayout w:type="fixed"/>
        <w:tblCellMar>
          <w:top w:w="0" w:type="dxa"/>
          <w:left w:w="0" w:type="dxa"/>
          <w:bottom w:w="0" w:type="dxa"/>
          <w:right w:w="0" w:type="dxa"/>
        </w:tblCellMar>
      </w:tblPr>
      <w:tblGrid>
        <w:gridCol w:w="2360"/>
        <w:gridCol w:w="60"/>
        <w:gridCol w:w="125"/>
        <w:gridCol w:w="695"/>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8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234,639</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33,688</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14,700</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27,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283,027</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28, 2026</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280,253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Purchased intangible assets subject to amortization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114" w:type="dxa"/>
        <w:jc w:val="left"/>
        <w:tblInd w:w="0" w:type="dxa"/>
        <w:tblLayout w:type="fixed"/>
        <w:tblCellMar>
          <w:top w:w="0" w:type="dxa"/>
          <w:left w:w="0" w:type="dxa"/>
          <w:bottom w:w="0" w:type="dxa"/>
          <w:right w:w="0" w:type="dxa"/>
        </w:tblCellMar>
      </w:tblPr>
      <w:tblGrid>
        <w:gridCol w:w="2105"/>
        <w:gridCol w:w="60"/>
        <w:gridCol w:w="125"/>
        <w:gridCol w:w="695"/>
        <w:gridCol w:w="60"/>
        <w:gridCol w:w="60"/>
        <w:gridCol w:w="125"/>
        <w:gridCol w:w="695"/>
        <w:gridCol w:w="60"/>
        <w:gridCol w:w="60"/>
        <w:gridCol w:w="201"/>
        <w:gridCol w:w="928"/>
        <w:gridCol w:w="60"/>
        <w:gridCol w:w="60"/>
        <w:gridCol w:w="125"/>
        <w:gridCol w:w="695"/>
        <w:gridCol w:w="60"/>
        <w:gridCol w:w="60"/>
        <w:gridCol w:w="125"/>
        <w:gridCol w:w="695"/>
        <w:gridCol w:w="60"/>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 2025</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Period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199,776</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44,210</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15,845</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Covenant not-to-compete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260,034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the carrying values of purchased intangible assets presented above are a result of the impact of fluctuations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Amortization expense related to intangible assets in the first quarter of fiscal 2026 and 2025 was $7.3 million and $9.9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15"/>
        <w:gridCol w:w="302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3. </w:t>
            </w:r>
          </w:p>
        </w:tc>
        <w:tc>
          <w:tcPr>
            <w:tcW w:w="30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Borrowings and Credit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00"/>
        <w:jc w:val="left"/>
        <w:rPr>
          <w:rFonts w:ascii="Times New Roman" w:hAnsi="Times New Roman"/>
          <w:caps w:val="false"/>
          <w:smallCaps w:val="false"/>
          <w:sz w:val="20"/>
        </w:rPr>
      </w:pPr>
      <w:r>
        <w:rPr>
          <w:rFonts w:ascii="Times New Roman" w:hAnsi="Times New Roman"/>
          <w:caps w:val="false"/>
          <w:smallCaps w:val="false"/>
          <w:sz w:val="20"/>
        </w:rPr>
        <w:t>The following table is a summary of our borrowings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973" w:type="dxa"/>
        <w:jc w:val="left"/>
        <w:tblInd w:w="0" w:type="dxa"/>
        <w:tblLayout w:type="fixed"/>
        <w:tblCellMar>
          <w:top w:w="0" w:type="dxa"/>
          <w:left w:w="0" w:type="dxa"/>
          <w:bottom w:w="0" w:type="dxa"/>
          <w:right w:w="0" w:type="dxa"/>
        </w:tblCellMar>
      </w:tblPr>
      <w:tblGrid>
        <w:gridCol w:w="2720"/>
        <w:gridCol w:w="60"/>
        <w:gridCol w:w="128"/>
        <w:gridCol w:w="716"/>
        <w:gridCol w:w="80"/>
        <w:gridCol w:w="60"/>
        <w:gridCol w:w="171"/>
        <w:gridCol w:w="958"/>
        <w:gridCol w:w="80"/>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p>
        </w:tc>
        <w:tc>
          <w:tcPr>
            <w:tcW w:w="80"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loan-Cohu GmbH</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Term Loans-Kita</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Lines of Credit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304,619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305,089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financing fees and discount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285,026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Convertible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September 29, 2025, we issued $287.5 million aggregate principal amount of 1.50% convertible senior notes due 2031. The Notes include the full exercise by the initial purchasers on September 25, 2025 of their option to purchase up to an additional $27.5 million principal amount of the Notes. The Notes are senior unsecured obligations and bear interest at a coupon rate of 1.50% per annum, with interest payable semiannually in arrears on January 15 and July 15 of each year, beginning on January 15, 2026. The Notes will mature on January 15, 2031, unless earlier converted, redeemed or repurchased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Prior to the close of business on the business day immediately preceding October 15, 2030, noteholders will have the right to convert their Notes only upon the occurrence of certain events. On or after October 15, 2030, noteholders may convert all or any portion of their Notes at any time at their election until the close of business on the second scheduled trading day immediately preceding the maturity date. Upon conversion, we will satisfy the conversion obligations by paying cash up to the aggregate principal amount of the Notes to be converted and paying and/or delivering cash, shares of common stock or a combination of cash and shares of common stock, at our election, in respect of the remainder, if any, of the conversion obligation in excess of the aggregate principal amount of the Notes being converted. The initial conversion rate for the Notes is 36.7975 shares of common stock per $1,000 principal amount of Notes (equivalent to an initial conversion price of approximately $27.18 per share of common stock), which represents an approximately 32.5% conversion premium over the last reported sale price of $20.51 per share of our common stock on The Nasdaq Stock Market on September 24, 2025. The conversion rate (and accordingly the conversion price) is subject to adjustment upon the occurrence of certain events. In addition, upon certain corporate events or upon a notice of redemption (as described below), we will, under certain circumstances, increase the conversion rate for noteholders who convert Notes in connection with such a corporate event or convert their Notes called (or deemed called) for redemption during the related redemption period,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Notes will not be redeemable before January 22, 2029. The Notes will be redeemable, in whole or in part, for cash at our option at any time, and from time to time, on or after January 22, 2029 and prior to the 51st scheduled trading day immediately preceding the maturity date, if (i) the Notes are “freely tradable” (as defined in the indenture governing the Notes), and certain accrued and unpaid additional interest, if any, has been paid in full, as of the first interest payment date occurring on or before the date we send such notice and (ii) the last reported sale price per share of our common stock has been at least 130% of the conversion price for a specified period of time. The redemption price will be equal to the principal amount of the Notes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If a “fundamental change” (as defined in the indenture governing the Notes) occurs, then, subject to certain conditions, noteholders may require us to repurchase their Notes for cash. The repurchase price will be equal to the principal amount of the Notes to be repurchased, plus accrued and unpaid interest, if any, to, but excluding, the applicable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net proceeds from the offering were approximately $278.9 million, after deducting the initial purchasers’ discounts and commissions but before offering expenses. We used approximately $31.4 million of the net proceeds to enter into the capped call transactions that are described in Note 8, “Equity”. We intend to use the remaining net proceeds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Notes are recorded as liabilities in accordance with ASC Topic 470, </w:t>
      </w:r>
      <w:r>
        <w:rPr>
          <w:rFonts w:ascii="Times New Roman" w:hAnsi="Times New Roman"/>
          <w:i/>
          <w:caps w:val="false"/>
          <w:smallCaps w:val="false"/>
          <w:sz w:val="20"/>
        </w:rPr>
        <w:t>Debt</w:t>
      </w:r>
      <w:r>
        <w:rPr>
          <w:rFonts w:ascii="Times New Roman" w:hAnsi="Times New Roman"/>
          <w:caps w:val="false"/>
          <w:smallCaps w:val="false"/>
          <w:sz w:val="20"/>
        </w:rPr>
        <w:t xml:space="preserve"> (“ASC 470”). Issuance costs will be amortized to interest expense over the term of the Notes using the effective interest method. Upon issuance, we evaluated the conversion feature for potential separation as an embedded derivative under ASC 815, </w:t>
      </w:r>
      <w:r>
        <w:rPr>
          <w:rFonts w:ascii="Times New Roman" w:hAnsi="Times New Roman"/>
          <w:i/>
          <w:caps w:val="false"/>
          <w:smallCaps w:val="false"/>
          <w:sz w:val="20"/>
        </w:rPr>
        <w:t>Derivatives and Hedging</w:t>
      </w:r>
      <w:r>
        <w:rPr>
          <w:rFonts w:ascii="Times New Roman" w:hAnsi="Times New Roman"/>
          <w:caps w:val="false"/>
          <w:smallCaps w:val="false"/>
          <w:sz w:val="20"/>
        </w:rPr>
        <w:t xml:space="preserve"> (“ASC 815”) and determined that the conversion feature did not meet the criteria for derivative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effective interest rate for the Notes is 2.2% after considering the effect of the accretion of the related debt discount over the term of the Notes. For the three months ended March 28, 2026, total interest expense related to the Notes was $1.5 million, with coupon interest expense of $1.1 million and amortization of debt discount of $0.4 million. As of March 28, 2026, the remaining unamortized debt discount of the Notes was $8.6 million. At March 28, 2026, the outstanding Notes balance, net of discount, was $278.9 million. At December 27, 2025, the outstanding Notes balance, net of discount, was $278.5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As of March 28, 2026, the fair value of the Notes was $382.7 million. The measurement of the fair value of Notes is based on the last traded price of the Notes as of March 28, 2026 and is considered a Level 2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have a series of term loans with Japanese financial institutions primarily related to the expansion of our facility in Osaka, Japan. The loans are collateralized by the facility and land, carry interest at rates ranging from 0.05% to 1.21%, and expire at various dates through 2034. At March 28, 2026, the outstanding loan balance was $1.5 million and $0.2 million of the outstanding balance is presented as current installments of long-term debt in our condensed consolidated balance sheets. At December 27, 2025, the outstanding loan balance was $1.5 million and $0.2 million of the outstanding balance is presented as current installments of long-term debt in our condensed consolidated balance sheets. The fair value of the debt approximates the carrying value at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July 2019 and June 2020, one of our wholly owned subsidiaries located in Germany entered into a series of construction loans (“Loan Facilities”) with a German financial institution initially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At March 28, 2026, total outstanding borrowings under the Loan Facilities was $5.9 million with $1.0 million of the total outstanding balance being presented as current installments of long-term debt in our condensed consolidated balance sheets. At December 27, 2025, total outstanding borrowings under the Loan Facilities was $6.3 million with $1.1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December 30, 2024, our wholly owned subsidiary in Malaysia entered into a revolving credit facility with a Malaysian financial institution that provides up to MYR 40 million, of which MYR 37.9 million has been drawn. The revolving credit facility was utilized to finance the purchase of our leased facility in Melaka, Malaysia. Interest is due monthly and is calculated based on the lender’s Effective Cost of Funds plus a spread of 0.5%. The revolving credit facility is secured by the land and building. At March 28, 2026, $9.4 million was outstanding under the revolving credit facility and the rate of interest was 4.04%. As this revolving credit facility agreement renews monthly, it has been included in short-term borrowings in our condensed consolidated balance sheets. The revolving credit is denominated in Malaysian Ringgits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a series of revolving credit facilities with various financial institutions in Japan. The credit facilities renew monthly and provide Kita with access to working capital totaling up to 660 million Japanese Yen of which 60 million Japanese Yen was drawn as of March 28, 2026. At March 28, 2026, total borrowings outstanding under the revolving lines of credit were $0.4 million. As these credit facility agreements renew monthly, they have been included in short-term borrowings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wholly owned subsidiary in Switzerland has one available line of credit which provides borrowings of up to a total of 2.0 million Swiss Francs, a portion of which is reserved for tax guarantees. On March 28, 2026 and December 27, 2025 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215"/>
        <w:gridCol w:w="194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4. </w:t>
            </w:r>
          </w:p>
        </w:tc>
        <w:tc>
          <w:tcPr>
            <w:tcW w:w="19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 Charges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Poway Volume Manufacturing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During the fourth quarter of fiscal 2024, we made the decision to transition all remaining volume manufacturing out of Poway, CA, and consolidate it into our factories in Asia. These changes have allowed us to better utilize our corporate infrastructure, drive improvements in inventory management, optimize our warehousing and better support our long-term goals. Total pretax charges related to the Poway volume manufacturing transition for the three months ended March 29, 2025 were $0.4 million. The Poway volume manufacturing transition was substantially complete as of the first quarter of fiscal 2026, and costs incurred during the three months ended March 28, 2026, were insignificant.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2025 Strategic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February 19, 2025, we approved and began executing a strategic restructuring program designed to reposition our organization and improve our cost structure (the “2025 Restructuring Program”). As part of this program, we consolidated certain of our operations in La Chaux-de-Fonds, Switzerland, and Kolbermoor, Germany, into lower</w:t>
        <w:noBreakHyphen/>
        <w:t>cost locations, and we also implemented headcount reductions in those areas and in the U.S. and across Asia. Relating to the operations consolidation actions, we notified certain impacted employees of the corresponding reduction in force program at those locations which required negotiation with the microtechnology and Swiss watch trade union and the German labor organization which represent certain of the employees at their respective locations. The 2025 Restructuring Program, as implemented over time, will reduce headcount and enable us to optimize the facilities of our operations, as well as transition certain manufacturing to other lower cost regions. The 2025 Restructuring Program is being implemented as part of a comprehensive review of our operations with the goal of reducing costs during the extended downturn in the semiconductor test and inspection equipment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fourth quarter of 2025, management identified additional restructuring actions under Cohu’s previously communicated 2025 Restructuring Program to further optimize our cost structure and operational footprint. These additional actions were announced and commenced on January 13, 2026, and include the further consolidation of certain operations within our IS and ST business segments in the U.S. and Asia, as well as workforce reductions across select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As a result of the activities described above, we recognized total pretax charges of $0.8 million and $6.2 million during the three months ended March 28, 2026 and March 29, 2025, respectively, that are within the scope of ASC 420. The following table summarizes the activity within the restructuring related accounts for the 2025 Restructuring Program during the three months ended March 28, 2026 and March 29,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98" w:type="dxa"/>
        <w:jc w:val="left"/>
        <w:tblInd w:w="0" w:type="dxa"/>
        <w:tblLayout w:type="fixed"/>
        <w:tblCellMar>
          <w:top w:w="0" w:type="dxa"/>
          <w:left w:w="0" w:type="dxa"/>
          <w:bottom w:w="0" w:type="dxa"/>
          <w:right w:w="0" w:type="dxa"/>
        </w:tblCellMar>
      </w:tblPr>
      <w:tblGrid>
        <w:gridCol w:w="2360"/>
        <w:gridCol w:w="60"/>
        <w:gridCol w:w="221"/>
        <w:gridCol w:w="968"/>
        <w:gridCol w:w="80"/>
        <w:gridCol w:w="60"/>
        <w:gridCol w:w="206"/>
        <w:gridCol w:w="653"/>
        <w:gridCol w:w="80"/>
        <w:gridCol w:w="60"/>
        <w:gridCol w:w="125"/>
        <w:gridCol w:w="545"/>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Payroll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6,236</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29, 2025</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4,233</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27, 2025</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28, 2026</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170"/>
        <w:gridCol w:w="398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w:t>
            </w:r>
          </w:p>
        </w:tc>
        <w:tc>
          <w:tcPr>
            <w:tcW w:w="39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Financial Instruments Measured at Fair Value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cash, cash equivalents, and short-term investments consisted primarily of cash and other investment grade securities. We do not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assess whether unrealized loss positions on available-for-sale debt securities are due to credit-related factors. The credit-related portion of unrealized losses, and any subsequent improvements, are recorded in earnings through an allowance account. Unrealized gains and losses that are not due to credit-related factors are included in accumulated other comprehensive loss.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Investments that we have classified as short-term, by security type,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360"/>
        <w:gridCol w:w="60"/>
        <w:gridCol w:w="133"/>
        <w:gridCol w:w="742"/>
        <w:gridCol w:w="60"/>
        <w:gridCol w:w="60"/>
        <w:gridCol w:w="317"/>
        <w:gridCol w:w="588"/>
        <w:gridCol w:w="60"/>
        <w:gridCol w:w="60"/>
        <w:gridCol w:w="244"/>
        <w:gridCol w:w="661"/>
        <w:gridCol w:w="60"/>
        <w:gridCol w:w="60"/>
        <w:gridCol w:w="126"/>
        <w:gridCol w:w="704"/>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 2026</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w:t>
            </w:r>
            <w:r>
              <w:rPr>
                <w:rFonts w:ascii="Times New Roman;Times;serif" w:hAnsi="Times New Roman;Times;serif"/>
                <w:caps w:val="false"/>
                <w:smallCaps w:val="false"/>
                <w:sz w:val="16"/>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w:t>
            </w:r>
            <w:r>
              <w:rPr>
                <w:rFonts w:ascii="Times New Roman;Times;serif" w:hAnsi="Times New Roman;Times;serif"/>
                <w:caps w:val="false"/>
                <w:smallCaps w:val="false"/>
                <w:sz w:val="16"/>
              </w:rPr>
              <w:t>(2)</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147,181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73,196</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42,033</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14,668</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277,759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360"/>
        <w:gridCol w:w="60"/>
        <w:gridCol w:w="133"/>
        <w:gridCol w:w="742"/>
        <w:gridCol w:w="60"/>
        <w:gridCol w:w="60"/>
        <w:gridCol w:w="244"/>
        <w:gridCol w:w="661"/>
        <w:gridCol w:w="60"/>
        <w:gridCol w:w="60"/>
        <w:gridCol w:w="317"/>
        <w:gridCol w:w="588"/>
        <w:gridCol w:w="60"/>
        <w:gridCol w:w="60"/>
        <w:gridCol w:w="126"/>
        <w:gridCol w:w="704"/>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 2025</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w:t>
            </w:r>
            <w:r>
              <w:rPr>
                <w:rFonts w:ascii="Times New Roman;Times;serif" w:hAnsi="Times New Roman;Times;serif"/>
                <w:caps w:val="false"/>
                <w:smallCaps w:val="false"/>
                <w:sz w:val="16"/>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Corporate debt securities </w:t>
            </w:r>
            <w:r>
              <w:rPr>
                <w:rFonts w:ascii="Times New Roman;Times;serif" w:hAnsi="Times New Roman;Times;serif"/>
                <w:caps w:val="false"/>
                <w:smallCaps w:val="false"/>
                <w:sz w:val="16"/>
              </w:rPr>
              <w:t>(2)</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150,361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58,156</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10,056</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256,928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top w:val="single" w:sz="2" w:space="0" w:color="000000"/>
            </w:tcBorders>
            <w:tcMar>
              <w:top w:w="28" w:type="dxa"/>
            </w:tcMar>
            <w:vAlign w:val="center"/>
          </w:tcPr>
          <w:p>
            <w:pPr>
              <w:pStyle w:val="TableContents"/>
              <w:bidi w:val="0"/>
              <w:spacing w:before="0" w:after="283"/>
              <w:jc w:val="left"/>
              <w:rPr/>
            </w:pPr>
            <w:r>
              <w:rPr/>
              <w:t> </w:t>
            </w:r>
          </w:p>
        </w:tc>
        <w:tc>
          <w:tcPr>
            <w:tcW w:w="9949" w:type="dxa"/>
            <w:tcBorders>
              <w:top w:val="single" w:sz="2" w:space="0" w:color="000000"/>
            </w:tcBorders>
            <w:tcMar>
              <w:top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March 28, 2026, the cost and fair value of investments with loss positions were approximately $211.0 million and $210.6 million, respectively. As of December 27, 2025, the cost and fair value of investments with loss positions were both approximately $58.3 million. We evaluated the nature of these investments, credit worthiness of the issuer and the duration of these impairments to determine if a credit-related decline in fair value had occurred and concluded that these losses were temporary and we have the ability and intent to hold these investments to maturity.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include investments in financial and other corporate institutions. No single issuer represents a significant portion of the total corporate debt securities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Effective maturities of short-term investments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53" w:type="dxa"/>
        <w:jc w:val="left"/>
        <w:tblInd w:w="0" w:type="dxa"/>
        <w:tblLayout w:type="fixed"/>
        <w:tblCellMar>
          <w:top w:w="0" w:type="dxa"/>
          <w:left w:w="0" w:type="dxa"/>
          <w:bottom w:w="0" w:type="dxa"/>
          <w:right w:w="0" w:type="dxa"/>
        </w:tblCellMar>
      </w:tblPr>
      <w:tblGrid>
        <w:gridCol w:w="3005"/>
        <w:gridCol w:w="60"/>
        <w:gridCol w:w="133"/>
        <w:gridCol w:w="742"/>
        <w:gridCol w:w="60"/>
        <w:gridCol w:w="60"/>
        <w:gridCol w:w="130"/>
        <w:gridCol w:w="729"/>
        <w:gridCol w:w="60"/>
        <w:gridCol w:w="60"/>
        <w:gridCol w:w="133"/>
        <w:gridCol w:w="742"/>
        <w:gridCol w:w="60"/>
        <w:gridCol w:w="60"/>
        <w:gridCol w:w="130"/>
        <w:gridCol w:w="729"/>
        <w:gridCol w:w="6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 2025</w:t>
            </w:r>
          </w:p>
        </w:tc>
        <w:tc>
          <w:tcPr>
            <w:tcW w:w="6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in one year or less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200,436</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56,492</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256,928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 and they are included in Level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summarizes, by major security type, our financial instruments that are measured at fair value on a recurring basis and are categorized using the fair value hierarchy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129" w:type="dxa"/>
        <w:jc w:val="left"/>
        <w:tblInd w:w="0" w:type="dxa"/>
        <w:tblLayout w:type="fixed"/>
        <w:tblCellMar>
          <w:top w:w="0" w:type="dxa"/>
          <w:left w:w="0" w:type="dxa"/>
          <w:bottom w:w="0" w:type="dxa"/>
          <w:right w:w="0" w:type="dxa"/>
        </w:tblCellMar>
      </w:tblPr>
      <w:tblGrid>
        <w:gridCol w:w="2360"/>
        <w:gridCol w:w="60"/>
        <w:gridCol w:w="169"/>
        <w:gridCol w:w="941"/>
        <w:gridCol w:w="81"/>
        <w:gridCol w:w="81"/>
        <w:gridCol w:w="169"/>
        <w:gridCol w:w="941"/>
        <w:gridCol w:w="81"/>
        <w:gridCol w:w="81"/>
        <w:gridCol w:w="386"/>
        <w:gridCol w:w="248"/>
        <w:gridCol w:w="81"/>
        <w:gridCol w:w="81"/>
        <w:gridCol w:w="199"/>
        <w:gridCol w:w="1110"/>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4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March 28, 2026 using:</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114,422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114,422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153,664</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153,664</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90,036</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90,036</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73,196</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73,196</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42,033</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42,033</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14,668</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14,668</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114,422</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374,278</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2360"/>
        <w:gridCol w:w="60"/>
        <w:gridCol w:w="181"/>
        <w:gridCol w:w="1007"/>
        <w:gridCol w:w="86"/>
        <w:gridCol w:w="86"/>
        <w:gridCol w:w="181"/>
        <w:gridCol w:w="1007"/>
        <w:gridCol w:w="86"/>
        <w:gridCol w:w="86"/>
        <w:gridCol w:w="386"/>
        <w:gridCol w:w="248"/>
        <w:gridCol w:w="86"/>
        <w:gridCol w:w="86"/>
        <w:gridCol w:w="199"/>
        <w:gridCol w:w="1110"/>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3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December 27, 2025 using:</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142,091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142,091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183,611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183,611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58,156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58,156</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51,712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51,712</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37,652</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10,056</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10,056</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142,091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341,890</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483,981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w:t>
            </w:r>
          </w:p>
        </w:tc>
        <w:tc>
          <w:tcPr>
            <w:tcW w:w="25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 Stock 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2005 Equity Incentive Plan (“2005 Plan”) and our 1997 Employee Stock Purchase Plan (“ESPP”) are broad-based, long-term retention programs intended to attract, motivate, and retain talented employees as well as align stockholder and employee interests. Awards that may be granted under the 2005 Plan include, but are not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On March 28, 2026, there were 1,326,234 shares available for future equity grants under the 2005 Plan and 353,581 shares available for purchase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Stock options may be granted to employees, consultants and non-employee directors to purchase a fixed number of shares of our common stock. The exercise prices of options granted are at least equal to the fair market value of our common stock on the dates of grant and options vest and become exercisable in annual increments that range from one to four years from the date of grant. Stock options granted under the 2005 Plan have a maximum contractual term of ten years. In the three months of fiscal 2026, we did not grant any stock options and as of March 28, 2026, no stock options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grant restricted stock units (“RSUs”) to certain employees, consultants and directors. RSUs vest in annual increments that range from one to four years from the date of grant. Prior to vesting, RSUs do not have dividend equivalent rights, do not have voting rights and the shares underlying the RSUs are not considered issued and outstanding. Shares of our common stock or treasury shares will be issued on the date the RSUs vest net of the minimum statutory tax withholding requirements to be paid by us on behalf of our employees. As a result, the actual number of shares issued will be fewer than the number of RSUs outstanding on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three months of fiscal 2026, we awarded 484,331 RSUs and issued 509,047 shares of our common stock on vesting of previously granted awards and 46,636 RSUs were forfeited. On March 28, 2026, we had 1,268,796 RSUs outstanding with an aggregate intrinsic value of approximately $38.0 million and the weighted average remaining vesting period was approximately 1.5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Performance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grant performance stock units (“PSUs”) to certain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our annualized Total Shareholder Return (“TSR”) for the performance period and the relative performance of our TSR compared with the Russell 2000 Index (RUT) for the performance period. PSUs granted vest 100% on the third anniversary of their grant, assuming achievement of the applicable performance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estimate the fair value of the PSUs using a Monte Carlo simulation model on the date of grant. Compensation expense is recognized over the requisite service period. To the extent applicable performance conditions are satisfied, shares of our common stock or treasury shares are issued on the date the PSUs vest net of the minimum statutory tax withholding requirements to be paid by us on behalf of our employees. As a result, the actual number of shares issued will be fewer than the actual number of PSUs outstanding on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first three months of fiscal 2026, we awarded 249,419 PSUs, we did not issue any shares of our common stock on vesting of previously granted awards and 160,726 shares were forfeited. On March 28, 2026, we had 835,532 PSUs outstanding with an aggregate intrinsic value of approximately $25.0 million and the weighted average remaining vesting period was approximately 1.7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ESPP provides for the issuance of shares of our common stock. Under the ESPP, eligible employees may purchase shares of Cohu common stock through payroll deductions at a price equal to 85 percent of the lower of the fair market value of Cohu common stock at the beginning or end of each 6-month purchase offering period, subject to certain limits. The two offering periods run from November 1 through April 30 and May 1 through October 31, respectively. During the first three months of fiscal 2026, no shares of our common stock were sold to our employees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170"/>
        <w:gridCol w:w="28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w:t>
            </w:r>
          </w:p>
        </w:tc>
        <w:tc>
          <w:tcPr>
            <w:tcW w:w="28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Economic (Non-Designated)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enter into foreign currency forward contracts to manage our foreign exchange exposure related to intercompany transactions and other balance sheet items that are subject to revaluation. For accounting purposes, our foreign currency forward contracts that are not designated as hedging instruments are recorded at fair value as of the end of our reporting period in our condensed consolidated balance sheets with changes in fair value recorded within foreign transaction gain (loss) in our condensed consolidated statements of operations for both realized and unrealized gains and losses. The gain or loss recorded on these instruments is substantially offset by the remeasurement adjustment on the foreign currency denominated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location and amount of gains and losses related to non-designated derivative instruments in the condensed consolidated statements of operations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272" w:type="dxa"/>
        <w:jc w:val="left"/>
        <w:tblInd w:w="0" w:type="dxa"/>
        <w:tblLayout w:type="fixed"/>
        <w:tblCellMar>
          <w:top w:w="0" w:type="dxa"/>
          <w:left w:w="0" w:type="dxa"/>
          <w:bottom w:w="0" w:type="dxa"/>
          <w:right w:w="0" w:type="dxa"/>
        </w:tblCellMar>
      </w:tblPr>
      <w:tblGrid>
        <w:gridCol w:w="2930"/>
        <w:gridCol w:w="2480"/>
        <w:gridCol w:w="60"/>
        <w:gridCol w:w="152"/>
        <w:gridCol w:w="663"/>
        <w:gridCol w:w="97"/>
        <w:gridCol w:w="73"/>
        <w:gridCol w:w="152"/>
        <w:gridCol w:w="590"/>
        <w:gridCol w:w="75"/>
      </w:tblGrid>
      <w:tr>
        <w:trPr/>
        <w:tc>
          <w:tcPr>
            <w:tcW w:w="293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75"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not designated</w:t>
            </w:r>
          </w:p>
        </w:tc>
        <w:tc>
          <w:tcPr>
            <w:tcW w:w="2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 28,</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74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 29,</w:t>
            </w:r>
          </w:p>
        </w:tc>
        <w:tc>
          <w:tcPr>
            <w:tcW w:w="75" w:type="dxa"/>
            <w:tcBorders/>
            <w:vAlign w:val="center"/>
          </w:tcPr>
          <w:p>
            <w:pPr>
              <w:pStyle w:val="TableContents"/>
              <w:bidi w:val="0"/>
              <w:spacing w:before="0" w:after="283"/>
              <w:jc w:val="left"/>
              <w:rPr/>
            </w:pPr>
            <w:r>
              <w:rPr/>
              <w:t> </w:t>
            </w:r>
          </w:p>
        </w:tc>
      </w:tr>
      <w:tr>
        <w:trPr/>
        <w:tc>
          <w:tcPr>
            <w:tcW w:w="29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hedging instruments</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forward contracts</w:t>
            </w:r>
          </w:p>
        </w:tc>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gain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rPr>
      </w:pPr>
      <w:r>
        <w:rPr>
          <w:rFonts w:ascii="Times New Roman" w:hAnsi="Times New Roman"/>
          <w:i/>
          <w:caps w:val="false"/>
          <w:smallCaps w:val="false"/>
          <w:sz w:val="20"/>
          <w:u w:val="single"/>
        </w:rPr>
        <w:t>Net Investment Hedges</w:t>
      </w:r>
      <w:r>
        <w:rPr>
          <w:rFonts w:ascii="Times New Roman" w:hAnsi="Times New Roman"/>
          <w: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have implemented an ongoing program to hedge foreign currency risk associated with our net investment positions in certain foreign subsidiaries. These exposures are managed through the use of foreign currency forward contracts, which are designated as net investment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location and amount of gains and losses from net investment hedges recorded in the foreign currency translation component of AOCL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2915"/>
        <w:gridCol w:w="2120"/>
        <w:gridCol w:w="60"/>
        <w:gridCol w:w="154"/>
        <w:gridCol w:w="599"/>
        <w:gridCol w:w="74"/>
        <w:gridCol w:w="74"/>
        <w:gridCol w:w="154"/>
        <w:gridCol w:w="673"/>
        <w:gridCol w:w="80"/>
      </w:tblGrid>
      <w:tr>
        <w:trPr/>
        <w:tc>
          <w:tcPr>
            <w:tcW w:w="291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designated</w:t>
            </w:r>
          </w:p>
        </w:tc>
        <w:tc>
          <w:tcPr>
            <w:tcW w:w="2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75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 28,</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 29,</w:t>
            </w:r>
          </w:p>
        </w:tc>
        <w:tc>
          <w:tcPr>
            <w:tcW w:w="80" w:type="dxa"/>
            <w:tcBorders/>
            <w:vAlign w:val="center"/>
          </w:tcPr>
          <w:p>
            <w:pPr>
              <w:pStyle w:val="TableContents"/>
              <w:bidi w:val="0"/>
              <w:spacing w:before="0" w:after="283"/>
              <w:jc w:val="left"/>
              <w:rPr/>
            </w:pPr>
            <w:r>
              <w:rPr/>
              <w:t> </w:t>
            </w:r>
          </w:p>
        </w:tc>
      </w:tr>
      <w:tr>
        <w:trPr/>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hedging instruments</w:t>
            </w:r>
          </w:p>
        </w:tc>
        <w:tc>
          <w:tcPr>
            <w:tcW w:w="21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4"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forward contracts</w:t>
            </w:r>
          </w:p>
        </w:tc>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AOCL</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Gains recognized in foreign transaction loss, in the condensed consolidated statements of operations for the portion of the net investment hedges excluded from the assessment of hedge effectiveness was $0.4 million and $0.3 million for the three months ended March 28, 2026, and March 29,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Cash flows associated with settlements of our non-designated foreign currency forward contracts are reported in net cash provided by operating activities and our net investment hedges are included in investing activities in our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our foreign currency forward contracts was determined based on current foreign currency exchange rates and forward points. All our foreign currency forward contracts outstanding on March 28, 2026 will mature during the second quarter of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provides information about our foreign currency forward contracts outstanding as of March 28, 2026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1565"/>
        <w:gridCol w:w="1445"/>
        <w:gridCol w:w="60"/>
        <w:gridCol w:w="94"/>
        <w:gridCol w:w="1335"/>
        <w:gridCol w:w="60"/>
        <w:gridCol w:w="60"/>
        <w:gridCol w:w="248"/>
        <w:gridCol w:w="1181"/>
        <w:gridCol w:w="60"/>
      </w:tblGrid>
      <w:tr>
        <w:trPr/>
        <w:tc>
          <w:tcPr>
            <w:tcW w:w="156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tc>
        <w:tc>
          <w:tcPr>
            <w:tcW w:w="60" w:type="dxa"/>
            <w:tcBorders/>
            <w:vAlign w:val="center"/>
          </w:tcPr>
          <w:p>
            <w:pPr>
              <w:pStyle w:val="TableContents"/>
              <w:bidi w:val="0"/>
              <w:spacing w:before="0" w:after="283"/>
              <w:jc w:val="left"/>
              <w:rPr/>
            </w:pPr>
            <w:r>
              <w:rPr/>
              <w:t> </w:t>
            </w:r>
          </w:p>
        </w:tc>
      </w:tr>
      <w:tr>
        <w:trPr/>
        <w:tc>
          <w:tcPr>
            <w:tcW w:w="15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w:t>
            </w:r>
          </w:p>
        </w:tc>
        <w:tc>
          <w:tcPr>
            <w:tcW w:w="14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Position</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(Local Currency)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 Dollars)</w:t>
            </w:r>
          </w:p>
        </w:tc>
        <w:tc>
          <w:tcPr>
            <w:tcW w:w="6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50,300</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13,795</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Korean Won</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3,254,688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Japanese Yen</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4,070</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Sell</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52,143</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Sell</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foreign currency contracts are classified within Level 2 of the fair value hierarchy as they are valued using pricing models that utilize observable market inputs. The fair values of foreign currency contracts outstanding on March 28, 2026 and December 27, 2025 were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760" w:type="dxa"/>
        <w:jc w:val="left"/>
        <w:tblInd w:w="0" w:type="dxa"/>
        <w:tblLayout w:type="fixed"/>
        <w:tblCellMar>
          <w:top w:w="0" w:type="dxa"/>
          <w:left w:w="0" w:type="dxa"/>
          <w:bottom w:w="0" w:type="dxa"/>
          <w:right w:w="0" w:type="dxa"/>
        </w:tblCellMar>
      </w:tblPr>
      <w:tblGrid>
        <w:gridCol w:w="170"/>
        <w:gridCol w:w="5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Capped Call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Notes offering described in Note 3, “Borrowings and Credit Agreements”, on September 24, 2025, we entered into privately negotiated capped call transactions (the “Base Capped Call Transactions”) with an affiliate of one or more of the initial purchasers of the Notes and certain other financial institutions (the “Option Counterparties”). In addition, on September 25, 2025, in connection with the initial purchasers’ exercise in full of their option to purchase additional Notes, we entered into additional capped call transactions (the “Additional Capped Call Transactions,” and, together with the Base Capped Call Transactions, the “Capped Call Transactions”) with each of the Option Counterparties. The Capped Call Transactions are separate from the Notes and do not change the holders' rights under the Notes. Holders of the Notes do not have any rights with respect to the Capped Call Transactions. The Capped Call Transactions are generally expected to reduce the potential dilution to our common stock upon any conversion of the Notes and/or offset any potential cash payments we are required to make in excess of the principal amount of converted Notes, with such reduction and/or offset subject to a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Capped Call Transactions are for an aggregate of 10.58 million shares of our common stock, subject to certain anti-dilution adjustments. Each capped call option has an initial strike price of approximately $27.18 per share, which corresponds to the initial conversion price of the Notes, and an initial cap price of approximately $41.02 per share, representing a premium of approximately 100% above the reference price of $20.51, which was the last reported sale price of our common stock on September 24, 2025. The strike and cap prices are subject to certain adjustments. The Capped Call Transactions are intended to offset some or all of the potential dilution to our common stock caused by any conversion of the Notes up to the cap price. The capped call options can be settled in either net shares or cash at our option in components commencing October 15, 2030, and ending January 15, 2031, which could be extended under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capped call options are subject to either adjustment or termination upon the occurrence of specified extraordinary events affecting us, including a merger, tender offer, nationalization, insolvency or delisting. In addition, certain events may result in a termination of the capped call options, including changes in law and hedging disruptions. The Capped Call Transactions are recorded at their aggregate cost of $31.4 million as a reduction to paid-in capital stock in the shareholders’ equity section of our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We did not repurchase any common shares of our stock during the three months ended March 28, 2026. During the three months ended March 29, 2025, we repurchased 432,288 shares of our common stock for $8.6 million to be held as treasury stock. As of March 28, 2026,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170"/>
        <w:gridCol w:w="120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9.</w:t>
            </w:r>
          </w:p>
        </w:tc>
        <w:tc>
          <w:tcPr>
            <w:tcW w:w="12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account for income taxes in accordance with ASC Topic 740, Income Taxes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generation of tax credits, changes in uncertain tax benefit positions, changes to valuation allowances, the accrual of taxes on unremitted income of our foreign subsidiaries, and the impact of Net CFC Tested Income (“NCTI” formerly known as GILTI).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and California.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Based on the evidence available, including a lack of sustainable earnings and history of expiring unused NOLs, and tax credits, we continue to maintain our judgment that previously recorded valuation allowances against substantially all net deferred tax assets are required in the United States, Switzerland, and Malaysia. If a change in judgment regarding this valuation allowance were to occur in the future, we will record a potentially material deferred tax benefit, which could result in a favorable impact on the effective tax rate in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in ASC 740, we have classified unrecognized tax benefits as non-current income tax liabilities, or a reduction in non-current deferred tax assets, unless they are expected to be paid within one year. Our continuing practice is to recognize interest and/or penalties related to income tax matters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275"/>
        <w:gridCol w:w="32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w:t>
            </w:r>
          </w:p>
        </w:tc>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and Geographic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which is our Chief Executive Officer, Luis A. Müller and for which discrete financial information is available. We have determined that our three identified operating segments are: TH, ST and IS. Our three operating segments qualify for aggregation under ASC 280 due to similarities in their customers, their economic characteristics, and the nature of products and services provided. As a result, we report in one segment, Semiconductor Test &amp; Inspection, which derives revenue from the design and manufacture of equipment and components used in the testing of semiconductors.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CODM assesses performance of the Semiconductor Test &amp; Inspection segment and decides how to allocate resources based on loss before taxes. The table below summarizes selected financial information for our single reportable segment.</w:t>
      </w:r>
    </w:p>
    <w:p>
      <w:pPr>
        <w:pStyle w:val="TextBody"/>
        <w:bidi w:val="0"/>
        <w:spacing w:before="0" w:after="0"/>
        <w:ind w:left="0" w:right="0" w:hanging="0"/>
        <w:jc w:val="left"/>
        <w:rPr>
          <w:caps w:val="false"/>
          <w:smallCaps w:val="false"/>
        </w:rPr>
      </w:pPr>
      <w:r>
        <w:rPr>
          <w:caps w:val="false"/>
          <w:smallCaps w:val="false"/>
        </w:rPr>
        <w:t> </w:t>
      </w:r>
    </w:p>
    <w:tbl>
      <w:tblPr>
        <w:tblW w:w="6173" w:type="dxa"/>
        <w:jc w:val="left"/>
        <w:tblInd w:w="0" w:type="dxa"/>
        <w:tblLayout w:type="fixed"/>
        <w:tblCellMar>
          <w:top w:w="0" w:type="dxa"/>
          <w:left w:w="0" w:type="dxa"/>
          <w:bottom w:w="0" w:type="dxa"/>
          <w:right w:w="0" w:type="dxa"/>
        </w:tblCellMar>
      </w:tblPr>
      <w:tblGrid>
        <w:gridCol w:w="3575"/>
        <w:gridCol w:w="60"/>
        <w:gridCol w:w="176"/>
        <w:gridCol w:w="983"/>
        <w:gridCol w:w="80"/>
        <w:gridCol w:w="60"/>
        <w:gridCol w:w="187"/>
        <w:gridCol w:w="972"/>
        <w:gridCol w:w="80"/>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8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96,797</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54,155</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21,933</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13,124</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&amp; administrative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12,201</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Other segment items </w:t>
            </w:r>
            <w:r>
              <w:rPr>
                <w:rFonts w:ascii="Times New Roman;Times;serif" w:hAnsi="Times New Roman;Times;serif"/>
                <w:caps w:val="false"/>
                <w:smallCaps w:val="false"/>
                <w:sz w:val="16"/>
              </w:rPr>
              <w:t>(1)</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5,268</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8110" w:type="dxa"/>
        <w:jc w:val="left"/>
        <w:tblInd w:w="0" w:type="dxa"/>
        <w:tblLayout w:type="fixed"/>
        <w:tblCellMar>
          <w:top w:w="0" w:type="dxa"/>
          <w:left w:w="0" w:type="dxa"/>
          <w:bottom w:w="0" w:type="dxa"/>
          <w:right w:w="0" w:type="dxa"/>
        </w:tblCellMar>
      </w:tblPr>
      <w:tblGrid>
        <w:gridCol w:w="60"/>
        <w:gridCol w:w="245"/>
        <w:gridCol w:w="78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include restructuring charges as well as miscellaneous non-operating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For revenues by geography and information on customer concentration, see Note 1,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910" w:type="dxa"/>
        <w:jc w:val="left"/>
        <w:tblInd w:w="0" w:type="dxa"/>
        <w:tblLayout w:type="fixed"/>
        <w:tblCellMar>
          <w:top w:w="0" w:type="dxa"/>
          <w:left w:w="0" w:type="dxa"/>
          <w:bottom w:w="0" w:type="dxa"/>
          <w:right w:w="0" w:type="dxa"/>
        </w:tblCellMar>
      </w:tblPr>
      <w:tblGrid>
        <w:gridCol w:w="320"/>
        <w:gridCol w:w="590"/>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11. </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lease certain of our facilities, equipment and vehicles under non-cancelable operating and finance leases. Leases with initial terms of 12 months or less are not recorded on the condensed consolidated balance sheet, but we recognize those lease payments in the condensed consolidated statements of operations on a straight-line basis over the lease term. Lease and non-lease components are included in the calculation of the ROU asset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leases have remaining lease terms of up to 32 years, some of which include one or more options to extend the lease for up to 25 years. Our lease terms include renewal terms when we are reasonably certain that we will exercise the renewal options. We sublease certain leased assets to third parties, mainly as a result of unused space in our facilities.</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was as follows:</w:t>
      </w:r>
    </w:p>
    <w:p>
      <w:pPr>
        <w:pStyle w:val="TextBody"/>
        <w:bidi w:val="0"/>
        <w:spacing w:before="0" w:after="0"/>
        <w:ind w:left="560" w:right="0" w:hanging="0"/>
        <w:jc w:val="left"/>
        <w:rPr>
          <w:caps w:val="false"/>
          <w:smallCaps w:val="false"/>
        </w:rPr>
      </w:pPr>
      <w:r>
        <w:rPr>
          <w:caps w:val="false"/>
          <w:smallCaps w:val="false"/>
        </w:rPr>
        <w:t> </w:t>
      </w:r>
    </w:p>
    <w:tbl>
      <w:tblPr>
        <w:tblW w:w="8008" w:type="dxa"/>
        <w:jc w:val="left"/>
        <w:tblInd w:w="0" w:type="dxa"/>
        <w:tblLayout w:type="fixed"/>
        <w:tblCellMar>
          <w:top w:w="0" w:type="dxa"/>
          <w:left w:w="0" w:type="dxa"/>
          <w:bottom w:w="28" w:type="dxa"/>
          <w:right w:w="0" w:type="dxa"/>
        </w:tblCellMar>
      </w:tblPr>
      <w:tblGrid>
        <w:gridCol w:w="1790"/>
        <w:gridCol w:w="2825"/>
        <w:gridCol w:w="60"/>
        <w:gridCol w:w="229"/>
        <w:gridCol w:w="1080"/>
        <w:gridCol w:w="185"/>
        <w:gridCol w:w="60"/>
        <w:gridCol w:w="278"/>
        <w:gridCol w:w="1316"/>
        <w:gridCol w:w="185"/>
      </w:tblGrid>
      <w:tr>
        <w:trPr/>
        <w:tc>
          <w:tcPr>
            <w:tcW w:w="179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28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Classification</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 2026</w:t>
            </w:r>
          </w:p>
        </w:tc>
        <w:tc>
          <w:tcPr>
            <w:tcW w:w="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 2025</w:t>
            </w:r>
          </w:p>
        </w:tc>
        <w:tc>
          <w:tcPr>
            <w:tcW w:w="18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28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28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28,422</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29,271</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w:t>
            </w:r>
          </w:p>
        </w:tc>
        <w:tc>
          <w:tcPr>
            <w:tcW w:w="28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4615" w:type="dxa"/>
            <w:gridSpan w:val="2"/>
            <w:tcBorders/>
            <w:shd w:fill="FFFFFF" w:val="clear"/>
            <w:tcMar>
              <w:bottom w:w="0" w:type="dxa"/>
            </w:tcM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28,476</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29,339</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28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28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28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2,909</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w:t>
            </w:r>
          </w:p>
        </w:tc>
        <w:tc>
          <w:tcPr>
            <w:tcW w:w="28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28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31,149</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31,693</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4615" w:type="dxa"/>
            <w:gridSpan w:val="2"/>
            <w:tcBorders/>
            <w:shd w:fill="FFFFFF" w:val="clear"/>
            <w:tcMar>
              <w:bottom w:w="0" w:type="dxa"/>
            </w:tcM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34,058</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34,793</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 </w:t>
            </w:r>
          </w:p>
        </w:tc>
        <w:tc>
          <w:tcPr>
            <w:tcW w:w="28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4615" w:type="dxa"/>
            <w:gridSpan w:val="2"/>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615" w:type="dxa"/>
            <w:gridSpan w:val="2"/>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ind w:left="0" w:right="0" w:hanging="0"/>
              <w:jc w:val="left"/>
              <w:rPr/>
            </w:pPr>
            <w:r>
              <w:rPr/>
              <w:t> </w:t>
            </w:r>
          </w:p>
        </w:tc>
        <w:tc>
          <w:tcPr>
            <w:tcW w:w="10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28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615" w:type="dxa"/>
            <w:gridSpan w:val="2"/>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4615" w:type="dxa"/>
            <w:gridSpan w:val="2"/>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pPr>
            <w:r>
              <w:rPr/>
              <w:t> </w:t>
            </w:r>
          </w:p>
        </w:tc>
        <w:tc>
          <w:tcPr>
            <w:tcW w:w="10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expense were as follows:</w:t>
      </w:r>
    </w:p>
    <w:p>
      <w:pPr>
        <w:pStyle w:val="TextBody"/>
        <w:bidi w:val="0"/>
        <w:spacing w:before="0" w:after="0"/>
        <w:ind w:left="560" w:right="0" w:hanging="0"/>
        <w:jc w:val="left"/>
        <w:rPr>
          <w:caps w:val="false"/>
          <w:smallCaps w:val="false"/>
        </w:rPr>
      </w:pPr>
      <w:r>
        <w:rPr>
          <w:caps w:val="false"/>
          <w:smallCaps w:val="false"/>
        </w:rPr>
        <w:t> </w:t>
      </w:r>
    </w:p>
    <w:tbl>
      <w:tblPr>
        <w:tblW w:w="5267" w:type="dxa"/>
        <w:jc w:val="left"/>
        <w:tblInd w:w="0" w:type="dxa"/>
        <w:tblLayout w:type="fixed"/>
        <w:tblCellMar>
          <w:top w:w="0" w:type="dxa"/>
          <w:left w:w="0" w:type="dxa"/>
          <w:bottom w:w="0" w:type="dxa"/>
          <w:right w:w="0" w:type="dxa"/>
        </w:tblCellMar>
      </w:tblPr>
      <w:tblGrid>
        <w:gridCol w:w="2375"/>
        <w:gridCol w:w="60"/>
        <w:gridCol w:w="267"/>
        <w:gridCol w:w="1042"/>
        <w:gridCol w:w="77"/>
        <w:gridCol w:w="77"/>
        <w:gridCol w:w="267"/>
        <w:gridCol w:w="1042"/>
        <w:gridCol w:w="6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7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 2026</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2025</w:t>
            </w:r>
          </w:p>
        </w:tc>
        <w:tc>
          <w:tcPr>
            <w:tcW w:w="6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w:t>
            </w:r>
          </w:p>
        </w:tc>
        <w:tc>
          <w:tcPr>
            <w:tcW w:w="6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expense</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6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leased assets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Supplemental cash flow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8657" w:type="dxa"/>
        <w:jc w:val="left"/>
        <w:tblInd w:w="0" w:type="dxa"/>
        <w:tblLayout w:type="fixed"/>
        <w:tblCellMar>
          <w:top w:w="0" w:type="dxa"/>
          <w:left w:w="0" w:type="dxa"/>
          <w:bottom w:w="0" w:type="dxa"/>
          <w:right w:w="0" w:type="dxa"/>
        </w:tblCellMar>
      </w:tblPr>
      <w:tblGrid>
        <w:gridCol w:w="5765"/>
        <w:gridCol w:w="60"/>
        <w:gridCol w:w="267"/>
        <w:gridCol w:w="1042"/>
        <w:gridCol w:w="77"/>
        <w:gridCol w:w="77"/>
        <w:gridCol w:w="267"/>
        <w:gridCol w:w="1042"/>
        <w:gridCol w:w="6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7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57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 2026</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2025</w:t>
            </w:r>
          </w:p>
        </w:tc>
        <w:tc>
          <w:tcPr>
            <w:tcW w:w="6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1,508</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Leased assets obtained in exchange for new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Future minimum lease payments on March 28, 2026, are as follows:</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2585"/>
        <w:gridCol w:w="60"/>
        <w:gridCol w:w="133"/>
        <w:gridCol w:w="697"/>
        <w:gridCol w:w="80"/>
        <w:gridCol w:w="60"/>
        <w:gridCol w:w="405"/>
        <w:gridCol w:w="260"/>
        <w:gridCol w:w="60"/>
        <w:gridCol w:w="60"/>
        <w:gridCol w:w="125"/>
        <w:gridCol w:w="65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4,953</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5,342</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4,359</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4,640</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4,876</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22,103</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46,273</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34,058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w:t>
            </w:r>
          </w:p>
        </w:tc>
        <w:tc>
          <w:tcPr>
            <w:tcW w:w="12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15" w:type="dxa"/>
        <w:jc w:val="left"/>
        <w:tblInd w:w="0" w:type="dxa"/>
        <w:tblLayout w:type="fixed"/>
        <w:tblCellMar>
          <w:top w:w="0" w:type="dxa"/>
          <w:left w:w="0" w:type="dxa"/>
          <w:bottom w:w="0" w:type="dxa"/>
          <w:right w:w="0" w:type="dxa"/>
        </w:tblCellMar>
      </w:tblPr>
      <w:tblGrid>
        <w:gridCol w:w="275"/>
        <w:gridCol w:w="104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13.</w:t>
            </w:r>
          </w:p>
        </w:tc>
        <w:tc>
          <w:tcPr>
            <w:tcW w:w="10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Guarantees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Product Warranty</w:t>
      </w:r>
    </w:p>
    <w:p>
      <w:pPr>
        <w:pStyle w:val="TextBody"/>
        <w:bidi w:val="0"/>
        <w:spacing w:before="0" w:after="283"/>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products are generally sold with warranty periods that range from 12 to 36 months following sale or acceptance. The product warranty promises customers that delivered products are as specified in the contract (an “assurance-type warranty”). Therefore, we account for such product warranties under ASC 460, and not as a separate performance obligation. Parts and labor are covered under the terms of the warranty agreement. The warranty provision is based on historical and projected experience by product and configuration.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accrued warranty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531" w:type="dxa"/>
        <w:jc w:val="left"/>
        <w:tblInd w:w="0" w:type="dxa"/>
        <w:tblLayout w:type="fixed"/>
        <w:tblCellMar>
          <w:top w:w="0" w:type="dxa"/>
          <w:left w:w="0" w:type="dxa"/>
          <w:bottom w:w="0" w:type="dxa"/>
          <w:right w:w="0" w:type="dxa"/>
        </w:tblCellMar>
      </w:tblPr>
      <w:tblGrid>
        <w:gridCol w:w="2540"/>
        <w:gridCol w:w="60"/>
        <w:gridCol w:w="157"/>
        <w:gridCol w:w="687"/>
        <w:gridCol w:w="93"/>
        <w:gridCol w:w="70"/>
        <w:gridCol w:w="157"/>
        <w:gridCol w:w="687"/>
        <w:gridCol w:w="8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1"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4,402</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expense accruals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payments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4,600</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Accrued warranty amounts expected to be incurred after one year are included in noncurrent other accrued liabilities in the condensed consolidated balance sheet. These amounts totaled $0.3 million and $0.2 million at March 28, 2026, and December 27, 2025, respectively.</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9" w:name="mda"/>
      <w:bookmarkEnd w:id="9"/>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w:t>
      </w:r>
      <w:r>
        <w:rPr>
          <w:rFonts w:ascii="Times New Roman" w:hAnsi="Times New Roman"/>
          <w:caps w:val="false"/>
          <w:smallCaps w:val="false"/>
          <w:sz w:val="20"/>
        </w:rPr>
        <w:t>’</w:t>
      </w:r>
      <w:r>
        <w:rPr>
          <w:rFonts w:ascii="Times New Roman" w:hAnsi="Times New Roman"/>
          <w:i/>
          <w:caps w:val="false"/>
          <w:smallCaps w:val="false"/>
          <w:sz w:val="20"/>
        </w:rPr>
        <w:t>s current expectations and beliefs, including estimates and projections about our business and include, but are not limited to, statements concerning financial position, business strategy, our industry environment, market growth expectations, and plans or objectives for future operations. Forward-looking statements are not guarantees of future performance, and are subject to certain risks, uncertainties, and assumptions that are difficult to predict and may cause actual results to differ materially from management</w:t>
      </w:r>
      <w:r>
        <w:rPr>
          <w:rFonts w:ascii="Times New Roman" w:hAnsi="Times New Roman"/>
          <w:caps w:val="false"/>
          <w:smallCaps w:val="false"/>
          <w:sz w:val="20"/>
        </w:rPr>
        <w:t>’</w:t>
      </w:r>
      <w:r>
        <w:rPr>
          <w:rFonts w:ascii="Times New Roman" w:hAnsi="Times New Roman"/>
          <w:i/>
          <w:caps w:val="false"/>
          <w:smallCaps w:val="false"/>
          <w:sz w:val="20"/>
        </w:rPr>
        <w:t xml:space="preserve">s current expectations. Such risks and uncertainties include those set forth in this Quarterly Report on Form 10-Q and our 2025 Annual Report on Form 10-K under the heading </w:t>
      </w:r>
      <w:r>
        <w:rPr>
          <w:rFonts w:ascii="Times New Roman" w:hAnsi="Times New Roman"/>
          <w:caps w:val="false"/>
          <w:smallCaps w:val="false"/>
          <w:sz w:val="20"/>
        </w:rPr>
        <w:t>“</w:t>
      </w:r>
      <w:r>
        <w:rPr>
          <w:rFonts w:ascii="Times New Roman" w:hAnsi="Times New Roman"/>
          <w:i/>
          <w:caps w:val="false"/>
          <w:smallCaps w:val="false"/>
          <w:sz w:val="20"/>
        </w:rPr>
        <w:t>Item</w:t>
      </w:r>
      <w:r>
        <w:rPr>
          <w:rFonts w:ascii="Times New Roman" w:hAnsi="Times New Roman"/>
          <w:caps w:val="false"/>
          <w:smallCaps w:val="false"/>
          <w:sz w:val="20"/>
        </w:rPr>
        <w:t> </w:t>
      </w:r>
      <w:r>
        <w:rPr>
          <w:rFonts w:ascii="Times New Roman" w:hAnsi="Times New Roman"/>
          <w:i/>
          <w:caps w:val="false"/>
          <w:smallCaps w:val="false"/>
          <w:sz w:val="20"/>
        </w:rPr>
        <w:t>1A. Risk Factors</w:t>
      </w:r>
      <w:r>
        <w:rPr>
          <w:rFonts w:ascii="Times New Roman" w:hAnsi="Times New Roman"/>
          <w:caps w:val="false"/>
          <w:smallCaps w:val="false"/>
          <w:sz w:val="20"/>
        </w:rPr>
        <w:t>”</w:t>
      </w:r>
      <w:r>
        <w:rPr>
          <w:rFonts w:ascii="Times New Roman" w:hAnsi="Times New Roman"/>
          <w:i/>
          <w:caps w:val="false"/>
          <w:smallCaps w:val="false"/>
          <w:sz w:val="20"/>
        </w:rPr>
        <w:t>. The forward-looking statements in this report speak only as of the time they are made, and do not necessarily reflect management</w:t>
      </w:r>
      <w:r>
        <w:rPr>
          <w:rFonts w:ascii="Times New Roman" w:hAnsi="Times New Roman"/>
          <w:caps w:val="false"/>
          <w:smallCaps w:val="false"/>
          <w:sz w:val="20"/>
        </w:rPr>
        <w:t>’</w:t>
      </w:r>
      <w:r>
        <w:rPr>
          <w:rFonts w:ascii="Times New Roman" w:hAnsi="Times New Roman"/>
          <w:i/>
          <w:caps w:val="false"/>
          <w:smallCaps w:val="false"/>
          <w:sz w:val="20"/>
        </w:rPr>
        <w: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 This Form 10-Q also contains estimates, projections and other information concerning our industry, our business, and the markets for certain of our products.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and general publications, government data, and similar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was founded in 1947 and is a global supplier of equipment and services optimizing semiconductor manufacturing yield and productivity. We serve global semiconductor manufacturers and test subcontractors with a broad portfolio of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three months ended March 28, 2026, net sales increased 2.3% sequentially to $125.1 million. Revenue from our capital equipment products is primarily driven by customers’ capital expenditures and operating budgets, which depend on capacity utilization, inventory levels, and anticipated end</w:t>
        <w:noBreakHyphen/>
        <w:t>market demand and may fluctuate significantly with industry conditions, with capital spending related to artificial intelligence (“AI”) and high</w:t>
        <w:noBreakHyphen/>
        <w:t>performance computing currently more resilient than automotive, industrial, and consumer markets. In contrast, revenue from our recurring products, such as test consumables and services, is influenced by the volume of semiconductor devices tested and customers’ ongoing technology transitions, and because this revenue is tied to the installed base and production activity rather than discrete capital purchase decisions, it is generally more stable and less cyclical than capital equipment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Global macroeconomic and geopolitical factors continue to influence the semiconductor industry. While elevated interest rates and ongoing geopolitical uncertainty have moderated capital spending in certain end markets, industry conditions have become increasingly bifurcated. Automotive, industrial, and consumer</w:t>
        <w:noBreakHyphen/>
        <w:t>oriented semiconductor markets remain subdued as customers continue to manage excess inventory levels and delay certain capacity investments, leading many semiconductor companies to maintain cost controls and selectively defer expansion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contrast, demand related to artificial intelligence (“AI”), high</w:t>
        <w:noBreakHyphen/>
        <w:t>performance computing, and data center applications has remained comparatively strong and continues to support investment in advanced semiconductor testing and inspection solutions. During the first quarter of fiscal 2026, our net sales benefited from increased customer activity associated with AI</w:t>
        <w:noBreakHyphen/>
        <w:t>driven computing applications, which helped to offset ongoing weakness in automotive, industrial, and consumer</w:t>
        <w:noBreakHyphen/>
        <w:t>focused markets. These trends are broadly consistent with industry conditions and customer spending patterns specific to our end markets.</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response to economic conditions, in fiscal 2025, we initiated a global restructuring program designed to improve profitability while maintaining investment in product development. We continue to manage our cost structure with discipline while preserving flexibility to support anticipated growth opportunities, particularly in AI</w:t>
        <w:noBreakHyphen/>
        <w:t>related applications. We remain focused on building a well</w:t>
        <w:noBreakHyphen/>
        <w:t>balanced and resilient business model, executing on customer design wins, and developing innovative products. We are expanding our addressable market with new test, inspection, and automation solutions and are encouraged by increasing customer adoption of semiconductor test and inspection equipment used in AI</w:t>
        <w:noBreakHyphen/>
        <w:t>enabled data centers and advanced packaging applications. Despite continued near</w:t>
        <w:noBreakHyphen/>
        <w:t>term variability across certain semiconductor end markets, we believe our long</w:t>
        <w:noBreakHyphen/>
        <w:t>term market drivers remain intact, supported by increasing semiconductor complexity, higher quality and reliability requirements, test intensity, automation, smart manufacturing initiatives, and the proliferation of electronics across automotive, mobile, industrial, computing, and consumer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Application of Critical Accounting Estimates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critical accounting estimates that we believe are the most important to investors’ understanding of our financial results and condition require complex management judgment and include:</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0"/>
        <w:gridCol w:w="170"/>
        <w:gridCol w:w="9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recognition, including the deferral of revenue on sales to customers, which impacts our results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estimation of valuation allowances and accrued liabilities, specifically inventory reserves, which impact gross margin or operating expenses;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assessment of recoverability of goodwill, which primarily impacts gross margin or operating expenses if we are required to record impairments or accelerate depreciation.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caps w:val="false"/>
          <w:smallCaps w:val="false"/>
          <w:sz w:val="20"/>
        </w:rPr>
        <w:t xml:space="preserve"> 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the transfer of control is completed for the related contract or upon completion of the services if they are short-term in nature. Spares and contactor and kit revenue are generally recognized upon shipment. Certain of our equipment sales have multiple performance obligations. These arrangements involve the delivery or performance of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On March 28, 2026, we had $4.9 million of revenue expected to be recognized in the future related to performance obligations that are unsatisfied (or partially unsatisfied) with expected durations of over one year. As allowed under ASC 606, we have opted not to disclose unsatisfied performance obligations for contracts with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460, and not as a separate performance obligation. The transaction price reflects our expectations about the consideration we will be entitled to receive from the customer and may include fixed or variable amounts. Fixed consideration primarily includes sales to customers in which the amount of consideration is known as of the end of the reporting period. Variable consideration includes sales in which the amount of consideration that we will receive is unknown as of the end of a reporting period. Such consideration primarily relates to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for which it is probable that a significant reversal of cumulative revenue recognized will not occur when the uncertainty associated with the variable consideration is subsequently resolved. This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or contract liabilities recorded on the condensed consolidated balance sheet in any of the periods presented. On shipments where sales are not recognized, gross profit is generally recorded as deferred profit in the condensed consolidated balance sheet representing the difference between the receivable recorded and the inventory shipped.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Accounts Receivable: </w:t>
      </w:r>
      <w:r>
        <w:rPr>
          <w:rFonts w:ascii="Times New Roman" w:hAnsi="Times New Roman"/>
          <w:caps w:val="false"/>
          <w:smallCaps w:val="false"/>
          <w:sz w:val="20"/>
        </w:rPr>
        <w:t>We maintain an allowance for estimated credit losses resulting from the inability of our customers to make required payments. If the 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Inventory: </w:t>
      </w:r>
      <w:r>
        <w:rPr>
          <w:rFonts w:ascii="Times New Roman" w:hAnsi="Times New Roman"/>
          <w:caps w:val="false"/>
          <w:smallCaps w:val="false"/>
          <w:sz w:val="20"/>
        </w:rPr>
        <w:t>The valuation of inventory requires us to estimate obsolete or excess inventory as well as inventory that is not of saleable quality. The 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Income Taxes: </w:t>
      </w:r>
      <w:r>
        <w:rPr>
          <w:rFonts w:ascii="Times New Roman" w:hAnsi="Times New Roman"/>
          <w:caps w:val="false"/>
          <w:smallCaps w:val="false"/>
          <w:sz w:val="20"/>
        </w:rPr>
        <w:t>We estimate our liability for income taxes based on the various jurisdictions where we conduct business. This requires us to estimate our (i) current taxes; (ii) temporary differences that result from differing treatment of certain items for tax and accounting purposes; and (iii) unrecognized tax benefits. Temporary differences result in deferred tax assets and liabilities that are reflected in the condensed consolidated balance sheet. The deferred tax assets are reduced by a valuation allowance if, based upon all available evidence, it is more likely than not that some or all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deferred tax assets consist primarily of research and development costs that were required to be capitalized under IRC Section 174, net of related amortization, reserves and accruals that are not yet deductible for tax, and tax credit and net operating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Segment Information:</w:t>
      </w:r>
      <w:r>
        <w:rPr>
          <w:rFonts w:ascii="Times New Roman" w:hAnsi="Times New Roman"/>
          <w:caps w:val="false"/>
          <w:smallCaps w:val="false"/>
          <w:sz w:val="20"/>
        </w:rPr>
        <w:t xml:space="preserve"> We apply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and for which discrete financial information is available. We have determined that our three identified operating segments are: TH, ST and IS. Our three operating segments qualify for aggregation under ASC 280 due to similarities in their customers, their economic characteristics, and the nature of products and services provided. As a result, we report in one segment,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Goodwill, Intangible Assets and Other Long-lived Assets: </w:t>
      </w:r>
      <w:r>
        <w:rPr>
          <w:rFonts w:ascii="Times New Roman" w:hAnsi="Times New Roman"/>
          <w:caps w:val="false"/>
          <w:smallCaps w:val="false"/>
          <w:sz w:val="20"/>
        </w:rPr>
        <w:t>We evaluate goodwill for impairment annually and whenever events or changes in circumstances indicate that the carrying value may not be recoverable. Goodwill impairment testing is performed at the reporting unit level by comparing the estimated fair value of the reporting unit to its carrying value, including goodwill. If the carrying value exceeds fair value, an impairment charge is recognized for the amount by which the carrying value exceeds the fair value, limited to the carrying amount of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estimate the fair values of our reporting units using a weighting of the income and market approaches. Under the income approach, we use a discounted cash flow methodology, which requires significant judgment and estimates related to, among other things, forecasted revenues, gross profit margins, operating income margins, working capital cash flows, perpetual growth rates, and long</w:t>
        <w:noBreakHyphen/>
        <w:t>term discount rates. The market approach utilizes the guideline public company method, under which valuation multiples derived from comparable publicly traded companies with similar operating and investment characteristics are applied to the reporting unit’s operating performance metrics. The indicated values derived from the income and market approaches are equally weighted to determine the estimated fair value of each reporting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Forecasts of future cash flows are based on management’s best estimates of future net sales and operating expenses, taking into account customer forecasts, industry trade organization data, and general economic and market conditions. Fair value measurements are inherently subjective and sensitive to changes in assumptions. Adverse changes in forecasted results, discount rates, long</w:t>
        <w:noBreakHyphen/>
        <w:t>term growth assumptions, macroeconomic conditions, customer demand, competitive dynamics, or other factors could result in a reduction in the estimated fair value of one or more reporting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performed our annual goodwill impairment test as of October 1, 2025, and determined that the estimated fair values of our reporting units exceeded their respective carrying values. As disclosed in our Annual Report on Form 10</w:t>
        <w:noBreakHyphen/>
        <w:t>K for fiscal 2025, our IS reporting unit had less excess fair value over carrying value relative to our other reporting units as of the annual assessment date. Goodwill associated with the IS reporting unit represented approximately 39% of total goodwill as of the annual assessment date. Based on our analysis, including all relevant qualitative and quantitative factors, we concluded that no impairment existed as of the annual assessment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 is also required to be evaluated for impairment between annual testing dates if indicators of impairment arise. Based on our evaluation of events, including operating results and market conditions through March 28, 2026, we determined that no such triggering events had occurred. If circumstances change and an interim impairment assessment is required, it could result in a non</w:t>
        <w:noBreakHyphen/>
        <w:t>cash impairment charge, which could be material and would adversely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three months of fiscal 2026, no events or conditions occurred suggesting an impairment in our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Warranty: </w:t>
      </w:r>
      <w:r>
        <w:rPr>
          <w:rFonts w:ascii="Times New Roman" w:hAnsi="Times New Roman"/>
          <w:caps w:val="false"/>
          <w:smallCaps w:val="false"/>
          <w:sz w:val="20"/>
        </w:rPr>
        <w:t>We provide for the estimated costs of product warranties in the period sales are recognized. Our warranty obligation estimates are affected by 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Contingencies:</w:t>
      </w:r>
      <w:r>
        <w:rPr>
          <w:rFonts w:ascii="Times New Roman" w:hAnsi="Times New Roman"/>
          <w:caps w:val="false"/>
          <w:smallCaps w:val="false"/>
          <w:sz w:val="20"/>
        </w:rPr>
        <w:t xml:space="preserve"> We are subject to certain contingencies that arise in the ordinary course of our businesses which require us to assess the likelihood that future events will confirm the existence of a loss or an impairment of an asset. If a loss or asset impairment is probable and the amount of the loss or impairment is reasonably estimable, we accrue a charge to operations in the period such conditions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Share-based Compensation:</w:t>
      </w:r>
      <w:r>
        <w:rPr>
          <w:rFonts w:ascii="Times New Roman" w:hAnsi="Times New Roman"/>
          <w:caps w:val="false"/>
          <w:smallCaps w:val="false"/>
          <w:sz w:val="20"/>
        </w:rPr>
        <w:t xml:space="preserve"> Compensation expense for restricted stock unit (RSU) awards is calculated based on the market price of our common stock on the grant date. As Cohu doesn’t currently pay dividends, no reduction for expected dividends is applied. Compensation expense for performance stock units (PSUs) with market-based goals is determined using a Monte Carlo simulation model as of the grant date. When granted, compensation expense for stock options is measured based on the fair value of the award on its grant date, which we estimate using the Black-Scholes valuation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 description of accounting changes and recent accounting pronouncements, including the expected dates of adoption and estimated effects, if any, on our consolidated financial statements, see “Recent Accounting Pronouncements”, in Note 1 located in Part I, Item 1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certain operating data as a percentage of net sales:</w:t>
      </w:r>
    </w:p>
    <w:p>
      <w:pPr>
        <w:pStyle w:val="TextBody"/>
        <w:bidi w:val="0"/>
        <w:spacing w:before="0" w:after="0"/>
        <w:ind w:left="0" w:right="0" w:hanging="0"/>
        <w:jc w:val="left"/>
        <w:rPr>
          <w:caps w:val="false"/>
          <w:smallCaps w:val="false"/>
        </w:rPr>
      </w:pPr>
      <w:r>
        <w:rPr>
          <w:caps w:val="false"/>
          <w:smallCaps w:val="false"/>
        </w:rPr>
        <w:t> </w:t>
      </w:r>
    </w:p>
    <w:tbl>
      <w:tblPr>
        <w:tblW w:w="5945" w:type="dxa"/>
        <w:jc w:val="left"/>
        <w:tblInd w:w="0" w:type="dxa"/>
        <w:tblLayout w:type="fixed"/>
        <w:tblCellMar>
          <w:top w:w="0" w:type="dxa"/>
          <w:left w:w="0" w:type="dxa"/>
          <w:bottom w:w="0" w:type="dxa"/>
          <w:right w:w="0" w:type="dxa"/>
        </w:tblCellMar>
      </w:tblPr>
      <w:tblGrid>
        <w:gridCol w:w="3575"/>
        <w:gridCol w:w="60"/>
        <w:gridCol w:w="92"/>
        <w:gridCol w:w="752"/>
        <w:gridCol w:w="303"/>
        <w:gridCol w:w="74"/>
        <w:gridCol w:w="92"/>
        <w:gridCol w:w="752"/>
        <w:gridCol w:w="24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5"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24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30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24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303"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24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First Quarter of Fiscal 2026 Compared to First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consolidated net sales increased 29.3% to $125.1 million in 2026, compared to $96.8 million in 2025. Net sales for the first quarter of fiscal 2026 increased compared to the same period in fiscal 2025, primarily driven by stronger demand across mobile and AI</w:t>
        <w:noBreakHyphen/>
        <w:t>based computing applications. While the global macroeconomic environment continued to weigh on automotive, industrial, and consumer end markets, demand for mobile and AI</w:t>
        <w:noBreakHyphen/>
        <w:t>based computing applications helped to offset these pressures and was the primary contributor to year</w:t>
        <w:noBreakHyphen/>
        <w:t>over</w:t>
        <w:noBreakHyphen/>
        <w:t>year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(exclusive of amortization of acquisition-related intangible assets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 consists of net sales, less cost of sales. Cost of sales consists primarily of materials, assembly, test labor, and overhead from operations. Our gross margin can fluctuate due to a number of factors, including, but not limited to, the mix and volume of products sold, product support costs, changes in inventory reserves, the sale of previously reserved inventory, manufacturing cost structure, and business volume which impacts the utilization of our manufacturing capacity. Our gross margin, as a percentage of net sales for the first quarter, was 46.3% in fiscal 2026 and 43.7% in fiscal 2025. Gross margin in the first quarter of fiscal 2026 was impacted by a more favorable mix of systems sold to customers, as well as higher overall business volume, which enabled improved utilization of our existing manufacturing cost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compute the majority of our excess and obsolete inventory reserve requirements using inventory usage forecasts. During the first quarter of fiscal 2026 and 2025, we recorded charges to cost of sales of $2.3 million and $1.6 million for excess and obsolete inventory, respectively. We believe our reserves for excess and obsolete inventory and lower of cost or net realizable value are adequate to cover known exposures as of March 28, 2026. Further reductions in customer forecasts, continued modifications to products, or our failure to meet specifications or other customer requirements, may result in additional charges to operations that could negatively impact our gross margin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Research and Development Expense (</w:t>
      </w:r>
      <w:r>
        <w:rPr>
          <w:rFonts w:ascii="Times New Roman" w:hAnsi="Times New Roman"/>
          <w:caps w:val="false"/>
          <w:smallCaps w:val="false"/>
          <w:sz w:val="20"/>
        </w:rPr>
        <w:t>“</w:t>
      </w:r>
      <w:r>
        <w:rPr>
          <w:rFonts w:ascii="Times New Roman" w:hAnsi="Times New Roman"/>
          <w:b/>
          <w:i/>
          <w:caps w:val="false"/>
          <w:smallCaps w:val="false"/>
          <w:sz w:val="20"/>
        </w:rPr>
        <w:t>R&amp;D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 consists primarily of salaries and related costs of employees engaged in ongoing research, product design and development activities, costs of engineering materials and supplies and professional consulting expenses. R&amp;D expense was $26.4 million in fiscal 2026 and $23.2 million in fiscal 2025, representing 21.1% and 23.9% of net sales, respectively. During the first quarter of fiscal 2026 R&amp;D expenses increased primarily due to higher material costs incurred for new products under development, reflecting continued investment in our product roadmap.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Selling, General and Administrative Expense (</w:t>
      </w:r>
      <w:r>
        <w:rPr>
          <w:rFonts w:ascii="Times New Roman" w:hAnsi="Times New Roman"/>
          <w:caps w:val="false"/>
          <w:smallCaps w:val="false"/>
          <w:sz w:val="20"/>
        </w:rPr>
        <w:t>“</w:t>
      </w:r>
      <w:r>
        <w:rPr>
          <w:rFonts w:ascii="Times New Roman" w:hAnsi="Times New Roman"/>
          <w:b/>
          <w:i/>
          <w:caps w:val="false"/>
          <w:smallCaps w:val="false"/>
          <w:sz w:val="20"/>
        </w:rPr>
        <w:t>SG&amp;A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 consists primarily of salaries and benefit costs of employees, commission expense for independent sales representatives, product promotion and costs of professional services. SG&amp;A expense was $34.6 million or 27.7% of net sales in fiscal 2026, compared to $30.0 million or 31.0% in fiscal 2025. SG&amp;A expense during the first fiscal quarter of 2026 increased on a year-over-year basis, primarily driven by higher business volume and the associated increase in selling and administrative activity. These increases were partially offset by improved operating leverage as SG&amp;A declined as a percentage of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Purchased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purchased intangibles is the process of expensing the cost of an intangible asset acquired through a business combination over the projected life of the asset. Amortization of acquisition-related intangible assets was $7.3 million and $9.9 million in the first fiscal quarter of 2026 and 2025, respectively. The decrease in amortization expense during the first quarter of fiscal 2026 was primarily due to certain acquisition</w:t>
        <w:noBreakHyphen/>
        <w:t>related intangible assets becoming fully amortized during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initiated a broad strategic restructuring program during the first quarter of fiscal 2025 aimed at repositioning our global organization and optimizing our cost structure. As a result of this program, during the first fiscal quarters of fiscal 2026 and fiscal 2025, we incurred restructuring charges totaling $0.8 million and $6.6 million, respectively. The year</w:t>
        <w:noBreakHyphen/>
        <w:t>over</w:t>
        <w:noBreakHyphen/>
        <w:t>year decrease in restructuring charges reflects the substantial completion of the program and lower related activities in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4, “Restructuring Charges” in Part I, Item 1 of this Form 10-Q for additional information with respect to 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was $1.6 million and $0.2 million in the first fiscal quarter of 2026 and 2025, respectively. The increase in interest expense compared to the prior year was primarily attributable to higher interest expense associated with the convertible notes issued during the fourth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$3.8 million and $1.6 million in the first quarter of fiscal 2026 and 2025, respectively. The increase in interest income compared to the prior year was primarily driven by higher average investment balances during fiscal 2026, reflecting the investment of the proceeds from the issuance of the convertible notes in the fourth quarter of fiscal 2025. Despite a lower interest</w:t>
        <w:noBreakHyphen/>
        <w:t>rate environment compared to the prior year, the increase in invested balances more than offset the impact of lower market rates, resulting in higher interest income for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account for income taxes in accordance with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generation of tax credits, changes in uncertain tax benefit positions, changes to valuation allowances, the accrual of taxes on unremitted income of our foreign subsidiaries, and the impact of Net CFC Tested Income (“NCTI” formerly known as GILTI). In addition, we have numerous tax holidays related to our manufacturing operations in Malaysia and the Philippines. The tax holiday periods expire at various times in the future; however, we actively seek to obtain new tax holidays. Our first quarter 2026 tax provision is lower than the first quarter 2025 tax provision primarily due to a reduction in items recognized discretely during the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and California.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as described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factors set forth above, our net loss was $12.1 million for the three months ended March 28, 2026, and $30.8 million for the three months ended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is generally dependent on capital expenditures by semiconductor manufacturers and test subcontractors that are, in turn, dependent on the current and anticipated market demand for semiconductors. The cyclical, seasonal and volatile nature of demand for semiconductor equipment, our primary industry, makes estimates of future revenues, results of operations and net cash flows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March 28, 2026, $160.6 million or 76.1% of our cash and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28, 2026, our total indebtedness, net of deferred financing costs included $278.9 million outstanding under the Notes, $1.5 million outstanding under Kita’s term loans, $5.9 million outstanding under Cohu GmbH’s construction loan, $9.4 million outstanding under Cohu Malaysia’s revolving credit facility and $0.4 million outstanding under Kita’s 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believes that, based on current and anticipated market conditions, our existing cash, cash equivalents, short-term investments, and available credit facilities will be sufficient to meet our anticipated operating and capital requirements for at least the next 12 months. However, our liquidity position could be adversely affected by a decline in demand for our products or services. Additionally, we may pursue strategic acquisitions or increase capital expenditures, which could require additional financing. There can be no assurance that such financing will be available on favorable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Working Capital:</w:t>
      </w:r>
      <w:r>
        <w:rPr>
          <w:rFonts w:ascii="Times New Roman" w:hAnsi="Times New Roman"/>
          <w:caps w:val="false"/>
          <w:smallCaps w:val="false"/>
          <w:sz w:val="20"/>
        </w:rPr>
        <w:t xml:space="preserve"> The following summarizes our cash, cash equivalents, short-term investments and working capital:</w:t>
      </w:r>
    </w:p>
    <w:p>
      <w:pPr>
        <w:pStyle w:val="TextBody"/>
        <w:bidi w:val="0"/>
        <w:spacing w:before="0" w:after="0"/>
        <w:ind w:left="0" w:right="0" w:hanging="0"/>
        <w:jc w:val="left"/>
        <w:rPr>
          <w:caps w:val="false"/>
          <w:smallCaps w:val="false"/>
        </w:rPr>
      </w:pPr>
      <w:r>
        <w:rPr>
          <w:caps w:val="false"/>
          <w:smallCaps w:val="false"/>
        </w:rPr>
        <w:t> </w:t>
      </w:r>
    </w:p>
    <w:tbl>
      <w:tblPr>
        <w:tblW w:w="8522" w:type="dxa"/>
        <w:jc w:val="left"/>
        <w:tblInd w:w="0" w:type="dxa"/>
        <w:tblLayout w:type="fixed"/>
        <w:tblCellMar>
          <w:top w:w="0" w:type="dxa"/>
          <w:left w:w="0" w:type="dxa"/>
          <w:bottom w:w="0" w:type="dxa"/>
          <w:right w:w="0" w:type="dxa"/>
        </w:tblCellMar>
      </w:tblPr>
      <w:tblGrid>
        <w:gridCol w:w="4100"/>
        <w:gridCol w:w="60"/>
        <w:gridCol w:w="128"/>
        <w:gridCol w:w="716"/>
        <w:gridCol w:w="60"/>
        <w:gridCol w:w="60"/>
        <w:gridCol w:w="171"/>
        <w:gridCol w:w="958"/>
        <w:gridCol w:w="60"/>
        <w:gridCol w:w="60"/>
        <w:gridCol w:w="159"/>
        <w:gridCol w:w="700"/>
        <w:gridCol w:w="80"/>
        <w:gridCol w:w="60"/>
        <w:gridCol w:w="137"/>
        <w:gridCol w:w="768"/>
        <w:gridCol w:w="24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Increase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w:t>
            </w:r>
          </w:p>
        </w:tc>
        <w:tc>
          <w:tcPr>
            <w:tcW w:w="245" w:type="dxa"/>
            <w:tcBorders/>
            <w:vAlign w:val="center"/>
          </w:tcPr>
          <w:p>
            <w:pPr>
              <w:pStyle w:val="TableContents"/>
              <w:bidi w:val="0"/>
              <w:spacing w:before="0" w:after="283"/>
              <w:jc w:val="left"/>
              <w:rPr/>
            </w:pPr>
            <w:r>
              <w:rPr/>
              <w:t> </w:t>
            </w:r>
          </w:p>
        </w:tc>
      </w:tr>
      <w:tr>
        <w:trPr/>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(Decrease)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short-term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Operating Activities:</w:t>
      </w:r>
      <w:r>
        <w:rPr>
          <w:rFonts w:ascii="Times New Roman" w:hAnsi="Times New Roman"/>
          <w:caps w:val="false"/>
          <w:smallCaps w:val="false"/>
          <w:sz w:val="20"/>
        </w:rPr>
        <w:t xml:space="preserve"> Operating cash flows for the three months of fiscal 2026 consisted of our net loss, adjusted for non-cash expenses and changes in operating assets and liabilities. Significant non-cash adjustments included depreciation and amortization, share-based compensation expense, non-cash inventory-related charges, amortization of debt discounts and issuance costs, and amortization of cloud-based software implementation costs. Our net cash provided by operating activities in the three months of fiscal 2026 totaled $10.3 million. Net cash provided by operations was positively impacted by working capital changes, including a $4.9 million decrease in accounts receivable and a $2.6 million increase in customer advances, partially offset by a $4.8 million increase in inventories, a $5.1 million increase in other current assets, and a $1.0 million decrease in deferred profit. The decrease in accounts receivable was primarily due to the timing of cash collections during the quarter, while the increase in customer advances reflects timing of customer payments received in advance of performance obligations. The increase in other current assets was largely driven by higher prepaid expenses, reflecting the timing of payments and accruals for certain operating costs. The decrease in deferred profit is due to recognition of previously deferred revenue in accordance with our revenue recognition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changes were partially offset by a $7.2 million increase in accounts payable, and a $2.5 million decrease in accrued compensation, warranty, and other liabilities. The increase in accounts payable was primarily due to the timing of supplier payments, while the decrease in accrued compensation, warranty, and other liabilities reflects the timing of payments and settlements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increased by $4.8 million during the three months ended March 28, 2026, reflecting higher production levels to support anticipated customer demand and changes in product mix, partially offset by continued efforts to manage inventory and working capital efficiently across global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Investing Activities:</w:t>
      </w:r>
      <w:r>
        <w:rPr>
          <w:rFonts w:ascii="Times New Roman" w:hAnsi="Times New Roman"/>
          <w:caps w:val="false"/>
          <w:smallCaps w:val="false"/>
          <w:sz w:val="20"/>
        </w:rPr>
        <w:t xml:space="preserve"> Investing cash flows consist primarily of cash used for capital expenditures in support of our business, purchases of investments, and proceeds from investment maturities and sales. Our net cash used in investing activities in the three months of fiscal 2026 totaled $22.4 million. We generated $48.2 million from sales and maturities and used $68.6 million of cash for purchases of short-term investments in the three months of fiscal 2026. We invest our excess cash to seek the highest available return while preserving capital, in short-term investments since excess cash may be required for a business-related purpose. Additions to property, plant and equipment in the first three months of fiscal 2026 were $2.0 million, and were made to support our operating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Financing Activities:</w:t>
      </w:r>
      <w:r>
        <w:rPr>
          <w:rFonts w:ascii="Times New Roman" w:hAnsi="Times New Roman"/>
          <w:caps w:val="false"/>
          <w:smallCaps w:val="false"/>
          <w:sz w:val="20"/>
        </w:rPr>
        <w:t xml:space="preserve"> Financing cash flows consist primarily of share repurchases and repayments of debt. We did not have any cash proceeds from the issuance of common stock under our stock-based compensation or employee stock purchase plans during the period. We issue restricted stock units, including performance stock units, and maintain an employee stock purchase plan as components of our overall employee compensation. In the three months of fiscal 2026, cash used to settle the minimum statutory tax withholding requirements on behalf of our employees upon vesting of restricted and performance stock awards, net of proceeds from shares issued under our employee stock purchase plan, was $4.6 million. We did not repurchase shares under our share repurchase program to be held as treasury stock during the period. Repayments of debt during the three months of fiscal 2026 totaled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For the three months ended March 28, 2026, we did not repurchase any shares of our common stock and, as of March 28, 2026,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access to credit facilities and other borrowings provided by financial institutions to finance acquisitions, capital expenditures and our operations if needed. A summary of our borrowings and available credit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Convertible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29, 2025, we issued $287.5 million aggregate principal amount of 1.50% convertible senior notes due 2031. The Notes include the full exercise by the initial purchasers on September 25, 2025 of their option to purchase up to an additional $27.5 million principal amount of the Notes. The Notes are senior unsecured obligations and bear interest at a coupon rate of 1.50% per annum, with interest payable semiannually in arrears on January 15 and July 15 of each year, beginning on January 15, 2026. The Notes will mature on January 15, 2031, unless earlier converted, redeemed or repurchased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to the close of business on the business day immediately preceding October 15, 2030, noteholders will have the right to convert their Notes only upon the occurrence of certain events. On or after October 15, 2030, noteholders may convert all or any portion of their Notes at any time at their election until the close of business on the second scheduled trading day immediately preceding the maturity date. Upon conversion, we will satisfy the conversion obligations by paying cash up to the aggregate principal amount of the Notes to be converted and paying and/or delivering cash, shares of common stock or a combination of cash and shares of common stock, at our election, in respect of the remainder, if any, of the conversion obligation in excess of the aggregate principal amount of the Notes being converted. The initial conversion rate for the Notes is 36.7975 shares of common stock per $1,000 principal amount of Notes (equivalent to an initial conversion price of approximately $27.18 per share of common stock), which represents an approximately 32.5% conversion premium over the last reported sale price of $20.51 per share of our common stock on The Nasdaq Stock Market on September 24, 2025. The conversion rate (and accordingly the conversion price) is subject to adjustment upon the occurrence of certain events. In addition, upon certain corporate events or upon a notice of redemption (as described below), we will, under certain circumstances, increase the conversion rate for noteholders who convert Notes in connection with such a corporate event or convert their Notes called (or deemed called) for redemption during the related redemption period,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Notes will not be redeemable before January 22, 2029. The Notes will be redeemable, in whole or in part, for cash at our option at any time, and from time to time, on or after January 22, 2029 and prior to the 51st scheduled trading day immediately preceding the maturity date, if (i) the Notes are “freely tradable” (as defined in the indenture governing the Notes), and certain accrued and unpaid additional interest, if any, has been paid in full, as of the first interest payment date occurring on or before the date we send such notice and (ii) the last reported sale price per share of our common stock has been at least 130% of the conversion price for a specified period of time. The redemption price will be equal to the principal amount of the Notes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“fundamental change” (as defined in the indenture governing the Notes) occurs, then, subject to certain conditions, noteholders may require us to repurchase their Notes for cash. The repurchase price will be equal to the principal amount of the Notes to be repurchased, plus accrued and unpaid interest, if any, to, but excluding, the applicable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net proceeds from the offering were approximately $278.9 million, after deducting the initial purchasers’ discounts and commissions but before offering expenses. We used approximately $31.4 million of the net proceeds to enter into the capped call transactions that are described in Note 8, “Equity”. We intend to use the remaining net proceeds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Notes are recorded as liabilities in accordance with ASC 470. Issuance costs will be amortized to interest expense over the term of the Notes using the effective interest method. Upon issuance, we evaluated the conversion feature for potential separation as an embedded derivative under ASC 815 and determined that the conversion feature did not meet the criteria for derivative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effective interest rate for the Notes is 2.2% after considering the effect of the accretion of the related debt discount over the term of the Notes. For the three months ended March 28, 2026, total interest expense related to the Notes was $1.5 million, with coupon interest expense of $1.1 million and amortization of debt discount of $0.4 million. As of March 28, 2026, the remaining unamortized debt discount of the Notes was $8.6 million. At March 28, 2026, the outstanding Notes balance, net of discount, was $278.9 million. At December 27, 2025, the outstanding Notes balance, net of discount, was $278.5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series of term loans with Japanese financial institutions primarily related to the expansion of our facility in Osaka, Japan. The loans are collateralized by the facility and land, carry interest at rates ranging from 0.05% to 1.21%, and expire at various dates through 2034. At March 28, 2026, the outstanding loan balance was $1.5 million and $0.2 million of the outstanding balance is presented as current installments of long-term debt in our condensed consolidated balance sheets. At December 27, 2025, the outstanding loan balance was $1.5 million and $0.2 million of the outstanding balance is presented as current installments of long-term debt in our condensed consolidated balance sheets. 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2019 and June 2020, one of our wholly owned subsidiaries located in Germany entered into a series of Loan Facilities with a German financial institution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March 28, 2026, total outstanding borrowings under the Loan Facilities was $5.9 million with $1.0 million of the total outstanding balance being presented as current installments of long-term debt in our condensed consolidated balance sheets. At December 27, 2025, total outstanding borrowings under the Loan Facilities was $6.3 million with $1.1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30, 2024, our wholly owned subsidiary in Malaysia entered into a revolving credit facility with a Malaysian financial institution that provides up to MYR 40 million, of which MYR 37.9 million has been drawn. The revolving credit facility was utilized to finance the purchase of our leased facility in Melaka, Malaysia. Interest is due monthly and is calculated based on the lender’s Effective Cost of Funds plus a spread of 0.5%. The revolving credit facility is secured by the land and building. At March 28, 2026, $9.4 million was outstanding under the revolving credit facility and the rate of interest was 4.04%. As this revolving credit facility agreement renews monthly, it has been included in short-term borrowings in our condensed consolidated balance sheets. The revolving credit is denominated in Malaysian Ringgits and, as a result, amounts disclosed herein will fluctuate because of changes in currency exchange rates.</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a series of revolving credit facilities with various financial institutions in Japan. The credit facilities renew monthly and provide Kita with access to working capital totaling up to 660 million Japanese Yen of which 60 million Japanese Yen is drawn. At March 28, 2026, total borrowings outstanding under the revolving lines of credit were $0.4 million. As these credit facility agreements renew monthly, they have been included in short-term borrowings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wholly owned subsidiary in Switzerland has one available line of credit which provides it with borrowings of up to a total of 2.0 million Swiss Francs, a portion of which is reserved for tax guarantees. On March 28, 2026, and December 27, 2025, 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On March 28, 2026, $0.4 million was outstanding under standby letters of credit and bank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that we will continue to make capital expenditures to support our business and we anticipate that present working capital will be sufficient to meet our operating requirements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Contractual Obligations and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Contractual Obligations:</w:t>
      </w:r>
      <w:r>
        <w:rPr>
          <w:rFonts w:ascii="Times New Roman" w:hAnsi="Times New Roman"/>
          <w:caps w:val="false"/>
          <w:smallCaps w:val="false"/>
          <w:sz w:val="20"/>
        </w:rPr>
        <w:t xml:space="preserve"> Our significant contractual obligations consist of liabilities for debt, operating leases, unrecognized tax benefits, pensions, post-retirement benefits, and warranties. There were no material changes to these obligations outside the ordinary course of business from those disclosed in our Annual Report on Form 10-K for the year ended December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Commitments to contract manufacturers and suppliers: </w:t>
      </w:r>
      <w:r>
        <w:rPr>
          <w:rFonts w:ascii="Times New Roman" w:hAnsi="Times New Roman"/>
          <w:caps w:val="false"/>
          <w:smallCaps w:val="false"/>
          <w:sz w:val="20"/>
        </w:rPr>
        <w:t>From time to time, we enter into commitments with our vendors and outsourcing partners to 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Off-Balance Sheet Arrangements: </w:t>
      </w:r>
      <w:r>
        <w:rPr>
          <w:rFonts w:ascii="Times New Roman" w:hAnsi="Times New Roman"/>
          <w:caps w:val="false"/>
          <w:smallCaps w:val="false"/>
          <w:sz w:val="20"/>
        </w:rPr>
        <w:t>During the ordinary course of business, we provide standby letters of credit to certain parties as required. As of March 28, 2026, $0.3 million was outstanding under standby letters of credit.</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650"/>
        <w:gridCol w:w="5150"/>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0" w:name="qqd"/>
            <w:bookmarkEnd w:id="10"/>
            <w:r>
              <w:rPr>
                <w:rFonts w:ascii="Times New Roman;Times;serif" w:hAnsi="Times New Roman;Times;serif"/>
                <w:b/>
                <w:sz w:val="20"/>
              </w:rPr>
              <w:t xml:space="preserve">Item 3. </w:t>
            </w:r>
          </w:p>
        </w:tc>
        <w:tc>
          <w:tcPr>
            <w:tcW w:w="5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and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March 28, 2026, our investment portfolio included short-term fixed-income investment securities with a fair value of approximately $277.8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credit-related. Due to the relatively short duration of our investment portfolio, an immediate ten percent change in interest rates would have no material impact on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evaluate our investments periodically for possible other-than-temporary losses by reviewing factors such as the length of time and extent to which fair value has been below cost basis, the financial condition of the issuer and our ability and intent to hold the investment for a period of time sufficient for anticipated recovery of market value. As of March 28, 2026, the cost and fair value of investments we held with loss positions were approximately $211.0 million and $210.6 million, respectively. We evaluated the nature of these investments, credit worthiness of the issuer and the duration of these impairments to determine if a credit loss exists. We have the ability and intent to hold these investments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enter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to mitigate the risks and volatility associated with foreign currency transaction gains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currency exchange rates also impact the U.S. Dollar amount of our net investment in foreign operations and in the third quarter of fiscal 2024 we began hedging foreign currency risk associated with net investment positions in certain of our foreign subsidiaries by entering foreign currency forward contracts that are designated as hedges of net investment. Fluctuations in currency exchange rates also impact the U.S. Dollar amount of our net investment in foreign operations. The assets and liabilities of our foreign subsidiaries are translated into U.S. Dollars at the exchange rates in effect at the balance sheet date. Income and expense accounts are translated at an average exchange rate during the period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March 28, 2026, compared to December 27, 2025, our stockholders’ equity decreased by $5.1 million as a result of the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upon the current levels of net foreign assets, a hypothetical 10% devaluation of the U.S. Dollar as compared to these currencies as of March 28, 2026, would result in an approximate $32.5 million positive translation adjustment recorded in other comprehensive loss within stockholders’ equity. Conversely, a hypothetical 10% appreciation of the U.S. Dollar as compared to these currencies as of March 28, 2026, would result in an approximate $32.5 million negative translation adjustment recorded in other comprehensive income within stockholders’ equity.</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650"/>
        <w:gridCol w:w="216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1" w:name="cp"/>
            <w:bookmarkEnd w:id="11"/>
            <w:r>
              <w:rPr>
                <w:rFonts w:ascii="Times New Roman;Times;serif" w:hAnsi="Times New Roman;Times;serif"/>
                <w:b/>
                <w:sz w:val="20"/>
              </w:rPr>
              <w:t xml:space="preserve">Item 4. </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 xml:space="preserve">Evaluation of Disclosure Controls and Procedures. </w:t>
      </w:r>
      <w:r>
        <w:rPr>
          <w:rFonts w:ascii="Times New Roman" w:hAnsi="Times New Roman"/>
          <w:caps w:val="false"/>
          <w:smallCaps w:val="false"/>
          <w:sz w:val="20"/>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Changes in Internal Control over Financial Reporting.</w:t>
      </w:r>
      <w:r>
        <w:rPr>
          <w:rFonts w:ascii="Times New Roman" w:hAnsi="Times New Roman"/>
          <w:caps w:val="false"/>
          <w:smallCaps w:val="false"/>
          <w:sz w:val="20"/>
        </w:rPr>
        <w:t xml:space="preserve"> During the three months ended March 28, 2026, we did not make any changes in our internal control over financial reporting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2785" w:type="dxa"/>
        <w:jc w:val="left"/>
        <w:tblInd w:w="0" w:type="dxa"/>
        <w:tblLayout w:type="fixed"/>
        <w:tblCellMar>
          <w:top w:w="0" w:type="dxa"/>
          <w:left w:w="0" w:type="dxa"/>
          <w:bottom w:w="0" w:type="dxa"/>
          <w:right w:w="0" w:type="dxa"/>
        </w:tblCellMar>
      </w:tblPr>
      <w:tblGrid>
        <w:gridCol w:w="590"/>
        <w:gridCol w:w="2195"/>
      </w:tblGrid>
      <w:tr>
        <w:trPr/>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2" w:name="part2"/>
            <w:bookmarkEnd w:id="12"/>
            <w:r>
              <w:rPr>
                <w:rFonts w:ascii="Times New Roman;Times;serif" w:hAnsi="Times New Roman;Times;serif"/>
                <w:b/>
                <w:sz w:val="20"/>
              </w:rPr>
              <w:t>Part II</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650"/>
        <w:gridCol w:w="168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lp"/>
            <w:bookmarkEnd w:id="13"/>
            <w:r>
              <w:rPr>
                <w:rFonts w:ascii="Times New Roman;Times;serif" w:hAnsi="Times New Roman;Times;serif"/>
                <w:b/>
                <w:sz w:val="20"/>
              </w:rPr>
              <w:t xml:space="preserve">Item 1. </w:t>
            </w:r>
          </w:p>
        </w:tc>
        <w:tc>
          <w:tcPr>
            <w:tcW w:w="16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Legal Proceedings.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information set forth above under Note 12 contained in the “Notes to Unaudited Condensed Consolidated Financial Statements” of this Form 10-Q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85"/>
        <w:gridCol w:w="117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4" w:name="rf"/>
            <w:bookmarkEnd w:id="14"/>
            <w:r>
              <w:rPr>
                <w:rFonts w:ascii="Times New Roman;Times;serif" w:hAnsi="Times New Roman;Times;serif"/>
                <w:b/>
                <w:sz w:val="20"/>
              </w:rPr>
              <w:t xml:space="preserve">Item 1A. </w:t>
            </w:r>
          </w:p>
        </w:tc>
        <w:tc>
          <w:tcPr>
            <w:tcW w:w="11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Risk Factors.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Our business, financial condition and results of operations are affected by a number of factors, whether currently known or unknown, including risks specific to us or our industry, as well as risks that affect businesses in general. In addition to the risk factors set forth in this Quarterly Report on Form 10-Q, you should carefully consider the risk factors described in Part I, Item 1A of our Annual Report on Form 10-K for the fiscal year ended December 27, 2025 (the </w:t>
      </w:r>
      <w:r>
        <w:rPr>
          <w:rFonts w:ascii="Times New Roman" w:hAnsi="Times New Roman"/>
          <w:caps w:val="false"/>
          <w:smallCaps w:val="false"/>
          <w:sz w:val="20"/>
        </w:rPr>
        <w:t>“</w:t>
      </w:r>
      <w:r>
        <w:rPr>
          <w:rFonts w:ascii="Times New Roman" w:hAnsi="Times New Roman"/>
          <w:i/>
          <w:caps w:val="false"/>
          <w:smallCaps w:val="false"/>
          <w:sz w:val="20"/>
        </w:rPr>
        <w:t>Annual Report</w:t>
      </w:r>
      <w:r>
        <w:rPr>
          <w:rFonts w:ascii="Times New Roman" w:hAnsi="Times New Roman"/>
          <w:caps w:val="false"/>
          <w:smallCaps w:val="false"/>
          <w:sz w:val="20"/>
        </w:rPr>
        <w:t>”</w:t>
      </w:r>
      <w:r>
        <w:rPr>
          <w:rFonts w:ascii="Times New Roman" w:hAnsi="Times New Roman"/>
          <w:i/>
          <w:caps w:val="false"/>
          <w:smallCaps w:val="false"/>
          <w:sz w:val="20"/>
        </w:rPr>
        <w:t>). The risk factors set forth below update, and should be read in conjunction with, the risk factors disclosed in such Annual Report. Other than the risk factors set forth below, we believe there have been no material changes from the risk factors disclosed in the Annual Report. However, additional risks and uncertainties not currently known or which we currently deem to be immaterial may also materially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Associated with Operating a Global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Impact of the Iran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ongoing military conflict involving Iran (the “Iran Conflict”), including actions by the United States and Israel, could adversely affect our business, results operations, financial condition or financial reporting. The continuation, escalation or expansion of the Iran Conflict could lead to retaliatory actions, international sanctions and embargo regulations, possible disruptions to global energy supplies and oil prices due to tensions in the Strait of Hormuz and the Middle East region, shortages of goods and supply chain challenges, and the international and U.S. domestic inflationary results of the Iran Conflict and related spending by the U.S. and international governments. These developments could, among other things, increase our operating and manufacturing costs (including energy, freight and certain vendor cots), impair the availability, pricing or lead times of components and services used in our products, and result in delays, cancellations or reductions in customer orders as customers adjust capital spending in response to geopolitical uncertainty and macroeconomic volatility, including in the semiconductor capital equipment markets in which we operate. In addition, heightened geopolitical tensions may give risk to increased frequency or sophistication of cybersecurity threats, including potentially from state-sponsored actors associated with the Iran Conflict, such as ransomware and other attacks which could disrupt our operations or those of our suppliers, logistics providers, or other third parties on which we relay and could result in loss of data, remediation costs, litigation, regulatory inquiries, reputational harm, and other adverse consequences.</w:t>
      </w:r>
    </w:p>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50"/>
        <w:gridCol w:w="510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5" w:name="uses"/>
            <w:bookmarkEnd w:id="15"/>
            <w:r>
              <w:rPr>
                <w:rFonts w:ascii="Times New Roman;Times;serif" w:hAnsi="Times New Roman;Times;serif"/>
                <w:b/>
                <w:sz w:val="20"/>
              </w:rPr>
              <w:t xml:space="preserve">Item 2. </w:t>
            </w:r>
          </w:p>
        </w:tc>
        <w:tc>
          <w:tcPr>
            <w:tcW w:w="51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Unregistered Sales of Equity Securities and Use of Proceeds.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unregistered sales of equity securities during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We did not repurchase any shares of our common stock during the three months ended March 28, 2026. During the three months ended March 29, 2025, we repurchased 432,288 shares of our common stock for $8.6 million to be held as treasury stock. As of March 28, 2026,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50"/>
        <w:gridCol w:w="276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6" w:name="duss"/>
            <w:bookmarkEnd w:id="16"/>
            <w:r>
              <w:rPr>
                <w:rFonts w:ascii="Times New Roman;Times;serif" w:hAnsi="Times New Roman;Times;serif"/>
                <w:b/>
                <w:sz w:val="20"/>
              </w:rPr>
              <w:t xml:space="preserve">Item 3. </w:t>
            </w:r>
          </w:p>
        </w:tc>
        <w:tc>
          <w:tcPr>
            <w:tcW w:w="27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Defaults Upon Senior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2680" w:type="dxa"/>
        <w:jc w:val="left"/>
        <w:tblInd w:w="0" w:type="dxa"/>
        <w:tblLayout w:type="fixed"/>
        <w:tblCellMar>
          <w:top w:w="0" w:type="dxa"/>
          <w:left w:w="0" w:type="dxa"/>
          <w:bottom w:w="0" w:type="dxa"/>
          <w:right w:w="0" w:type="dxa"/>
        </w:tblCellMar>
      </w:tblPr>
      <w:tblGrid>
        <w:gridCol w:w="650"/>
        <w:gridCol w:w="2030"/>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7" w:name="msd"/>
            <w:bookmarkEnd w:id="17"/>
            <w:r>
              <w:rPr>
                <w:rFonts w:ascii="Times New Roman;Times;serif" w:hAnsi="Times New Roman;Times;serif"/>
                <w:b/>
                <w:sz w:val="20"/>
              </w:rPr>
              <w:t xml:space="preserve">Item 4. </w:t>
            </w:r>
          </w:p>
        </w:tc>
        <w:tc>
          <w:tcPr>
            <w:tcW w:w="20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650"/>
        <w:gridCol w:w="1685"/>
      </w:tblGrid>
      <w:tr>
        <w:trPr/>
        <w:tc>
          <w:tcPr>
            <w:tcW w:w="65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8" w:name="oi"/>
            <w:bookmarkEnd w:id="18"/>
            <w:r>
              <w:rPr>
                <w:rFonts w:ascii="Times New Roman;Times;serif" w:hAnsi="Times New Roman;Times;serif"/>
                <w:b/>
                <w:sz w:val="20"/>
              </w:rPr>
              <w:t xml:space="preserve">Item 5. </w:t>
            </w:r>
          </w:p>
        </w:tc>
        <w:tc>
          <w:tcPr>
            <w:tcW w:w="16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Other Information.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Rule 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directors and executive officers may purchase or sell shares of our common stock in the market from time to time, including pursuant to equity trading plans adopted in accordance with Rule 10b5-1 under the Exchange Act and in compliance with guidelines specified by our insider trading policy. In accordance with Rule 10b5-1 and our insider trading policy, directors, officers and certain employees who, at such time, are not in possession of material non-public information are permitted to enter into written plans that pre-establish amounts, prices and dates (or formula for determining the amounts, prices and dates) of future purchases or sales of our stock, including shares acquired pursuant to our equity incentive plans. Under a Rule 10b5-1 trading plan, a broker executes trades pursuant to parameters established by the director or executive officer when entering into the plan, without further direction from them. The use of these trading plans permits asset diversification as well as personal financial and tax planning. Our directors and executive officers may also buy or sell additional shares outside of a Rule 10b5-1 plan when they are not in possession of material nonpublic information, subject to compliance with SEC rules, the terms of our insider trading policy and certain minimum holding requirements. During the first quarter of fiscal 2026, the following Section 16 directors and officers adopted or terminated a “Rule 10b5-1 trading arrangement” (as defined in Item 408 of Regulation S-K of the Exchange Act):</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4460"/>
        <w:gridCol w:w="60"/>
        <w:gridCol w:w="1070"/>
        <w:gridCol w:w="60"/>
        <w:gridCol w:w="1220"/>
        <w:gridCol w:w="60"/>
        <w:gridCol w:w="890"/>
        <w:gridCol w:w="60"/>
        <w:gridCol w:w="176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Plan</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Plan</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Expiration</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 of Shares</w:t>
            </w:r>
          </w:p>
        </w:tc>
      </w:tr>
      <w:tr>
        <w:trPr/>
        <w:tc>
          <w:tcPr>
            <w:tcW w:w="44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and Position</w:t>
            </w:r>
          </w:p>
        </w:tc>
        <w:tc>
          <w:tcPr>
            <w:tcW w:w="60" w:type="dxa"/>
            <w:tcBorders/>
            <w:vAlign w:val="center"/>
          </w:tcPr>
          <w:p>
            <w:pPr>
              <w:pStyle w:val="TableContents"/>
              <w:bidi w:val="0"/>
              <w:spacing w:before="0" w:after="283"/>
              <w:jc w:val="left"/>
              <w:rPr/>
            </w:pPr>
            <w:r>
              <w:rPr/>
              <w:t> </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Action</w:t>
            </w:r>
          </w:p>
        </w:tc>
        <w:tc>
          <w:tcPr>
            <w:tcW w:w="60" w:type="dxa"/>
            <w:tcBorders/>
            <w:vAlign w:val="center"/>
          </w:tcPr>
          <w:p>
            <w:pPr>
              <w:pStyle w:val="TableContents"/>
              <w:bidi w:val="0"/>
              <w:spacing w:before="0" w:after="283"/>
              <w:jc w:val="left"/>
              <w:rPr/>
            </w:pPr>
            <w:r>
              <w:rPr/>
              <w:t> </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Adoption Date</w:t>
            </w:r>
          </w:p>
        </w:tc>
        <w:tc>
          <w:tcPr>
            <w:tcW w:w="60" w:type="dxa"/>
            <w:tcBorders/>
            <w:vAlign w:val="center"/>
          </w:tcPr>
          <w:p>
            <w:pPr>
              <w:pStyle w:val="TableContents"/>
              <w:bidi w:val="0"/>
              <w:spacing w:before="0" w:after="283"/>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w:t>
            </w:r>
          </w:p>
        </w:tc>
        <w:tc>
          <w:tcPr>
            <w:tcW w:w="60" w:type="dxa"/>
            <w:tcBorders/>
            <w:vAlign w:val="center"/>
          </w:tcPr>
          <w:p>
            <w:pPr>
              <w:pStyle w:val="TableContents"/>
              <w:bidi w:val="0"/>
              <w:spacing w:before="0" w:after="283"/>
              <w:jc w:val="left"/>
              <w:rPr/>
            </w:pPr>
            <w:r>
              <w:rPr/>
              <w:t> </w:t>
            </w:r>
          </w:p>
        </w:tc>
        <w:tc>
          <w:tcPr>
            <w:tcW w:w="17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Sold under Plan</w:t>
            </w:r>
          </w:p>
        </w:tc>
      </w:tr>
      <w:tr>
        <w:trPr/>
        <w:tc>
          <w:tcPr>
            <w:tcW w:w="4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 Senior Vice President, Finance &amp; CFO</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Adoption (1)</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2/24/2026</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5/21/2027</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85,000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 xml:space="preserve">(1) </w:t>
            </w:r>
          </w:p>
          <w:p>
            <w:pPr>
              <w:pStyle w:val="TableContents"/>
              <w:bidi w:val="0"/>
              <w:spacing w:before="0" w:after="0"/>
              <w:ind w:left="0" w:right="0" w:hanging="0"/>
              <w:jc w:val="left"/>
              <w:rPr/>
            </w:pPr>
            <w:r>
              <w:rPr/>
              <w:t> </w:t>
            </w:r>
          </w:p>
        </w:tc>
        <w:tc>
          <w:tcPr>
            <w:tcW w:w="9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Rule 10b5-1 trading arrangement for Jeffrey D. Jones was subsequently terminated during the second quarter of fiscal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Transactions by Section 16 directors and officers will be disclosed publicly through Form 144 and Form 4 filings with the SEC to the extent required by law. No non-Rule 10b5-1 trading arrangements (as defined in Item 408 of Regulation S-K of the Exchange Act) were adopted or terminated by any Section 16 director or officer during the first quarter of fiscal 2026.</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8815" w:type="dxa"/>
        <w:jc w:val="left"/>
        <w:tblInd w:w="0" w:type="dxa"/>
        <w:tblLayout w:type="fixed"/>
        <w:tblCellMar>
          <w:top w:w="0" w:type="dxa"/>
          <w:left w:w="0" w:type="dxa"/>
          <w:bottom w:w="0" w:type="dxa"/>
          <w:right w:w="0" w:type="dxa"/>
        </w:tblCellMar>
      </w:tblPr>
      <w:tblGrid>
        <w:gridCol w:w="770"/>
        <w:gridCol w:w="8045"/>
      </w:tblGrid>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19" w:name="ex"/>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p>
        </w:tc>
        <w:tc>
          <w:tcPr>
            <w:tcW w:w="804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Exhibits.</w:t>
            </w:r>
          </w:p>
        </w:tc>
      </w:tr>
      <w:tr>
        <w:trPr/>
        <w:tc>
          <w:tcPr>
            <w:tcW w:w="77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8045" w:type="dxa"/>
            <w:tcBorders/>
            <w:vAlign w:val="center"/>
          </w:tcPr>
          <w:p>
            <w:pPr>
              <w:pStyle w:val="TableContents"/>
              <w:bidi w:val="0"/>
              <w:spacing w:before="0" w:after="0"/>
              <w:ind w:left="0" w:right="0" w:hanging="0"/>
              <w:jc w:val="left"/>
              <w:rPr/>
            </w:pPr>
            <w:hyperlink w:anchor="ex_950726.htm">
              <w:r>
                <w:rPr>
                  <w:rStyle w:val="InternetLink"/>
                  <w:rFonts w:ascii="Times New Roman" w:hAnsi="Times New Roman"/>
                  <w:caps w:val="false"/>
                  <w:smallCaps w:val="false"/>
                  <w:sz w:val="20"/>
                </w:rPr>
                <w:t>Certification pursuant to Section 302(a) of the Sarbanes-Oxley Act of 2002</w:t>
              </w:r>
            </w:hyperlink>
          </w:p>
        </w:tc>
      </w:tr>
      <w:tr>
        <w:trPr/>
        <w:tc>
          <w:tcPr>
            <w:tcW w:w="77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8045" w:type="dxa"/>
            <w:tcBorders/>
            <w:vAlign w:val="center"/>
          </w:tcPr>
          <w:p>
            <w:pPr>
              <w:pStyle w:val="TableContents"/>
              <w:bidi w:val="0"/>
              <w:spacing w:before="0" w:after="0"/>
              <w:ind w:left="0" w:right="0" w:hanging="0"/>
              <w:jc w:val="left"/>
              <w:rPr/>
            </w:pPr>
            <w:hyperlink w:anchor="ex_950727.htm">
              <w:r>
                <w:rPr>
                  <w:rStyle w:val="InternetLink"/>
                  <w:rFonts w:ascii="Times New Roman" w:hAnsi="Times New Roman"/>
                  <w:caps w:val="false"/>
                  <w:smallCaps w:val="false"/>
                  <w:sz w:val="20"/>
                </w:rPr>
                <w:t>Certification pursuant to Section 302(a) of the Sarbanes-Oxley Act of 2002</w:t>
              </w:r>
            </w:hyperlink>
          </w:p>
        </w:tc>
      </w:tr>
      <w:tr>
        <w:trPr/>
        <w:tc>
          <w:tcPr>
            <w:tcW w:w="77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8045" w:type="dxa"/>
            <w:tcBorders/>
            <w:vAlign w:val="center"/>
          </w:tcPr>
          <w:p>
            <w:pPr>
              <w:pStyle w:val="TableContents"/>
              <w:bidi w:val="0"/>
              <w:spacing w:before="0" w:after="0"/>
              <w:ind w:left="0" w:right="0" w:hanging="0"/>
              <w:jc w:val="left"/>
              <w:rPr/>
            </w:pPr>
            <w:hyperlink w:anchor="ex_950728.htm">
              <w:r>
                <w:rPr>
                  <w:rStyle w:val="InternetLink"/>
                  <w:rFonts w:ascii="Times New Roman" w:hAnsi="Times New Roman"/>
                  <w:caps w:val="false"/>
                  <w:smallCaps w:val="false"/>
                  <w:sz w:val="20"/>
                </w:rPr>
                <w:t>Certification of Chief Executive Officer pursuant to Section 906 of the Sarbanes-Oxley Act of 2002</w:t>
              </w:r>
            </w:hyperlink>
          </w:p>
        </w:tc>
      </w:tr>
      <w:tr>
        <w:trPr/>
        <w:tc>
          <w:tcPr>
            <w:tcW w:w="77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8045" w:type="dxa"/>
            <w:tcBorders/>
            <w:vAlign w:val="center"/>
          </w:tcPr>
          <w:p>
            <w:pPr>
              <w:pStyle w:val="TableContents"/>
              <w:bidi w:val="0"/>
              <w:spacing w:before="0" w:after="0"/>
              <w:ind w:left="0" w:right="0" w:hanging="0"/>
              <w:jc w:val="left"/>
              <w:rPr/>
            </w:pPr>
            <w:hyperlink w:anchor="ex_950729.htm">
              <w:r>
                <w:rPr>
                  <w:rStyle w:val="InternetLink"/>
                  <w:rFonts w:ascii="Times New Roman" w:hAnsi="Times New Roman"/>
                  <w:caps w:val="false"/>
                  <w:smallCaps w:val="false"/>
                  <w:sz w:val="20"/>
                </w:rPr>
                <w:t>Certification of Chief Financial Officer pursuant to Section 906 of the Sarbanes-Oxley Act of 2002</w:t>
              </w:r>
            </w:hyperlink>
          </w:p>
        </w:tc>
      </w:tr>
      <w:tr>
        <w:trPr/>
        <w:tc>
          <w:tcPr>
            <w:tcW w:w="77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7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7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7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7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7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7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0" w:name="sigs"/>
      <w:bookmarkEnd w:id="20"/>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535"/>
        <w:gridCol w:w="4595"/>
        <w:gridCol w:w="60"/>
      </w:tblGrid>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5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45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May 1, 2026</w:t>
            </w:r>
          </w:p>
        </w:tc>
        <w:tc>
          <w:tcPr>
            <w:tcW w:w="459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Luis A. Müller</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A. Müller</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&amp; Chief Executive Officer</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May 1, 2026</w:t>
            </w:r>
          </w:p>
        </w:tc>
        <w:tc>
          <w:tcPr>
            <w:tcW w:w="459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Jeffrey D. Jones</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Finance &amp; Chief Financial Officer</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&amp; Accounting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43</w:t>
      </w:r>
    </w:p>
    <w:p>
      <w:pPr>
        <w:pStyle w:val="TextBody"/>
        <w:bidi w:val="0"/>
        <w:spacing w:before="0" w:after="0"/>
        <w:ind w:left="0" w:right="0" w:hanging="0"/>
        <w:jc w:val="right"/>
        <w:rPr>
          <w:rFonts w:ascii="Times New Roman" w:hAnsi="Times New Roman"/>
          <w:caps w:val="false"/>
          <w:smallCaps w:val="false"/>
          <w:sz w:val="20"/>
        </w:rPr>
      </w:pPr>
      <w:bookmarkStart w:id="21" w:name="ex_950726.htm"/>
      <w:bookmarkStart w:id="22" w:name="ksex_950726"/>
      <w:bookmarkEnd w:id="21"/>
      <w:bookmarkEnd w:id="22"/>
      <w:r>
        <w:rPr>
          <w:rFonts w:ascii="Times New Roman" w:hAnsi="Times New Roman"/>
          <w:caps w:val="false"/>
          <w:smallCaps w:val="false"/>
          <w:sz w:val="20"/>
        </w:rPr>
        <w:t>Exhibit 31.1</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SARBANES-OXLEY ACT SECTION 302(a)</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CERTIFICATION OF 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Luis A. Müller, certify that:</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Form 10-Q of Cohu,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 2026</w:t>
      </w:r>
    </w:p>
    <w:p>
      <w:pPr>
        <w:pStyle w:val="TextBody"/>
        <w:bidi w:val="0"/>
        <w:spacing w:before="0" w:after="0"/>
        <w:ind w:left="0" w:right="0" w:hanging="0"/>
        <w:jc w:val="left"/>
        <w:rPr>
          <w:caps w:val="false"/>
          <w:smallCaps w:val="false"/>
        </w:rPr>
      </w:pPr>
      <w:r>
        <w:rPr>
          <w:caps w:val="false"/>
          <w:smallCaps w:val="false"/>
        </w:rPr>
        <w:t> </w:t>
      </w:r>
    </w:p>
    <w:tbl>
      <w:tblPr>
        <w:tblW w:w="2990" w:type="dxa"/>
        <w:jc w:val="left"/>
        <w:tblInd w:w="0" w:type="dxa"/>
        <w:tblLayout w:type="fixed"/>
        <w:tblCellMar>
          <w:top w:w="0" w:type="dxa"/>
          <w:left w:w="0" w:type="dxa"/>
          <w:bottom w:w="28" w:type="dxa"/>
          <w:right w:w="0" w:type="dxa"/>
        </w:tblCellMar>
      </w:tblPr>
      <w:tblGrid>
        <w:gridCol w:w="2930"/>
        <w:gridCol w:w="60"/>
      </w:tblGrid>
      <w:tr>
        <w:trPr/>
        <w:tc>
          <w:tcPr>
            <w:tcW w:w="29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A. Müller</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A. Müller</w:t>
            </w:r>
          </w:p>
        </w:tc>
        <w:tc>
          <w:tcPr>
            <w:tcW w:w="60"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&amp; Chief Executive Officer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3" w:name="ex_950727.htm"/>
      <w:bookmarkStart w:id="24" w:name="ksex_950727"/>
      <w:bookmarkEnd w:id="23"/>
      <w:bookmarkEnd w:id="24"/>
      <w:r>
        <w:rPr>
          <w:rFonts w:ascii="Times New Roman" w:hAnsi="Times New Roman"/>
          <w:caps w:val="false"/>
          <w:smallCaps w:val="false"/>
          <w:sz w:val="20"/>
        </w:rPr>
        <w:t>Exhibit 31.2</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SARBANES-OXLEY ACT SECTION 302(a)</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CERTIFICATION OF 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Jeffrey D. Jones, certify that:</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Form 10-Q of Cohu,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 2026</w:t>
      </w:r>
    </w:p>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28" w:type="dxa"/>
          <w:right w:w="0" w:type="dxa"/>
        </w:tblCellMar>
      </w:tblPr>
      <w:tblGrid>
        <w:gridCol w:w="4550"/>
        <w:gridCol w:w="60"/>
      </w:tblGrid>
      <w:tr>
        <w:trPr/>
        <w:tc>
          <w:tcPr>
            <w:tcW w:w="455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tc>
        <w:tc>
          <w:tcPr>
            <w:tcW w:w="60" w:type="dxa"/>
            <w:tcBorders/>
            <w:tcMar>
              <w:bottom w:w="0" w:type="dxa"/>
            </w:tcMar>
            <w:vAlign w:val="center"/>
          </w:tcPr>
          <w:p>
            <w:pPr>
              <w:pStyle w:val="TableContents"/>
              <w:bidi w:val="0"/>
              <w:spacing w:before="0" w:after="283"/>
              <w:jc w:val="left"/>
              <w:rPr/>
            </w:pPr>
            <w:r>
              <w:rPr/>
              <w:t> </w:t>
            </w:r>
          </w:p>
        </w:tc>
      </w:tr>
      <w:tr>
        <w:trPr/>
        <w:tc>
          <w:tcPr>
            <w:tcW w:w="45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tc>
        <w:tc>
          <w:tcPr>
            <w:tcW w:w="60" w:type="dxa"/>
            <w:tcBorders/>
            <w:tcMar>
              <w:bottom w:w="0" w:type="dxa"/>
            </w:tcMar>
            <w:vAlign w:val="center"/>
          </w:tcPr>
          <w:p>
            <w:pPr>
              <w:pStyle w:val="TableContents"/>
              <w:bidi w:val="0"/>
              <w:spacing w:before="0" w:after="283"/>
              <w:jc w:val="left"/>
              <w:rPr/>
            </w:pPr>
            <w:r>
              <w:rPr/>
              <w:t> </w:t>
            </w:r>
          </w:p>
        </w:tc>
      </w:tr>
      <w:tr>
        <w:trPr/>
        <w:tc>
          <w:tcPr>
            <w:tcW w:w="45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Finance &amp; Chief Financial Officer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5" w:name="ex_950728.htm"/>
      <w:bookmarkStart w:id="26" w:name="ksex_950728"/>
      <w:bookmarkEnd w:id="25"/>
      <w:bookmarkEnd w:id="26"/>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PRINCIPAL EXECUTIVE OFFICER PURSUANT TO 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Cohu, Inc. (the "Company") on Form 10-Q for the fiscal quarter ended March 28, 2026 (the "Report"), I, Luis A. Müller, President and Chief Executive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A. Müller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A. Müller,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&amp;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7" w:name="ex_950729.htm"/>
      <w:bookmarkStart w:id="28" w:name="ksex_950729"/>
      <w:bookmarkEnd w:id="27"/>
      <w:bookmarkEnd w:id="28"/>
      <w:r>
        <w:rPr>
          <w:rFonts w:ascii="Times New Roman" w:hAnsi="Times New Roman"/>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PRINCIPAL FINANCIAL OFFICER PURSUANT TO 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Cohu, Inc. (the "Company") on Form 10-Q for the fiscal quarter ended March 28, 2026 (the "Report"), I, Jeffrey D. Jones, Senior Vice President Finance &amp; Chief Financial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Finance &amp;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25702</Words>
  <Characters>142366</Characters>
  <CharactersWithSpaces>169284</CharactersWithSpaces>
  <Paragraphs>5874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