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Jeffrey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Finance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7"/>
        <w:gridCol w:w="905"/>
        <w:gridCol w:w="774"/>
        <w:gridCol w:w="575"/>
        <w:gridCol w:w="374"/>
        <w:gridCol w:w="1016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190,590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153,202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(Indirect)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190,590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190,590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Jones Trust Dated April 3, 2023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above involve a transfer of shares of common stock to a revocable living trust for the benefit of the reporting person and family members, known as the Jones Trust Dated April 3, 2023, of which the reporting person is a trustee. This transfer was exempt from reporting under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Luis A. Muller,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6572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3389</Characters>
  <CharactersWithSpaces>3961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