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156210</wp:posOffset>
            </wp:positionH>
            <wp:positionV relativeFrom="page">
              <wp:posOffset>156210</wp:posOffset>
            </wp:positionV>
            <wp:extent cx="72491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215265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jc w:val="center"/>
        <w:ind w:right="-39"/>
        <w:spacing w:after="0"/>
        <w:rPr>
          <w:sz w:val="20"/>
          <w:szCs w:val="20"/>
          <w:color w:val="auto"/>
        </w:rPr>
      </w:pPr>
      <w:r>
        <w:rPr>
          <w:rFonts w:ascii="Arial" w:cs="Arial" w:eastAsia="Arial" w:hAnsi="Arial"/>
          <w:sz w:val="21"/>
          <w:szCs w:val="21"/>
          <w:b w:val="1"/>
          <w:bCs w:val="1"/>
          <w:color w:val="auto"/>
        </w:rPr>
        <w:t>FORM 10-Q</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4100" w:right="1760" w:hanging="4094"/>
        <w:spacing w:after="0" w:line="491" w:lineRule="auto"/>
        <w:tabs>
          <w:tab w:leader="none" w:pos="10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 QUARTERLY REPORT PURSUANT TO SECTION 13 OR 15(d) OF THE SECURITIES EXCHANGE ACT OF 1934 For the quarterly period ended September 30, 2017</w:t>
      </w: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17" w:lineRule="exact"/>
        <w:rPr>
          <w:sz w:val="24"/>
          <w:szCs w:val="24"/>
          <w:color w:val="auto"/>
        </w:rPr>
      </w:pPr>
    </w:p>
    <w:p>
      <w:pPr>
        <w:ind w:left="640" w:right="1760" w:hanging="634"/>
        <w:spacing w:after="0" w:line="478" w:lineRule="auto"/>
        <w:tabs>
          <w:tab w:leader="none" w:pos="-3546"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Commission file number 001-04298</w:t>
      </w:r>
    </w:p>
    <w:p>
      <w:pPr>
        <w:jc w:val="center"/>
        <w:ind w:right="-39"/>
        <w:spacing w:after="0"/>
        <w:rPr>
          <w:sz w:val="20"/>
          <w:szCs w:val="20"/>
          <w:color w:val="auto"/>
        </w:rPr>
      </w:pPr>
      <w:r>
        <w:rPr>
          <w:rFonts w:ascii="Arial" w:cs="Arial" w:eastAsia="Arial" w:hAnsi="Arial"/>
          <w:sz w:val="32"/>
          <w:szCs w:val="32"/>
          <w:b w:val="1"/>
          <w:bCs w:val="1"/>
          <w:color w:val="auto"/>
        </w:rPr>
        <w:t>COHU, INC.</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97"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740" w:type="dxa"/>
            <w:vAlign w:val="bottom"/>
          </w:tcPr>
          <w:p>
            <w:pPr>
              <w:jc w:val="center"/>
              <w:ind w:right="1292"/>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272"/>
              <w:spacing w:after="0"/>
              <w:rPr>
                <w:sz w:val="20"/>
                <w:szCs w:val="20"/>
                <w:color w:val="auto"/>
              </w:rPr>
            </w:pPr>
            <w:r>
              <w:rPr>
                <w:rFonts w:ascii="Arial" w:cs="Arial" w:eastAsia="Arial" w:hAnsi="Arial"/>
                <w:sz w:val="18"/>
                <w:szCs w:val="18"/>
                <w:b w:val="1"/>
                <w:bCs w:val="1"/>
                <w:color w:val="auto"/>
                <w:w w:val="87"/>
              </w:rPr>
              <w:t>95-1934119</w:t>
            </w:r>
          </w:p>
        </w:tc>
      </w:tr>
      <w:tr>
        <w:trPr>
          <w:trHeight w:val="212"/>
        </w:trPr>
        <w:tc>
          <w:tcPr>
            <w:tcW w:w="4740" w:type="dxa"/>
            <w:vAlign w:val="bottom"/>
          </w:tcPr>
          <w:p>
            <w:pPr>
              <w:jc w:val="center"/>
              <w:ind w:right="1292"/>
              <w:spacing w:after="0"/>
              <w:rPr>
                <w:sz w:val="20"/>
                <w:szCs w:val="20"/>
                <w:color w:val="auto"/>
              </w:rPr>
            </w:pPr>
            <w:r>
              <w:rPr>
                <w:rFonts w:ascii="Arial" w:cs="Arial" w:eastAsia="Arial" w:hAnsi="Arial"/>
                <w:sz w:val="18"/>
                <w:szCs w:val="18"/>
                <w:i w:val="1"/>
                <w:iCs w:val="1"/>
                <w:color w:val="auto"/>
                <w:w w:val="92"/>
              </w:rPr>
              <w:t>(State or other jurisdiction of</w:t>
            </w:r>
          </w:p>
        </w:tc>
        <w:tc>
          <w:tcPr>
            <w:tcW w:w="3920" w:type="dxa"/>
            <w:vAlign w:val="bottom"/>
          </w:tcPr>
          <w:p>
            <w:pPr>
              <w:jc w:val="center"/>
              <w:ind w:left="1292"/>
              <w:spacing w:after="0"/>
              <w:rPr>
                <w:sz w:val="20"/>
                <w:szCs w:val="20"/>
                <w:color w:val="auto"/>
              </w:rPr>
            </w:pPr>
            <w:r>
              <w:rPr>
                <w:rFonts w:ascii="Arial" w:cs="Arial" w:eastAsia="Arial" w:hAnsi="Arial"/>
                <w:sz w:val="18"/>
                <w:szCs w:val="18"/>
                <w:i w:val="1"/>
                <w:iCs w:val="1"/>
                <w:color w:val="auto"/>
                <w:w w:val="91"/>
              </w:rPr>
              <w:t>(I.R.S. Employer Identification No.)</w:t>
            </w:r>
          </w:p>
        </w:tc>
      </w:tr>
      <w:tr>
        <w:trPr>
          <w:trHeight w:val="223"/>
        </w:trPr>
        <w:tc>
          <w:tcPr>
            <w:tcW w:w="4740" w:type="dxa"/>
            <w:vAlign w:val="bottom"/>
          </w:tcPr>
          <w:p>
            <w:pPr>
              <w:jc w:val="center"/>
              <w:ind w:right="1292"/>
              <w:spacing w:after="0"/>
              <w:rPr>
                <w:sz w:val="20"/>
                <w:szCs w:val="20"/>
                <w:color w:val="auto"/>
              </w:rPr>
            </w:pPr>
            <w:r>
              <w:rPr>
                <w:rFonts w:ascii="Arial" w:cs="Arial" w:eastAsia="Arial" w:hAnsi="Arial"/>
                <w:sz w:val="18"/>
                <w:szCs w:val="18"/>
                <w:i w:val="1"/>
                <w:iCs w:val="1"/>
                <w:color w:val="auto"/>
                <w:w w:val="93"/>
              </w:rPr>
              <w:t>incorporation or organization)</w:t>
            </w:r>
          </w:p>
        </w:tc>
        <w:tc>
          <w:tcPr>
            <w:tcW w:w="3920" w:type="dxa"/>
            <w:vAlign w:val="bottom"/>
          </w:tcPr>
          <w:p>
            <w:pPr>
              <w:spacing w:after="0"/>
              <w:rPr>
                <w:sz w:val="19"/>
                <w:szCs w:val="19"/>
                <w:color w:val="auto"/>
              </w:rPr>
            </w:pPr>
          </w:p>
        </w:tc>
      </w:tr>
      <w:tr>
        <w:trPr>
          <w:trHeight w:val="412"/>
        </w:trPr>
        <w:tc>
          <w:tcPr>
            <w:tcW w:w="4740" w:type="dxa"/>
            <w:vAlign w:val="bottom"/>
          </w:tcPr>
          <w:p>
            <w:pPr>
              <w:jc w:val="center"/>
              <w:ind w:right="1292"/>
              <w:spacing w:after="0"/>
              <w:rPr>
                <w:sz w:val="20"/>
                <w:szCs w:val="20"/>
                <w:color w:val="auto"/>
              </w:rPr>
            </w:pPr>
            <w:r>
              <w:rPr>
                <w:rFonts w:ascii="Arial" w:cs="Arial" w:eastAsia="Arial" w:hAnsi="Arial"/>
                <w:sz w:val="18"/>
                <w:szCs w:val="18"/>
                <w:b w:val="1"/>
                <w:bCs w:val="1"/>
                <w:color w:val="auto"/>
                <w:w w:val="90"/>
              </w:rPr>
              <w:t>12367 Crosthwaite Circle, Poway, California</w:t>
            </w:r>
          </w:p>
        </w:tc>
        <w:tc>
          <w:tcPr>
            <w:tcW w:w="3920" w:type="dxa"/>
            <w:vAlign w:val="bottom"/>
          </w:tcPr>
          <w:p>
            <w:pPr>
              <w:jc w:val="center"/>
              <w:ind w:left="1292"/>
              <w:spacing w:after="0"/>
              <w:rPr>
                <w:sz w:val="20"/>
                <w:szCs w:val="20"/>
                <w:color w:val="auto"/>
              </w:rPr>
            </w:pPr>
            <w:r>
              <w:rPr>
                <w:rFonts w:ascii="Arial" w:cs="Arial" w:eastAsia="Arial" w:hAnsi="Arial"/>
                <w:sz w:val="18"/>
                <w:szCs w:val="18"/>
                <w:b w:val="1"/>
                <w:bCs w:val="1"/>
                <w:color w:val="auto"/>
                <w:w w:val="89"/>
              </w:rPr>
              <w:t>92064-6817</w:t>
            </w:r>
          </w:p>
        </w:tc>
      </w:tr>
      <w:tr>
        <w:trPr>
          <w:trHeight w:val="223"/>
        </w:trPr>
        <w:tc>
          <w:tcPr>
            <w:tcW w:w="4740" w:type="dxa"/>
            <w:vAlign w:val="bottom"/>
          </w:tcPr>
          <w:p>
            <w:pPr>
              <w:jc w:val="center"/>
              <w:ind w:right="129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3920" w:type="dxa"/>
            <w:vAlign w:val="bottom"/>
          </w:tcPr>
          <w:p>
            <w:pPr>
              <w:jc w:val="center"/>
              <w:ind w:left="1292"/>
              <w:spacing w:after="0"/>
              <w:rPr>
                <w:sz w:val="20"/>
                <w:szCs w:val="20"/>
                <w:color w:val="auto"/>
              </w:rPr>
            </w:pPr>
            <w:r>
              <w:rPr>
                <w:rFonts w:ascii="Arial" w:cs="Arial" w:eastAsia="Arial" w:hAnsi="Arial"/>
                <w:sz w:val="18"/>
                <w:szCs w:val="18"/>
                <w:i w:val="1"/>
                <w:iCs w:val="1"/>
                <w:color w:val="auto"/>
                <w:w w:val="91"/>
              </w:rPr>
              <w:t>(Zip Code)</w:t>
            </w:r>
          </w:p>
        </w:tc>
      </w:tr>
    </w:tbl>
    <w:p>
      <w:pPr>
        <w:spacing w:after="0" w:line="19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(858) 848-8100</w:t>
      </w:r>
    </w:p>
    <w:p>
      <w:pPr>
        <w:spacing w:after="0" w:line="223" w:lineRule="exact"/>
        <w:rPr>
          <w:sz w:val="24"/>
          <w:szCs w:val="24"/>
          <w:color w:val="auto"/>
        </w:rPr>
      </w:pPr>
    </w:p>
    <w:p>
      <w:pPr>
        <w:ind w:right="32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right="20" w:firstLine="318"/>
        <w:spacing w:after="0" w:line="22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4"/>
          <w:szCs w:val="24"/>
          <w:color w:val="auto"/>
        </w:rPr>
      </w:pPr>
    </w:p>
    <w:p>
      <w:pPr>
        <w:ind w:firstLine="318"/>
        <w:spacing w:after="0" w:line="36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jc w:val="center"/>
        <w:spacing w:after="0" w:line="207" w:lineRule="exact"/>
        <w:tabs>
          <w:tab w:leader="none" w:pos="240" w:val="left"/>
          <w:tab w:leader="none" w:pos="2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17" w:lineRule="exact"/>
        <w:rPr>
          <w:sz w:val="24"/>
          <w:szCs w:val="24"/>
          <w:color w:val="auto"/>
        </w:rPr>
      </w:pPr>
    </w:p>
    <w:p>
      <w:pPr>
        <w:jc w:val="center"/>
        <w:ind w:right="-39"/>
        <w:spacing w:after="0" w:line="207" w:lineRule="exact"/>
        <w:tabs>
          <w:tab w:leader="none" w:pos="240" w:val="left"/>
        </w:tabs>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5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196" w:lineRule="exact"/>
        <w:tabs>
          <w:tab w:leader="none" w:pos="7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color w:val="auto"/>
        </w:rPr>
        <w:t>As of October 19, 2017 the Registrant had 28,288,018 shares of its $1.00 par value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179070</wp:posOffset>
            </wp:positionV>
            <wp:extent cx="7249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220980</wp:posOffset>
            </wp:positionV>
            <wp:extent cx="724916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599440</wp:posOffset>
            </wp:positionV>
            <wp:extent cx="724916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589" w:right="279" w:bottom="1440" w:gutter="0" w:footer="0" w:header="0"/>
        </w:sectPr>
      </w:pPr>
    </w:p>
    <w:bookmarkStart w:id="1" w:name="page2"/>
    <w:bookmarkEnd w:id="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Part I</w:t>
            </w:r>
          </w:p>
        </w:tc>
        <w:tc>
          <w:tcPr>
            <w:tcW w:w="460" w:type="dxa"/>
            <w:vAlign w:val="bottom"/>
            <w:gridSpan w:val="3"/>
          </w:tcPr>
          <w:p>
            <w:pPr>
              <w:spacing w:after="0"/>
              <w:rPr>
                <w:sz w:val="17"/>
                <w:szCs w:val="17"/>
                <w:color w:val="auto"/>
              </w:rPr>
            </w:pPr>
          </w:p>
        </w:tc>
        <w:tc>
          <w:tcPr>
            <w:tcW w:w="1680" w:type="dxa"/>
            <w:vAlign w:val="bottom"/>
            <w:tcBorders>
              <w:bottom w:val="single" w:sz="8" w:color="0000EE"/>
            </w:tcBorders>
            <w:gridSpan w:val="9"/>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Financial Information</w:t>
              </w:r>
            </w:hyperlink>
          </w:p>
        </w:tc>
        <w:tc>
          <w:tcPr>
            <w:tcW w:w="754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Page Number</w:t>
            </w:r>
          </w:p>
        </w:tc>
        <w:tc>
          <w:tcPr>
            <w:tcW w:w="160" w:type="dxa"/>
            <w:vAlign w:val="bottom"/>
          </w:tcPr>
          <w:p>
            <w:pPr>
              <w:spacing w:after="0"/>
              <w:rPr>
                <w:sz w:val="17"/>
                <w:szCs w:val="17"/>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September 30, 2017 (unaudited) and December 31, 2016</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(unaudited) Three and Nine Months Ended September 30, 2017 and September</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24, 2016</w:t>
              </w:r>
            </w:hyperlink>
          </w:p>
        </w:tc>
        <w:tc>
          <w:tcPr>
            <w:tcW w:w="2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2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(unaudited) Three and Nine Months Ended September 30, 2017</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10"/>
          </w:tcPr>
          <w:p>
            <w:pPr>
              <w:spacing w:after="0" w:line="192"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September 24, 2016</w:t>
              </w:r>
            </w:hyperlink>
          </w:p>
        </w:tc>
        <w:tc>
          <w:tcPr>
            <w:tcW w:w="7400" w:type="dxa"/>
            <w:vAlign w:val="bottom"/>
            <w:tcBorders>
              <w:top w:val="single" w:sz="8" w:color="0000EE"/>
            </w:tcBorders>
            <w:gridSpan w:val="8"/>
          </w:tcPr>
          <w:p>
            <w:pPr>
              <w:spacing w:after="0"/>
              <w:rPr>
                <w:sz w:val="16"/>
                <w:szCs w:val="16"/>
                <w:color w:val="auto"/>
              </w:rPr>
            </w:pPr>
          </w:p>
        </w:tc>
        <w:tc>
          <w:tcPr>
            <w:tcW w:w="10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20" w:type="dxa"/>
            <w:vAlign w:val="bottom"/>
            <w:gridSpan w:val="20"/>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(unaudited) Nine Months Ended September 30, 2017 and September 24,</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4"/>
                <w:szCs w:val="24"/>
                <w:color w:val="auto"/>
              </w:rPr>
            </w:pPr>
          </w:p>
        </w:tc>
      </w:tr>
      <w:tr>
        <w:trPr>
          <w:trHeight w:val="192"/>
        </w:trPr>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2"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2016</w:t>
              </w:r>
            </w:hyperlink>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9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04"/>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Unaudited Condensed Consolidated Financial Statements</w:t>
              </w:r>
            </w:hyperlink>
          </w:p>
        </w:tc>
        <w:tc>
          <w:tcPr>
            <w:tcW w:w="4520" w:type="dxa"/>
            <w:vAlign w:val="bottom"/>
            <w:gridSpan w:val="5"/>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63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Management's Discussion and Analysis of Financial Condition and Results of Operations</w:t>
              </w:r>
            </w:hyperlink>
          </w:p>
        </w:tc>
        <w:tc>
          <w:tcPr>
            <w:tcW w:w="2900" w:type="dxa"/>
            <w:vAlign w:val="bottom"/>
            <w:gridSpan w:val="4"/>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20</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2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Quantitative and Qualitative Disclosures About Market Risk</w:t>
              </w:r>
            </w:hyperlink>
          </w:p>
        </w:tc>
        <w:tc>
          <w:tcPr>
            <w:tcW w:w="4940" w:type="dxa"/>
            <w:vAlign w:val="bottom"/>
            <w:gridSpan w:val="6"/>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27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28">
              <w:r>
                <w:rPr>
                  <w:rFonts w:ascii="Arial" w:cs="Arial" w:eastAsia="Arial" w:hAnsi="Arial"/>
                  <w:sz w:val="18"/>
                  <w:szCs w:val="18"/>
                  <w:color w:val="0000EE"/>
                  <w:w w:val="86"/>
                </w:rPr>
                <w:t>Controls and Procedures</w:t>
              </w:r>
            </w:hyperlink>
          </w:p>
        </w:tc>
        <w:tc>
          <w:tcPr>
            <w:tcW w:w="7480" w:type="dxa"/>
            <w:vAlign w:val="bottom"/>
            <w:gridSpan w:val="9"/>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28</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Part II</w:t>
            </w:r>
          </w:p>
        </w:tc>
        <w:tc>
          <w:tcPr>
            <w:tcW w:w="9220" w:type="dxa"/>
            <w:vAlign w:val="bottom"/>
            <w:gridSpan w:val="20"/>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Other Information</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04"/>
        </w:trPr>
        <w:tc>
          <w:tcPr>
            <w:tcW w:w="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0"/>
              </w:rPr>
              <w:t>Item 1.</w:t>
            </w:r>
          </w:p>
        </w:tc>
        <w:tc>
          <w:tcPr>
            <w:tcW w:w="400" w:type="dxa"/>
            <w:vAlign w:val="bottom"/>
            <w:gridSpan w:val="2"/>
          </w:tcPr>
          <w:p>
            <w:pPr>
              <w:spacing w:after="0"/>
              <w:rPr>
                <w:sz w:val="24"/>
                <w:szCs w:val="24"/>
                <w:color w:val="auto"/>
              </w:rPr>
            </w:pPr>
          </w:p>
        </w:tc>
        <w:tc>
          <w:tcPr>
            <w:tcW w:w="1420" w:type="dxa"/>
            <w:vAlign w:val="bottom"/>
            <w:tcBorders>
              <w:top w:val="single" w:sz="8" w:color="0000EE"/>
            </w:tcBorders>
            <w:gridSpan w:val="7"/>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Legal Proceedings</w:t>
              </w:r>
            </w:hyperlink>
          </w:p>
        </w:tc>
        <w:tc>
          <w:tcPr>
            <w:tcW w:w="7800" w:type="dxa"/>
            <w:vAlign w:val="bottom"/>
            <w:gridSpan w:val="13"/>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29</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7920" w:type="dxa"/>
            <w:vAlign w:val="bottom"/>
            <w:gridSpan w:val="14"/>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29</w:t>
            </w:r>
          </w:p>
        </w:tc>
        <w:tc>
          <w:tcPr>
            <w:tcW w:w="160" w:type="dxa"/>
            <w:vAlign w:val="bottom"/>
          </w:tcPr>
          <w:p>
            <w:pPr>
              <w:spacing w:after="0"/>
              <w:rPr>
                <w:sz w:val="24"/>
                <w:szCs w:val="24"/>
                <w:color w:val="auto"/>
              </w:rPr>
            </w:pPr>
          </w:p>
        </w:tc>
      </w:tr>
      <w:tr>
        <w:trPr>
          <w:trHeight w:val="20"/>
        </w:trPr>
        <w:tc>
          <w:tcPr>
            <w:tcW w:w="7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Defaults Upon Senior Securities</w:t>
              </w:r>
            </w:hyperlink>
          </w:p>
        </w:tc>
        <w:tc>
          <w:tcPr>
            <w:tcW w:w="1980" w:type="dxa"/>
            <w:vAlign w:val="bottom"/>
            <w:tcBorders>
              <w:top w:val="single" w:sz="8" w:color="0000EE"/>
            </w:tcBorders>
          </w:tcPr>
          <w:p>
            <w:pPr>
              <w:spacing w:after="0"/>
              <w:rPr>
                <w:sz w:val="24"/>
                <w:szCs w:val="24"/>
                <w:color w:val="auto"/>
              </w:rPr>
            </w:pPr>
          </w:p>
        </w:tc>
        <w:tc>
          <w:tcPr>
            <w:tcW w:w="4960" w:type="dxa"/>
            <w:vAlign w:val="bottom"/>
            <w:gridSpan w:val="7"/>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Mine Safety Disclosures</w:t>
              </w:r>
            </w:hyperlink>
          </w:p>
        </w:tc>
        <w:tc>
          <w:tcPr>
            <w:tcW w:w="7480" w:type="dxa"/>
            <w:vAlign w:val="bottom"/>
            <w:gridSpan w:val="9"/>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37</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7940" w:type="dxa"/>
            <w:vAlign w:val="bottom"/>
            <w:gridSpan w:val="15"/>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38</w:t>
            </w:r>
          </w:p>
        </w:tc>
        <w:tc>
          <w:tcPr>
            <w:tcW w:w="160" w:type="dxa"/>
            <w:vAlign w:val="bottom"/>
          </w:tcPr>
          <w:p>
            <w:pPr>
              <w:spacing w:after="0"/>
              <w:rPr>
                <w:sz w:val="24"/>
                <w:szCs w:val="24"/>
                <w:color w:val="auto"/>
              </w:rPr>
            </w:pPr>
          </w:p>
        </w:tc>
      </w:tr>
      <w:tr>
        <w:trPr>
          <w:trHeight w:val="404"/>
        </w:trPr>
        <w:tc>
          <w:tcPr>
            <w:tcW w:w="920" w:type="dxa"/>
            <w:vAlign w:val="bottom"/>
            <w:gridSpan w:val="4"/>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79"/>
              </w:rPr>
              <w:t>39</w:t>
            </w:r>
          </w:p>
        </w:tc>
        <w:tc>
          <w:tcPr>
            <w:tcW w:w="160" w:type="dxa"/>
            <w:vAlign w:val="bottom"/>
          </w:tcPr>
          <w:p>
            <w:pPr>
              <w:spacing w:after="0"/>
              <w:rPr>
                <w:sz w:val="24"/>
                <w:szCs w:val="24"/>
                <w:color w:val="auto"/>
              </w:rPr>
            </w:pPr>
          </w:p>
        </w:tc>
      </w:tr>
      <w:tr>
        <w:trPr>
          <w:trHeight w:val="582"/>
        </w:trPr>
        <w:tc>
          <w:tcPr>
            <w:tcW w:w="4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par value)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0"/>
        </w:trPr>
        <w:tc>
          <w:tcPr>
            <w:tcW w:w="8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2016 *</w:t>
            </w:r>
          </w:p>
        </w:tc>
        <w:tc>
          <w:tcPr>
            <w:tcW w:w="120" w:type="dxa"/>
            <w:vAlign w:val="bottom"/>
          </w:tcPr>
          <w:p>
            <w:pPr>
              <w:spacing w:after="0"/>
              <w:rPr>
                <w:sz w:val="19"/>
                <w:szCs w:val="19"/>
                <w:color w:val="auto"/>
              </w:rPr>
            </w:pPr>
          </w:p>
        </w:tc>
      </w:tr>
      <w:tr>
        <w:trPr>
          <w:trHeight w:val="206"/>
        </w:trPr>
        <w:tc>
          <w:tcPr>
            <w:tcW w:w="8000" w:type="dxa"/>
            <w:vAlign w:val="bottom"/>
            <w:shd w:val="clear" w:color="auto" w:fill="CCEEFF"/>
          </w:tcPr>
          <w:p>
            <w:pPr>
              <w:spacing w:after="0" w:line="20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center"/>
              <w:ind w:right="300"/>
              <w:spacing w:after="0" w:line="206" w:lineRule="exact"/>
              <w:rPr>
                <w:sz w:val="20"/>
                <w:szCs w:val="20"/>
                <w:color w:val="auto"/>
              </w:rPr>
            </w:pPr>
            <w:r>
              <w:rPr>
                <w:rFonts w:ascii="Arial" w:cs="Arial" w:eastAsia="Arial" w:hAnsi="Arial"/>
                <w:sz w:val="18"/>
                <w:szCs w:val="18"/>
                <w:color w:val="auto"/>
                <w:w w:val="89"/>
              </w:rPr>
              <w:t>(Unaudited)</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121,984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96,045</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16,340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31,990</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63,019</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Raw materials and purchased parts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26,470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23,037</w:t>
            </w:r>
          </w:p>
        </w:tc>
      </w:tr>
      <w:tr>
        <w:trPr>
          <w:trHeight w:val="212"/>
        </w:trPr>
        <w:tc>
          <w:tcPr>
            <w:tcW w:w="8000" w:type="dxa"/>
            <w:vAlign w:val="bottom"/>
          </w:tcPr>
          <w:p>
            <w:pPr>
              <w:ind w:left="3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17,599</w:t>
            </w:r>
          </w:p>
        </w:tc>
      </w:tr>
      <w:tr>
        <w:trPr>
          <w:trHeight w:val="212"/>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line="205" w:lineRule="exact"/>
              <w:rPr>
                <w:sz w:val="20"/>
                <w:szCs w:val="20"/>
                <w:color w:val="auto"/>
              </w:rPr>
            </w:pPr>
            <w:r>
              <w:rPr>
                <w:rFonts w:ascii="Arial" w:cs="Arial" w:eastAsia="Arial" w:hAnsi="Arial"/>
                <w:sz w:val="18"/>
                <w:szCs w:val="18"/>
                <w:color w:val="auto"/>
              </w:rPr>
              <w:t>56,411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45,502</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8,593</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8000" w:type="dxa"/>
            <w:vAlign w:val="bottom"/>
          </w:tcPr>
          <w:p>
            <w:pPr>
              <w:ind w:left="320"/>
              <w:spacing w:after="0" w:line="205" w:lineRule="exact"/>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7"/>
                <w:szCs w:val="17"/>
                <w:color w:val="auto"/>
              </w:rPr>
            </w:pPr>
          </w:p>
        </w:tc>
        <w:tc>
          <w:tcPr>
            <w:tcW w:w="1360" w:type="dxa"/>
            <w:vAlign w:val="bottom"/>
          </w:tcPr>
          <w:p>
            <w:pPr>
              <w:jc w:val="right"/>
              <w:spacing w:after="0" w:line="205" w:lineRule="exact"/>
              <w:rPr>
                <w:sz w:val="20"/>
                <w:szCs w:val="20"/>
                <w:color w:val="auto"/>
              </w:rPr>
            </w:pPr>
            <w:r>
              <w:rPr>
                <w:rFonts w:ascii="Arial" w:cs="Arial" w:eastAsia="Arial" w:hAnsi="Arial"/>
                <w:sz w:val="18"/>
                <w:szCs w:val="18"/>
                <w:color w:val="auto"/>
              </w:rPr>
              <w:t>279,571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245,149</w:t>
            </w: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Land and land improvements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4,079</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Buildings and building improvements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7,967</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45,292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35,157</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8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66,821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47,203</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(32,558)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(28,969)</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800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Net property, plant and equipment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34,263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18,234</w:t>
            </w: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65,483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58,849</w:t>
            </w: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17,766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17,835</w:t>
            </w: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5,445</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800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404,464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345,512</w:t>
            </w:r>
          </w:p>
        </w:tc>
      </w:tr>
      <w:tr>
        <w:trPr>
          <w:trHeight w:val="192"/>
        </w:trPr>
        <w:tc>
          <w:tcPr>
            <w:tcW w:w="80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31,444</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18,509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14,770</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warranty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3,737</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Deferred profit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6,886</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10,526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9,932</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800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77,162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68,689</w:t>
            </w: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Accrued retirement benefits</w:t>
            </w:r>
          </w:p>
        </w:tc>
        <w:tc>
          <w:tcPr>
            <w:tcW w:w="160" w:type="dxa"/>
            <w:vAlign w:val="bottom"/>
          </w:tcPr>
          <w:p>
            <w:pPr>
              <w:spacing w:after="0"/>
              <w:rPr>
                <w:sz w:val="18"/>
                <w:szCs w:val="18"/>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17,033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15,673</w:t>
            </w: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gain on sale of facility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11,689</w:t>
            </w:r>
          </w:p>
        </w:tc>
        <w:tc>
          <w:tcPr>
            <w:tcW w:w="120" w:type="dxa"/>
            <w:vAlign w:val="bottom"/>
            <w:shd w:val="clear" w:color="auto" w:fill="CCEEFF"/>
          </w:tcPr>
          <w:p>
            <w:pPr>
              <w:spacing w:after="0"/>
              <w:rPr>
                <w:sz w:val="18"/>
                <w:szCs w:val="18"/>
                <w:color w:val="auto"/>
              </w:rPr>
            </w:pP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5,852</w:t>
            </w: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 income tax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6,375</w:t>
            </w:r>
          </w:p>
        </w:tc>
      </w:tr>
      <w:tr>
        <w:trPr>
          <w:trHeight w:val="212"/>
        </w:trPr>
        <w:tc>
          <w:tcPr>
            <w:tcW w:w="8000" w:type="dxa"/>
            <w:vAlign w:val="bottom"/>
          </w:tcPr>
          <w:p>
            <w:pPr>
              <w:spacing w:after="0"/>
              <w:rPr>
                <w:sz w:val="20"/>
                <w:szCs w:val="20"/>
                <w:color w:val="auto"/>
              </w:rPr>
            </w:pPr>
            <w:r>
              <w:rPr>
                <w:rFonts w:ascii="Arial" w:cs="Arial" w:eastAsia="Arial" w:hAnsi="Arial"/>
                <w:sz w:val="18"/>
                <w:szCs w:val="18"/>
                <w:color w:val="auto"/>
              </w:rPr>
              <w:t>Long-term debt, excluding current installments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1,765</w:t>
            </w:r>
          </w:p>
        </w:tc>
      </w:tr>
      <w:tr>
        <w:trPr>
          <w:trHeight w:val="212"/>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Preferred stock, $1 par value; 1,000 shares authorized, none issued</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0"/>
        </w:trPr>
        <w:tc>
          <w:tcPr>
            <w:tcW w:w="80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w w:val="91"/>
              </w:rPr>
              <w:t>Common stock, $1 par value; 60,000 shares authorized, 28,213 shares issued and outstanding in 2017 and</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8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26,842 shares in 2016</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26,842</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Paid-in capital</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123,064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111,950</w:t>
            </w:r>
          </w:p>
        </w:tc>
      </w:tr>
      <w:tr>
        <w:trPr>
          <w:trHeight w:val="212"/>
        </w:trPr>
        <w:tc>
          <w:tcPr>
            <w:tcW w:w="8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124,559</w:t>
            </w:r>
          </w:p>
        </w:tc>
      </w:tr>
      <w:tr>
        <w:trPr>
          <w:trHeight w:val="212"/>
        </w:trPr>
        <w:tc>
          <w:tcPr>
            <w:tcW w:w="80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(18,016)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(27,882)</w:t>
            </w:r>
          </w:p>
        </w:tc>
      </w:tr>
      <w:tr>
        <w:trPr>
          <w:trHeight w:val="20"/>
        </w:trPr>
        <w:tc>
          <w:tcPr>
            <w:tcW w:w="8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800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Total stockholders' equity</w:t>
            </w: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278,797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235,469</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80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line="205" w:lineRule="exact"/>
              <w:rPr>
                <w:sz w:val="20"/>
                <w:szCs w:val="20"/>
                <w:color w:val="auto"/>
              </w:rPr>
            </w:pPr>
            <w:r>
              <w:rPr>
                <w:rFonts w:ascii="Arial" w:cs="Arial" w:eastAsia="Arial" w:hAnsi="Arial"/>
                <w:sz w:val="18"/>
                <w:szCs w:val="18"/>
                <w:color w:val="auto"/>
              </w:rPr>
              <w:t>404,464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345,512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Derived from December 31, 2016 audited financial statements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420"/>
          </w:cols>
          <w:pgMar w:left="240" w:top="118" w:right="239" w:bottom="1440" w:gutter="0" w:footer="0" w:header="0"/>
        </w:sect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4916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September 30,</w:t>
            </w:r>
          </w:p>
        </w:tc>
        <w:tc>
          <w:tcPr>
            <w:tcW w:w="140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24,</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24,</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93,651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69,259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268,614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211,390</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Cost and expenses: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56,742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142,089</w:t>
            </w:r>
          </w:p>
        </w:tc>
        <w:tc>
          <w:tcPr>
            <w:tcW w:w="0" w:type="dxa"/>
            <w:vAlign w:val="bottom"/>
          </w:tcPr>
          <w:p>
            <w:pPr>
              <w:spacing w:after="0"/>
              <w:rPr>
                <w:sz w:val="1"/>
                <w:szCs w:val="1"/>
                <w:color w:val="auto"/>
              </w:rPr>
            </w:pPr>
          </w:p>
        </w:tc>
      </w:tr>
      <w:tr>
        <w:trPr>
          <w:trHeight w:val="212"/>
        </w:trPr>
        <w:tc>
          <w:tcPr>
            <w:tcW w:w="5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9,609</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8,673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28,851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16,882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41,990</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83,233</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68,353</w:t>
            </w: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238,532</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208,777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from operations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10,418</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906</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30,082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Interest and other, net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from continuing operations before taxes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10,592</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977</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30,499</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Income tax provision</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1,837</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849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Income from continuing operations</w:t>
            </w: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8,755</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128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26,226</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Income (loss) from discontinued operations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72"/>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8,755</w:t>
            </w:r>
          </w:p>
        </w:tc>
        <w:tc>
          <w:tcPr>
            <w:tcW w:w="240" w:type="dxa"/>
            <w:vAlign w:val="bottom"/>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25,948</w:t>
            </w:r>
          </w:p>
        </w:tc>
        <w:tc>
          <w:tcPr>
            <w:tcW w:w="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92"/>
        </w:trPr>
        <w:tc>
          <w:tcPr>
            <w:tcW w:w="5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Income (loss) per share:</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60" w:type="dxa"/>
            <w:vAlign w:val="bottom"/>
          </w:tcPr>
          <w:p>
            <w:pPr>
              <w:ind w:left="16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2"/>
        </w:trPr>
        <w:tc>
          <w:tcPr>
            <w:tcW w:w="5260" w:type="dxa"/>
            <w:vAlign w:val="bottom"/>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60" w:type="dxa"/>
            <w:vAlign w:val="bottom"/>
            <w:shd w:val="clear" w:color="auto" w:fill="CCEEFF"/>
          </w:tcPr>
          <w:p>
            <w:pPr>
              <w:ind w:left="320"/>
              <w:spacing w:after="0" w:line="205" w:lineRule="exact"/>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72"/>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0.01</w:t>
            </w:r>
          </w:p>
        </w:tc>
        <w:tc>
          <w:tcPr>
            <w:tcW w:w="24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0.94</w:t>
            </w:r>
          </w:p>
        </w:tc>
        <w:tc>
          <w:tcPr>
            <w:tcW w:w="22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92"/>
        </w:trPr>
        <w:tc>
          <w:tcPr>
            <w:tcW w:w="526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60" w:type="dxa"/>
            <w:vAlign w:val="bottom"/>
          </w:tcPr>
          <w:p>
            <w:pPr>
              <w:ind w:left="320"/>
              <w:spacing w:after="0"/>
              <w:rPr>
                <w:sz w:val="20"/>
                <w:szCs w:val="20"/>
                <w:color w:val="auto"/>
              </w:rPr>
            </w:pPr>
            <w:r>
              <w:rPr>
                <w:rFonts w:ascii="Arial" w:cs="Arial" w:eastAsia="Arial" w:hAnsi="Arial"/>
                <w:sz w:val="18"/>
                <w:szCs w:val="18"/>
                <w:color w:val="auto"/>
              </w:rPr>
              <w:t>Income from continuing operations</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0.30</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0.92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2"/>
        </w:trPr>
        <w:tc>
          <w:tcPr>
            <w:tcW w:w="5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(loss) from discontinued operations</w:t>
            </w: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2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260" w:type="dxa"/>
            <w:vAlign w:val="bottom"/>
          </w:tcPr>
          <w:p>
            <w:pPr>
              <w:ind w:left="320"/>
              <w:spacing w:after="0" w:line="205" w:lineRule="exact"/>
              <w:rPr>
                <w:sz w:val="20"/>
                <w:szCs w:val="20"/>
                <w:color w:val="auto"/>
              </w:rPr>
            </w:pPr>
            <w:r>
              <w:rPr>
                <w:rFonts w:ascii="Arial" w:cs="Arial" w:eastAsia="Arial" w:hAnsi="Arial"/>
                <w:sz w:val="18"/>
                <w:szCs w:val="18"/>
                <w:color w:val="auto"/>
              </w:rPr>
              <w:t>Net income</w:t>
            </w:r>
          </w:p>
        </w:tc>
        <w:tc>
          <w:tcPr>
            <w:tcW w:w="1060" w:type="dxa"/>
            <w:vAlign w:val="bottom"/>
            <w:gridSpan w:val="2"/>
          </w:tcPr>
          <w:p>
            <w:pPr>
              <w:jc w:val="right"/>
              <w:ind w:right="72"/>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0.30</w:t>
            </w:r>
          </w:p>
        </w:tc>
        <w:tc>
          <w:tcPr>
            <w:tcW w:w="240" w:type="dxa"/>
            <w:vAlign w:val="bottom"/>
          </w:tcPr>
          <w:p>
            <w:pPr>
              <w:jc w:val="right"/>
              <w:ind w:right="52"/>
              <w:spacing w:after="0" w:line="205"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line="205" w:lineRule="exact"/>
              <w:rPr>
                <w:sz w:val="20"/>
                <w:szCs w:val="20"/>
                <w:color w:val="auto"/>
              </w:rPr>
            </w:pPr>
            <w:r>
              <w:rPr>
                <w:rFonts w:ascii="Arial" w:cs="Arial" w:eastAsia="Arial" w:hAnsi="Arial"/>
                <w:sz w:val="18"/>
                <w:szCs w:val="18"/>
                <w:color w:val="auto"/>
              </w:rPr>
              <w:t>0.01</w:t>
            </w:r>
          </w:p>
        </w:tc>
        <w:tc>
          <w:tcPr>
            <w:tcW w:w="2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0.91</w:t>
            </w:r>
          </w:p>
        </w:tc>
        <w:tc>
          <w:tcPr>
            <w:tcW w:w="22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w w:val="94"/>
              </w:rPr>
              <w:t>Weighted average shares used in computing income (loss) per share: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28,155</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26,761</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27,614</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26,596</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tcPr>
          <w:p>
            <w:pPr>
              <w:ind w:left="320"/>
              <w:spacing w:after="0" w:line="192" w:lineRule="exact"/>
              <w:rPr>
                <w:sz w:val="20"/>
                <w:szCs w:val="20"/>
                <w:color w:val="auto"/>
              </w:rPr>
            </w:pPr>
            <w:r>
              <w:rPr>
                <w:rFonts w:ascii="Arial" w:cs="Arial" w:eastAsia="Arial" w:hAnsi="Arial"/>
                <w:sz w:val="18"/>
                <w:szCs w:val="18"/>
                <w:color w:val="auto"/>
              </w:rPr>
              <w:t>Diluted</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40"/>
              <w:spacing w:after="0" w:line="192" w:lineRule="exact"/>
              <w:rPr>
                <w:sz w:val="20"/>
                <w:szCs w:val="20"/>
                <w:color w:val="auto"/>
              </w:rPr>
            </w:pPr>
            <w:r>
              <w:rPr>
                <w:rFonts w:ascii="Arial" w:cs="Arial" w:eastAsia="Arial" w:hAnsi="Arial"/>
                <w:sz w:val="18"/>
                <w:szCs w:val="18"/>
                <w:color w:val="auto"/>
              </w:rPr>
              <w:t>29,105</w:t>
            </w:r>
          </w:p>
        </w:tc>
        <w:tc>
          <w:tcPr>
            <w:tcW w:w="240" w:type="dxa"/>
            <w:vAlign w:val="bottom"/>
          </w:tcPr>
          <w:p>
            <w:pPr>
              <w:spacing w:after="0"/>
              <w:rPr>
                <w:sz w:val="16"/>
                <w:szCs w:val="16"/>
                <w:color w:val="auto"/>
              </w:rPr>
            </w:pPr>
          </w:p>
        </w:tc>
        <w:tc>
          <w:tcPr>
            <w:tcW w:w="1160" w:type="dxa"/>
            <w:vAlign w:val="bottom"/>
            <w:gridSpan w:val="2"/>
          </w:tcPr>
          <w:p>
            <w:pPr>
              <w:jc w:val="right"/>
              <w:ind w:right="240"/>
              <w:spacing w:after="0" w:line="192" w:lineRule="exact"/>
              <w:rPr>
                <w:sz w:val="20"/>
                <w:szCs w:val="20"/>
                <w:color w:val="auto"/>
              </w:rPr>
            </w:pPr>
            <w:r>
              <w:rPr>
                <w:rFonts w:ascii="Arial" w:cs="Arial" w:eastAsia="Arial" w:hAnsi="Arial"/>
                <w:sz w:val="18"/>
                <w:szCs w:val="18"/>
                <w:color w:val="auto"/>
              </w:rPr>
              <w:t>27,367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line="192" w:lineRule="exact"/>
              <w:rPr>
                <w:sz w:val="20"/>
                <w:szCs w:val="20"/>
                <w:color w:val="auto"/>
              </w:rPr>
            </w:pPr>
            <w:r>
              <w:rPr>
                <w:rFonts w:ascii="Arial" w:cs="Arial" w:eastAsia="Arial" w:hAnsi="Arial"/>
                <w:sz w:val="18"/>
                <w:szCs w:val="18"/>
                <w:color w:val="auto"/>
              </w:rPr>
              <w:t>28,640</w:t>
            </w:r>
          </w:p>
        </w:tc>
        <w:tc>
          <w:tcPr>
            <w:tcW w:w="220" w:type="dxa"/>
            <w:vAlign w:val="bottom"/>
          </w:tcPr>
          <w:p>
            <w:pPr>
              <w:spacing w:after="0"/>
              <w:rPr>
                <w:sz w:val="16"/>
                <w:szCs w:val="16"/>
                <w:color w:val="auto"/>
              </w:rPr>
            </w:pPr>
          </w:p>
        </w:tc>
        <w:tc>
          <w:tcPr>
            <w:tcW w:w="1000" w:type="dxa"/>
            <w:vAlign w:val="bottom"/>
            <w:gridSpan w:val="2"/>
          </w:tcPr>
          <w:p>
            <w:pPr>
              <w:jc w:val="right"/>
              <w:ind w:right="100"/>
              <w:spacing w:after="0" w:line="192" w:lineRule="exact"/>
              <w:rPr>
                <w:sz w:val="20"/>
                <w:szCs w:val="20"/>
                <w:color w:val="auto"/>
              </w:rPr>
            </w:pPr>
            <w:r>
              <w:rPr>
                <w:rFonts w:ascii="Arial" w:cs="Arial" w:eastAsia="Arial" w:hAnsi="Arial"/>
                <w:sz w:val="18"/>
                <w:szCs w:val="18"/>
                <w:color w:val="auto"/>
              </w:rPr>
              <w:t>27,382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Arial" w:cs="Arial" w:eastAsia="Arial" w:hAnsi="Arial"/>
                <w:sz w:val="18"/>
                <w:szCs w:val="18"/>
                <w:color w:val="auto"/>
              </w:rPr>
              <w:t>Cash dividends declared per share</w:t>
            </w:r>
          </w:p>
        </w:tc>
        <w:tc>
          <w:tcPr>
            <w:tcW w:w="106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i w:val="1"/>
                <w:iCs w:val="1"/>
                <w:color w:val="auto"/>
                <w:w w:val="99"/>
              </w:rPr>
              <w:t>The accompanying notes are an integral part of these statements.</w:t>
            </w: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526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jc w:val="right"/>
              <w:ind w:right="32"/>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3"/>
          </w:tcPr>
          <w:p>
            <w:pPr>
              <w:jc w:val="right"/>
              <w:ind w:right="37"/>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00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September 30,</w:t>
            </w:r>
          </w:p>
        </w:tc>
        <w:tc>
          <w:tcPr>
            <w:tcW w:w="10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September 24,</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89"/>
              </w:rPr>
              <w:t>September 30,</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September 24,</w:t>
            </w:r>
          </w:p>
        </w:tc>
      </w:tr>
      <w:tr>
        <w:trPr>
          <w:trHeight w:val="230"/>
        </w:trPr>
        <w:tc>
          <w:tcPr>
            <w:tcW w:w="6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6"/>
        </w:trPr>
        <w:tc>
          <w:tcPr>
            <w:tcW w:w="60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2"/>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8,755</w:t>
            </w:r>
          </w:p>
        </w:tc>
        <w:tc>
          <w:tcPr>
            <w:tcW w:w="920" w:type="dxa"/>
            <w:vAlign w:val="bottom"/>
            <w:gridSpan w:val="2"/>
            <w:shd w:val="clear" w:color="auto" w:fill="CCEEFF"/>
          </w:tcPr>
          <w:p>
            <w:pPr>
              <w:jc w:val="right"/>
              <w:ind w:right="652"/>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25,948</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950</w:t>
            </w:r>
          </w:p>
        </w:tc>
      </w:tr>
      <w:tr>
        <w:trPr>
          <w:trHeight w:val="212"/>
        </w:trPr>
        <w:tc>
          <w:tcPr>
            <w:tcW w:w="6000" w:type="dxa"/>
            <w:vAlign w:val="bottom"/>
          </w:tcPr>
          <w:p>
            <w:pPr>
              <w:spacing w:after="0"/>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2,724</w:t>
            </w:r>
          </w:p>
        </w:tc>
      </w:tr>
      <w:tr>
        <w:trPr>
          <w:trHeight w:val="212"/>
        </w:trPr>
        <w:tc>
          <w:tcPr>
            <w:tcW w:w="6000" w:type="dxa"/>
            <w:vAlign w:val="bottom"/>
          </w:tcPr>
          <w:p>
            <w:pPr>
              <w:ind w:left="160"/>
              <w:spacing w:after="0"/>
              <w:rPr>
                <w:sz w:val="20"/>
                <w:szCs w:val="20"/>
                <w:color w:val="auto"/>
              </w:rPr>
            </w:pPr>
            <w:r>
              <w:rPr>
                <w:rFonts w:ascii="Arial" w:cs="Arial" w:eastAsia="Arial" w:hAnsi="Arial"/>
                <w:sz w:val="18"/>
                <w:szCs w:val="18"/>
                <w:color w:val="auto"/>
              </w:rPr>
              <w:t>Adjustments related to postretirement benefits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7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2"/>
        </w:trPr>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unrealized gain/loss on investments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7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6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6000" w:type="dxa"/>
            <w:vAlign w:val="bottom"/>
          </w:tcPr>
          <w:p>
            <w:pPr>
              <w:spacing w:after="0" w:line="205" w:lineRule="exact"/>
              <w:rPr>
                <w:sz w:val="20"/>
                <w:szCs w:val="20"/>
                <w:color w:val="auto"/>
              </w:rPr>
            </w:pPr>
            <w:r>
              <w:rPr>
                <w:rFonts w:ascii="Arial" w:cs="Arial" w:eastAsia="Arial" w:hAnsi="Arial"/>
                <w:sz w:val="18"/>
                <w:szCs w:val="18"/>
                <w:color w:val="auto"/>
              </w:rPr>
              <w:t>Other comprehensive income, net of tax</w:t>
            </w:r>
          </w:p>
        </w:tc>
        <w:tc>
          <w:tcPr>
            <w:tcW w:w="240" w:type="dxa"/>
            <w:vAlign w:val="bottom"/>
          </w:tcPr>
          <w:p>
            <w:pPr>
              <w:spacing w:after="0"/>
              <w:rPr>
                <w:sz w:val="17"/>
                <w:szCs w:val="17"/>
                <w:color w:val="auto"/>
              </w:rPr>
            </w:pPr>
          </w:p>
        </w:tc>
        <w:tc>
          <w:tcPr>
            <w:tcW w:w="102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2,588</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556</w:t>
            </w:r>
          </w:p>
        </w:tc>
        <w:tc>
          <w:tcPr>
            <w:tcW w:w="24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color w:val="auto"/>
              </w:rPr>
              <w:t>9,866</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w w:val="84"/>
              </w:rPr>
              <w:t>2,688</w:t>
            </w:r>
          </w:p>
        </w:tc>
      </w:tr>
      <w:tr>
        <w:trPr>
          <w:trHeight w:val="20"/>
        </w:trPr>
        <w:tc>
          <w:tcPr>
            <w:tcW w:w="60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6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Comprehensive income</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11,343</w:t>
            </w:r>
          </w:p>
        </w:tc>
        <w:tc>
          <w:tcPr>
            <w:tcW w:w="920" w:type="dxa"/>
            <w:vAlign w:val="bottom"/>
            <w:gridSpan w:val="2"/>
            <w:shd w:val="clear" w:color="auto" w:fill="CCEEFF"/>
          </w:tcPr>
          <w:p>
            <w:pPr>
              <w:jc w:val="right"/>
              <w:ind w:right="652"/>
              <w:spacing w:after="0" w:line="205"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735</w:t>
            </w:r>
          </w:p>
        </w:tc>
        <w:tc>
          <w:tcPr>
            <w:tcW w:w="240" w:type="dxa"/>
            <w:vAlign w:val="bottom"/>
            <w:shd w:val="clear" w:color="auto" w:fill="CCEEFF"/>
          </w:tcPr>
          <w:p>
            <w:pPr>
              <w:jc w:val="right"/>
              <w:ind w:right="79"/>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35,814</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w w:val="84"/>
              </w:rPr>
              <w:t>3,638</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8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Nine Months Ended</w:t>
            </w:r>
          </w:p>
        </w:tc>
      </w:tr>
      <w:tr>
        <w:trPr>
          <w:trHeight w:val="212"/>
        </w:trPr>
        <w:tc>
          <w:tcPr>
            <w:tcW w:w="6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September 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4"/>
              </w:rPr>
              <w:t>September 24,</w:t>
            </w:r>
          </w:p>
        </w:tc>
      </w:tr>
      <w:tr>
        <w:trPr>
          <w:trHeight w:val="230"/>
        </w:trPr>
        <w:tc>
          <w:tcPr>
            <w:tcW w:w="6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r>
      <w:tr>
        <w:trPr>
          <w:trHeight w:val="206"/>
        </w:trPr>
        <w:tc>
          <w:tcPr>
            <w:tcW w:w="68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25,948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320"/>
              <w:spacing w:after="0"/>
              <w:rPr>
                <w:sz w:val="20"/>
                <w:szCs w:val="20"/>
                <w:color w:val="auto"/>
              </w:rPr>
            </w:pPr>
            <w:r>
              <w:rPr>
                <w:rFonts w:ascii="Arial" w:cs="Arial" w:eastAsia="Arial" w:hAnsi="Arial"/>
                <w:sz w:val="18"/>
                <w:szCs w:val="18"/>
                <w:color w:val="auto"/>
              </w:rPr>
              <w:t>Loss on disposal of microwave communications equipment business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r>
      <w:tr>
        <w:trPr>
          <w:trHeight w:val="212"/>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8,089</w:t>
            </w:r>
          </w:p>
        </w:tc>
      </w:tr>
      <w:tr>
        <w:trPr>
          <w:trHeight w:val="212"/>
        </w:trPr>
        <w:tc>
          <w:tcPr>
            <w:tcW w:w="6880" w:type="dxa"/>
            <w:vAlign w:val="bottom"/>
          </w:tcPr>
          <w:p>
            <w:pPr>
              <w:ind w:left="320"/>
              <w:spacing w:after="0"/>
              <w:rPr>
                <w:sz w:val="20"/>
                <w:szCs w:val="20"/>
                <w:color w:val="auto"/>
              </w:rPr>
            </w:pPr>
            <w:r>
              <w:rPr>
                <w:rFonts w:ascii="Arial" w:cs="Arial" w:eastAsia="Arial" w:hAnsi="Arial"/>
                <w:sz w:val="18"/>
                <w:szCs w:val="18"/>
                <w:color w:val="auto"/>
              </w:rPr>
              <w:t>Share-based compensation expense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5,336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5,291</w:t>
            </w:r>
          </w:p>
        </w:tc>
      </w:tr>
      <w:tr>
        <w:trPr>
          <w:trHeight w:val="212"/>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inventory step-up</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(1,111)</w:t>
            </w:r>
          </w:p>
        </w:tc>
      </w:tr>
      <w:tr>
        <w:trPr>
          <w:trHeight w:val="212"/>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 to market adjustment to Kita contingent consideration liability</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320"/>
              <w:spacing w:after="0"/>
              <w:rPr>
                <w:sz w:val="20"/>
                <w:szCs w:val="20"/>
                <w:color w:val="auto"/>
              </w:rPr>
            </w:pPr>
            <w:r>
              <w:rPr>
                <w:rFonts w:ascii="Arial" w:cs="Arial" w:eastAsia="Arial" w:hAnsi="Arial"/>
                <w:sz w:val="18"/>
                <w:szCs w:val="18"/>
                <w:color w:val="auto"/>
              </w:rPr>
              <w:t>Changes in other accrued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716</w:t>
            </w:r>
          </w:p>
        </w:tc>
      </w:tr>
      <w:tr>
        <w:trPr>
          <w:trHeight w:val="212"/>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other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2"/>
        </w:trPr>
        <w:tc>
          <w:tcPr>
            <w:tcW w:w="6880" w:type="dxa"/>
            <w:vAlign w:val="bottom"/>
          </w:tcPr>
          <w:p>
            <w:pPr>
              <w:ind w:left="320"/>
              <w:spacing w:after="0"/>
              <w:rPr>
                <w:sz w:val="20"/>
                <w:szCs w:val="20"/>
                <w:color w:val="auto"/>
              </w:rPr>
            </w:pPr>
            <w:r>
              <w:rPr>
                <w:rFonts w:ascii="Arial" w:cs="Arial" w:eastAsia="Arial" w:hAnsi="Arial"/>
                <w:sz w:val="18"/>
                <w:szCs w:val="18"/>
                <w:color w:val="auto"/>
              </w:rPr>
              <w:t>(Gain) loss on disposal of assets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r>
      <w:tr>
        <w:trPr>
          <w:trHeight w:val="212"/>
        </w:trPr>
        <w:tc>
          <w:tcPr>
            <w:tcW w:w="68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current assets and liabilities, excluding effects from acquisitions: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(9,013)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3,073</w:t>
            </w:r>
          </w:p>
        </w:tc>
      </w:tr>
      <w:tr>
        <w:trPr>
          <w:trHeight w:val="212"/>
        </w:trPr>
        <w:tc>
          <w:tcPr>
            <w:tcW w:w="6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(6,701)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3,551</w:t>
            </w:r>
          </w:p>
        </w:tc>
      </w:tr>
      <w:tr>
        <w:trPr>
          <w:trHeight w:val="212"/>
        </w:trPr>
        <w:tc>
          <w:tcPr>
            <w:tcW w:w="68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(3,620)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(2,109)</w:t>
            </w:r>
          </w:p>
        </w:tc>
      </w:tr>
      <w:tr>
        <w:trPr>
          <w:trHeight w:val="212"/>
        </w:trPr>
        <w:tc>
          <w:tcPr>
            <w:tcW w:w="6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w:t>
            </w:r>
          </w:p>
        </w:tc>
      </w:tr>
      <w:tr>
        <w:trPr>
          <w:trHeight w:val="212"/>
        </w:trPr>
        <w:tc>
          <w:tcPr>
            <w:tcW w:w="6880" w:type="dxa"/>
            <w:vAlign w:val="bottom"/>
          </w:tcPr>
          <w:p>
            <w:pPr>
              <w:ind w:left="480"/>
              <w:spacing w:after="0"/>
              <w:rPr>
                <w:sz w:val="20"/>
                <w:szCs w:val="20"/>
                <w:color w:val="auto"/>
              </w:rPr>
            </w:pPr>
            <w:r>
              <w:rPr>
                <w:rFonts w:ascii="Arial" w:cs="Arial" w:eastAsia="Arial" w:hAnsi="Arial"/>
                <w:sz w:val="18"/>
                <w:szCs w:val="18"/>
                <w:color w:val="auto"/>
              </w:rPr>
              <w:t>Income taxes payable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(2,451)</w:t>
            </w:r>
          </w:p>
        </w:tc>
      </w:tr>
      <w:tr>
        <w:trPr>
          <w:trHeight w:val="212"/>
        </w:trPr>
        <w:tc>
          <w:tcPr>
            <w:tcW w:w="6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profit</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1,970</w:t>
            </w:r>
          </w:p>
        </w:tc>
      </w:tr>
      <w:tr>
        <w:trPr>
          <w:trHeight w:val="212"/>
        </w:trPr>
        <w:tc>
          <w:tcPr>
            <w:tcW w:w="6880" w:type="dxa"/>
            <w:vAlign w:val="bottom"/>
          </w:tcPr>
          <w:p>
            <w:pPr>
              <w:ind w:left="480"/>
              <w:spacing w:after="0"/>
              <w:rPr>
                <w:sz w:val="20"/>
                <w:szCs w:val="20"/>
                <w:color w:val="auto"/>
              </w:rPr>
            </w:pPr>
            <w:r>
              <w:rPr>
                <w:rFonts w:ascii="Arial" w:cs="Arial" w:eastAsia="Arial" w:hAnsi="Arial"/>
                <w:sz w:val="18"/>
                <w:szCs w:val="18"/>
                <w:color w:val="auto"/>
              </w:rPr>
              <w:t>Accrued compensation, warranty and other liabilities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980</w:t>
            </w: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880" w:type="dxa"/>
            <w:vAlign w:val="bottom"/>
            <w:shd w:val="clear" w:color="auto" w:fill="CCEEFF"/>
          </w:tcPr>
          <w:p>
            <w:pPr>
              <w:ind w:left="640"/>
              <w:spacing w:after="0" w:line="205" w:lineRule="exact"/>
              <w:rPr>
                <w:sz w:val="20"/>
                <w:szCs w:val="20"/>
                <w:color w:val="auto"/>
              </w:rPr>
            </w:pPr>
            <w:r>
              <w:rPr>
                <w:rFonts w:ascii="Arial" w:cs="Arial" w:eastAsia="Arial" w:hAnsi="Arial"/>
                <w:sz w:val="18"/>
                <w:szCs w:val="18"/>
                <w:color w:val="auto"/>
              </w:rPr>
              <w:t>Net cash provided by operating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23,609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18,547</w:t>
            </w:r>
          </w:p>
        </w:tc>
      </w:tr>
      <w:tr>
        <w:trPr>
          <w:trHeight w:val="212"/>
        </w:trPr>
        <w:tc>
          <w:tcPr>
            <w:tcW w:w="6880" w:type="dxa"/>
            <w:vAlign w:val="bottom"/>
          </w:tcPr>
          <w:p>
            <w:pPr>
              <w:spacing w:after="0"/>
              <w:rPr>
                <w:sz w:val="20"/>
                <w:szCs w:val="20"/>
                <w:color w:val="auto"/>
              </w:rPr>
            </w:pPr>
            <w:r>
              <w:rPr>
                <w:rFonts w:ascii="Arial" w:cs="Arial" w:eastAsia="Arial" w:hAnsi="Arial"/>
                <w:sz w:val="18"/>
                <w:szCs w:val="18"/>
                <w:color w:val="auto"/>
              </w:rPr>
              <w:t>Cash flows from investing activities, excluding effects from acquisitions: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13,654</w:t>
            </w: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(23,665)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(31,453)</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Kita, net of cash received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(4,739)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received from sale of fixed assets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r>
      <w:tr>
        <w:trPr>
          <w:trHeight w:val="20"/>
        </w:trPr>
        <w:tc>
          <w:tcPr>
            <w:tcW w:w="68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6880" w:type="dxa"/>
            <w:vAlign w:val="bottom"/>
          </w:tcPr>
          <w:p>
            <w:pPr>
              <w:ind w:left="640"/>
              <w:spacing w:after="0" w:line="205" w:lineRule="exact"/>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80"/>
              <w:spacing w:after="0" w:line="205" w:lineRule="exact"/>
              <w:rPr>
                <w:sz w:val="20"/>
                <w:szCs w:val="20"/>
                <w:color w:val="auto"/>
              </w:rPr>
            </w:pPr>
            <w:r>
              <w:rPr>
                <w:rFonts w:ascii="Arial" w:cs="Arial" w:eastAsia="Arial" w:hAnsi="Arial"/>
                <w:sz w:val="18"/>
                <w:szCs w:val="18"/>
                <w:color w:val="auto"/>
              </w:rPr>
              <w:t>(696)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(19,744)</w:t>
            </w:r>
          </w:p>
        </w:tc>
      </w:tr>
      <w:tr>
        <w:trPr>
          <w:trHeight w:val="212"/>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Issuance (repurchases) of common stock, net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7,149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8"/>
                <w:szCs w:val="18"/>
                <w:color w:val="auto"/>
              </w:rPr>
              <w:t>(1,325)</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paid</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(4,748)</w:t>
            </w: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Repayments of long-term debt</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(1,280)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880" w:type="dxa"/>
            <w:vAlign w:val="bottom"/>
            <w:shd w:val="clear" w:color="auto" w:fill="CCEEFF"/>
          </w:tcPr>
          <w:p>
            <w:pPr>
              <w:ind w:left="640"/>
              <w:spacing w:after="0" w:line="205" w:lineRule="exact"/>
              <w:rPr>
                <w:sz w:val="20"/>
                <w:szCs w:val="20"/>
                <w:color w:val="auto"/>
              </w:rPr>
            </w:pPr>
            <w:r>
              <w:rPr>
                <w:rFonts w:ascii="Arial" w:cs="Arial" w:eastAsia="Arial" w:hAnsi="Arial"/>
                <w:sz w:val="18"/>
                <w:szCs w:val="18"/>
                <w:color w:val="auto"/>
              </w:rPr>
              <w:t>Net cash provided by (used in) financing activities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975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(6,073)</w:t>
            </w:r>
          </w:p>
        </w:tc>
      </w:tr>
      <w:tr>
        <w:trPr>
          <w:trHeight w:val="212"/>
        </w:trPr>
        <w:tc>
          <w:tcPr>
            <w:tcW w:w="68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1,117</w:t>
            </w: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25,939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(6,153)</w:t>
            </w:r>
          </w:p>
        </w:tc>
      </w:tr>
      <w:tr>
        <w:trPr>
          <w:trHeight w:val="212"/>
        </w:trPr>
        <w:tc>
          <w:tcPr>
            <w:tcW w:w="68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96,045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115,370</w:t>
            </w:r>
          </w:p>
        </w:tc>
      </w:tr>
      <w:tr>
        <w:trPr>
          <w:trHeight w:val="20"/>
        </w:trPr>
        <w:tc>
          <w:tcPr>
            <w:tcW w:w="68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5"/>
        </w:trPr>
        <w:tc>
          <w:tcPr>
            <w:tcW w:w="68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Cash and cash equivalents at end of period</w:t>
            </w:r>
          </w:p>
        </w:tc>
        <w:tc>
          <w:tcPr>
            <w:tcW w:w="11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121,984</w:t>
            </w:r>
          </w:p>
        </w:tc>
        <w:tc>
          <w:tcPr>
            <w:tcW w:w="26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109,217</w:t>
            </w:r>
          </w:p>
        </w:tc>
      </w:tr>
      <w:tr>
        <w:trPr>
          <w:trHeight w:val="192"/>
        </w:trPr>
        <w:tc>
          <w:tcPr>
            <w:tcW w:w="688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2"/>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3,740</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5,977</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capitalized as property, plant and equipment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r>
      <w:tr>
        <w:trPr>
          <w:trHeight w:val="212"/>
        </w:trPr>
        <w:tc>
          <w:tcPr>
            <w:tcW w:w="6880" w:type="dxa"/>
            <w:vAlign w:val="bottom"/>
          </w:tcPr>
          <w:p>
            <w:pPr>
              <w:ind w:left="160"/>
              <w:spacing w:after="0"/>
              <w:rPr>
                <w:sz w:val="20"/>
                <w:szCs w:val="20"/>
                <w:color w:val="auto"/>
              </w:rPr>
            </w:pPr>
            <w:r>
              <w:rPr>
                <w:rFonts w:ascii="Arial" w:cs="Arial" w:eastAsia="Arial" w:hAnsi="Arial"/>
                <w:sz w:val="18"/>
                <w:szCs w:val="18"/>
                <w:color w:val="auto"/>
              </w:rPr>
              <w:t>Dividends declared but not yet paid</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1,683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1,603</w:t>
            </w:r>
          </w:p>
        </w:tc>
      </w:tr>
      <w:tr>
        <w:trPr>
          <w:trHeight w:val="212"/>
        </w:trPr>
        <w:tc>
          <w:tcPr>
            <w:tcW w:w="6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plant and equipment purchases included in accounts payable</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00" w:lineRule="exact"/>
        <w:rPr>
          <w:sz w:val="20"/>
          <w:szCs w:val="20"/>
          <w:color w:val="auto"/>
        </w:rPr>
      </w:pPr>
    </w:p>
    <w:p>
      <w:pPr>
        <w:spacing w:after="0" w:line="211" w:lineRule="exact"/>
        <w:rPr>
          <w:sz w:val="20"/>
          <w:szCs w:val="20"/>
          <w:color w:val="auto"/>
        </w:rPr>
      </w:pPr>
    </w:p>
    <w:p>
      <w:pPr>
        <w:ind w:left="480" w:right="7620" w:hanging="474"/>
        <w:spacing w:after="0" w:line="494" w:lineRule="auto"/>
        <w:tabs>
          <w:tab w:leader="none" w:pos="4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rFonts w:ascii="Arial" w:cs="Arial" w:eastAsia="Arial" w:hAnsi="Arial"/>
          <w:sz w:val="18"/>
          <w:szCs w:val="18"/>
          <w:b w:val="1"/>
          <w:bCs w:val="1"/>
          <w:color w:val="auto"/>
        </w:rPr>
      </w:pPr>
    </w:p>
    <w:p>
      <w:pPr>
        <w:ind w:left="480"/>
        <w:spacing w:after="0" w:line="306" w:lineRule="auto"/>
        <w:rPr>
          <w:rFonts w:ascii="Arial" w:cs="Arial" w:eastAsia="Arial" w:hAnsi="Arial"/>
          <w:sz w:val="18"/>
          <w:szCs w:val="18"/>
          <w:b w:val="1"/>
          <w:bCs w:val="1"/>
          <w:color w:val="auto"/>
        </w:rPr>
      </w:pPr>
      <w:r>
        <w:rPr>
          <w:rFonts w:ascii="Arial" w:cs="Arial" w:eastAsia="Arial" w:hAnsi="Arial"/>
          <w:sz w:val="15"/>
          <w:szCs w:val="15"/>
          <w:color w:val="auto"/>
        </w:rPr>
        <w:t>Our fiscal years are based on a 52- or 53-week period ending on the last Saturday in December. The condensed consolidated balance sheet at December 31, 2016 has been derived from our audited financial statements at that date. The interim condensed consolidated financial statements as of September 30, 2017 (also referred to as “the third quarter of fiscal 2017” and “the first nine months of fiscal 2017”) and September 24, 2016 (also referred to as “the third quarter of fiscal 2016” and “the first nine months of fiscal 2016”) are unaudited. However, in management’s opinion, these financial statements reflect all adjustments (consisting only of normal, recurring items) necessary to provide a fair presentation of our financial position, results of operations and cash flows for the periods presented. The three- and nine-month periods ended September 30, 2017 were comprised of 14 and 39 weeks, respectively. The three- and nine-month periods ended September 24, 2016 were comprised of 13 and 39 weeks, respectively.</w:t>
      </w:r>
    </w:p>
    <w:p>
      <w:pPr>
        <w:spacing w:after="0" w:line="155" w:lineRule="exact"/>
        <w:rPr>
          <w:rFonts w:ascii="Arial" w:cs="Arial" w:eastAsia="Arial" w:hAnsi="Arial"/>
          <w:sz w:val="18"/>
          <w:szCs w:val="18"/>
          <w:b w:val="1"/>
          <w:bCs w:val="1"/>
          <w:color w:val="auto"/>
        </w:rPr>
      </w:pPr>
    </w:p>
    <w:p>
      <w:pPr>
        <w:ind w:left="480" w:right="20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Our interim results are not necessarily indicative of the results that should be expected for the full year. For a better understanding of Cohu, Inc. and our financial statements, we recommend reading these interim condensed consolidated financial statements in conjunction with our audited financial statements for the year ended December 31, 2016, which are included in our 2016 Annual Report on Form 10-K, filed with the U. S. Securities and Exchange Commission (“SEC”). In the following notes to our interim condensed consolidated financial statements, Cohu, Inc. is referred to as “Cohu”, “we”, “our” and “us”.</w:t>
      </w:r>
    </w:p>
    <w:p>
      <w:pPr>
        <w:spacing w:after="0" w:line="193" w:lineRule="exact"/>
        <w:rPr>
          <w:rFonts w:ascii="Arial" w:cs="Arial" w:eastAsia="Arial" w:hAnsi="Arial"/>
          <w:sz w:val="18"/>
          <w:szCs w:val="18"/>
          <w:b w:val="1"/>
          <w:bCs w:val="1"/>
          <w:color w:val="auto"/>
        </w:rPr>
      </w:pPr>
    </w:p>
    <w:p>
      <w:pPr>
        <w:ind w:left="4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Certain prior year amounts have been restated as a result of our early adoption of Accounting Standards Update (“ASU”) No. 2016-09, Compensation - Stock Compensation (Topic 718):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While the effective date of ASU 2016-09 was for fiscal years beginning after December 15, 2016, earlier adoption was permitted and we elected to adopt ASU 2016-09 during the fourth quarter of fiscal 2016.</w:t>
      </w:r>
    </w:p>
    <w:p>
      <w:pPr>
        <w:spacing w:after="0" w:line="190" w:lineRule="exact"/>
        <w:rPr>
          <w:rFonts w:ascii="Arial" w:cs="Arial" w:eastAsia="Arial" w:hAnsi="Arial"/>
          <w:sz w:val="18"/>
          <w:szCs w:val="18"/>
          <w:b w:val="1"/>
          <w:bCs w:val="1"/>
          <w:color w:val="auto"/>
        </w:rPr>
      </w:pPr>
    </w:p>
    <w:p>
      <w:pPr>
        <w:ind w:left="480" w:right="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As part of our adoption of ASU 2016-09 we elected to eliminate the use of an estimated forfeiture rate and recognize actual forfeitures as they occur. This amendment was adopted on a modified retrospective basis and, as a result, our share-based compensation expense for the three- and nine-month periods ended September 24, 2016 were revised and were approximately $0.1 million and $15,000 higher in each period, respectively, under the new method, than what was previously reported.</w:t>
      </w:r>
    </w:p>
    <w:p>
      <w:pPr>
        <w:spacing w:after="0" w:line="184"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2" w:lineRule="exact"/>
        <w:rPr>
          <w:rFonts w:ascii="Arial" w:cs="Arial" w:eastAsia="Arial" w:hAnsi="Arial"/>
          <w:sz w:val="18"/>
          <w:szCs w:val="18"/>
          <w:b w:val="1"/>
          <w:bCs w:val="1"/>
          <w:color w:val="auto"/>
        </w:rPr>
      </w:pPr>
    </w:p>
    <w:p>
      <w:pPr>
        <w:ind w:left="480" w:right="340"/>
        <w:spacing w:after="0" w:line="294" w:lineRule="auto"/>
        <w:rPr>
          <w:rFonts w:ascii="Arial" w:cs="Arial" w:eastAsia="Arial" w:hAnsi="Arial"/>
          <w:sz w:val="18"/>
          <w:szCs w:val="18"/>
          <w:b w:val="1"/>
          <w:bCs w:val="1"/>
          <w:color w:val="auto"/>
        </w:rPr>
      </w:pPr>
      <w:r>
        <w:rPr>
          <w:rFonts w:ascii="Arial" w:cs="Arial" w:eastAsia="Arial" w:hAnsi="Arial"/>
          <w:sz w:val="17"/>
          <w:szCs w:val="17"/>
          <w:color w:val="auto"/>
        </w:rPr>
        <w:t>In June 2015, we sold our microwave communications equipment segment, Broadcast Microwave Services, Inc. (“BMS”). See Note 6, “Discontinued Operations” for additional information. Unless otherwise indicated, all amounts herein relate to continuing operations.</w:t>
      </w:r>
    </w:p>
    <w:p>
      <w:pPr>
        <w:spacing w:after="0" w:line="150"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222" w:lineRule="exact"/>
        <w:rPr>
          <w:rFonts w:ascii="Arial" w:cs="Arial" w:eastAsia="Arial" w:hAnsi="Arial"/>
          <w:sz w:val="18"/>
          <w:szCs w:val="18"/>
          <w:b w:val="1"/>
          <w:bCs w:val="1"/>
          <w:color w:val="auto"/>
        </w:rPr>
      </w:pPr>
    </w:p>
    <w:p>
      <w:pPr>
        <w:ind w:left="480" w:right="20"/>
        <w:spacing w:after="0" w:line="294" w:lineRule="auto"/>
        <w:rPr>
          <w:rFonts w:ascii="Arial" w:cs="Arial" w:eastAsia="Arial" w:hAnsi="Arial"/>
          <w:sz w:val="18"/>
          <w:szCs w:val="18"/>
          <w:b w:val="1"/>
          <w:bCs w:val="1"/>
          <w:color w:val="auto"/>
        </w:rPr>
      </w:pPr>
      <w:r>
        <w:rPr>
          <w:rFonts w:ascii="Arial" w:cs="Arial" w:eastAsia="Arial" w:hAnsi="Arial"/>
          <w:sz w:val="17"/>
          <w:szCs w:val="17"/>
          <w:color w:val="auto"/>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spacing w:after="0" w:line="156" w:lineRule="exact"/>
        <w:rPr>
          <w:rFonts w:ascii="Arial" w:cs="Arial" w:eastAsia="Arial" w:hAnsi="Arial"/>
          <w:sz w:val="18"/>
          <w:szCs w:val="18"/>
          <w:b w:val="1"/>
          <w:bCs w:val="1"/>
          <w:color w:val="auto"/>
        </w:rPr>
      </w:pPr>
    </w:p>
    <w:p>
      <w:pPr>
        <w:ind w:left="480" w:right="1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Trade accounts receivable are presented net of allowance for doubtful accounts of $0.1 million at both September 30, 2017 and December 31, 2016. Our customers include semiconductor manufacturers and semiconductor test subcontractors throughout many areas of the world. While we believe that our allowance for doubtful accounts is adequate and represents our best estimate at September 30, 2017, we will continue to monitor customer liquidity and other economic conditions, which may result in changes to our estimates regarding collectability.</w:t>
      </w:r>
    </w:p>
    <w:p>
      <w:pPr>
        <w:spacing w:after="0" w:line="170"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2" w:lineRule="exact"/>
        <w:rPr>
          <w:rFonts w:ascii="Arial" w:cs="Arial" w:eastAsia="Arial" w:hAnsi="Arial"/>
          <w:sz w:val="18"/>
          <w:szCs w:val="18"/>
          <w:b w:val="1"/>
          <w:bCs w:val="1"/>
          <w:color w:val="auto"/>
        </w:rPr>
      </w:pPr>
    </w:p>
    <w:p>
      <w:pPr>
        <w:ind w:left="48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 xml:space="preserve">We applied the provisions of ASC Topic 280, </w:t>
      </w:r>
      <w:r>
        <w:rPr>
          <w:rFonts w:ascii="Arial" w:cs="Arial" w:eastAsia="Arial" w:hAnsi="Arial"/>
          <w:sz w:val="17"/>
          <w:szCs w:val="17"/>
          <w:i w:val="1"/>
          <w:iCs w:val="1"/>
          <w:color w:val="auto"/>
        </w:rPr>
        <w:t>Segment Reporting</w:t>
      </w:r>
      <w:r>
        <w:rPr>
          <w:rFonts w:ascii="Arial" w:cs="Arial" w:eastAsia="Arial" w:hAnsi="Arial"/>
          <w:sz w:val="17"/>
          <w:szCs w:val="17"/>
          <w:color w:val="auto"/>
        </w:rPr>
        <w:t>,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 and the financial information disclosed herein materially represents all of the financial information related to our semiconductor equipment segment.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Goodwill, Other Intangible Assets and Long-lived Assets</w:t>
      </w:r>
    </w:p>
    <w:p>
      <w:pPr>
        <w:spacing w:after="0" w:line="223" w:lineRule="exact"/>
        <w:rPr>
          <w:sz w:val="20"/>
          <w:szCs w:val="20"/>
          <w:color w:val="auto"/>
        </w:rPr>
      </w:pPr>
    </w:p>
    <w:p>
      <w:pPr>
        <w:ind w:left="480" w:right="80"/>
        <w:spacing w:after="0" w:line="306" w:lineRule="auto"/>
        <w:rPr>
          <w:sz w:val="20"/>
          <w:szCs w:val="20"/>
          <w:color w:val="auto"/>
        </w:rPr>
      </w:pPr>
      <w:r>
        <w:rPr>
          <w:rFonts w:ascii="Arial" w:cs="Arial" w:eastAsia="Arial" w:hAnsi="Arial"/>
          <w:sz w:val="15"/>
          <w:szCs w:val="15"/>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56" w:lineRule="exact"/>
        <w:rPr>
          <w:sz w:val="20"/>
          <w:szCs w:val="20"/>
          <w:color w:val="auto"/>
        </w:rPr>
      </w:pPr>
    </w:p>
    <w:p>
      <w:pPr>
        <w:ind w:left="480" w:right="260"/>
        <w:spacing w:after="0" w:line="249" w:lineRule="auto"/>
        <w:rPr>
          <w:sz w:val="20"/>
          <w:szCs w:val="20"/>
          <w:color w:val="auto"/>
        </w:rPr>
      </w:pPr>
      <w:r>
        <w:rPr>
          <w:rFonts w:ascii="Arial" w:cs="Arial" w:eastAsia="Arial" w:hAnsi="Arial"/>
          <w:sz w:val="18"/>
          <w:szCs w:val="18"/>
          <w:color w:val="auto"/>
        </w:rPr>
        <w:t>We conduct our annual impairment test as of October 1st of each year, and have determined there was no impairment as of October 1, 2016 as we determined that the estimated fair values of our reporting units exceeded their carrying values on that date. Other events and changes in circumstances may also require goodwill to be tested for impairment between annual measurement dates. As of September 30, 2017, we do not believe that circumstances have occurred that indicate impairment of our goodwill is more-likely-than-not. In the event we determine that an interim goodwill impairment review is required in a future period, the review may result in an impairment charge, which would have a negative impact on our results of operations.</w:t>
      </w:r>
    </w:p>
    <w:p>
      <w:pPr>
        <w:spacing w:after="0" w:line="195" w:lineRule="exact"/>
        <w:rPr>
          <w:sz w:val="20"/>
          <w:szCs w:val="20"/>
          <w:color w:val="auto"/>
        </w:rPr>
      </w:pPr>
    </w:p>
    <w:p>
      <w:pPr>
        <w:ind w:left="480"/>
        <w:spacing w:after="0" w:line="267" w:lineRule="auto"/>
        <w:rPr>
          <w:sz w:val="20"/>
          <w:szCs w:val="20"/>
          <w:color w:val="auto"/>
        </w:rPr>
      </w:pPr>
      <w:r>
        <w:rPr>
          <w:rFonts w:ascii="Arial" w:cs="Arial" w:eastAsia="Arial" w:hAnsi="Arial"/>
          <w:sz w:val="17"/>
          <w:szCs w:val="17"/>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probability-weighted future cash flows. We measure the impairment loss based on the difference between the carrying amount and estimated fair value.</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Foreign Remeasurement and Currency Translation</w:t>
      </w:r>
    </w:p>
    <w:p>
      <w:pPr>
        <w:spacing w:after="0" w:line="223" w:lineRule="exact"/>
        <w:rPr>
          <w:sz w:val="20"/>
          <w:szCs w:val="20"/>
          <w:color w:val="auto"/>
        </w:rPr>
      </w:pPr>
    </w:p>
    <w:p>
      <w:pPr>
        <w:ind w:left="480" w:right="80"/>
        <w:spacing w:after="0" w:line="297" w:lineRule="auto"/>
        <w:rPr>
          <w:sz w:val="20"/>
          <w:szCs w:val="20"/>
          <w:color w:val="auto"/>
        </w:rPr>
      </w:pPr>
      <w:r>
        <w:rPr>
          <w:rFonts w:ascii="Arial" w:cs="Arial" w:eastAsia="Arial" w:hAnsi="Arial"/>
          <w:sz w:val="15"/>
          <w:szCs w:val="15"/>
          <w:color w:val="auto"/>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the three and nine months ended September 30, 2017, we recognized foreign exchange losses of $0.2 million and $2.7 million, respectively, in our condensed consolidated statements of income. During the three and nine months ended September 24, 2016, we recognized approximately $0.3 million and</w:t>
      </w:r>
    </w:p>
    <w:p>
      <w:pPr>
        <w:spacing w:after="0" w:line="2" w:lineRule="exact"/>
        <w:rPr>
          <w:sz w:val="20"/>
          <w:szCs w:val="20"/>
          <w:color w:val="auto"/>
        </w:rPr>
      </w:pPr>
    </w:p>
    <w:p>
      <w:pPr>
        <w:ind w:left="480" w:right="200"/>
        <w:spacing w:after="0" w:line="266" w:lineRule="auto"/>
        <w:rPr>
          <w:sz w:val="20"/>
          <w:szCs w:val="20"/>
          <w:color w:val="auto"/>
        </w:rPr>
      </w:pPr>
      <w:r>
        <w:rPr>
          <w:rFonts w:ascii="Arial" w:cs="Arial" w:eastAsia="Arial" w:hAnsi="Arial"/>
          <w:sz w:val="17"/>
          <w:szCs w:val="17"/>
          <w:color w:val="auto"/>
        </w:rPr>
        <w:t>$1.0 million of foreign exchange losses in our condensed consolidated statements of income, respectively. 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translation adjustments resulting from the translation of the financial statements are included as a separate component of stockholders’ equity.</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Share-Based Compensation</w:t>
      </w:r>
    </w:p>
    <w:p>
      <w:pPr>
        <w:spacing w:after="0" w:line="223" w:lineRule="exact"/>
        <w:rPr>
          <w:sz w:val="20"/>
          <w:szCs w:val="20"/>
          <w:color w:val="auto"/>
        </w:rPr>
      </w:pPr>
    </w:p>
    <w:p>
      <w:pPr>
        <w:ind w:left="480" w:right="160"/>
        <w:spacing w:after="0" w:line="268" w:lineRule="auto"/>
        <w:rPr>
          <w:sz w:val="20"/>
          <w:szCs w:val="20"/>
          <w:color w:val="auto"/>
        </w:rPr>
      </w:pPr>
      <w:r>
        <w:rPr>
          <w:rFonts w:ascii="Arial" w:cs="Arial" w:eastAsia="Arial" w:hAnsi="Arial"/>
          <w:sz w:val="17"/>
          <w:szCs w:val="17"/>
          <w:color w:val="auto"/>
        </w:rPr>
        <w:t>We measure and recognize all share-based compensation under the fair value method. Our estimate of share-based compensation expense requires a number of complex and subjective assumptions including our stock price volatility, employee exercise patterns (expected life of the options) and related tax effects. The assumptions used in calculating the fair value of share-based awards represent our best estimates, but these estimates involve inherent uncertainties and the application of management judgment. Although we believe the assumptions and estimates we have made are reasonable and appropriate, changes in assumptions could materially impact our reported financial results.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8" w:name="page9"/>
    <w:bookmarkEnd w:id="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Reported share-based compensation is classified, in the condensed consolidated interim financial statements,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78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September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September 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September 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line="206" w:lineRule="exact"/>
              <w:rPr>
                <w:sz w:val="20"/>
                <w:szCs w:val="20"/>
                <w:color w:val="auto"/>
              </w:rPr>
            </w:pPr>
            <w:r>
              <w:rPr>
                <w:rFonts w:ascii="Arial" w:cs="Arial" w:eastAsia="Arial" w:hAnsi="Arial"/>
                <w:sz w:val="18"/>
                <w:szCs w:val="18"/>
                <w:color w:val="auto"/>
              </w:rPr>
              <w:t>101</w:t>
            </w:r>
          </w:p>
        </w:tc>
        <w:tc>
          <w:tcPr>
            <w:tcW w:w="20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line="206" w:lineRule="exact"/>
              <w:rPr>
                <w:sz w:val="20"/>
                <w:szCs w:val="20"/>
                <w:color w:val="auto"/>
              </w:rPr>
            </w:pPr>
            <w:r>
              <w:rPr>
                <w:rFonts w:ascii="Arial" w:cs="Arial" w:eastAsia="Arial" w:hAnsi="Arial"/>
                <w:sz w:val="18"/>
                <w:szCs w:val="18"/>
                <w:color w:val="auto"/>
              </w:rPr>
              <w:t>327</w:t>
            </w:r>
          </w:p>
        </w:tc>
        <w:tc>
          <w:tcPr>
            <w:tcW w:w="220" w:type="dxa"/>
            <w:vAlign w:val="bottom"/>
            <w:gridSpan w:val="2"/>
            <w:shd w:val="clear" w:color="auto" w:fill="CCEEFF"/>
          </w:tcPr>
          <w:p>
            <w:pPr>
              <w:jc w:val="right"/>
              <w:ind w:right="40"/>
              <w:spacing w:after="0" w:line="20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4780" w:type="dxa"/>
            <w:vAlign w:val="bottom"/>
          </w:tcPr>
          <w:p>
            <w:pPr>
              <w:spacing w:after="0" w:line="205" w:lineRule="exact"/>
              <w:rPr>
                <w:sz w:val="20"/>
                <w:szCs w:val="20"/>
                <w:color w:val="auto"/>
              </w:rPr>
            </w:pPr>
            <w:r>
              <w:rPr>
                <w:rFonts w:ascii="Arial" w:cs="Arial" w:eastAsia="Arial" w:hAnsi="Arial"/>
                <w:sz w:val="18"/>
                <w:szCs w:val="18"/>
                <w:color w:val="auto"/>
              </w:rPr>
              <w:t>Total share-based compensation</w:t>
            </w:r>
          </w:p>
        </w:tc>
        <w:tc>
          <w:tcPr>
            <w:tcW w:w="120" w:type="dxa"/>
            <w:vAlign w:val="bottom"/>
          </w:tcPr>
          <w:p>
            <w:pPr>
              <w:spacing w:after="0"/>
              <w:rPr>
                <w:sz w:val="17"/>
                <w:szCs w:val="17"/>
                <w:color w:val="auto"/>
              </w:rPr>
            </w:pPr>
          </w:p>
        </w:tc>
        <w:tc>
          <w:tcPr>
            <w:tcW w:w="1180" w:type="dxa"/>
            <w:vAlign w:val="bottom"/>
          </w:tcPr>
          <w:p>
            <w:pPr>
              <w:jc w:val="right"/>
              <w:spacing w:after="0" w:line="205" w:lineRule="exact"/>
              <w:rPr>
                <w:sz w:val="20"/>
                <w:szCs w:val="20"/>
                <w:color w:val="auto"/>
              </w:rPr>
            </w:pPr>
            <w:r>
              <w:rPr>
                <w:rFonts w:ascii="Arial" w:cs="Arial" w:eastAsia="Arial" w:hAnsi="Arial"/>
                <w:sz w:val="18"/>
                <w:szCs w:val="18"/>
                <w:color w:val="auto"/>
              </w:rPr>
              <w:t>1,860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1,758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5,336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spacing w:after="0" w:line="205" w:lineRule="exact"/>
              <w:rPr>
                <w:sz w:val="20"/>
                <w:szCs w:val="20"/>
                <w:color w:val="auto"/>
              </w:rPr>
            </w:pPr>
            <w:r>
              <w:rPr>
                <w:rFonts w:ascii="Arial" w:cs="Arial" w:eastAsia="Arial" w:hAnsi="Arial"/>
                <w:sz w:val="18"/>
                <w:szCs w:val="18"/>
                <w:color w:val="auto"/>
              </w:rPr>
              <w:t>5,291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00" w:type="dxa"/>
            <w:vAlign w:val="bottom"/>
            <w:gridSpan w:val="2"/>
          </w:tcPr>
          <w:p>
            <w:pPr>
              <w:spacing w:after="0" w:line="205" w:lineRule="exact"/>
              <w:rPr>
                <w:sz w:val="20"/>
                <w:szCs w:val="20"/>
                <w:color w:val="auto"/>
              </w:rPr>
            </w:pPr>
            <w:r>
              <w:rPr>
                <w:rFonts w:ascii="Arial" w:cs="Arial" w:eastAsia="Arial" w:hAnsi="Arial"/>
                <w:sz w:val="18"/>
                <w:szCs w:val="18"/>
                <w:color w:val="auto"/>
              </w:rPr>
              <w:t>Total share-based compensation, net</w:t>
            </w:r>
          </w:p>
        </w:tc>
        <w:tc>
          <w:tcPr>
            <w:tcW w:w="120" w:type="dxa"/>
            <w:vAlign w:val="bottom"/>
          </w:tcPr>
          <w:p>
            <w:pPr>
              <w:jc w:val="right"/>
              <w:spacing w:after="0" w:line="205"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5" w:lineRule="exact"/>
              <w:rPr>
                <w:sz w:val="20"/>
                <w:szCs w:val="20"/>
                <w:color w:val="auto"/>
              </w:rPr>
            </w:pPr>
            <w:r>
              <w:rPr>
                <w:rFonts w:ascii="Arial" w:cs="Arial" w:eastAsia="Arial" w:hAnsi="Arial"/>
                <w:sz w:val="18"/>
                <w:szCs w:val="18"/>
                <w:color w:val="auto"/>
              </w:rPr>
              <w:t>1,753</w:t>
            </w:r>
          </w:p>
        </w:tc>
        <w:tc>
          <w:tcPr>
            <w:tcW w:w="120" w:type="dxa"/>
            <w:vAlign w:val="bottom"/>
          </w:tcPr>
          <w:p>
            <w:pPr>
              <w:spacing w:after="0"/>
              <w:rPr>
                <w:sz w:val="17"/>
                <w:szCs w:val="17"/>
                <w:color w:val="auto"/>
              </w:rPr>
            </w:pPr>
          </w:p>
        </w:tc>
        <w:tc>
          <w:tcPr>
            <w:tcW w:w="2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1,682</w:t>
            </w:r>
          </w:p>
        </w:tc>
        <w:tc>
          <w:tcPr>
            <w:tcW w:w="2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line="205" w:lineRule="exact"/>
              <w:rPr>
                <w:sz w:val="20"/>
                <w:szCs w:val="20"/>
                <w:color w:val="auto"/>
              </w:rPr>
            </w:pPr>
            <w:r>
              <w:rPr>
                <w:rFonts w:ascii="Arial" w:cs="Arial" w:eastAsia="Arial" w:hAnsi="Arial"/>
                <w:sz w:val="18"/>
                <w:szCs w:val="18"/>
                <w:color w:val="auto"/>
              </w:rPr>
              <w:t>4,907</w:t>
            </w:r>
          </w:p>
        </w:tc>
        <w:tc>
          <w:tcPr>
            <w:tcW w:w="220" w:type="dxa"/>
            <w:vAlign w:val="bottom"/>
            <w:gridSpan w:val="2"/>
          </w:tcPr>
          <w:p>
            <w:pPr>
              <w:jc w:val="right"/>
              <w:ind w:right="40"/>
              <w:spacing w:after="0" w:line="205"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5" w:lineRule="exact"/>
              <w:rPr>
                <w:sz w:val="20"/>
                <w:szCs w:val="20"/>
                <w:color w:val="auto"/>
              </w:rPr>
            </w:pPr>
            <w:r>
              <w:rPr>
                <w:rFonts w:ascii="Arial" w:cs="Arial" w:eastAsia="Arial" w:hAnsi="Arial"/>
                <w:sz w:val="18"/>
                <w:szCs w:val="18"/>
                <w:color w:val="auto"/>
              </w:rPr>
              <w:t>5,102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Income (Loss) Per Share</w:t>
      </w:r>
    </w:p>
    <w:p>
      <w:pPr>
        <w:spacing w:after="0" w:line="223" w:lineRule="exact"/>
        <w:rPr>
          <w:sz w:val="20"/>
          <w:szCs w:val="20"/>
          <w:color w:val="auto"/>
        </w:rPr>
      </w:pPr>
    </w:p>
    <w:p>
      <w:pPr>
        <w:ind w:left="480" w:right="100"/>
        <w:spacing w:after="0" w:line="304" w:lineRule="auto"/>
        <w:rPr>
          <w:sz w:val="20"/>
          <w:szCs w:val="20"/>
          <w:color w:val="auto"/>
        </w:rPr>
      </w:pPr>
      <w:r>
        <w:rPr>
          <w:rFonts w:ascii="Arial" w:cs="Arial" w:eastAsia="Arial" w:hAnsi="Arial"/>
          <w:sz w:val="15"/>
          <w:szCs w:val="15"/>
          <w:color w:val="auto"/>
        </w:rPr>
        <w:t>Basic income (loss) per common share is computed by dividing net income (loss) by the weighted-average number of common shares outstanding during the reporting period. Diluted income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income (loss) per share, stock options with exercise prices that exceed the average fair market value of our common stock for the period are excluded. For the three and nine months ended September 30, 2017, options to issue approximately 5,000 and 103,000 shares of common stock were excluded from the computation, respectively. For the three and nine months ended September 24, 2016, options to issue approximately 707,000 and 752,000 shares of common stock were excluded from the computation, respectively.</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reconciles the denominators used in computing basic and diluted income (loss) per share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000" w:type="dxa"/>
            <w:vAlign w:val="bottom"/>
            <w:gridSpan w:val="4"/>
          </w:tcPr>
          <w:p>
            <w:pPr>
              <w:ind w:left="660"/>
              <w:spacing w:after="0"/>
              <w:rPr>
                <w:sz w:val="20"/>
                <w:szCs w:val="20"/>
                <w:color w:val="auto"/>
              </w:rPr>
            </w:pPr>
            <w:r>
              <w:rPr>
                <w:rFonts w:ascii="Arial" w:cs="Arial" w:eastAsia="Arial" w:hAnsi="Arial"/>
                <w:sz w:val="18"/>
                <w:szCs w:val="18"/>
                <w:color w:val="auto"/>
              </w:rPr>
              <w:t>Three Months Ended</w:t>
            </w:r>
          </w:p>
        </w:tc>
        <w:tc>
          <w:tcPr>
            <w:tcW w:w="3020" w:type="dxa"/>
            <w:vAlign w:val="bottom"/>
            <w:gridSpan w:val="4"/>
          </w:tcPr>
          <w:p>
            <w:pPr>
              <w:ind w:left="740"/>
              <w:spacing w:after="0"/>
              <w:rPr>
                <w:sz w:val="20"/>
                <w:szCs w:val="20"/>
                <w:color w:val="auto"/>
              </w:rPr>
            </w:pPr>
            <w:r>
              <w:rPr>
                <w:rFonts w:ascii="Arial" w:cs="Arial" w:eastAsia="Arial" w:hAnsi="Arial"/>
                <w:sz w:val="18"/>
                <w:szCs w:val="18"/>
                <w:color w:val="auto"/>
              </w:rPr>
              <w:t>Nine Months Ended</w:t>
            </w:r>
          </w:p>
        </w:tc>
      </w:tr>
      <w:tr>
        <w:trPr>
          <w:trHeight w:val="223"/>
        </w:trPr>
        <w:tc>
          <w:tcPr>
            <w:tcW w:w="482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September 30,</w:t>
            </w:r>
          </w:p>
        </w:tc>
        <w:tc>
          <w:tcPr>
            <w:tcW w:w="1500" w:type="dxa"/>
            <w:vAlign w:val="bottom"/>
            <w:gridSpan w:val="2"/>
          </w:tcPr>
          <w:p>
            <w:pPr>
              <w:ind w:left="140"/>
              <w:spacing w:after="0"/>
              <w:rPr>
                <w:sz w:val="20"/>
                <w:szCs w:val="20"/>
                <w:color w:val="auto"/>
              </w:rPr>
            </w:pPr>
            <w:r>
              <w:rPr>
                <w:rFonts w:ascii="Arial" w:cs="Arial" w:eastAsia="Arial" w:hAnsi="Arial"/>
                <w:sz w:val="18"/>
                <w:szCs w:val="18"/>
                <w:color w:val="auto"/>
              </w:rPr>
              <w:t>September 24,</w:t>
            </w: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September 30,</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September 24,</w:t>
            </w:r>
          </w:p>
        </w:tc>
      </w:tr>
      <w:tr>
        <w:trPr>
          <w:trHeight w:val="226"/>
        </w:trPr>
        <w:tc>
          <w:tcPr>
            <w:tcW w:w="4820" w:type="dxa"/>
            <w:vAlign w:val="bottom"/>
          </w:tcPr>
          <w:p>
            <w:pPr>
              <w:spacing w:after="0"/>
              <w:rPr>
                <w:sz w:val="19"/>
                <w:szCs w:val="19"/>
                <w:color w:val="auto"/>
              </w:rPr>
            </w:pPr>
          </w:p>
        </w:tc>
        <w:tc>
          <w:tcPr>
            <w:tcW w:w="12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r>
      <w:tr>
        <w:trPr>
          <w:trHeight w:val="206"/>
        </w:trPr>
        <w:tc>
          <w:tcPr>
            <w:tcW w:w="4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common shares</w:t>
            </w:r>
          </w:p>
        </w:tc>
        <w:tc>
          <w:tcPr>
            <w:tcW w:w="150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28,155</w:t>
            </w:r>
          </w:p>
        </w:tc>
        <w:tc>
          <w:tcPr>
            <w:tcW w:w="1500" w:type="dxa"/>
            <w:vAlign w:val="bottom"/>
            <w:gridSpan w:val="2"/>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26,761</w:t>
            </w:r>
          </w:p>
        </w:tc>
        <w:tc>
          <w:tcPr>
            <w:tcW w:w="1580" w:type="dxa"/>
            <w:vAlign w:val="bottom"/>
            <w:gridSpan w:val="2"/>
            <w:shd w:val="clear" w:color="auto" w:fill="CCEEFF"/>
          </w:tcPr>
          <w:p>
            <w:pPr>
              <w:jc w:val="right"/>
              <w:ind w:right="240"/>
              <w:spacing w:after="0" w:line="206" w:lineRule="exact"/>
              <w:rPr>
                <w:sz w:val="20"/>
                <w:szCs w:val="20"/>
                <w:color w:val="auto"/>
              </w:rPr>
            </w:pPr>
            <w:r>
              <w:rPr>
                <w:rFonts w:ascii="Arial" w:cs="Arial" w:eastAsia="Arial" w:hAnsi="Arial"/>
                <w:sz w:val="18"/>
                <w:szCs w:val="18"/>
                <w:color w:val="auto"/>
              </w:rPr>
              <w:t>27,614</w:t>
            </w:r>
          </w:p>
        </w:tc>
        <w:tc>
          <w:tcPr>
            <w:tcW w:w="14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26,596</w:t>
            </w:r>
          </w:p>
        </w:tc>
      </w:tr>
      <w:tr>
        <w:trPr>
          <w:trHeight w:val="212"/>
        </w:trPr>
        <w:tc>
          <w:tcPr>
            <w:tcW w:w="482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950</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786</w:t>
            </w:r>
          </w:p>
        </w:tc>
      </w:tr>
      <w:tr>
        <w:trPr>
          <w:trHeight w:val="20"/>
        </w:trPr>
        <w:tc>
          <w:tcPr>
            <w:tcW w:w="48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48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29,105</w:t>
            </w:r>
          </w:p>
        </w:tc>
        <w:tc>
          <w:tcPr>
            <w:tcW w:w="150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27,367</w:t>
            </w:r>
          </w:p>
        </w:tc>
        <w:tc>
          <w:tcPr>
            <w:tcW w:w="1580" w:type="dxa"/>
            <w:vAlign w:val="bottom"/>
            <w:gridSpan w:val="2"/>
            <w:shd w:val="clear" w:color="auto" w:fill="CCEEFF"/>
          </w:tcPr>
          <w:p>
            <w:pPr>
              <w:jc w:val="right"/>
              <w:ind w:right="240"/>
              <w:spacing w:after="0" w:line="205" w:lineRule="exact"/>
              <w:rPr>
                <w:sz w:val="20"/>
                <w:szCs w:val="20"/>
                <w:color w:val="auto"/>
              </w:rPr>
            </w:pPr>
            <w:r>
              <w:rPr>
                <w:rFonts w:ascii="Arial" w:cs="Arial" w:eastAsia="Arial" w:hAnsi="Arial"/>
                <w:sz w:val="18"/>
                <w:szCs w:val="18"/>
                <w:color w:val="auto"/>
              </w:rPr>
              <w:t>28,640</w:t>
            </w:r>
          </w:p>
        </w:tc>
        <w:tc>
          <w:tcPr>
            <w:tcW w:w="14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27,382</w:t>
            </w: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480" w:right="280"/>
        <w:spacing w:after="0" w:line="252" w:lineRule="auto"/>
        <w:rPr>
          <w:sz w:val="20"/>
          <w:szCs w:val="20"/>
          <w:color w:val="auto"/>
        </w:rPr>
      </w:pPr>
      <w:r>
        <w:rPr>
          <w:rFonts w:ascii="Arial" w:cs="Arial" w:eastAsia="Arial" w:hAnsi="Arial"/>
          <w:sz w:val="18"/>
          <w:szCs w:val="18"/>
          <w:color w:val="auto"/>
        </w:rPr>
        <w:t>Cohu has utilized the “control number” concept in the computation of diluted earnings per share to determine whether potential common stock instruments are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Revenue Recognition</w:t>
      </w:r>
    </w:p>
    <w:p>
      <w:pPr>
        <w:spacing w:after="0" w:line="223" w:lineRule="exact"/>
        <w:rPr>
          <w:sz w:val="20"/>
          <w:szCs w:val="20"/>
          <w:color w:val="auto"/>
        </w:rPr>
      </w:pPr>
    </w:p>
    <w:p>
      <w:pPr>
        <w:ind w:left="480" w:right="260"/>
        <w:spacing w:after="0" w:line="250" w:lineRule="auto"/>
        <w:rPr>
          <w:sz w:val="20"/>
          <w:szCs w:val="20"/>
          <w:color w:val="auto"/>
        </w:rPr>
      </w:pPr>
      <w:r>
        <w:rPr>
          <w:rFonts w:ascii="Arial" w:cs="Arial" w:eastAsia="Arial" w:hAnsi="Arial"/>
          <w:sz w:val="18"/>
          <w:szCs w:val="18"/>
          <w:color w:val="auto"/>
        </w:rPr>
        <w:t>Our net sales are derived from the sale of products and services and are adjusted for estimated returns and allowances, which historically have been insignificant. We recognize revenue when there is persuasive evidence of an arrangement, title and risk of loss have passed, delivery has occurred or the services have been rendered, the sales price is fixed or determinable and collection of the related receivable is reasonably assured. Title and risk of loss generally pass to our customers upon shipment. In circumstances where either title or risk of loss pass upon destination or acceptance, we defer revenue recognition until such events occur.</w:t>
      </w:r>
    </w:p>
    <w:p>
      <w:pPr>
        <w:spacing w:after="0" w:line="193" w:lineRule="exact"/>
        <w:rPr>
          <w:sz w:val="20"/>
          <w:szCs w:val="20"/>
          <w:color w:val="auto"/>
        </w:rPr>
      </w:pPr>
    </w:p>
    <w:p>
      <w:pPr>
        <w:ind w:left="480" w:right="180"/>
        <w:spacing w:after="0" w:line="263" w:lineRule="auto"/>
        <w:rPr>
          <w:sz w:val="20"/>
          <w:szCs w:val="20"/>
          <w:color w:val="auto"/>
        </w:rPr>
      </w:pPr>
      <w:r>
        <w:rPr>
          <w:rFonts w:ascii="Arial" w:cs="Arial" w:eastAsia="Arial" w:hAnsi="Arial"/>
          <w:sz w:val="17"/>
          <w:szCs w:val="17"/>
          <w:color w:val="auto"/>
        </w:rPr>
        <w:t>Revenue for established products that have previously satisfied a customer’s acceptance requirements and provide for full payment tied to shipment is generally recognized upon shipment and passage of title.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In cases where a prior history of customer acceptance cannot be demonstrated or from sales where customer payment dates are not determinable and in the case of new products, revenue and cost of sales is deferred until customer acceptance has been received. Our post-shipment obligations typically include installation and standard warranties. The estimated fair value of installation related revenue is recognized in the period the installation is performed. Service revenue is recognized ratably over the period of the related contract or upon completion of the services if they are short-term in nature. Spares, contactor and kit revenue is generally recognized upon shipment.</w:t>
      </w:r>
    </w:p>
    <w:p>
      <w:pPr>
        <w:sectPr>
          <w:pgSz w:w="11900" w:h="16838" w:orient="portrait"/>
          <w:cols w:equalWidth="0" w:num="1">
            <w:col w:w="11480"/>
          </w:cols>
          <w:pgMar w:left="240" w:top="118" w:right="179" w:bottom="1440" w:gutter="0" w:footer="0" w:header="0"/>
        </w:sectPr>
      </w:pP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107315</wp:posOffset>
            </wp:positionV>
            <wp:extent cx="724916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type w:val="continuous"/>
        </w:sectPr>
      </w:pPr>
    </w:p>
    <w:bookmarkStart w:id="9" w:name="page10"/>
    <w:bookmarkEnd w:id="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right="60"/>
        <w:spacing w:after="0" w:line="249" w:lineRule="auto"/>
        <w:rPr>
          <w:sz w:val="20"/>
          <w:szCs w:val="20"/>
          <w:color w:val="auto"/>
        </w:rPr>
      </w:pPr>
      <w:r>
        <w:rPr>
          <w:rFonts w:ascii="Arial" w:cs="Arial" w:eastAsia="Arial" w:hAnsi="Arial"/>
          <w:sz w:val="18"/>
          <w:szCs w:val="18"/>
          <w:color w:val="auto"/>
        </w:rPr>
        <w:t>Certain of our equipment sales are accounted for as multiple-element arrangements. A multiple-element arrangement is a transaction which may involve the delivery or performance of multiple products, services, or rights to use assets, and performance may occur at different points in time or over different periods of time.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w:t>
      </w:r>
    </w:p>
    <w:p>
      <w:pPr>
        <w:spacing w:after="0" w:line="195" w:lineRule="exact"/>
        <w:rPr>
          <w:sz w:val="20"/>
          <w:szCs w:val="20"/>
          <w:color w:val="auto"/>
        </w:rPr>
      </w:pPr>
    </w:p>
    <w:p>
      <w:pPr>
        <w:ind w:left="480" w:right="560"/>
        <w:spacing w:after="0" w:line="302" w:lineRule="auto"/>
        <w:rPr>
          <w:sz w:val="20"/>
          <w:szCs w:val="20"/>
          <w:color w:val="auto"/>
        </w:rPr>
      </w:pPr>
      <w:r>
        <w:rPr>
          <w:rFonts w:ascii="Arial" w:cs="Arial" w:eastAsia="Arial" w:hAnsi="Arial"/>
          <w:sz w:val="15"/>
          <w:szCs w:val="15"/>
          <w:color w:val="auto"/>
        </w:rPr>
        <w:t>On shipments where sales are not recognized, gross profit is generally recorded as deferred profit in our consolidated balance sheet representing the difference between the receivable recorded and the inventory shipped. At September 30, 2017, we had deferred revenue totaling approximately</w:t>
      </w:r>
    </w:p>
    <w:p>
      <w:pPr>
        <w:spacing w:after="0" w:line="1" w:lineRule="exact"/>
        <w:rPr>
          <w:sz w:val="20"/>
          <w:szCs w:val="20"/>
          <w:color w:val="auto"/>
        </w:rPr>
      </w:pPr>
    </w:p>
    <w:p>
      <w:pPr>
        <w:ind w:left="480" w:right="100"/>
        <w:spacing w:after="0" w:line="248" w:lineRule="auto"/>
        <w:rPr>
          <w:sz w:val="20"/>
          <w:szCs w:val="20"/>
          <w:color w:val="auto"/>
        </w:rPr>
      </w:pPr>
      <w:r>
        <w:rPr>
          <w:rFonts w:ascii="Arial" w:cs="Arial" w:eastAsia="Arial" w:hAnsi="Arial"/>
          <w:sz w:val="18"/>
          <w:szCs w:val="18"/>
          <w:color w:val="auto"/>
        </w:rPr>
        <w:t>$9.9 million and deferred profit of $6.7 million. At December 31, 2016, we had deferred revenue totaling approximately $9.3 million and deferred profit of $6.9 million. The periodic change is primarily a result of increases and decreases in deferrals of revenue associated with product shipments made to our customers in accordance with our revenue recognition policy.</w:t>
      </w:r>
    </w:p>
    <w:p>
      <w:pPr>
        <w:spacing w:after="0" w:line="195" w:lineRule="exact"/>
        <w:rPr>
          <w:sz w:val="20"/>
          <w:szCs w:val="20"/>
          <w:color w:val="auto"/>
        </w:rPr>
      </w:pPr>
    </w:p>
    <w:p>
      <w:pPr>
        <w:ind w:left="480" w:right="200"/>
        <w:spacing w:after="0" w:line="264" w:lineRule="auto"/>
        <w:rPr>
          <w:sz w:val="20"/>
          <w:szCs w:val="20"/>
          <w:color w:val="auto"/>
        </w:rPr>
      </w:pPr>
      <w:r>
        <w:rPr>
          <w:rFonts w:ascii="Arial" w:cs="Arial" w:eastAsia="Arial" w:hAnsi="Arial"/>
          <w:sz w:val="18"/>
          <w:szCs w:val="18"/>
          <w:color w:val="auto"/>
        </w:rPr>
        <w:t>A small number of customers historically have been responsible for a significant portion of our net sales. Significant customer concentration information is as follows:</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900" w:type="dxa"/>
            <w:vAlign w:val="bottom"/>
            <w:gridSpan w:val="3"/>
          </w:tcPr>
          <w:p>
            <w:pPr>
              <w:jc w:val="right"/>
              <w:ind w:right="840"/>
              <w:spacing w:after="0"/>
              <w:rPr>
                <w:sz w:val="20"/>
                <w:szCs w:val="20"/>
                <w:color w:val="auto"/>
              </w:rPr>
            </w:pPr>
            <w:r>
              <w:rPr>
                <w:rFonts w:ascii="Arial" w:cs="Arial" w:eastAsia="Arial" w:hAnsi="Arial"/>
                <w:sz w:val="18"/>
                <w:szCs w:val="18"/>
                <w:color w:val="auto"/>
              </w:rPr>
              <w:t>Three Months Ended</w:t>
            </w:r>
          </w:p>
        </w:tc>
        <w:tc>
          <w:tcPr>
            <w:tcW w:w="2780" w:type="dxa"/>
            <w:vAlign w:val="bottom"/>
            <w:gridSpan w:val="3"/>
          </w:tcPr>
          <w:p>
            <w:pPr>
              <w:jc w:val="right"/>
              <w:ind w:right="7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440" w:type="dxa"/>
            <w:vAlign w:val="bottom"/>
          </w:tcPr>
          <w:p>
            <w:pPr>
              <w:jc w:val="center"/>
              <w:ind w:right="172"/>
              <w:spacing w:after="0"/>
              <w:rPr>
                <w:sz w:val="20"/>
                <w:szCs w:val="20"/>
                <w:color w:val="auto"/>
              </w:rPr>
            </w:pPr>
            <w:r>
              <w:rPr>
                <w:rFonts w:ascii="Arial" w:cs="Arial" w:eastAsia="Arial" w:hAnsi="Arial"/>
                <w:sz w:val="18"/>
                <w:szCs w:val="18"/>
                <w:color w:val="auto"/>
                <w:w w:val="86"/>
              </w:rPr>
              <w:t>September 30,</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September 24,</w:t>
            </w:r>
          </w:p>
        </w:tc>
        <w:tc>
          <w:tcPr>
            <w:tcW w:w="1420" w:type="dxa"/>
            <w:vAlign w:val="bottom"/>
          </w:tcPr>
          <w:p>
            <w:pPr>
              <w:jc w:val="center"/>
              <w:ind w:right="152"/>
              <w:spacing w:after="0"/>
              <w:rPr>
                <w:sz w:val="20"/>
                <w:szCs w:val="20"/>
                <w:color w:val="auto"/>
              </w:rPr>
            </w:pPr>
            <w:r>
              <w:rPr>
                <w:rFonts w:ascii="Arial" w:cs="Arial" w:eastAsia="Arial" w:hAnsi="Arial"/>
                <w:sz w:val="18"/>
                <w:szCs w:val="18"/>
                <w:color w:val="auto"/>
                <w:w w:val="86"/>
              </w:rPr>
              <w:t>September 30,</w:t>
            </w: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color w:val="auto"/>
                <w:w w:val="86"/>
              </w:rPr>
              <w:t>September 24,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44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2017</w:t>
            </w: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19"/>
                <w:szCs w:val="19"/>
                <w:color w:val="auto"/>
              </w:rPr>
            </w:pPr>
          </w:p>
        </w:tc>
        <w:tc>
          <w:tcPr>
            <w:tcW w:w="142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2017</w:t>
            </w:r>
          </w:p>
        </w:tc>
        <w:tc>
          <w:tcPr>
            <w:tcW w:w="12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w w:val="98"/>
              </w:rPr>
              <w:t>Customers individually accounting for more than 10% of net sales</w:t>
            </w:r>
          </w:p>
        </w:tc>
        <w:tc>
          <w:tcPr>
            <w:tcW w:w="14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two</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three</w:t>
            </w: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two</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two</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Percentage of net sales</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3" w:lineRule="exact"/>
        <w:rPr>
          <w:sz w:val="20"/>
          <w:szCs w:val="20"/>
          <w:color w:val="auto"/>
        </w:rPr>
      </w:pPr>
    </w:p>
    <w:p>
      <w:pPr>
        <w:ind w:left="480" w:right="80"/>
        <w:spacing w:after="0" w:line="250" w:lineRule="auto"/>
        <w:rPr>
          <w:sz w:val="20"/>
          <w:szCs w:val="20"/>
          <w:color w:val="auto"/>
        </w:rPr>
      </w:pPr>
      <w:r>
        <w:rPr>
          <w:rFonts w:ascii="Arial" w:cs="Arial" w:eastAsia="Arial" w:hAnsi="Arial"/>
          <w:sz w:val="18"/>
          <w:szCs w:val="18"/>
          <w:color w:val="auto"/>
        </w:rPr>
        <w:t>Our accumulated other comprehensive loss balance totaled approximately $18.0 million and $27.9 million at September 30, 2017 and December 31, 2016,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and adjustments related to postretirement benefits. Reclassification adjustments from accumulated other comprehensive loss during the three- and nine-month periods ended of fiscal 2017 and 2016 were not significant.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Retiree Medical Benefits</w:t>
      </w:r>
    </w:p>
    <w:p>
      <w:pPr>
        <w:spacing w:after="0" w:line="223" w:lineRule="exact"/>
        <w:rPr>
          <w:sz w:val="20"/>
          <w:szCs w:val="20"/>
          <w:color w:val="auto"/>
        </w:rPr>
      </w:pPr>
    </w:p>
    <w:p>
      <w:pPr>
        <w:ind w:left="480" w:right="180"/>
        <w:spacing w:after="0" w:line="264" w:lineRule="auto"/>
        <w:rPr>
          <w:sz w:val="20"/>
          <w:szCs w:val="20"/>
          <w:color w:val="auto"/>
        </w:rPr>
      </w:pPr>
      <w:r>
        <w:rPr>
          <w:rFonts w:ascii="Arial" w:cs="Arial" w:eastAsia="Arial" w:hAnsi="Arial"/>
          <w:sz w:val="18"/>
          <w:szCs w:val="18"/>
          <w:color w:val="auto"/>
        </w:rPr>
        <w:t>We provide post-retirement health benefits to certain executives and directors under a noncontributory plan. The net periodic benefit cost incurred during the first nine months of fiscal 2017 and 2016 was not significant.</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left="480" w:right="80"/>
        <w:spacing w:after="0" w:line="252" w:lineRule="auto"/>
        <w:rPr>
          <w:sz w:val="20"/>
          <w:szCs w:val="20"/>
          <w:color w:val="auto"/>
        </w:rPr>
      </w:pPr>
      <w:r>
        <w:rPr>
          <w:rFonts w:ascii="Arial" w:cs="Arial" w:eastAsia="Arial" w:hAnsi="Arial"/>
          <w:sz w:val="18"/>
          <w:szCs w:val="18"/>
          <w:i w:val="1"/>
          <w:iCs w:val="1"/>
          <w:color w:val="auto"/>
        </w:rPr>
        <w:t xml:space="preserve">Recently Adopted Accounting Pronouncements – </w:t>
      </w:r>
      <w:r>
        <w:rPr>
          <w:rFonts w:ascii="Arial" w:cs="Arial" w:eastAsia="Arial" w:hAnsi="Arial"/>
          <w:sz w:val="18"/>
          <w:szCs w:val="18"/>
          <w:color w:val="auto"/>
        </w:rPr>
        <w:t>In July 2015, the Financial Accounting Standards Board (“FASB”) issued ASU No. 2015-11,</w:t>
      </w:r>
      <w:r>
        <w:rPr>
          <w:rFonts w:ascii="Arial" w:cs="Arial" w:eastAsia="Arial" w:hAnsi="Arial"/>
          <w:sz w:val="18"/>
          <w:szCs w:val="18"/>
          <w:i w:val="1"/>
          <w:iCs w:val="1"/>
          <w:color w:val="auto"/>
        </w:rPr>
        <w:t xml:space="preserve"> Simplifying the Measurement of Inventory</w:t>
      </w:r>
      <w:r>
        <w:rPr>
          <w:rFonts w:ascii="Arial" w:cs="Arial" w:eastAsia="Arial" w:hAnsi="Arial"/>
          <w:sz w:val="18"/>
          <w:szCs w:val="18"/>
          <w:color w:val="auto"/>
        </w:rPr>
        <w:t>. Under this guidance, inventory should be measured at the lower of cost and net realizable value. Subsequent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is unchanged for inventory measured using LIFO or the retail inventory method. The adoption of this authoritative guidance did not have a material impact on our consolidated financial statements.</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0" w:name="page11"/>
    <w:bookmarkEnd w:id="1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right="180"/>
        <w:spacing w:after="0" w:line="302" w:lineRule="auto"/>
        <w:rPr>
          <w:sz w:val="20"/>
          <w:szCs w:val="20"/>
          <w:color w:val="auto"/>
        </w:rPr>
      </w:pPr>
      <w:r>
        <w:rPr>
          <w:rFonts w:ascii="Arial" w:cs="Arial" w:eastAsia="Arial" w:hAnsi="Arial"/>
          <w:sz w:val="15"/>
          <w:szCs w:val="15"/>
          <w:i w:val="1"/>
          <w:iCs w:val="1"/>
          <w:color w:val="auto"/>
        </w:rPr>
        <w:t xml:space="preserve">Recently Issued Accounting Pronouncements </w:t>
      </w:r>
      <w:r>
        <w:rPr>
          <w:rFonts w:ascii="Arial" w:cs="Arial" w:eastAsia="Arial" w:hAnsi="Arial"/>
          <w:sz w:val="15"/>
          <w:szCs w:val="15"/>
          <w:color w:val="auto"/>
        </w:rPr>
        <w:t>– In March 2017, the FASB issued ASU No. 2017-07,</w:t>
      </w:r>
      <w:r>
        <w:rPr>
          <w:rFonts w:ascii="Arial" w:cs="Arial" w:eastAsia="Arial" w:hAnsi="Arial"/>
          <w:sz w:val="15"/>
          <w:szCs w:val="15"/>
          <w:i w:val="1"/>
          <w:iCs w:val="1"/>
          <w:color w:val="auto"/>
        </w:rPr>
        <w:t xml:space="preserve"> Compensation – Retirement Benefits (Topic 715) – Improving the Presentation of Net Periodic Pension Cost and Net Periodic Postretirement Benefit Cost</w:t>
      </w:r>
      <w:r>
        <w:rPr>
          <w:rFonts w:ascii="Arial" w:cs="Arial" w:eastAsia="Arial" w:hAnsi="Arial"/>
          <w:sz w:val="15"/>
          <w:szCs w:val="15"/>
          <w:color w:val="auto"/>
        </w:rPr>
        <w:t>, which provides additional guidance on the</w:t>
      </w:r>
      <w:r>
        <w:rPr>
          <w:rFonts w:ascii="Arial" w:cs="Arial" w:eastAsia="Arial" w:hAnsi="Arial"/>
          <w:sz w:val="15"/>
          <w:szCs w:val="15"/>
          <w:i w:val="1"/>
          <w:iCs w:val="1"/>
          <w:color w:val="auto"/>
        </w:rPr>
        <w:t xml:space="preserve"> </w:t>
      </w:r>
      <w:r>
        <w:rPr>
          <w:rFonts w:ascii="Arial" w:cs="Arial" w:eastAsia="Arial" w:hAnsi="Arial"/>
          <w:sz w:val="15"/>
          <w:szCs w:val="15"/>
          <w:color w:val="auto"/>
        </w:rPr>
        <w:t>presentation of net periodic pension and postretirement benefit costs in the income statement and on the components eligible for capitalization. The amendments in this guidance require that an employer report the service cost component of the net periodic benefit costs in the same income statement line item as other compensation costs arising from services rendered by employees during the period. The non-service-cost components of net periodic benefit costs are to be presented in the income statement separately from the service cost components and outside a subtotal of income from operations. The guidance also allows for the capitalization of the service cost components, when applicable (i.e., as a cost of internally manufactured inventory or a self-constructed asset). The guidance is effective for annual periods beginning after December 15, 2017, including interim periods within those annual periods; early adoption is permitted as of the beginning of an annual period for which financial statements (interim or annual) have not been issued or made available for issuance. The amendments in this guidance are to be applied retrospectively. We are currently assessing the impact this guidance will have on our consolidated financial statements.</w:t>
      </w:r>
    </w:p>
    <w:p>
      <w:pPr>
        <w:spacing w:after="0" w:line="372" w:lineRule="exact"/>
        <w:rPr>
          <w:sz w:val="20"/>
          <w:szCs w:val="20"/>
          <w:color w:val="auto"/>
        </w:rPr>
      </w:pPr>
    </w:p>
    <w:p>
      <w:pPr>
        <w:ind w:left="480" w:right="2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It eliminates Step 2 from the goodwill impairment test and requires an entity to recognize an impairment charge for the amount by which the carrying amount of goodwill exceeds the reporting unit's fair value, not to exceed the carrying amount of goodwill. This guidance is effective for annual and any interim impairment tests in fiscal years beginning after December 15, 2019. We do not expect this guidance to have any impact on our consolidated financial statements.</w:t>
      </w:r>
    </w:p>
    <w:p>
      <w:pPr>
        <w:spacing w:after="0" w:line="177" w:lineRule="exact"/>
        <w:rPr>
          <w:sz w:val="20"/>
          <w:szCs w:val="20"/>
          <w:color w:val="auto"/>
        </w:rPr>
      </w:pPr>
    </w:p>
    <w:p>
      <w:pPr>
        <w:ind w:left="480" w:right="320"/>
        <w:spacing w:after="0" w:line="330" w:lineRule="auto"/>
        <w:rPr>
          <w:sz w:val="20"/>
          <w:szCs w:val="20"/>
          <w:color w:val="auto"/>
        </w:rPr>
      </w:pPr>
      <w:r>
        <w:rPr>
          <w:rFonts w:ascii="Arial" w:cs="Arial" w:eastAsia="Arial" w:hAnsi="Arial"/>
          <w:sz w:val="15"/>
          <w:szCs w:val="15"/>
          <w:color w:val="auto"/>
        </w:rPr>
        <w:t xml:space="preserve">In January 2017, the FASB issued ASU No. 2017-01, </w:t>
      </w:r>
      <w:r>
        <w:rPr>
          <w:rFonts w:ascii="Arial" w:cs="Arial" w:eastAsia="Arial" w:hAnsi="Arial"/>
          <w:sz w:val="15"/>
          <w:szCs w:val="15"/>
          <w:i w:val="1"/>
          <w:iCs w:val="1"/>
          <w:color w:val="auto"/>
        </w:rPr>
        <w:t>Clarifying the Definition of a Business.</w:t>
      </w:r>
      <w:r>
        <w:rPr>
          <w:rFonts w:ascii="Arial" w:cs="Arial" w:eastAsia="Arial" w:hAnsi="Arial"/>
          <w:sz w:val="15"/>
          <w:szCs w:val="15"/>
          <w:color w:val="auto"/>
        </w:rPr>
        <w:t xml:space="preserve"> It revises the definition of a business and provides a framework to evaluate when an input and a substantive process are present in an acquisition to be considered a business. This guidance is effective for annual periods beginning after December 15, 2017. We do not expect this guidance to have any impact on our consolidated financial statements.</w:t>
      </w:r>
    </w:p>
    <w:p>
      <w:pPr>
        <w:spacing w:after="0" w:line="136"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It requires that amounts generally described as restricted cash and restricted cash equivalents should be included with cash and cash equivalents when reconciling the beginning-of-period and end-of-period total amounts shown on the statement of cash flows. This guidance is effective for interim and annual reporting periods beginning after December 15, 2017. We do not expect this guidance to have a material impact on our consolidated financial statements.</w:t>
      </w:r>
    </w:p>
    <w:p>
      <w:pPr>
        <w:spacing w:after="0" w:line="190" w:lineRule="exact"/>
        <w:rPr>
          <w:sz w:val="20"/>
          <w:szCs w:val="20"/>
          <w:color w:val="auto"/>
        </w:rPr>
      </w:pPr>
    </w:p>
    <w:p>
      <w:pPr>
        <w:ind w:left="480" w:right="80"/>
        <w:spacing w:after="0" w:line="318" w:lineRule="auto"/>
        <w:rPr>
          <w:sz w:val="20"/>
          <w:szCs w:val="20"/>
          <w:color w:val="auto"/>
        </w:rPr>
      </w:pPr>
      <w:r>
        <w:rPr>
          <w:rFonts w:ascii="Arial" w:cs="Arial" w:eastAsia="Arial" w:hAnsi="Arial"/>
          <w:sz w:val="15"/>
          <w:szCs w:val="15"/>
          <w:color w:val="auto"/>
        </w:rPr>
        <w:t xml:space="preserve">In August 2016, the FASB issued ASU No. 2016-15, </w:t>
      </w:r>
      <w:r>
        <w:rPr>
          <w:rFonts w:ascii="Arial" w:cs="Arial" w:eastAsia="Arial" w:hAnsi="Arial"/>
          <w:sz w:val="15"/>
          <w:szCs w:val="15"/>
          <w:i w:val="1"/>
          <w:iCs w:val="1"/>
          <w:color w:val="auto"/>
        </w:rPr>
        <w:t>Classification of Certain Cash Receipts and Cash Payments.</w:t>
      </w:r>
      <w:r>
        <w:rPr>
          <w:rFonts w:ascii="Arial" w:cs="Arial" w:eastAsia="Arial" w:hAnsi="Arial"/>
          <w:sz w:val="15"/>
          <w:szCs w:val="15"/>
          <w:color w:val="auto"/>
        </w:rPr>
        <w:t xml:space="preserve"> It provides guidance on eight specific cash flow issues with the objective of reducing the existing diversity in practice in how they are classified in the statement of cash flows. This guidance is effective for interim and annual reporting periods beginning after December 15, 2017. Early adoption is permitted, provided that all of the amendments are adopted in the same period. We do not expect this guidance to have a material impact on our consolidated financial statements.</w:t>
      </w:r>
    </w:p>
    <w:p>
      <w:pPr>
        <w:spacing w:after="0" w:line="145" w:lineRule="exact"/>
        <w:rPr>
          <w:sz w:val="20"/>
          <w:szCs w:val="20"/>
          <w:color w:val="auto"/>
        </w:rPr>
      </w:pPr>
    </w:p>
    <w:p>
      <w:pPr>
        <w:ind w:left="480" w:right="20"/>
        <w:spacing w:after="0" w:line="268"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this guidance, lessees will be required to recognize a right-of-use asset and a lease liability for all operating leases defined under previous GAAP. This guidance is effective for interim and annual reporting periods beginning after December 15, 2018. The new guidance must be adopted using a modified retrospective transition, and provides for certain practical expedients. We are still completing our analysis on the impact this guidance will have on our consolidated financial statements and related disclosures, but recognizing the lease liabilities and related right-of-use assets will impact our balance sheet.</w:t>
      </w:r>
    </w:p>
    <w:p>
      <w:pPr>
        <w:spacing w:after="0" w:line="180" w:lineRule="exact"/>
        <w:rPr>
          <w:sz w:val="20"/>
          <w:szCs w:val="20"/>
          <w:color w:val="auto"/>
        </w:rPr>
      </w:pPr>
    </w:p>
    <w:p>
      <w:pPr>
        <w:ind w:left="480"/>
        <w:spacing w:after="0" w:line="302" w:lineRule="auto"/>
        <w:rPr>
          <w:sz w:val="20"/>
          <w:szCs w:val="20"/>
          <w:color w:val="auto"/>
        </w:rPr>
      </w:pPr>
      <w:r>
        <w:rPr>
          <w:rFonts w:ascii="Arial" w:cs="Arial" w:eastAsia="Arial" w:hAnsi="Arial"/>
          <w:sz w:val="15"/>
          <w:szCs w:val="15"/>
          <w:color w:val="auto"/>
        </w:rPr>
        <w:t xml:space="preserve">In May 2014, the FASB issued Accounting Standards Update No. 2014-09, </w:t>
      </w:r>
      <w:r>
        <w:rPr>
          <w:rFonts w:ascii="Arial" w:cs="Arial" w:eastAsia="Arial" w:hAnsi="Arial"/>
          <w:sz w:val="15"/>
          <w:szCs w:val="15"/>
          <w:i w:val="1"/>
          <w:iCs w:val="1"/>
          <w:color w:val="auto"/>
        </w:rPr>
        <w:t>Revenue from Contracts with Customers (Topic 606) (ASU 2014-09)</w:t>
      </w:r>
      <w:r>
        <w:rPr>
          <w:rFonts w:ascii="Arial" w:cs="Arial" w:eastAsia="Arial" w:hAnsi="Arial"/>
          <w:sz w:val="15"/>
          <w:szCs w:val="15"/>
          <w:color w:val="auto"/>
        </w:rPr>
        <w:t xml:space="preserve">, which amends the existing accounting standards for revenue recognition. In August 2015, the FASB issued ASU No. 2015-14,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(Topic 606): Deferral of the Effective Date</w:t>
      </w:r>
      <w:r>
        <w:rPr>
          <w:rFonts w:ascii="Arial" w:cs="Arial" w:eastAsia="Arial" w:hAnsi="Arial"/>
          <w:sz w:val="15"/>
          <w:szCs w:val="15"/>
          <w:color w:val="auto"/>
        </w:rPr>
        <w:t>, which delays the effective date of</w:t>
      </w:r>
      <w:r>
        <w:rPr>
          <w:rFonts w:ascii="Arial" w:cs="Arial" w:eastAsia="Arial" w:hAnsi="Arial"/>
          <w:sz w:val="15"/>
          <w:szCs w:val="15"/>
          <w:i w:val="1"/>
          <w:iCs w:val="1"/>
          <w:color w:val="auto"/>
        </w:rPr>
        <w:t xml:space="preserve"> ASU 2014-09 </w:t>
      </w:r>
      <w:r>
        <w:rPr>
          <w:rFonts w:ascii="Arial" w:cs="Arial" w:eastAsia="Arial" w:hAnsi="Arial"/>
          <w:sz w:val="15"/>
          <w:szCs w:val="15"/>
          <w:color w:val="auto"/>
        </w:rPr>
        <w:t>by one year. The FASB also agreed to allow</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entities to choose to adopt the standard as of the original effective date. In March 2016, the FASB issued Accounting Standards Update No. 2016-08, </w:t>
      </w:r>
      <w:r>
        <w:rPr>
          <w:rFonts w:ascii="Arial" w:cs="Arial" w:eastAsia="Arial" w:hAnsi="Arial"/>
          <w:sz w:val="15"/>
          <w:szCs w:val="15"/>
          <w:i w:val="1"/>
          <w:iCs w:val="1"/>
          <w:color w:val="auto"/>
        </w:rPr>
        <w:t xml:space="preserve">Revenue from Contracts with Customers (Topic 606): Principal versus Agent Considerations (Reporting Revenue Gross versus Net) (ASU 2016-08) </w:t>
      </w:r>
      <w:r>
        <w:rPr>
          <w:rFonts w:ascii="Arial" w:cs="Arial" w:eastAsia="Arial" w:hAnsi="Arial"/>
          <w:sz w:val="15"/>
          <w:szCs w:val="15"/>
          <w:color w:val="auto"/>
        </w:rPr>
        <w:t>which</w:t>
      </w:r>
      <w:r>
        <w:rPr>
          <w:rFonts w:ascii="Arial" w:cs="Arial" w:eastAsia="Arial" w:hAnsi="Arial"/>
          <w:sz w:val="15"/>
          <w:szCs w:val="15"/>
          <w:i w:val="1"/>
          <w:iCs w:val="1"/>
          <w:color w:val="auto"/>
        </w:rPr>
        <w:t xml:space="preserve"> </w:t>
      </w:r>
      <w:r>
        <w:rPr>
          <w:rFonts w:ascii="Arial" w:cs="Arial" w:eastAsia="Arial" w:hAnsi="Arial"/>
          <w:sz w:val="15"/>
          <w:szCs w:val="15"/>
          <w:color w:val="auto"/>
        </w:rPr>
        <w:t>clarifies the implementation guidance on principal versus agent considerations. The guidance includes indicators to assist an entity in determining whether it controls a specified good or service before it is transferred to customers. The new revenue recognition standard will be effective for us in the first quarter of 2018. We will adopt the new standard effective December 31, 2017, which is the first day of our 2018 fiscal year. The new standard also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right="60"/>
        <w:spacing w:after="0" w:line="303" w:lineRule="auto"/>
        <w:rPr>
          <w:sz w:val="20"/>
          <w:szCs w:val="20"/>
          <w:color w:val="auto"/>
        </w:rPr>
      </w:pPr>
      <w:r>
        <w:rPr>
          <w:rFonts w:ascii="Arial" w:cs="Arial" w:eastAsia="Arial" w:hAnsi="Arial"/>
          <w:sz w:val="15"/>
          <w:szCs w:val="15"/>
          <w:color w:val="auto"/>
        </w:rPr>
        <w:t>We currently anticipate adopting the standard using the modified retrospective method. We are still in the process of completing our analysis on the impact this guidance will have on our consolidated financial statements and related disclosures. Based on our preliminary review of our customer agreements, we currently expect that our revenue will continue to be recognized at a point in time, generally upon shipment of products to customers, consistent with our current revenue recognition model. In certain instances, when customer payment terms provide that a minority portion of the equipment purchase price be paid only upon customer acceptance, recognition of revenue may occur sooner under the new model. When adopting the new standard, on December 31, 2017, revenue that was not recognized in fiscal 2017, because the equipment had not been accepted by the customer, will be recognized as a cumulative catch-up adjustment to the opening balance of retained earnings as opposed to being recognized as future revenue upon acceptance. As the timing of customer acceptances cannot be predicted, we do not know the impact on future revenues and associated operating income at this time. However, revenues, deferred profit, cost of sales, and associated operating income may be materially impacted depending on the timing of customer acceptance.</w:t>
      </w:r>
    </w:p>
    <w:p>
      <w:pPr>
        <w:spacing w:after="0" w:line="153" w:lineRule="exact"/>
        <w:rPr>
          <w:sz w:val="20"/>
          <w:szCs w:val="20"/>
          <w:color w:val="auto"/>
        </w:rPr>
      </w:pPr>
    </w:p>
    <w:p>
      <w:pPr>
        <w:ind w:left="480" w:right="5600" w:hanging="474"/>
        <w:spacing w:after="0" w:line="494" w:lineRule="auto"/>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Acquisitions, Goodwill and Other Purchased Intangible Assets </w:t>
      </w:r>
      <w:r>
        <w:rPr>
          <w:rFonts w:ascii="Arial" w:cs="Arial" w:eastAsia="Arial" w:hAnsi="Arial"/>
          <w:sz w:val="18"/>
          <w:szCs w:val="18"/>
          <w:i w:val="1"/>
          <w:iCs w:val="1"/>
          <w:u w:val="single" w:color="auto"/>
          <w:color w:val="auto"/>
        </w:rPr>
        <w:t>Kita</w:t>
      </w:r>
    </w:p>
    <w:p>
      <w:pPr>
        <w:spacing w:after="0" w:line="1" w:lineRule="exact"/>
        <w:rPr>
          <w:rFonts w:ascii="Arial" w:cs="Arial" w:eastAsia="Arial" w:hAnsi="Arial"/>
          <w:sz w:val="18"/>
          <w:szCs w:val="18"/>
          <w:b w:val="1"/>
          <w:bCs w:val="1"/>
          <w:color w:val="auto"/>
        </w:rPr>
      </w:pPr>
    </w:p>
    <w:p>
      <w:pPr>
        <w:ind w:left="480" w:right="6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On January 4, 2017, we completed the acquisition of all the outstanding share capital of Kita Manufacturing Co., LTD. and Kita USA, Inc. (together “Kita”) (the “Acquisition”). Kita, headquartered in Osaka, Japan, and with operations in Attleboro, Massachusetts and Kyoto, Japan, designs, manufactures and sells spring probe contacts used in final test contactors, probe cards, PCB test boards and connectors sold to customers worldwide. The acquisition of Kita was a strategic transaction to expand our total available market, extend our market leadership and broaden our product offerings. In connection with the Acquisition we incurred acquisition related costs, which were expensed to selling, general and administrative, that totaled $1.0 million and $0.9 million during the first nine months of September 30, 2017 and September 24, 2016, respectively.</w:t>
      </w:r>
    </w:p>
    <w:p>
      <w:pPr>
        <w:spacing w:after="0" w:line="155" w:lineRule="exact"/>
        <w:rPr>
          <w:sz w:val="20"/>
          <w:szCs w:val="20"/>
          <w:color w:val="auto"/>
        </w:rPr>
      </w:pPr>
    </w:p>
    <w:p>
      <w:pPr>
        <w:ind w:left="480" w:right="420"/>
        <w:spacing w:after="0" w:line="264" w:lineRule="auto"/>
        <w:rPr>
          <w:sz w:val="20"/>
          <w:szCs w:val="20"/>
          <w:color w:val="auto"/>
        </w:rPr>
      </w:pPr>
      <w:r>
        <w:rPr>
          <w:rFonts w:ascii="Arial" w:cs="Arial" w:eastAsia="Arial" w:hAnsi="Arial"/>
          <w:sz w:val="18"/>
          <w:szCs w:val="18"/>
          <w:color w:val="auto"/>
        </w:rPr>
        <w:t xml:space="preserve">The Acquisition has been accounted for in conformity with FASB Accounting Standards Codification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purchase price for Kita was funded primarily by cash reserves and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paid to Kita shareholders</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2"/>
        </w:trPr>
        <w:tc>
          <w:tcPr>
            <w:tcW w:w="718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7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823</w:t>
            </w:r>
          </w:p>
        </w:tc>
      </w:tr>
      <w:tr>
        <w:trPr>
          <w:trHeight w:val="20"/>
        </w:trPr>
        <w:tc>
          <w:tcPr>
            <w:tcW w:w="7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718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Total purchase price</w:t>
            </w:r>
          </w:p>
        </w:tc>
        <w:tc>
          <w:tcPr>
            <w:tcW w:w="720" w:type="dxa"/>
            <w:vAlign w:val="bottom"/>
            <w:shd w:val="clear" w:color="auto" w:fill="CCEEFF"/>
          </w:tcPr>
          <w:p>
            <w:pPr>
              <w:jc w:val="right"/>
              <w:ind w:right="532"/>
              <w:spacing w:after="0" w:line="205"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15,823</w:t>
            </w:r>
          </w:p>
        </w:tc>
      </w:tr>
      <w:tr>
        <w:trPr>
          <w:trHeight w:val="20"/>
        </w:trPr>
        <w:tc>
          <w:tcPr>
            <w:tcW w:w="71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480" w:right="80"/>
        <w:spacing w:after="0" w:line="250" w:lineRule="auto"/>
        <w:rPr>
          <w:sz w:val="20"/>
          <w:szCs w:val="20"/>
          <w:color w:val="auto"/>
        </w:rPr>
      </w:pPr>
      <w:r>
        <w:rPr>
          <w:rFonts w:ascii="Arial" w:cs="Arial" w:eastAsia="Arial" w:hAnsi="Arial"/>
          <w:sz w:val="18"/>
          <w:szCs w:val="18"/>
          <w:color w:val="auto"/>
        </w:rPr>
        <w:t>The contingent consideration represents the estimated fair value of future payments totaling up to $3.0 million we would be required to make as a result of Kita achieving annual revenue and EBITDA targets in 2017 and 2018 as specified in the purchase agreement for the Acquisition. The fair value of the contingent consideration recognized on the acquisition date was estimated by using the Monte Carlo simulation model. The contingent consideration payable has been classified as level 3 in the fair value hierarchy. See Note 3 “Financial Instruments Measured at Fair Value” for additional information on the three-tier fair value hierarchy.</w:t>
      </w:r>
    </w:p>
    <w:p>
      <w:pPr>
        <w:spacing w:after="0" w:line="193" w:lineRule="exact"/>
        <w:rPr>
          <w:sz w:val="20"/>
          <w:szCs w:val="20"/>
          <w:color w:val="auto"/>
        </w:rPr>
      </w:pPr>
    </w:p>
    <w:p>
      <w:pPr>
        <w:ind w:left="480" w:right="140"/>
        <w:spacing w:after="0" w:line="255" w:lineRule="auto"/>
        <w:rPr>
          <w:sz w:val="20"/>
          <w:szCs w:val="20"/>
          <w:color w:val="auto"/>
        </w:rPr>
      </w:pPr>
      <w:r>
        <w:rPr>
          <w:rFonts w:ascii="Arial" w:cs="Arial" w:eastAsia="Arial" w:hAnsi="Arial"/>
          <w:sz w:val="18"/>
          <w:szCs w:val="18"/>
          <w:color w:val="auto"/>
        </w:rPr>
        <w:t>Contingent consideration is recorded in our condensed consolidated balance sheets in other accrued liabilities. Adjustments to the fair value of contingent consideration are reflected in selling, general, and administrative expense in our condensed consolidated statements of income and are included in the acquisition related costs above.</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fair value of contingent consideration from the date of acquisition through September 30, 2017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Fair Value of</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Mark to Market</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Fair Value of</w:t>
            </w:r>
          </w:p>
        </w:tc>
      </w:tr>
      <w:tr>
        <w:trPr>
          <w:trHeight w:val="212"/>
        </w:trPr>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Consideration</w:t>
            </w:r>
          </w:p>
        </w:tc>
        <w:tc>
          <w:tcPr>
            <w:tcW w:w="100" w:type="dxa"/>
            <w:vAlign w:val="bottom"/>
          </w:tcPr>
          <w:p>
            <w:pPr>
              <w:spacing w:after="0"/>
              <w:rPr>
                <w:sz w:val="18"/>
                <w:szCs w:val="18"/>
                <w:color w:val="auto"/>
              </w:rPr>
            </w:pPr>
          </w:p>
        </w:tc>
        <w:tc>
          <w:tcPr>
            <w:tcW w:w="1260" w:type="dxa"/>
            <w:vAlign w:val="bottom"/>
          </w:tcPr>
          <w:p>
            <w:pPr>
              <w:jc w:val="center"/>
              <w:ind w:left="52"/>
              <w:spacing w:after="0"/>
              <w:rPr>
                <w:sz w:val="20"/>
                <w:szCs w:val="20"/>
                <w:color w:val="auto"/>
              </w:rPr>
            </w:pPr>
            <w:r>
              <w:rPr>
                <w:rFonts w:ascii="Arial" w:cs="Arial" w:eastAsia="Arial" w:hAnsi="Arial"/>
                <w:sz w:val="18"/>
                <w:szCs w:val="18"/>
                <w:color w:val="auto"/>
                <w:w w:val="90"/>
              </w:rPr>
              <w:t>Settlement of</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Adjustment</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Impact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Consideration at</w:t>
            </w:r>
          </w:p>
        </w:tc>
      </w:tr>
      <w:tr>
        <w:trPr>
          <w:trHeight w:val="212"/>
        </w:trPr>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Recognized at</w:t>
            </w:r>
          </w:p>
        </w:tc>
        <w:tc>
          <w:tcPr>
            <w:tcW w:w="100" w:type="dxa"/>
            <w:vAlign w:val="bottom"/>
          </w:tcPr>
          <w:p>
            <w:pPr>
              <w:spacing w:after="0"/>
              <w:rPr>
                <w:sz w:val="18"/>
                <w:szCs w:val="18"/>
                <w:color w:val="auto"/>
              </w:rPr>
            </w:pPr>
          </w:p>
        </w:tc>
        <w:tc>
          <w:tcPr>
            <w:tcW w:w="1260" w:type="dxa"/>
            <w:vAlign w:val="bottom"/>
          </w:tcPr>
          <w:p>
            <w:pPr>
              <w:jc w:val="center"/>
              <w:ind w:left="52"/>
              <w:spacing w:after="0"/>
              <w:rPr>
                <w:sz w:val="20"/>
                <w:szCs w:val="20"/>
                <w:color w:val="auto"/>
              </w:rPr>
            </w:pPr>
            <w:r>
              <w:rPr>
                <w:rFonts w:ascii="Arial" w:cs="Arial" w:eastAsia="Arial" w:hAnsi="Arial"/>
                <w:sz w:val="18"/>
                <w:szCs w:val="18"/>
                <w:color w:val="auto"/>
                <w:w w:val="91"/>
              </w:rPr>
              <w:t>Contingent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Charged to</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color w:val="auto"/>
              </w:rPr>
              <w:t>Currency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September 30,</w:t>
            </w:r>
          </w:p>
        </w:tc>
      </w:tr>
      <w:tr>
        <w:trPr>
          <w:trHeight w:val="224"/>
        </w:trPr>
        <w:tc>
          <w:tcPr>
            <w:tcW w:w="1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Acquisition Date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90"/>
              </w:rPr>
              <w:t>Consideration</w:t>
            </w:r>
          </w:p>
        </w:tc>
        <w:tc>
          <w:tcPr>
            <w:tcW w:w="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5"/>
              </w:rPr>
              <w:t>Expense</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Exchange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2017</w:t>
            </w:r>
          </w:p>
        </w:tc>
        <w:tc>
          <w:tcPr>
            <w:tcW w:w="120" w:type="dxa"/>
            <w:vAlign w:val="bottom"/>
          </w:tcPr>
          <w:p>
            <w:pPr>
              <w:spacing w:after="0"/>
              <w:rPr>
                <w:sz w:val="19"/>
                <w:szCs w:val="19"/>
                <w:color w:val="auto"/>
              </w:rPr>
            </w:pPr>
          </w:p>
        </w:tc>
      </w:tr>
      <w:tr>
        <w:trPr>
          <w:trHeight w:val="206"/>
        </w:trPr>
        <w:tc>
          <w:tcPr>
            <w:tcW w:w="15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Kita</w:t>
            </w:r>
          </w:p>
        </w:tc>
        <w:tc>
          <w:tcPr>
            <w:tcW w:w="136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823</w:t>
            </w:r>
          </w:p>
        </w:tc>
        <w:tc>
          <w:tcPr>
            <w:tcW w:w="1360" w:type="dxa"/>
            <w:vAlign w:val="bottom"/>
            <w:gridSpan w:val="2"/>
            <w:shd w:val="clear" w:color="auto" w:fill="CCEEFF"/>
          </w:tcPr>
          <w:p>
            <w:pPr>
              <w:jc w:val="right"/>
              <w:ind w:right="1092"/>
              <w:spacing w:after="0" w:line="206" w:lineRule="exact"/>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   $</w:t>
            </w:r>
          </w:p>
        </w:tc>
        <w:tc>
          <w:tcPr>
            <w:tcW w:w="1460" w:type="dxa"/>
            <w:vAlign w:val="bottom"/>
            <w:gridSpan w:val="2"/>
            <w:shd w:val="clear" w:color="auto" w:fill="CCEEFF"/>
          </w:tcPr>
          <w:p>
            <w:pPr>
              <w:jc w:val="right"/>
              <w:ind w:right="200"/>
              <w:spacing w:after="0" w:line="206" w:lineRule="exact"/>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1,500</w:t>
            </w:r>
          </w:p>
        </w:tc>
      </w:tr>
    </w:tbl>
    <w:p>
      <w:pPr>
        <w:spacing w:after="0" w:line="200" w:lineRule="exact"/>
        <w:rPr>
          <w:sz w:val="20"/>
          <w:szCs w:val="20"/>
          <w:color w:val="auto"/>
        </w:rPr>
      </w:pPr>
    </w:p>
    <w:p>
      <w:pPr>
        <w:ind w:left="480" w:right="60"/>
        <w:spacing w:after="0" w:line="249" w:lineRule="auto"/>
        <w:rPr>
          <w:sz w:val="20"/>
          <w:szCs w:val="20"/>
          <w:color w:val="auto"/>
        </w:rPr>
      </w:pPr>
      <w:r>
        <w:rPr>
          <w:rFonts w:ascii="Arial" w:cs="Arial" w:eastAsia="Arial" w:hAnsi="Arial"/>
          <w:sz w:val="18"/>
          <w:szCs w:val="18"/>
          <w:color w:val="auto"/>
        </w:rPr>
        <w:t>We have not finalized the purchase price allocation. Accordingly, the preliminary purchase price allocation shown below could materially change as the fair values of the tangible and intangible assets acquired and liabilities assumed and the related income tax effects are finalized during the remainder of the measurement period (which will not exceed 12 months from the Acquisition closing date). The Acquisition was nontaxable to Cohu and certain of the assets acquired, including goodwill and intangibles, will not be deductible for tax purposes. The acquired assets and liabilities of Kita were recorded at their respective fair values including an amount for goodwill representing the difference between the Acquisition consideration and the fair value of the identifiable net assets.</w:t>
      </w:r>
    </w:p>
    <w:p>
      <w:pPr>
        <w:spacing w:after="0" w:line="19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2" w:name="page13"/>
    <w:bookmarkEnd w:id="1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summarizes the assets acquired and liabilities assumed as of January 4, 2017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received</w:t>
            </w:r>
          </w:p>
        </w:tc>
        <w:tc>
          <w:tcPr>
            <w:tcW w:w="14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12,751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Intangible assets subject to amortization</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5180" w:type="dxa"/>
            <w:vAlign w:val="bottom"/>
          </w:tcPr>
          <w:p>
            <w:pPr>
              <w:ind w:left="160"/>
              <w:spacing w:after="0" w:line="205" w:lineRule="exact"/>
              <w:rPr>
                <w:sz w:val="20"/>
                <w:szCs w:val="20"/>
                <w:color w:val="auto"/>
              </w:rPr>
            </w:pPr>
            <w:r>
              <w:rPr>
                <w:rFonts w:ascii="Arial" w:cs="Arial" w:eastAsia="Arial" w:hAnsi="Arial"/>
                <w:sz w:val="18"/>
                <w:szCs w:val="18"/>
                <w:color w:val="auto"/>
              </w:rPr>
              <w:t>Total assets acquired</w:t>
            </w: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30,775</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60" w:type="dxa"/>
            <w:vAlign w:val="bottom"/>
          </w:tcPr>
          <w:p>
            <w:pPr>
              <w:spacing w:after="0"/>
              <w:rPr>
                <w:sz w:val="17"/>
                <w:szCs w:val="17"/>
                <w:color w:val="auto"/>
              </w:rPr>
            </w:pPr>
          </w:p>
        </w:tc>
        <w:tc>
          <w:tcPr>
            <w:tcW w:w="5180" w:type="dxa"/>
            <w:vAlign w:val="bottom"/>
          </w:tcPr>
          <w:p>
            <w:pPr>
              <w:ind w:left="160"/>
              <w:spacing w:after="0" w:line="205" w:lineRule="exact"/>
              <w:rPr>
                <w:sz w:val="20"/>
                <w:szCs w:val="20"/>
                <w:color w:val="auto"/>
              </w:rPr>
            </w:pPr>
            <w:r>
              <w:rPr>
                <w:rFonts w:ascii="Arial" w:cs="Arial" w:eastAsia="Arial" w:hAnsi="Arial"/>
                <w:sz w:val="18"/>
                <w:szCs w:val="18"/>
                <w:color w:val="auto"/>
              </w:rPr>
              <w:t>Net assets acquired</w:t>
            </w:r>
          </w:p>
        </w:tc>
        <w:tc>
          <w:tcPr>
            <w:tcW w:w="1420" w:type="dxa"/>
            <w:vAlign w:val="bottom"/>
          </w:tcPr>
          <w:p>
            <w:pPr>
              <w:spacing w:after="0"/>
              <w:rPr>
                <w:sz w:val="17"/>
                <w:szCs w:val="17"/>
                <w:color w:val="auto"/>
              </w:rPr>
            </w:pPr>
          </w:p>
        </w:tc>
        <w:tc>
          <w:tcPr>
            <w:tcW w:w="900" w:type="dxa"/>
            <w:vAlign w:val="bottom"/>
            <w:gridSpan w:val="3"/>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jc w:val="right"/>
              <w:spacing w:after="0"/>
              <w:rPr>
                <w:sz w:val="20"/>
                <w:szCs w:val="20"/>
                <w:color w:val="auto"/>
              </w:rPr>
            </w:pPr>
            <w:r>
              <w:rPr>
                <w:rFonts w:ascii="Arial" w:cs="Arial" w:eastAsia="Arial" w:hAnsi="Arial"/>
                <w:sz w:val="18"/>
                <w:szCs w:val="18"/>
                <w:color w:val="auto"/>
                <w:w w:val="89"/>
              </w:rPr>
              <w:t xml:space="preserve">The preliminary allocation of the intangible assets subject to amortization is as follows </w:t>
            </w:r>
            <w:r>
              <w:rPr>
                <w:rFonts w:ascii="Arial" w:cs="Arial" w:eastAsia="Arial" w:hAnsi="Arial"/>
                <w:sz w:val="18"/>
                <w:szCs w:val="18"/>
                <w:i w:val="1"/>
                <w:iCs w:val="1"/>
                <w:color w:val="auto"/>
                <w:w w:val="89"/>
              </w:rPr>
              <w:t>(in thousands)</w:t>
            </w:r>
            <w:r>
              <w:rPr>
                <w:rFonts w:ascii="Arial" w:cs="Arial" w:eastAsia="Arial" w:hAnsi="Arial"/>
                <w:sz w:val="18"/>
                <w:szCs w:val="18"/>
                <w:color w:val="auto"/>
                <w:w w:val="89"/>
              </w:rPr>
              <w:t>:</w:t>
            </w: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726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Estimated</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Useful Life</w:t>
            </w:r>
          </w:p>
        </w:tc>
        <w:tc>
          <w:tcPr>
            <w:tcW w:w="0" w:type="dxa"/>
            <w:vAlign w:val="bottom"/>
          </w:tcPr>
          <w:p>
            <w:pPr>
              <w:spacing w:after="0"/>
              <w:rPr>
                <w:sz w:val="1"/>
                <w:szCs w:val="1"/>
                <w:color w:val="auto"/>
              </w:rPr>
            </w:pPr>
          </w:p>
        </w:tc>
      </w:tr>
      <w:tr>
        <w:trPr>
          <w:trHeight w:val="226"/>
        </w:trPr>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Description</w:t>
            </w: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Fair Value</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(in years)</w:t>
            </w: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5180" w:type="dxa"/>
            <w:vAlign w:val="bottom"/>
            <w:tcBorders>
              <w:top w:val="single" w:sz="8" w:color="auto"/>
            </w:tcBorders>
            <w:shd w:val="clear" w:color="auto" w:fill="CCEEFF"/>
          </w:tcPr>
          <w:p>
            <w:pPr>
              <w:ind w:left="160"/>
              <w:spacing w:after="0" w:line="206" w:lineRule="exact"/>
              <w:rPr>
                <w:sz w:val="20"/>
                <w:szCs w:val="20"/>
                <w:color w:val="auto"/>
              </w:rPr>
            </w:pPr>
            <w:r>
              <w:rPr>
                <w:rFonts w:ascii="Arial" w:cs="Arial" w:eastAsia="Arial" w:hAnsi="Arial"/>
                <w:sz w:val="18"/>
                <w:szCs w:val="18"/>
                <w:color w:val="auto"/>
              </w:rPr>
              <w:t>Developed technology</w:t>
            </w:r>
          </w:p>
        </w:tc>
        <w:tc>
          <w:tcPr>
            <w:tcW w:w="1420" w:type="dxa"/>
            <w:vAlign w:val="bottom"/>
            <w:tcBorders>
              <w:top w:val="single" w:sz="8" w:color="auto"/>
            </w:tcBorders>
            <w:shd w:val="clear" w:color="auto" w:fill="CCEEFF"/>
          </w:tcPr>
          <w:p>
            <w:pPr>
              <w:jc w:val="right"/>
              <w:ind w:right="1232"/>
              <w:spacing w:after="0" w:line="20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700</w:t>
            </w:r>
          </w:p>
        </w:tc>
        <w:tc>
          <w:tcPr>
            <w:tcW w:w="1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ind w:right="112"/>
              <w:spacing w:after="0" w:line="206" w:lineRule="exact"/>
              <w:rPr>
                <w:sz w:val="20"/>
                <w:szCs w:val="20"/>
                <w:color w:val="auto"/>
              </w:rPr>
            </w:pPr>
            <w:r>
              <w:rPr>
                <w:rFonts w:ascii="Arial" w:cs="Arial" w:eastAsia="Arial" w:hAnsi="Arial"/>
                <w:sz w:val="18"/>
                <w:szCs w:val="18"/>
                <w:color w:val="auto"/>
                <w:w w:val="79"/>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12"/>
              <w:spacing w:after="0"/>
              <w:rPr>
                <w:sz w:val="20"/>
                <w:szCs w:val="20"/>
                <w:color w:val="auto"/>
              </w:rPr>
            </w:pPr>
            <w:r>
              <w:rPr>
                <w:rFonts w:ascii="Arial" w:cs="Arial" w:eastAsia="Arial" w:hAnsi="Arial"/>
                <w:sz w:val="18"/>
                <w:szCs w:val="18"/>
                <w:color w:val="auto"/>
                <w:w w:val="79"/>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Covenant not-to-compete</w:t>
            </w:r>
          </w:p>
        </w:tc>
        <w:tc>
          <w:tcPr>
            <w:tcW w:w="14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right="112"/>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Product backlog</w:t>
            </w:r>
          </w:p>
        </w:tc>
        <w:tc>
          <w:tcPr>
            <w:tcW w:w="14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center"/>
              <w:ind w:right="112"/>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4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center"/>
              <w:ind w:right="112"/>
              <w:spacing w:after="0"/>
              <w:rPr>
                <w:sz w:val="20"/>
                <w:szCs w:val="20"/>
                <w:color w:val="auto"/>
              </w:rPr>
            </w:pPr>
            <w:r>
              <w:rPr>
                <w:rFonts w:ascii="Arial" w:cs="Arial" w:eastAsia="Arial" w:hAnsi="Arial"/>
                <w:sz w:val="18"/>
                <w:szCs w:val="18"/>
                <w:color w:val="auto"/>
                <w:w w:val="79"/>
              </w:rPr>
              <w:t>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420" w:type="dxa"/>
            <w:vAlign w:val="bottom"/>
            <w:tcBorders>
              <w:bottom w:val="single" w:sz="8" w:color="auto"/>
            </w:tcBorders>
          </w:tcPr>
          <w:p>
            <w:pPr>
              <w:jc w:val="right"/>
              <w:ind w:right="1232"/>
              <w:spacing w:after="0" w:line="205"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w w:val="88"/>
              </w:rPr>
              <w:t>2,100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480"/>
        <w:spacing w:after="0" w:line="248" w:lineRule="auto"/>
        <w:rPr>
          <w:sz w:val="20"/>
          <w:szCs w:val="20"/>
          <w:color w:val="auto"/>
        </w:rPr>
      </w:pPr>
      <w:r>
        <w:rPr>
          <w:rFonts w:ascii="Arial" w:cs="Arial" w:eastAsia="Arial" w:hAnsi="Arial"/>
          <w:sz w:val="18"/>
          <w:szCs w:val="18"/>
          <w:color w:val="auto"/>
        </w:rPr>
        <w:t>The preliminary value assigned to the developed technology was determined by using the multi-period excess earnings method under the income approach. Developed technology, which comprises products that have reached technological feasibility, includes the products in Kita’s product line. The revenue estimates used to value the developed technology were based on estimates of relevant market sizes and growth factors, expected trends in technology and the nature and expected timing of new product introductions by Kita and its competitors. The estimated cash flows were based on revenues for the developed technology net of operating expenses and net of contributory asset charges.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spacing w:after="0" w:line="196" w:lineRule="exact"/>
        <w:rPr>
          <w:sz w:val="20"/>
          <w:szCs w:val="20"/>
          <w:color w:val="auto"/>
        </w:rPr>
      </w:pPr>
    </w:p>
    <w:p>
      <w:pPr>
        <w:jc w:val="both"/>
        <w:ind w:left="480" w:right="460"/>
        <w:spacing w:after="0" w:line="255" w:lineRule="auto"/>
        <w:rPr>
          <w:sz w:val="20"/>
          <w:szCs w:val="20"/>
          <w:color w:val="auto"/>
        </w:rPr>
      </w:pPr>
      <w:r>
        <w:rPr>
          <w:rFonts w:ascii="Arial" w:cs="Arial" w:eastAsia="Arial" w:hAnsi="Arial"/>
          <w:sz w:val="18"/>
          <w:szCs w:val="18"/>
          <w:color w:val="auto"/>
        </w:rPr>
        <w:t>The value assigned to customer relationships was determined by using the with and without method under the income approach, which analyzes the difference in discounted cash flows generated with the customer relationships in place compared to the discounted cash flows generated without the customer relationships in place.</w:t>
      </w:r>
    </w:p>
    <w:p>
      <w:pPr>
        <w:spacing w:after="0" w:line="188" w:lineRule="exact"/>
        <w:rPr>
          <w:sz w:val="20"/>
          <w:szCs w:val="20"/>
          <w:color w:val="auto"/>
        </w:rPr>
      </w:pPr>
    </w:p>
    <w:p>
      <w:pPr>
        <w:ind w:left="480"/>
        <w:spacing w:after="0" w:line="255" w:lineRule="auto"/>
        <w:rPr>
          <w:sz w:val="20"/>
          <w:szCs w:val="20"/>
          <w:color w:val="auto"/>
        </w:rPr>
      </w:pPr>
      <w:r>
        <w:rPr>
          <w:rFonts w:ascii="Arial" w:cs="Arial" w:eastAsia="Arial" w:hAnsi="Arial"/>
          <w:sz w:val="18"/>
          <w:szCs w:val="18"/>
          <w:color w:val="auto"/>
        </w:rPr>
        <w:t>The value assigned to the covenant not-to-compete was estimated based upon the with and without method of the income approach. Specifically, the present value of the differential of the projected cash flows with and without the covenant in place was measured utilizing the appropriate expected rate of return.</w:t>
      </w:r>
    </w:p>
    <w:p>
      <w:pPr>
        <w:spacing w:after="0" w:line="188" w:lineRule="exact"/>
        <w:rPr>
          <w:sz w:val="20"/>
          <w:szCs w:val="20"/>
          <w:color w:val="auto"/>
        </w:rPr>
      </w:pPr>
    </w:p>
    <w:p>
      <w:pPr>
        <w:ind w:left="480" w:right="500"/>
        <w:spacing w:after="0" w:line="264" w:lineRule="auto"/>
        <w:rPr>
          <w:sz w:val="20"/>
          <w:szCs w:val="20"/>
          <w:color w:val="auto"/>
        </w:rPr>
      </w:pPr>
      <w:r>
        <w:rPr>
          <w:rFonts w:ascii="Arial" w:cs="Arial" w:eastAsia="Arial" w:hAnsi="Arial"/>
          <w:sz w:val="18"/>
          <w:szCs w:val="18"/>
          <w:color w:val="auto"/>
        </w:rPr>
        <w:t>The value assigned to backlog acquired was estimated based upon the contractual nature of the backlog as of the acquisition date, using the income approach to discount back to present value the cash flows attributable to the backlog.</w:t>
      </w:r>
    </w:p>
    <w:p>
      <w:pPr>
        <w:spacing w:after="0" w:line="180" w:lineRule="exact"/>
        <w:rPr>
          <w:sz w:val="20"/>
          <w:szCs w:val="20"/>
          <w:color w:val="auto"/>
        </w:rPr>
      </w:pPr>
    </w:p>
    <w:p>
      <w:pPr>
        <w:ind w:left="480" w:right="60"/>
        <w:spacing w:after="0" w:line="294" w:lineRule="auto"/>
        <w:rPr>
          <w:sz w:val="20"/>
          <w:szCs w:val="20"/>
          <w:color w:val="auto"/>
        </w:rPr>
      </w:pPr>
      <w:r>
        <w:rPr>
          <w:rFonts w:ascii="Arial" w:cs="Arial" w:eastAsia="Arial" w:hAnsi="Arial"/>
          <w:sz w:val="17"/>
          <w:szCs w:val="17"/>
          <w:color w:val="auto"/>
        </w:rPr>
        <w:t>The value assigned to trade names was estimated using the relief-from-royalty method of the income approach. This approach is based on the assumption that in lieu of ownership, a company would be willing to pay a royalty in order to exploit the related benefits of this intangible asset.</w:t>
      </w:r>
    </w:p>
    <w:p>
      <w:pPr>
        <w:spacing w:after="0" w:line="157" w:lineRule="exact"/>
        <w:rPr>
          <w:sz w:val="20"/>
          <w:szCs w:val="20"/>
          <w:color w:val="auto"/>
        </w:rPr>
      </w:pPr>
    </w:p>
    <w:p>
      <w:pPr>
        <w:ind w:left="480" w:right="180"/>
        <w:spacing w:after="0" w:line="252" w:lineRule="auto"/>
        <w:rPr>
          <w:sz w:val="20"/>
          <w:szCs w:val="20"/>
          <w:color w:val="auto"/>
        </w:rPr>
      </w:pPr>
      <w:r>
        <w:rPr>
          <w:rFonts w:ascii="Arial" w:cs="Arial" w:eastAsia="Arial" w:hAnsi="Arial"/>
          <w:sz w:val="18"/>
          <w:szCs w:val="18"/>
          <w:color w:val="auto"/>
        </w:rPr>
        <w:t>Kita’s results of operations were included in, but not material to, Cohu’s consolidated statements of income and comprehensive income commencing January 4, 2017 and Kita’s net sales for the three- and nine-month periods ended September 30, 2017 were $5.3 million and $14.4 million, respectively. Prior to the acquisition by Cohu, Kita’s net sales for the three- and nine-month periods ended September 24, 2016 were $4.3 million and $12.9 million, respectively.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13" w:name="page14"/>
    <w:bookmarkEnd w:id="1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Goodwill and Intangible Assets</w:t>
      </w:r>
    </w:p>
    <w:p>
      <w:pPr>
        <w:spacing w:after="0" w:line="217" w:lineRule="exact"/>
        <w:rPr>
          <w:sz w:val="20"/>
          <w:szCs w:val="20"/>
          <w:color w:val="auto"/>
        </w:rPr>
      </w:pPr>
    </w:p>
    <w:p>
      <w:pPr>
        <w:ind w:left="480" w:right="600"/>
        <w:spacing w:after="0" w:line="264" w:lineRule="auto"/>
        <w:rPr>
          <w:sz w:val="20"/>
          <w:szCs w:val="20"/>
          <w:color w:val="auto"/>
        </w:rPr>
      </w:pPr>
      <w:r>
        <w:rPr>
          <w:rFonts w:ascii="Arial" w:cs="Arial" w:eastAsia="Arial" w:hAnsi="Arial"/>
          <w:sz w:val="18"/>
          <w:szCs w:val="18"/>
          <w:color w:val="auto"/>
        </w:rPr>
        <w:t>Changes in the carrying value of goodwill during the year ended December 31, 2016 and the nine-month period ended September 30, 2017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7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Goodwill</w:t>
            </w:r>
          </w:p>
        </w:tc>
      </w:tr>
      <w:tr>
        <w:trPr>
          <w:trHeight w:val="206"/>
        </w:trPr>
        <w:tc>
          <w:tcPr>
            <w:tcW w:w="71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Balance, December 26, 2015</w:t>
            </w:r>
          </w:p>
        </w:tc>
        <w:tc>
          <w:tcPr>
            <w:tcW w:w="34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60,264</w:t>
            </w:r>
          </w:p>
        </w:tc>
        <w:tc>
          <w:tcPr>
            <w:tcW w:w="100" w:type="dxa"/>
            <w:vAlign w:val="bottom"/>
            <w:shd w:val="clear" w:color="auto" w:fill="CCEEFF"/>
          </w:tcPr>
          <w:p>
            <w:pPr>
              <w:spacing w:after="0"/>
              <w:rPr>
                <w:sz w:val="17"/>
                <w:szCs w:val="17"/>
                <w:color w:val="auto"/>
              </w:rPr>
            </w:pPr>
          </w:p>
        </w:tc>
      </w:tr>
      <w:tr>
        <w:trPr>
          <w:trHeight w:val="212"/>
        </w:trPr>
        <w:tc>
          <w:tcPr>
            <w:tcW w:w="7160" w:type="dxa"/>
            <w:vAlign w:val="bottom"/>
          </w:tcPr>
          <w:p>
            <w:pPr>
              <w:ind w:left="160"/>
              <w:spacing w:after="0"/>
              <w:rPr>
                <w:sz w:val="20"/>
                <w:szCs w:val="20"/>
                <w:color w:val="auto"/>
              </w:rPr>
            </w:pPr>
            <w:r>
              <w:rPr>
                <w:rFonts w:ascii="Arial" w:cs="Arial" w:eastAsia="Arial" w:hAnsi="Arial"/>
                <w:sz w:val="18"/>
                <w:szCs w:val="18"/>
                <w:color w:val="auto"/>
              </w:rPr>
              <w:t>Impact of currency exchange</w:t>
            </w:r>
          </w:p>
        </w:tc>
        <w:tc>
          <w:tcPr>
            <w:tcW w:w="3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r>
      <w:tr>
        <w:trPr>
          <w:trHeight w:val="205"/>
        </w:trPr>
        <w:tc>
          <w:tcPr>
            <w:tcW w:w="71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Balance, December 31, 2016</w:t>
            </w:r>
          </w:p>
        </w:tc>
        <w:tc>
          <w:tcPr>
            <w:tcW w:w="3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5" w:lineRule="exact"/>
              <w:rPr>
                <w:sz w:val="20"/>
                <w:szCs w:val="20"/>
                <w:color w:val="auto"/>
              </w:rPr>
            </w:pPr>
            <w:r>
              <w:rPr>
                <w:rFonts w:ascii="Arial" w:cs="Arial" w:eastAsia="Arial" w:hAnsi="Arial"/>
                <w:sz w:val="18"/>
                <w:szCs w:val="18"/>
                <w:color w:val="auto"/>
              </w:rPr>
              <w:t>58,849</w:t>
            </w:r>
          </w:p>
        </w:tc>
        <w:tc>
          <w:tcPr>
            <w:tcW w:w="100" w:type="dxa"/>
            <w:vAlign w:val="bottom"/>
            <w:shd w:val="clear" w:color="auto" w:fill="CCEEFF"/>
          </w:tcPr>
          <w:p>
            <w:pPr>
              <w:spacing w:after="0"/>
              <w:rPr>
                <w:sz w:val="17"/>
                <w:szCs w:val="17"/>
                <w:color w:val="auto"/>
              </w:rPr>
            </w:pPr>
          </w:p>
        </w:tc>
      </w:tr>
      <w:tr>
        <w:trPr>
          <w:trHeight w:val="212"/>
        </w:trPr>
        <w:tc>
          <w:tcPr>
            <w:tcW w:w="7160" w:type="dxa"/>
            <w:vAlign w:val="bottom"/>
          </w:tcPr>
          <w:p>
            <w:pPr>
              <w:ind w:left="160"/>
              <w:spacing w:after="0"/>
              <w:rPr>
                <w:sz w:val="20"/>
                <w:szCs w:val="20"/>
                <w:color w:val="auto"/>
              </w:rPr>
            </w:pPr>
            <w:r>
              <w:rPr>
                <w:rFonts w:ascii="Arial" w:cs="Arial" w:eastAsia="Arial" w:hAnsi="Arial"/>
                <w:sz w:val="18"/>
                <w:szCs w:val="18"/>
                <w:color w:val="auto"/>
              </w:rPr>
              <w:t>Additions, net</w:t>
            </w: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8"/>
                <w:szCs w:val="18"/>
                <w:color w:val="auto"/>
              </w:rPr>
            </w:pPr>
          </w:p>
        </w:tc>
      </w:tr>
      <w:tr>
        <w:trPr>
          <w:trHeight w:val="212"/>
        </w:trPr>
        <w:tc>
          <w:tcPr>
            <w:tcW w:w="7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Impact of currency exchange</w:t>
            </w:r>
          </w:p>
        </w:tc>
        <w:tc>
          <w:tcPr>
            <w:tcW w:w="3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160" w:type="dxa"/>
            <w:vAlign w:val="bottom"/>
          </w:tcPr>
          <w:p>
            <w:pPr>
              <w:spacing w:after="0" w:line="205" w:lineRule="exact"/>
              <w:rPr>
                <w:sz w:val="20"/>
                <w:szCs w:val="20"/>
                <w:color w:val="auto"/>
              </w:rPr>
            </w:pPr>
            <w:r>
              <w:rPr>
                <w:rFonts w:ascii="Arial" w:cs="Arial" w:eastAsia="Arial" w:hAnsi="Arial"/>
                <w:sz w:val="18"/>
                <w:szCs w:val="18"/>
                <w:color w:val="auto"/>
              </w:rPr>
              <w:t>Balance, September 30, 2017</w:t>
            </w: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205" w:lineRule="exact"/>
              <w:rPr>
                <w:sz w:val="20"/>
                <w:szCs w:val="20"/>
                <w:color w:val="auto"/>
              </w:rPr>
            </w:pPr>
            <w:r>
              <w:rPr>
                <w:rFonts w:ascii="Arial" w:cs="Arial" w:eastAsia="Arial" w:hAnsi="Arial"/>
                <w:sz w:val="18"/>
                <w:szCs w:val="18"/>
                <w:color w:val="auto"/>
              </w:rPr>
              <w:t>65,483</w:t>
            </w:r>
          </w:p>
        </w:tc>
        <w:tc>
          <w:tcPr>
            <w:tcW w:w="100" w:type="dxa"/>
            <w:vAlign w:val="bottom"/>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6640" w:type="dxa"/>
            <w:vAlign w:val="bottom"/>
            <w:gridSpan w:val="8"/>
          </w:tcPr>
          <w:p>
            <w:pPr>
              <w:jc w:val="right"/>
              <w:ind w:right="860"/>
              <w:spacing w:after="0"/>
              <w:rPr>
                <w:sz w:val="20"/>
                <w:szCs w:val="20"/>
                <w:color w:val="auto"/>
              </w:rPr>
            </w:pPr>
            <w:r>
              <w:rPr>
                <w:rFonts w:ascii="Arial" w:cs="Arial" w:eastAsia="Arial" w:hAnsi="Arial"/>
                <w:sz w:val="18"/>
                <w:szCs w:val="18"/>
                <w:color w:val="auto"/>
                <w:w w:val="88"/>
              </w:rPr>
              <w:t>Purchased intangible assets, subject to amortization are as follows (</w:t>
            </w:r>
            <w:r>
              <w:rPr>
                <w:rFonts w:ascii="Arial" w:cs="Arial" w:eastAsia="Arial" w:hAnsi="Arial"/>
                <w:sz w:val="18"/>
                <w:szCs w:val="18"/>
                <w:i w:val="1"/>
                <w:iCs w:val="1"/>
                <w:color w:val="auto"/>
                <w:w w:val="88"/>
              </w:rPr>
              <w:t>in thousands</w:t>
            </w:r>
            <w:r>
              <w:rPr>
                <w:rFonts w:ascii="Arial" w:cs="Arial" w:eastAsia="Arial" w:hAnsi="Arial"/>
                <w:sz w:val="18"/>
                <w:szCs w:val="18"/>
                <w:color w:val="auto"/>
                <w:w w:val="88"/>
              </w:rPr>
              <w:t>):</w:t>
            </w: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24"/>
        </w:trPr>
        <w:tc>
          <w:tcPr>
            <w:tcW w:w="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September 30, 2017</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 2016</w:t>
            </w:r>
          </w:p>
        </w:tc>
      </w:tr>
      <w:tr>
        <w:trPr>
          <w:trHeight w:val="193"/>
        </w:trPr>
        <w:tc>
          <w:tcPr>
            <w:tcW w:w="1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52"/>
              <w:spacing w:after="0" w:line="194" w:lineRule="exact"/>
              <w:rPr>
                <w:sz w:val="20"/>
                <w:szCs w:val="20"/>
                <w:color w:val="auto"/>
              </w:rPr>
            </w:pPr>
            <w:r>
              <w:rPr>
                <w:rFonts w:ascii="Arial" w:cs="Arial" w:eastAsia="Arial" w:hAnsi="Arial"/>
                <w:sz w:val="18"/>
                <w:szCs w:val="18"/>
                <w:color w:val="auto"/>
                <w:w w:val="88"/>
              </w:rPr>
              <w:t>Remaining</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2"/>
        </w:trPr>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89"/>
              </w:rPr>
              <w:t>Weighted</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87"/>
              </w:rPr>
              <w:t>Gross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Carrying</w:t>
            </w:r>
          </w:p>
        </w:tc>
        <w:tc>
          <w:tcPr>
            <w:tcW w:w="220" w:type="dxa"/>
            <w:vAlign w:val="bottom"/>
          </w:tcPr>
          <w:p>
            <w:pPr>
              <w:spacing w:after="0"/>
              <w:rPr>
                <w:sz w:val="19"/>
                <w:szCs w:val="19"/>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Accum.</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98"/>
              </w:rPr>
              <w:t>Amort.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Carrying</w:t>
            </w:r>
          </w:p>
        </w:tc>
        <w:tc>
          <w:tcPr>
            <w:tcW w:w="20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Accum.</w:t>
            </w:r>
          </w:p>
        </w:tc>
      </w:tr>
      <w:tr>
        <w:trPr>
          <w:trHeight w:val="226"/>
        </w:trPr>
        <w:tc>
          <w:tcPr>
            <w:tcW w:w="1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color w:val="auto"/>
                <w:w w:val="93"/>
              </w:rPr>
              <w:t>Amount</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Amort.</w:t>
            </w: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87"/>
              </w:rPr>
              <w:t>Period (in years)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Amort.</w:t>
            </w:r>
          </w:p>
        </w:tc>
        <w:tc>
          <w:tcPr>
            <w:tcW w:w="120" w:type="dxa"/>
            <w:vAlign w:val="bottom"/>
          </w:tcPr>
          <w:p>
            <w:pPr>
              <w:spacing w:after="0"/>
              <w:rPr>
                <w:sz w:val="19"/>
                <w:szCs w:val="19"/>
                <w:color w:val="auto"/>
              </w:rPr>
            </w:pPr>
          </w:p>
        </w:tc>
      </w:tr>
      <w:tr>
        <w:trPr>
          <w:trHeight w:val="206"/>
        </w:trPr>
        <w:tc>
          <w:tcPr>
            <w:tcW w:w="160" w:type="dxa"/>
            <w:vAlign w:val="bottom"/>
          </w:tcPr>
          <w:p>
            <w:pPr>
              <w:spacing w:after="0"/>
              <w:rPr>
                <w:sz w:val="17"/>
                <w:szCs w:val="17"/>
                <w:color w:val="auto"/>
              </w:rPr>
            </w:pPr>
          </w:p>
        </w:tc>
        <w:tc>
          <w:tcPr>
            <w:tcW w:w="3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CCEEFF"/>
            </w:tcBorders>
            <w:shd w:val="clear" w:color="auto" w:fill="CCEEFF"/>
          </w:tcPr>
          <w:p>
            <w:pPr>
              <w:jc w:val="right"/>
              <w:spacing w:after="0" w:line="206" w:lineRule="exact"/>
              <w:rPr>
                <w:sz w:val="20"/>
                <w:szCs w:val="20"/>
                <w:color w:val="auto"/>
              </w:rPr>
            </w:pPr>
            <w:r>
              <w:rPr>
                <w:rFonts w:ascii="Arial" w:cs="Arial" w:eastAsia="Arial" w:hAnsi="Arial"/>
                <w:sz w:val="18"/>
                <w:szCs w:val="18"/>
                <w:color w:val="auto"/>
              </w:rPr>
              <w:t>20,785</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11,977</w:t>
            </w:r>
          </w:p>
        </w:tc>
        <w:tc>
          <w:tcPr>
            <w:tcW w:w="360" w:type="dxa"/>
            <w:vAlign w:val="bottom"/>
            <w:shd w:val="clear" w:color="auto" w:fill="CCEEFF"/>
          </w:tcPr>
          <w:p>
            <w:pPr>
              <w:spacing w:after="0"/>
              <w:rPr>
                <w:sz w:val="17"/>
                <w:szCs w:val="17"/>
                <w:color w:val="auto"/>
              </w:rPr>
            </w:pPr>
          </w:p>
        </w:tc>
        <w:tc>
          <w:tcPr>
            <w:tcW w:w="1460" w:type="dxa"/>
            <w:vAlign w:val="bottom"/>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3.6</w:t>
            </w:r>
          </w:p>
        </w:tc>
        <w:tc>
          <w:tcPr>
            <w:tcW w:w="40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19,195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9,597</w:t>
            </w:r>
          </w:p>
        </w:tc>
      </w:tr>
      <w:tr>
        <w:trPr>
          <w:trHeight w:val="212"/>
        </w:trPr>
        <w:tc>
          <w:tcPr>
            <w:tcW w:w="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4,582</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6,996</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3,644</w:t>
            </w:r>
          </w:p>
        </w:tc>
      </w:tr>
      <w:tr>
        <w:trPr>
          <w:trHeight w:val="212"/>
        </w:trPr>
        <w:tc>
          <w:tcPr>
            <w:tcW w:w="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r>
      <w:tr>
        <w:trPr>
          <w:trHeight w:val="212"/>
        </w:trPr>
        <w:tc>
          <w:tcPr>
            <w:tcW w:w="1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Covenant not-to-compete</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5"/>
        </w:trPr>
        <w:tc>
          <w:tcPr>
            <w:tcW w:w="160" w:type="dxa"/>
            <w:vAlign w:val="bottom"/>
          </w:tcPr>
          <w:p>
            <w:pPr>
              <w:spacing w:after="0"/>
              <w:rPr>
                <w:sz w:val="17"/>
                <w:szCs w:val="17"/>
                <w:color w:val="auto"/>
              </w:rPr>
            </w:pPr>
          </w:p>
        </w:tc>
        <w:tc>
          <w:tcPr>
            <w:tcW w:w="3480" w:type="dxa"/>
            <w:vAlign w:val="bottom"/>
          </w:tcPr>
          <w:p>
            <w:pPr>
              <w:spacing w:after="0" w:line="205" w:lineRule="exact"/>
              <w:rPr>
                <w:sz w:val="20"/>
                <w:szCs w:val="20"/>
                <w:color w:val="auto"/>
              </w:rPr>
            </w:pPr>
            <w:r>
              <w:rPr>
                <w:rFonts w:ascii="Arial" w:cs="Arial" w:eastAsia="Arial" w:hAnsi="Arial"/>
                <w:sz w:val="18"/>
                <w:szCs w:val="18"/>
                <w:color w:val="auto"/>
              </w:rPr>
              <w:t>Total intangible assets</w:t>
            </w:r>
          </w:p>
        </w:tc>
        <w:tc>
          <w:tcPr>
            <w:tcW w:w="200" w:type="dxa"/>
            <w:vAlign w:val="bottom"/>
          </w:tcPr>
          <w:p>
            <w:pPr>
              <w:jc w:val="right"/>
              <w:ind w:right="12"/>
              <w:spacing w:after="0" w:line="205"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5" w:lineRule="exact"/>
              <w:rPr>
                <w:sz w:val="20"/>
                <w:szCs w:val="20"/>
                <w:color w:val="auto"/>
              </w:rPr>
            </w:pPr>
            <w:r>
              <w:rPr>
                <w:rFonts w:ascii="Arial" w:cs="Arial" w:eastAsia="Arial" w:hAnsi="Arial"/>
                <w:sz w:val="18"/>
                <w:szCs w:val="18"/>
                <w:color w:val="auto"/>
              </w:rPr>
              <w:t>35,275</w:t>
            </w:r>
          </w:p>
        </w:tc>
        <w:tc>
          <w:tcPr>
            <w:tcW w:w="220" w:type="dxa"/>
            <w:vAlign w:val="bottom"/>
          </w:tcPr>
          <w:p>
            <w:pPr>
              <w:spacing w:after="0"/>
              <w:rPr>
                <w:sz w:val="17"/>
                <w:szCs w:val="17"/>
                <w:color w:val="auto"/>
              </w:rPr>
            </w:pPr>
          </w:p>
        </w:tc>
        <w:tc>
          <w:tcPr>
            <w:tcW w:w="220" w:type="dxa"/>
            <w:vAlign w:val="bottom"/>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60"/>
              <w:spacing w:after="0" w:line="205" w:lineRule="exact"/>
              <w:rPr>
                <w:sz w:val="20"/>
                <w:szCs w:val="20"/>
                <w:color w:val="auto"/>
              </w:rPr>
            </w:pPr>
            <w:r>
              <w:rPr>
                <w:rFonts w:ascii="Arial" w:cs="Arial" w:eastAsia="Arial" w:hAnsi="Arial"/>
                <w:sz w:val="18"/>
                <w:szCs w:val="18"/>
                <w:color w:val="auto"/>
              </w:rPr>
              <w:t>17,509</w:t>
            </w:r>
          </w:p>
        </w:tc>
        <w:tc>
          <w:tcPr>
            <w:tcW w:w="1460" w:type="dxa"/>
            <w:vAlign w:val="bottom"/>
          </w:tcPr>
          <w:p>
            <w:pPr>
              <w:spacing w:after="0"/>
              <w:rPr>
                <w:sz w:val="17"/>
                <w:szCs w:val="17"/>
                <w:color w:val="auto"/>
              </w:rPr>
            </w:pPr>
          </w:p>
        </w:tc>
        <w:tc>
          <w:tcPr>
            <w:tcW w:w="400" w:type="dxa"/>
            <w:vAlign w:val="bottom"/>
            <w:gridSpan w:val="2"/>
          </w:tcPr>
          <w:p>
            <w:pPr>
              <w:jc w:val="right"/>
              <w:ind w:right="100"/>
              <w:spacing w:after="0" w:line="205"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line="205" w:lineRule="exact"/>
              <w:rPr>
                <w:sz w:val="20"/>
                <w:szCs w:val="20"/>
                <w:color w:val="auto"/>
              </w:rPr>
            </w:pPr>
            <w:r>
              <w:rPr>
                <w:rFonts w:ascii="Arial" w:cs="Arial" w:eastAsia="Arial" w:hAnsi="Arial"/>
                <w:sz w:val="18"/>
                <w:szCs w:val="18"/>
                <w:color w:val="auto"/>
              </w:rPr>
              <w:t>31,544</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line="205" w:lineRule="exact"/>
              <w:rPr>
                <w:sz w:val="20"/>
                <w:szCs w:val="20"/>
                <w:color w:val="auto"/>
              </w:rPr>
            </w:pPr>
            <w:r>
              <w:rPr>
                <w:rFonts w:ascii="Arial" w:cs="Arial" w:eastAsia="Arial" w:hAnsi="Arial"/>
                <w:sz w:val="18"/>
                <w:szCs w:val="18"/>
                <w:color w:val="auto"/>
              </w:rPr>
              <w:t>13,709</w:t>
            </w:r>
          </w:p>
        </w:tc>
      </w:tr>
      <w:tr>
        <w:trPr>
          <w:trHeight w:val="20"/>
        </w:trPr>
        <w:tc>
          <w:tcPr>
            <w:tcW w:w="1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ind w:left="480" w:right="540"/>
        <w:spacing w:after="0" w:line="302" w:lineRule="auto"/>
        <w:rPr>
          <w:sz w:val="20"/>
          <w:szCs w:val="20"/>
          <w:color w:val="auto"/>
        </w:rPr>
      </w:pPr>
      <w:r>
        <w:rPr>
          <w:rFonts w:ascii="Arial" w:cs="Arial" w:eastAsia="Arial" w:hAnsi="Arial"/>
          <w:sz w:val="15"/>
          <w:szCs w:val="15"/>
          <w:color w:val="auto"/>
        </w:rPr>
        <w:t>Amortization expense related to intangible assets was approximately $1.1 million in the third quarter of fiscal 2017 and $3.2 million in the first nine months of fiscal 2017. Amortization expense related to intangible assets was approximately $1.8 million in the third quarter of fiscal 2016 and</w:t>
      </w:r>
    </w:p>
    <w:p>
      <w:pPr>
        <w:spacing w:after="0" w:line="1" w:lineRule="exact"/>
        <w:rPr>
          <w:sz w:val="20"/>
          <w:szCs w:val="20"/>
          <w:color w:val="auto"/>
        </w:rPr>
      </w:pPr>
    </w:p>
    <w:p>
      <w:pPr>
        <w:ind w:left="480" w:right="220"/>
        <w:spacing w:after="0" w:line="349" w:lineRule="auto"/>
        <w:rPr>
          <w:sz w:val="20"/>
          <w:szCs w:val="20"/>
          <w:color w:val="auto"/>
        </w:rPr>
      </w:pPr>
      <w:r>
        <w:rPr>
          <w:rFonts w:ascii="Arial" w:cs="Arial" w:eastAsia="Arial" w:hAnsi="Arial"/>
          <w:sz w:val="15"/>
          <w:szCs w:val="15"/>
          <w:color w:val="auto"/>
        </w:rPr>
        <w:t>$5.4 million in the first nine months of fiscal 2016. The year-over-year decrease in amortization is a result of certain intangible assets that became fully amortized in the prior year. Changes in the carrying values of these intangible assets are a result of the impact of fluctuations in currency exchange rates.</w:t>
      </w:r>
    </w:p>
    <w:p>
      <w:pPr>
        <w:spacing w:after="0" w:line="117" w:lineRule="exact"/>
        <w:rPr>
          <w:sz w:val="20"/>
          <w:szCs w:val="20"/>
          <w:color w:val="auto"/>
        </w:rPr>
      </w:pPr>
    </w:p>
    <w:p>
      <w:pPr>
        <w:ind w:left="480" w:hanging="474"/>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Measured at Fair Value</w:t>
      </w:r>
    </w:p>
    <w:p>
      <w:pPr>
        <w:spacing w:after="0" w:line="222" w:lineRule="exact"/>
        <w:rPr>
          <w:rFonts w:ascii="Arial" w:cs="Arial" w:eastAsia="Arial" w:hAnsi="Arial"/>
          <w:sz w:val="18"/>
          <w:szCs w:val="18"/>
          <w:b w:val="1"/>
          <w:bCs w:val="1"/>
          <w:color w:val="auto"/>
        </w:rPr>
      </w:pPr>
    </w:p>
    <w:p>
      <w:pPr>
        <w:ind w:left="480" w:right="1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Our cash, cash equivalents, and short-term investments consisted primarily of cash and other investment grade securities. We do not hold investment securities for trading purposes. All short-term investments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spacing w:after="0" w:line="190" w:lineRule="exact"/>
        <w:rPr>
          <w:rFonts w:ascii="Arial" w:cs="Arial" w:eastAsia="Arial" w:hAnsi="Arial"/>
          <w:sz w:val="18"/>
          <w:szCs w:val="18"/>
          <w:b w:val="1"/>
          <w:bCs w:val="1"/>
          <w:color w:val="auto"/>
        </w:rPr>
      </w:pPr>
    </w:p>
    <w:p>
      <w:pPr>
        <w:ind w:left="480" w:right="14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Gains and losses on investments are calculated using the specific-identification method and are recognized during the period in which the investment is sold or when an investment experiences an other-than-temporary decline in value.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4" w:name="page15"/>
    <w:bookmarkEnd w:id="1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Investments that we have classified as short-term, by security type,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46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8"/>
                <w:szCs w:val="18"/>
                <w:color w:val="auto"/>
              </w:rPr>
              <w:t>September 30, 2017</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3"/>
        </w:trPr>
        <w:tc>
          <w:tcPr>
            <w:tcW w:w="4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left="75"/>
              <w:spacing w:after="0" w:line="194"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jc w:val="center"/>
              <w:ind w:left="56"/>
              <w:spacing w:after="0" w:line="194" w:lineRule="exact"/>
              <w:rPr>
                <w:sz w:val="20"/>
                <w:szCs w:val="20"/>
                <w:color w:val="auto"/>
              </w:rPr>
            </w:pPr>
            <w:r>
              <w:rPr>
                <w:rFonts w:ascii="Arial" w:cs="Arial" w:eastAsia="Arial" w:hAnsi="Arial"/>
                <w:sz w:val="18"/>
                <w:szCs w:val="18"/>
                <w:color w:val="auto"/>
                <w:w w:val="83"/>
              </w:rPr>
              <w:t>Gross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2"/>
              <w:spacing w:after="0" w:line="194" w:lineRule="exact"/>
              <w:rPr>
                <w:sz w:val="20"/>
                <w:szCs w:val="20"/>
                <w:color w:val="auto"/>
              </w:rPr>
            </w:pPr>
            <w:r>
              <w:rPr>
                <w:rFonts w:ascii="Arial" w:cs="Arial" w:eastAsia="Arial" w:hAnsi="Arial"/>
                <w:sz w:val="18"/>
                <w:szCs w:val="18"/>
                <w:color w:val="auto"/>
                <w:w w:val="87"/>
              </w:rPr>
              <w:t>Estimated</w:t>
            </w:r>
          </w:p>
        </w:tc>
        <w:tc>
          <w:tcPr>
            <w:tcW w:w="80" w:type="dxa"/>
            <w:vAlign w:val="bottom"/>
          </w:tcPr>
          <w:p>
            <w:pPr>
              <w:spacing w:after="0"/>
              <w:rPr>
                <w:sz w:val="16"/>
                <w:szCs w:val="16"/>
                <w:color w:val="auto"/>
              </w:rPr>
            </w:pPr>
          </w:p>
        </w:tc>
      </w:tr>
      <w:tr>
        <w:trPr>
          <w:trHeight w:val="214"/>
        </w:trPr>
        <w:tc>
          <w:tcPr>
            <w:tcW w:w="4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Amortized</w:t>
            </w:r>
          </w:p>
        </w:tc>
        <w:tc>
          <w:tcPr>
            <w:tcW w:w="1080" w:type="dxa"/>
            <w:vAlign w:val="bottom"/>
          </w:tcPr>
          <w:p>
            <w:pPr>
              <w:jc w:val="center"/>
              <w:ind w:left="55"/>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left="56"/>
              <w:spacing w:after="0"/>
              <w:rPr>
                <w:sz w:val="20"/>
                <w:szCs w:val="20"/>
                <w:color w:val="auto"/>
              </w:rPr>
            </w:pPr>
            <w:r>
              <w:rPr>
                <w:rFonts w:ascii="Arial" w:cs="Arial" w:eastAsia="Arial" w:hAnsi="Arial"/>
                <w:sz w:val="18"/>
                <w:szCs w:val="18"/>
                <w:color w:val="auto"/>
                <w:w w:val="8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r>
      <w:tr>
        <w:trPr>
          <w:trHeight w:val="262"/>
        </w:trPr>
        <w:tc>
          <w:tcPr>
            <w:tcW w:w="46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86"/>
              </w:rPr>
              <w:t>Cost</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center"/>
              <w:ind w:left="75"/>
              <w:spacing w:after="0"/>
              <w:rPr>
                <w:sz w:val="20"/>
                <w:szCs w:val="20"/>
                <w:color w:val="auto"/>
              </w:rPr>
            </w:pPr>
            <w:r>
              <w:rPr>
                <w:rFonts w:ascii="Arial" w:cs="Arial" w:eastAsia="Arial" w:hAnsi="Arial"/>
                <w:sz w:val="18"/>
                <w:szCs w:val="18"/>
                <w:color w:val="auto"/>
                <w:w w:val="84"/>
              </w:rPr>
              <w:t>Gains</w:t>
            </w:r>
          </w:p>
        </w:tc>
        <w:tc>
          <w:tcPr>
            <w:tcW w:w="16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center"/>
              <w:ind w:left="56"/>
              <w:spacing w:after="0" w:line="262" w:lineRule="exact"/>
              <w:rPr>
                <w:sz w:val="20"/>
                <w:szCs w:val="20"/>
                <w:color w:val="auto"/>
              </w:rPr>
            </w:pPr>
            <w:r>
              <w:rPr>
                <w:rFonts w:ascii="Arial" w:cs="Arial" w:eastAsia="Arial" w:hAnsi="Arial"/>
                <w:sz w:val="18"/>
                <w:szCs w:val="18"/>
                <w:color w:val="auto"/>
                <w:w w:val="79"/>
              </w:rPr>
              <w:t xml:space="preserve">Losses </w:t>
            </w:r>
            <w:r>
              <w:rPr>
                <w:rFonts w:ascii="Arial" w:cs="Arial" w:eastAsia="Arial" w:hAnsi="Arial"/>
                <w:sz w:val="29"/>
                <w:szCs w:val="29"/>
                <w:color w:val="auto"/>
                <w:w w:val="79"/>
                <w:vertAlign w:val="superscript"/>
              </w:rPr>
              <w:t>(1)</w:t>
            </w:r>
          </w:p>
        </w:tc>
        <w:tc>
          <w:tcPr>
            <w:tcW w:w="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2"/>
                <w:szCs w:val="22"/>
                <w:color w:val="auto"/>
              </w:rPr>
            </w:pPr>
          </w:p>
        </w:tc>
      </w:tr>
      <w:tr>
        <w:trPr>
          <w:trHeight w:val="245"/>
        </w:trPr>
        <w:tc>
          <w:tcPr>
            <w:tcW w:w="464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 xml:space="preserve">Corporate debt securities </w:t>
            </w:r>
            <w:r>
              <w:rPr>
                <w:rFonts w:ascii="Arial" w:cs="Arial" w:eastAsia="Arial" w:hAnsi="Arial"/>
                <w:sz w:val="28"/>
                <w:szCs w:val="28"/>
                <w:color w:val="auto"/>
                <w:vertAlign w:val="superscript"/>
              </w:rPr>
              <w:t>(2)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1080" w:type="dxa"/>
            <w:vAlign w:val="bottom"/>
            <w:shd w:val="clear" w:color="auto" w:fill="CCEEFF"/>
          </w:tcPr>
          <w:p>
            <w:pPr>
              <w:jc w:val="right"/>
              <w:ind w:right="91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9,842</w:t>
            </w:r>
          </w:p>
        </w:tc>
      </w:tr>
      <w:tr>
        <w:trPr>
          <w:trHeight w:val="212"/>
        </w:trPr>
        <w:tc>
          <w:tcPr>
            <w:tcW w:w="464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4,596</w:t>
            </w:r>
          </w:p>
        </w:tc>
        <w:tc>
          <w:tcPr>
            <w:tcW w:w="1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4,596</w:t>
            </w:r>
          </w:p>
        </w:tc>
      </w:tr>
      <w:tr>
        <w:trPr>
          <w:trHeight w:val="212"/>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1,299</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r>
      <w:tr>
        <w:trPr>
          <w:trHeight w:val="212"/>
        </w:trPr>
        <w:tc>
          <w:tcPr>
            <w:tcW w:w="464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10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r>
      <w:tr>
        <w:trPr>
          <w:trHeight w:val="20"/>
        </w:trPr>
        <w:tc>
          <w:tcPr>
            <w:tcW w:w="4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464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16,341</w:t>
            </w:r>
          </w:p>
        </w:tc>
        <w:tc>
          <w:tcPr>
            <w:tcW w:w="1080" w:type="dxa"/>
            <w:vAlign w:val="bottom"/>
            <w:shd w:val="clear" w:color="auto" w:fill="CCEEFF"/>
          </w:tcPr>
          <w:p>
            <w:pPr>
              <w:jc w:val="right"/>
              <w:ind w:right="915"/>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896"/>
              <w:spacing w:after="0"/>
              <w:rPr>
                <w:sz w:val="20"/>
                <w:szCs w:val="20"/>
                <w:color w:val="auto"/>
              </w:rPr>
            </w:pPr>
            <w:r>
              <w:rPr>
                <w:rFonts w:ascii="Arial" w:cs="Arial" w:eastAsia="Arial" w:hAnsi="Arial"/>
                <w:sz w:val="15"/>
                <w:szCs w:val="15"/>
                <w:color w:val="auto"/>
                <w:w w:val="71"/>
              </w:rPr>
              <w:t>$</w:t>
            </w:r>
          </w:p>
        </w:tc>
        <w:tc>
          <w:tcPr>
            <w:tcW w:w="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2</w:t>
            </w:r>
          </w:p>
        </w:tc>
        <w:tc>
          <w:tcPr>
            <w:tcW w:w="26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16,340</w:t>
            </w: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right"/>
              <w:ind w:right="376"/>
              <w:spacing w:after="0"/>
              <w:rPr>
                <w:sz w:val="20"/>
                <w:szCs w:val="20"/>
                <w:color w:val="auto"/>
              </w:rPr>
            </w:pPr>
            <w:r>
              <w:rPr>
                <w:rFonts w:ascii="Arial" w:cs="Arial" w:eastAsia="Arial" w:hAnsi="Arial"/>
                <w:sz w:val="18"/>
                <w:szCs w:val="18"/>
                <w:color w:val="auto"/>
              </w:rPr>
              <w:t>December 31, 2016</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3"/>
        </w:trPr>
        <w:tc>
          <w:tcPr>
            <w:tcW w:w="3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jc w:val="center"/>
              <w:ind w:left="92"/>
              <w:spacing w:after="0" w:line="194"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left="76"/>
              <w:spacing w:after="0" w:line="194" w:lineRule="exact"/>
              <w:rPr>
                <w:sz w:val="20"/>
                <w:szCs w:val="20"/>
                <w:color w:val="auto"/>
              </w:rPr>
            </w:pPr>
            <w:r>
              <w:rPr>
                <w:rFonts w:ascii="Arial" w:cs="Arial" w:eastAsia="Arial" w:hAnsi="Arial"/>
                <w:sz w:val="18"/>
                <w:szCs w:val="18"/>
                <w:color w:val="auto"/>
                <w:w w:val="83"/>
              </w:rPr>
              <w:t>Gross</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center"/>
              <w:ind w:right="92"/>
              <w:spacing w:after="0" w:line="194" w:lineRule="exact"/>
              <w:rPr>
                <w:sz w:val="20"/>
                <w:szCs w:val="20"/>
                <w:color w:val="auto"/>
              </w:rPr>
            </w:pPr>
            <w:r>
              <w:rPr>
                <w:rFonts w:ascii="Arial" w:cs="Arial" w:eastAsia="Arial" w:hAnsi="Arial"/>
                <w:sz w:val="18"/>
                <w:szCs w:val="18"/>
                <w:color w:val="auto"/>
                <w:w w:val="89"/>
              </w:rPr>
              <w:t>Estimated</w:t>
            </w:r>
          </w:p>
        </w:tc>
        <w:tc>
          <w:tcPr>
            <w:tcW w:w="100" w:type="dxa"/>
            <w:vAlign w:val="bottom"/>
          </w:tcPr>
          <w:p>
            <w:pPr>
              <w:spacing w:after="0"/>
              <w:rPr>
                <w:sz w:val="16"/>
                <w:szCs w:val="16"/>
                <w:color w:val="auto"/>
              </w:rPr>
            </w:pPr>
          </w:p>
        </w:tc>
      </w:tr>
      <w:tr>
        <w:trPr>
          <w:trHeight w:val="214"/>
        </w:trPr>
        <w:tc>
          <w:tcPr>
            <w:tcW w:w="3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Amortized</w:t>
            </w:r>
          </w:p>
        </w:tc>
        <w:tc>
          <w:tcPr>
            <w:tcW w:w="80" w:type="dxa"/>
            <w:vAlign w:val="bottom"/>
          </w:tcPr>
          <w:p>
            <w:pPr>
              <w:spacing w:after="0"/>
              <w:rPr>
                <w:sz w:val="18"/>
                <w:szCs w:val="18"/>
                <w:color w:val="auto"/>
              </w:rPr>
            </w:pPr>
          </w:p>
        </w:tc>
        <w:tc>
          <w:tcPr>
            <w:tcW w:w="1100" w:type="dxa"/>
            <w:vAlign w:val="bottom"/>
          </w:tcPr>
          <w:p>
            <w:pPr>
              <w:jc w:val="center"/>
              <w:ind w:left="72"/>
              <w:spacing w:after="0"/>
              <w:rPr>
                <w:sz w:val="20"/>
                <w:szCs w:val="20"/>
                <w:color w:val="auto"/>
              </w:rPr>
            </w:pPr>
            <w:r>
              <w:rPr>
                <w:rFonts w:ascii="Arial" w:cs="Arial" w:eastAsia="Arial" w:hAnsi="Arial"/>
                <w:sz w:val="18"/>
                <w:szCs w:val="18"/>
                <w:color w:val="auto"/>
                <w:w w:val="90"/>
              </w:rPr>
              <w:t>Unrealized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76"/>
              <w:spacing w:after="0"/>
              <w:rPr>
                <w:sz w:val="20"/>
                <w:szCs w:val="20"/>
                <w:color w:val="auto"/>
              </w:rPr>
            </w:pPr>
            <w:r>
              <w:rPr>
                <w:rFonts w:ascii="Arial" w:cs="Arial" w:eastAsia="Arial" w:hAnsi="Arial"/>
                <w:sz w:val="18"/>
                <w:szCs w:val="18"/>
                <w:color w:val="auto"/>
                <w:w w:val="88"/>
              </w:rPr>
              <w:t>Unrealized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Fair</w:t>
            </w:r>
          </w:p>
        </w:tc>
      </w:tr>
      <w:tr>
        <w:trPr>
          <w:trHeight w:val="262"/>
        </w:trPr>
        <w:tc>
          <w:tcPr>
            <w:tcW w:w="3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color w:val="auto"/>
                <w:w w:val="84"/>
              </w:rPr>
              <w:t>Gains</w:t>
            </w:r>
          </w:p>
        </w:tc>
        <w:tc>
          <w:tcPr>
            <w:tcW w:w="1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Borders>
              <w:bottom w:val="single" w:sz="8" w:color="auto"/>
            </w:tcBorders>
          </w:tcPr>
          <w:p>
            <w:pPr>
              <w:jc w:val="center"/>
              <w:ind w:left="76"/>
              <w:spacing w:after="0" w:line="262" w:lineRule="exact"/>
              <w:rPr>
                <w:sz w:val="20"/>
                <w:szCs w:val="20"/>
                <w:color w:val="auto"/>
              </w:rPr>
            </w:pPr>
            <w:r>
              <w:rPr>
                <w:rFonts w:ascii="Arial" w:cs="Arial" w:eastAsia="Arial" w:hAnsi="Arial"/>
                <w:sz w:val="18"/>
                <w:szCs w:val="18"/>
                <w:color w:val="auto"/>
                <w:w w:val="79"/>
              </w:rPr>
              <w:t xml:space="preserve">Losses </w:t>
            </w:r>
            <w:r>
              <w:rPr>
                <w:rFonts w:ascii="Arial" w:cs="Arial" w:eastAsia="Arial" w:hAnsi="Arial"/>
                <w:sz w:val="29"/>
                <w:szCs w:val="29"/>
                <w:color w:val="auto"/>
                <w:w w:val="79"/>
                <w:vertAlign w:val="superscript"/>
              </w:rPr>
              <w:t>(1)</w:t>
            </w:r>
          </w:p>
        </w:tc>
        <w:tc>
          <w:tcPr>
            <w:tcW w:w="16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2"/>
                <w:szCs w:val="22"/>
                <w:color w:val="auto"/>
              </w:rPr>
            </w:pPr>
          </w:p>
        </w:tc>
      </w:tr>
      <w:tr>
        <w:trPr>
          <w:trHeight w:val="245"/>
        </w:trPr>
        <w:tc>
          <w:tcPr>
            <w:tcW w:w="3840" w:type="dxa"/>
            <w:vAlign w:val="bottom"/>
            <w:shd w:val="clear" w:color="auto" w:fill="CCEEFF"/>
          </w:tcPr>
          <w:p>
            <w:pPr>
              <w:spacing w:after="0" w:line="245" w:lineRule="exact"/>
              <w:rPr>
                <w:sz w:val="20"/>
                <w:szCs w:val="20"/>
                <w:color w:val="auto"/>
              </w:rPr>
            </w:pPr>
            <w:r>
              <w:rPr>
                <w:rFonts w:ascii="Arial" w:cs="Arial" w:eastAsia="Arial" w:hAnsi="Arial"/>
                <w:sz w:val="17"/>
                <w:szCs w:val="17"/>
                <w:color w:val="auto"/>
              </w:rPr>
              <w:t xml:space="preserve">Corporate debt securities </w:t>
            </w:r>
            <w:r>
              <w:rPr>
                <w:rFonts w:ascii="Arial" w:cs="Arial" w:eastAsia="Arial" w:hAnsi="Arial"/>
                <w:sz w:val="28"/>
                <w:szCs w:val="28"/>
                <w:color w:val="auto"/>
                <w:vertAlign w:val="superscript"/>
              </w:rPr>
              <w:t>(2)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22,513</w:t>
            </w:r>
          </w:p>
        </w:tc>
        <w:tc>
          <w:tcPr>
            <w:tcW w:w="1180" w:type="dxa"/>
            <w:vAlign w:val="bottom"/>
            <w:gridSpan w:val="2"/>
            <w:shd w:val="clear" w:color="auto" w:fill="CCEEFF"/>
          </w:tcPr>
          <w:p>
            <w:pPr>
              <w:jc w:val="right"/>
              <w:ind w:right="912"/>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22,508</w:t>
            </w: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8,108</w:t>
            </w:r>
          </w:p>
        </w:tc>
      </w:tr>
      <w:tr>
        <w:trPr>
          <w:trHeight w:val="212"/>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r>
      <w:tr>
        <w:trPr>
          <w:trHeight w:val="212"/>
        </w:trPr>
        <w:tc>
          <w:tcPr>
            <w:tcW w:w="384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0"/>
        </w:trPr>
        <w:tc>
          <w:tcPr>
            <w:tcW w:w="3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line="205"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31,995</w:t>
            </w:r>
          </w:p>
        </w:tc>
        <w:tc>
          <w:tcPr>
            <w:tcW w:w="1180" w:type="dxa"/>
            <w:vAlign w:val="bottom"/>
            <w:gridSpan w:val="2"/>
            <w:shd w:val="clear" w:color="auto" w:fill="CCEEFF"/>
          </w:tcPr>
          <w:p>
            <w:pPr>
              <w:jc w:val="right"/>
              <w:ind w:right="912"/>
              <w:spacing w:after="0" w:line="205"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2</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200"/>
              <w:spacing w:after="0" w:line="205" w:lineRule="exact"/>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31,990</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134620</wp:posOffset>
            </wp:positionV>
            <wp:extent cx="68033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3390" cy="8255"/>
                    </a:xfrm>
                    <a:prstGeom prst="rect">
                      <a:avLst/>
                    </a:prstGeom>
                    <a:noFill/>
                  </pic:spPr>
                </pic:pic>
              </a:graphicData>
            </a:graphic>
          </wp:anchor>
        </w:drawing>
      </w:r>
    </w:p>
    <w:p>
      <w:pPr>
        <w:spacing w:after="0" w:line="193" w:lineRule="exact"/>
        <w:rPr>
          <w:sz w:val="20"/>
          <w:szCs w:val="20"/>
          <w:color w:val="auto"/>
        </w:rPr>
      </w:pPr>
    </w:p>
    <w:p>
      <w:pPr>
        <w:ind w:left="1020" w:right="160" w:hanging="312"/>
        <w:spacing w:after="0" w:line="271"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of September 30, 2017, there were $7.5 million of investments in our portfolio in a loss position. As of December 31, 2016, the cost and fair value of investments with loss positions were approximately $26.6 million. We evaluated the nature of these investments, credit worthiness of the issuer and the duration of these impairments to determine if an other-than-temporary decline in fair value had occurred and concluded that these losses were temporary and we have the ability and intent to hold these investments to maturity.</w:t>
      </w:r>
    </w:p>
    <w:p>
      <w:pPr>
        <w:spacing w:after="0" w:line="176" w:lineRule="exact"/>
        <w:rPr>
          <w:rFonts w:ascii="Arial" w:cs="Arial" w:eastAsia="Arial" w:hAnsi="Arial"/>
          <w:sz w:val="17"/>
          <w:szCs w:val="17"/>
          <w:color w:val="auto"/>
        </w:rPr>
      </w:pPr>
    </w:p>
    <w:p>
      <w:pPr>
        <w:ind w:left="1020" w:right="240" w:hanging="312"/>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debt securities include investments in financial and other corporate institutions. No single issuer represents a significant portion of the total corporate debt securities portfolio.</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Effective maturities of short-term investments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4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jc w:val="right"/>
              <w:ind w:right="820"/>
              <w:spacing w:after="0"/>
              <w:rPr>
                <w:sz w:val="20"/>
                <w:szCs w:val="20"/>
                <w:color w:val="auto"/>
              </w:rPr>
            </w:pPr>
            <w:r>
              <w:rPr>
                <w:rFonts w:ascii="Arial" w:cs="Arial" w:eastAsia="Arial" w:hAnsi="Arial"/>
                <w:sz w:val="18"/>
                <w:szCs w:val="18"/>
                <w:color w:val="auto"/>
              </w:rPr>
              <w:t>September 30, 2017</w:t>
            </w:r>
          </w:p>
        </w:tc>
        <w:tc>
          <w:tcPr>
            <w:tcW w:w="140" w:type="dxa"/>
            <w:vAlign w:val="bottom"/>
          </w:tcPr>
          <w:p>
            <w:pPr>
              <w:spacing w:after="0"/>
              <w:rPr>
                <w:sz w:val="19"/>
                <w:szCs w:val="19"/>
                <w:color w:val="auto"/>
              </w:rPr>
            </w:pPr>
          </w:p>
        </w:tc>
        <w:tc>
          <w:tcPr>
            <w:tcW w:w="2540" w:type="dxa"/>
            <w:vAlign w:val="bottom"/>
            <w:gridSpan w:val="5"/>
          </w:tcPr>
          <w:p>
            <w:pPr>
              <w:jc w:val="right"/>
              <w:ind w:right="700"/>
              <w:spacing w:after="0"/>
              <w:rPr>
                <w:sz w:val="20"/>
                <w:szCs w:val="20"/>
                <w:color w:val="auto"/>
              </w:rPr>
            </w:pPr>
            <w:r>
              <w:rPr>
                <w:rFonts w:ascii="Arial" w:cs="Arial" w:eastAsia="Arial" w:hAnsi="Arial"/>
                <w:sz w:val="18"/>
                <w:szCs w:val="18"/>
                <w:color w:val="auto"/>
              </w:rPr>
              <w:t>December 31, 2016</w:t>
            </w:r>
          </w:p>
        </w:tc>
      </w:tr>
      <w:tr>
        <w:trPr>
          <w:trHeight w:val="193"/>
        </w:trPr>
        <w:tc>
          <w:tcPr>
            <w:tcW w:w="40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line="194" w:lineRule="exact"/>
              <w:rPr>
                <w:sz w:val="20"/>
                <w:szCs w:val="20"/>
                <w:color w:val="auto"/>
              </w:rPr>
            </w:pPr>
            <w:r>
              <w:rPr>
                <w:rFonts w:ascii="Arial" w:cs="Arial" w:eastAsia="Arial" w:hAnsi="Arial"/>
                <w:sz w:val="18"/>
                <w:szCs w:val="18"/>
                <w:color w:val="auto"/>
              </w:rPr>
              <w:t>Amortized</w:t>
            </w: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2"/>
              <w:spacing w:after="0" w:line="194" w:lineRule="exact"/>
              <w:rPr>
                <w:sz w:val="20"/>
                <w:szCs w:val="20"/>
                <w:color w:val="auto"/>
              </w:rPr>
            </w:pPr>
            <w:r>
              <w:rPr>
                <w:rFonts w:ascii="Arial" w:cs="Arial" w:eastAsia="Arial" w:hAnsi="Arial"/>
                <w:sz w:val="18"/>
                <w:szCs w:val="18"/>
                <w:color w:val="auto"/>
                <w:w w:val="97"/>
              </w:rPr>
              <w:t>Estimated</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line="194" w:lineRule="exact"/>
              <w:rPr>
                <w:sz w:val="20"/>
                <w:szCs w:val="20"/>
                <w:color w:val="auto"/>
              </w:rPr>
            </w:pPr>
            <w:r>
              <w:rPr>
                <w:rFonts w:ascii="Arial" w:cs="Arial" w:eastAsia="Arial" w:hAnsi="Arial"/>
                <w:sz w:val="18"/>
                <w:szCs w:val="18"/>
                <w:color w:val="auto"/>
              </w:rPr>
              <w:t>Amortized</w:t>
            </w: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32"/>
              <w:spacing w:after="0" w:line="194" w:lineRule="exact"/>
              <w:rPr>
                <w:sz w:val="20"/>
                <w:szCs w:val="20"/>
                <w:color w:val="auto"/>
              </w:rPr>
            </w:pPr>
            <w:r>
              <w:rPr>
                <w:rFonts w:ascii="Arial" w:cs="Arial" w:eastAsia="Arial" w:hAnsi="Arial"/>
                <w:sz w:val="18"/>
                <w:szCs w:val="18"/>
                <w:color w:val="auto"/>
                <w:w w:val="97"/>
              </w:rPr>
              <w:t>Estimated</w:t>
            </w:r>
          </w:p>
        </w:tc>
        <w:tc>
          <w:tcPr>
            <w:tcW w:w="120" w:type="dxa"/>
            <w:vAlign w:val="bottom"/>
          </w:tcPr>
          <w:p>
            <w:pPr>
              <w:spacing w:after="0"/>
              <w:rPr>
                <w:sz w:val="16"/>
                <w:szCs w:val="16"/>
                <w:color w:val="auto"/>
              </w:rPr>
            </w:pPr>
          </w:p>
        </w:tc>
      </w:tr>
      <w:tr>
        <w:trPr>
          <w:trHeight w:val="224"/>
        </w:trPr>
        <w:tc>
          <w:tcPr>
            <w:tcW w:w="4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Fair Value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Cost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Fair Value</w:t>
            </w:r>
          </w:p>
        </w:tc>
        <w:tc>
          <w:tcPr>
            <w:tcW w:w="120" w:type="dxa"/>
            <w:vAlign w:val="bottom"/>
          </w:tcPr>
          <w:p>
            <w:pPr>
              <w:spacing w:after="0"/>
              <w:rPr>
                <w:sz w:val="19"/>
                <w:szCs w:val="19"/>
                <w:color w:val="auto"/>
              </w:rPr>
            </w:pPr>
          </w:p>
        </w:tc>
      </w:tr>
      <w:tr>
        <w:trPr>
          <w:trHeight w:val="206"/>
        </w:trPr>
        <w:tc>
          <w:tcPr>
            <w:tcW w:w="40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Due in one year or less</w:t>
            </w:r>
          </w:p>
        </w:tc>
        <w:tc>
          <w:tcPr>
            <w:tcW w:w="146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16,341</w:t>
            </w:r>
          </w:p>
        </w:tc>
        <w:tc>
          <w:tcPr>
            <w:tcW w:w="1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16,340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31,372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31,367</w:t>
            </w:r>
          </w:p>
        </w:tc>
      </w:tr>
      <w:tr>
        <w:trPr>
          <w:trHeight w:val="212"/>
        </w:trPr>
        <w:tc>
          <w:tcPr>
            <w:tcW w:w="4020" w:type="dxa"/>
            <w:vAlign w:val="bottom"/>
          </w:tcPr>
          <w:p>
            <w:pPr>
              <w:spacing w:after="0"/>
              <w:rPr>
                <w:sz w:val="20"/>
                <w:szCs w:val="20"/>
                <w:color w:val="auto"/>
              </w:rPr>
            </w:pPr>
            <w:r>
              <w:rPr>
                <w:rFonts w:ascii="Arial" w:cs="Arial" w:eastAsia="Arial" w:hAnsi="Arial"/>
                <w:sz w:val="18"/>
                <w:szCs w:val="18"/>
                <w:color w:val="auto"/>
              </w:rPr>
              <w:t>Due after one year through three years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r>
      <w:tr>
        <w:trPr>
          <w:trHeight w:val="20"/>
        </w:trPr>
        <w:tc>
          <w:tcPr>
            <w:tcW w:w="4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40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16,341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16,340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31,995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31,990</w:t>
            </w:r>
          </w:p>
        </w:tc>
      </w:tr>
      <w:tr>
        <w:trPr>
          <w:trHeight w:val="20"/>
        </w:trPr>
        <w:tc>
          <w:tcPr>
            <w:tcW w:w="40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ind w:left="480" w:right="220"/>
        <w:spacing w:after="0" w:line="267" w:lineRule="auto"/>
        <w:rPr>
          <w:sz w:val="20"/>
          <w:szCs w:val="20"/>
          <w:color w:val="auto"/>
        </w:rPr>
      </w:pPr>
      <w:r>
        <w:rPr>
          <w:rFonts w:ascii="Arial" w:cs="Arial" w:eastAsia="Arial" w:hAnsi="Arial"/>
          <w:sz w:val="17"/>
          <w:szCs w:val="17"/>
          <w:color w:val="auto"/>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5" w:name="page16"/>
    <w:bookmarkEnd w:id="1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left="480" w:right="160"/>
        <w:spacing w:after="0" w:line="264" w:lineRule="auto"/>
        <w:rPr>
          <w:sz w:val="20"/>
          <w:szCs w:val="20"/>
          <w:color w:val="auto"/>
        </w:rPr>
      </w:pPr>
      <w:r>
        <w:rPr>
          <w:rFonts w:ascii="Arial" w:cs="Arial" w:eastAsia="Arial" w:hAnsi="Arial"/>
          <w:sz w:val="18"/>
          <w:szCs w:val="18"/>
          <w:color w:val="auto"/>
        </w:rPr>
        <w:t xml:space="preserve">The following table summarizes, by major security type, our financial instruments that are measured at fair value on a recurring basis and are categorized using the fair value hierarchy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640" w:type="dxa"/>
        <w:tblCellMar>
          <w:top w:w="0" w:type="dxa"/>
          <w:left w:w="0" w:type="dxa"/>
          <w:bottom w:w="0" w:type="dxa"/>
          <w:right w:w="0" w:type="dxa"/>
        </w:tblCellMar>
      </w:tblPr>
      <w:tr>
        <w:trPr>
          <w:trHeight w:val="224"/>
        </w:trPr>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00" w:type="dxa"/>
            <w:vAlign w:val="bottom"/>
            <w:gridSpan w:val="11"/>
          </w:tcPr>
          <w:p>
            <w:pPr>
              <w:jc w:val="right"/>
              <w:ind w:right="880"/>
              <w:spacing w:after="0"/>
              <w:rPr>
                <w:sz w:val="20"/>
                <w:szCs w:val="20"/>
                <w:color w:val="auto"/>
              </w:rPr>
            </w:pPr>
            <w:r>
              <w:rPr>
                <w:rFonts w:ascii="Arial" w:cs="Arial" w:eastAsia="Arial" w:hAnsi="Arial"/>
                <w:sz w:val="18"/>
                <w:szCs w:val="18"/>
                <w:color w:val="auto"/>
                <w:w w:val="99"/>
              </w:rPr>
              <w:t>Fair value measurements at September 30, 2017 using:</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color w:val="auto"/>
                <w:w w:val="87"/>
              </w:rPr>
              <w:t>Total estimated</w:t>
            </w:r>
          </w:p>
        </w:tc>
        <w:tc>
          <w:tcPr>
            <w:tcW w:w="120" w:type="dxa"/>
            <w:vAlign w:val="bottom"/>
          </w:tcPr>
          <w:p>
            <w:pPr>
              <w:spacing w:after="0"/>
              <w:rPr>
                <w:sz w:val="16"/>
                <w:szCs w:val="16"/>
                <w:color w:val="auto"/>
              </w:rPr>
            </w:pPr>
          </w:p>
        </w:tc>
      </w:tr>
      <w:tr>
        <w:trPr>
          <w:trHeight w:val="224"/>
        </w:trPr>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3"/>
              </w:rPr>
              <w:t>fair value</w:t>
            </w:r>
          </w:p>
        </w:tc>
        <w:tc>
          <w:tcPr>
            <w:tcW w:w="120" w:type="dxa"/>
            <w:vAlign w:val="bottom"/>
          </w:tcPr>
          <w:p>
            <w:pPr>
              <w:spacing w:after="0"/>
              <w:rPr>
                <w:sz w:val="19"/>
                <w:szCs w:val="19"/>
                <w:color w:val="auto"/>
              </w:rPr>
            </w:pPr>
          </w:p>
        </w:tc>
      </w:tr>
      <w:tr>
        <w:trPr>
          <w:trHeight w:val="206"/>
        </w:trPr>
        <w:tc>
          <w:tcPr>
            <w:tcW w:w="4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98,678</w:t>
            </w:r>
          </w:p>
        </w:tc>
        <w:tc>
          <w:tcPr>
            <w:tcW w:w="2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98,678</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4,596</w:t>
            </w:r>
          </w:p>
        </w:tc>
      </w:tr>
      <w:tr>
        <w:trPr>
          <w:trHeight w:val="212"/>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19,329</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19,329</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Money market funds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13,820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13,820</w:t>
            </w:r>
          </w:p>
        </w:tc>
      </w:tr>
      <w:tr>
        <w:trPr>
          <w:trHeight w:val="212"/>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Bank certificates of deposit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603</w:t>
            </w: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4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98,678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39,646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138,324</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430"/>
        </w:trPr>
        <w:tc>
          <w:tcPr>
            <w:tcW w:w="4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11"/>
          </w:tcPr>
          <w:p>
            <w:pPr>
              <w:jc w:val="right"/>
              <w:ind w:right="900"/>
              <w:spacing w:after="0"/>
              <w:rPr>
                <w:sz w:val="20"/>
                <w:szCs w:val="20"/>
                <w:color w:val="auto"/>
              </w:rPr>
            </w:pPr>
            <w:r>
              <w:rPr>
                <w:rFonts w:ascii="Arial" w:cs="Arial" w:eastAsia="Arial" w:hAnsi="Arial"/>
                <w:sz w:val="18"/>
                <w:szCs w:val="18"/>
                <w:color w:val="auto"/>
                <w:w w:val="99"/>
              </w:rPr>
              <w:t>Fair value measurements at December 31, 2016 using:</w:t>
            </w:r>
          </w:p>
        </w:tc>
      </w:tr>
      <w:tr>
        <w:trPr>
          <w:trHeight w:val="193"/>
        </w:trPr>
        <w:tc>
          <w:tcPr>
            <w:tcW w:w="4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4" w:lineRule="exact"/>
              <w:rPr>
                <w:sz w:val="20"/>
                <w:szCs w:val="20"/>
                <w:color w:val="auto"/>
              </w:rPr>
            </w:pPr>
            <w:r>
              <w:rPr>
                <w:rFonts w:ascii="Arial" w:cs="Arial" w:eastAsia="Arial" w:hAnsi="Arial"/>
                <w:sz w:val="18"/>
                <w:szCs w:val="18"/>
                <w:color w:val="auto"/>
                <w:w w:val="87"/>
              </w:rPr>
              <w:t>Total estimated</w:t>
            </w:r>
          </w:p>
        </w:tc>
        <w:tc>
          <w:tcPr>
            <w:tcW w:w="120" w:type="dxa"/>
            <w:vAlign w:val="bottom"/>
          </w:tcPr>
          <w:p>
            <w:pPr>
              <w:spacing w:after="0"/>
              <w:rPr>
                <w:sz w:val="16"/>
                <w:szCs w:val="16"/>
                <w:color w:val="auto"/>
              </w:rPr>
            </w:pPr>
          </w:p>
        </w:tc>
      </w:tr>
      <w:tr>
        <w:trPr>
          <w:trHeight w:val="224"/>
        </w:trPr>
        <w:tc>
          <w:tcPr>
            <w:tcW w:w="4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Level 1</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Level 2</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3"/>
              </w:rPr>
              <w:t>fair value</w:t>
            </w:r>
          </w:p>
        </w:tc>
        <w:tc>
          <w:tcPr>
            <w:tcW w:w="120" w:type="dxa"/>
            <w:vAlign w:val="bottom"/>
          </w:tcPr>
          <w:p>
            <w:pPr>
              <w:spacing w:after="0"/>
              <w:rPr>
                <w:sz w:val="19"/>
                <w:szCs w:val="19"/>
                <w:color w:val="auto"/>
              </w:rPr>
            </w:pPr>
          </w:p>
        </w:tc>
      </w:tr>
      <w:tr>
        <w:trPr>
          <w:trHeight w:val="206"/>
        </w:trPr>
        <w:tc>
          <w:tcPr>
            <w:tcW w:w="4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w:t>
            </w:r>
          </w:p>
        </w:tc>
        <w:tc>
          <w:tcPr>
            <w:tcW w:w="1320" w:type="dxa"/>
            <w:vAlign w:val="bottom"/>
            <w:gridSpan w:val="2"/>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70,279</w:t>
            </w:r>
          </w:p>
        </w:tc>
        <w:tc>
          <w:tcPr>
            <w:tcW w:w="22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20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6" w:lineRule="exact"/>
              <w:rPr>
                <w:sz w:val="20"/>
                <w:szCs w:val="20"/>
                <w:color w:val="auto"/>
              </w:rPr>
            </w:pPr>
            <w:r>
              <w:rPr>
                <w:rFonts w:ascii="Arial" w:cs="Arial" w:eastAsia="Arial" w:hAnsi="Arial"/>
                <w:sz w:val="18"/>
                <w:szCs w:val="18"/>
                <w:color w:val="auto"/>
              </w:rPr>
              <w:t>70,279</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Foreign government security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623</w:t>
            </w:r>
          </w:p>
        </w:tc>
      </w:tr>
      <w:tr>
        <w:trPr>
          <w:trHeight w:val="212"/>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24,108</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Government-sponsored enterprise 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8,108</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8,108</w:t>
            </w:r>
          </w:p>
        </w:tc>
      </w:tr>
      <w:tr>
        <w:trPr>
          <w:trHeight w:val="212"/>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24,166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24,166</w:t>
            </w:r>
          </w:p>
        </w:tc>
      </w:tr>
      <w:tr>
        <w:trPr>
          <w:trHeight w:val="212"/>
        </w:trPr>
        <w:tc>
          <w:tcPr>
            <w:tcW w:w="422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751</w:t>
            </w:r>
          </w:p>
        </w:tc>
      </w:tr>
      <w:tr>
        <w:trPr>
          <w:trHeight w:val="20"/>
        </w:trPr>
        <w:tc>
          <w:tcPr>
            <w:tcW w:w="4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4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5" w:lineRule="exact"/>
              <w:rPr>
                <w:sz w:val="20"/>
                <w:szCs w:val="20"/>
                <w:color w:val="auto"/>
              </w:rPr>
            </w:pPr>
            <w:r>
              <w:rPr>
                <w:rFonts w:ascii="Arial" w:cs="Arial" w:eastAsia="Arial" w:hAnsi="Arial"/>
                <w:sz w:val="18"/>
                <w:szCs w:val="18"/>
                <w:color w:val="auto"/>
              </w:rPr>
              <w:t>70,279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5"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57,756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line="205"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line="205" w:lineRule="exact"/>
              <w:rPr>
                <w:sz w:val="20"/>
                <w:szCs w:val="20"/>
                <w:color w:val="auto"/>
              </w:rPr>
            </w:pPr>
            <w:r>
              <w:rPr>
                <w:rFonts w:ascii="Arial" w:cs="Arial" w:eastAsia="Arial" w:hAnsi="Arial"/>
                <w:sz w:val="18"/>
                <w:szCs w:val="18"/>
                <w:color w:val="auto"/>
              </w:rPr>
              <w:t>128,035</w:t>
            </w:r>
          </w:p>
        </w:tc>
      </w:tr>
      <w:tr>
        <w:trPr>
          <w:trHeight w:val="20"/>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480" w:hanging="474"/>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Benefit Plans</w:t>
      </w:r>
    </w:p>
    <w:p>
      <w:pPr>
        <w:spacing w:after="0" w:line="222" w:lineRule="exact"/>
        <w:rPr>
          <w:rFonts w:ascii="Arial" w:cs="Arial" w:eastAsia="Arial" w:hAnsi="Arial"/>
          <w:sz w:val="18"/>
          <w:szCs w:val="18"/>
          <w:b w:val="1"/>
          <w:bCs w:val="1"/>
          <w:color w:val="auto"/>
        </w:rPr>
      </w:pPr>
    </w:p>
    <w:p>
      <w:pPr>
        <w:ind w:left="480" w:right="1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Our 2005 Equity Incentive Plan (the “2005 Plan”) is a broad-based, long-term retention program intended to attract, motivate, and retain talented employees as well as align stockholder and employee interests. Awards that may be granted under the program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At September 30, 2017, there were 1,459,354 shares available for future equity grants under the 2005 Equity Incentive Plan.</w:t>
      </w:r>
    </w:p>
    <w:p>
      <w:pPr>
        <w:spacing w:after="0" w:line="174"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222" w:lineRule="exact"/>
        <w:rPr>
          <w:rFonts w:ascii="Arial" w:cs="Arial" w:eastAsia="Arial" w:hAnsi="Arial"/>
          <w:sz w:val="18"/>
          <w:szCs w:val="18"/>
          <w:b w:val="1"/>
          <w:bCs w:val="1"/>
          <w:color w:val="auto"/>
        </w:rPr>
      </w:pPr>
    </w:p>
    <w:p>
      <w:pPr>
        <w:ind w:left="480" w:right="2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Stock options may be granted to employees, consultants and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2015 Plan have a maximum contractual term of ten years. In the first nine months of fiscal 2017 we did not grant any stock options and we issued 930,883 shares of our common stock on the exercise of options that were granted previously.</w:t>
      </w:r>
    </w:p>
    <w:p>
      <w:pPr>
        <w:spacing w:after="0" w:line="193" w:lineRule="exact"/>
        <w:rPr>
          <w:rFonts w:ascii="Arial" w:cs="Arial" w:eastAsia="Arial" w:hAnsi="Arial"/>
          <w:sz w:val="18"/>
          <w:szCs w:val="18"/>
          <w:b w:val="1"/>
          <w:bCs w:val="1"/>
          <w:color w:val="auto"/>
        </w:rPr>
      </w:pPr>
    </w:p>
    <w:p>
      <w:pPr>
        <w:ind w:left="480" w:right="80"/>
        <w:spacing w:after="0" w:line="294" w:lineRule="auto"/>
        <w:rPr>
          <w:rFonts w:ascii="Arial" w:cs="Arial" w:eastAsia="Arial" w:hAnsi="Arial"/>
          <w:sz w:val="18"/>
          <w:szCs w:val="18"/>
          <w:b w:val="1"/>
          <w:bCs w:val="1"/>
          <w:color w:val="auto"/>
        </w:rPr>
      </w:pPr>
      <w:r>
        <w:rPr>
          <w:rFonts w:ascii="Arial" w:cs="Arial" w:eastAsia="Arial" w:hAnsi="Arial"/>
          <w:sz w:val="17"/>
          <w:szCs w:val="17"/>
          <w:color w:val="auto"/>
        </w:rPr>
        <w:t>At September 30, 2017, we had 705,284 stock options outstanding. These options had a weighted-average exercise price of $10.61 per share, an aggregate intrinsic value of approximately $4.8 million and the weighted average remaining contractual term was approximately 4.2 years.</w:t>
      </w:r>
    </w:p>
    <w:p>
      <w:pPr>
        <w:spacing w:after="0" w:line="156" w:lineRule="exact"/>
        <w:rPr>
          <w:rFonts w:ascii="Arial" w:cs="Arial" w:eastAsia="Arial" w:hAnsi="Arial"/>
          <w:sz w:val="18"/>
          <w:szCs w:val="18"/>
          <w:b w:val="1"/>
          <w:bCs w:val="1"/>
          <w:color w:val="auto"/>
        </w:rPr>
      </w:pPr>
    </w:p>
    <w:p>
      <w:pPr>
        <w:jc w:val="both"/>
        <w:ind w:left="480" w:right="760"/>
        <w:spacing w:after="0" w:line="365" w:lineRule="auto"/>
        <w:rPr>
          <w:rFonts w:ascii="Arial" w:cs="Arial" w:eastAsia="Arial" w:hAnsi="Arial"/>
          <w:sz w:val="18"/>
          <w:szCs w:val="18"/>
          <w:b w:val="1"/>
          <w:bCs w:val="1"/>
          <w:color w:val="auto"/>
        </w:rPr>
      </w:pPr>
      <w:r>
        <w:rPr>
          <w:rFonts w:ascii="Arial" w:cs="Arial" w:eastAsia="Arial" w:hAnsi="Arial"/>
          <w:sz w:val="15"/>
          <w:szCs w:val="15"/>
          <w:color w:val="auto"/>
        </w:rPr>
        <w:t>At September 30, 2017, we had 701,951 stock options outstanding that were exercisable. These options had a weighted-average exercise price of $10.61 per share, an aggregate intrinsic value of $4.8 million and the weighted average remaining contractual term was approximately 4.2 years.</w:t>
      </w:r>
    </w:p>
    <w:p>
      <w:pPr>
        <w:spacing w:after="0" w:line="1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16" w:name="page17"/>
    <w:bookmarkEnd w:id="1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Restricted Stock Units</w:t>
      </w:r>
    </w:p>
    <w:p>
      <w:pPr>
        <w:spacing w:after="0" w:line="223" w:lineRule="exact"/>
        <w:rPr>
          <w:sz w:val="20"/>
          <w:szCs w:val="20"/>
          <w:color w:val="auto"/>
        </w:rPr>
      </w:pPr>
    </w:p>
    <w:p>
      <w:pPr>
        <w:ind w:left="480"/>
        <w:spacing w:after="0" w:line="250" w:lineRule="auto"/>
        <w:rPr>
          <w:sz w:val="20"/>
          <w:szCs w:val="20"/>
          <w:color w:val="auto"/>
        </w:rPr>
      </w:pPr>
      <w:r>
        <w:rPr>
          <w:rFonts w:ascii="Arial" w:cs="Arial" w:eastAsia="Arial" w:hAnsi="Arial"/>
          <w:sz w:val="18"/>
          <w:szCs w:val="18"/>
          <w:color w:val="auto"/>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New shares of our common stock will be issued on the date the RSUs vest net of the minimum statutory tax withholding requirements to be paid by us on behalf of our employees. As a result, the actual number of shares issued will be fewer than the actual number of RSUs outstanding at September 30, 2017.</w:t>
      </w:r>
    </w:p>
    <w:p>
      <w:pPr>
        <w:spacing w:after="0" w:line="193" w:lineRule="exact"/>
        <w:rPr>
          <w:sz w:val="20"/>
          <w:szCs w:val="20"/>
          <w:color w:val="auto"/>
        </w:rPr>
      </w:pPr>
    </w:p>
    <w:p>
      <w:pPr>
        <w:ind w:left="480" w:right="200"/>
        <w:spacing w:after="0" w:line="255" w:lineRule="auto"/>
        <w:rPr>
          <w:sz w:val="20"/>
          <w:szCs w:val="20"/>
          <w:color w:val="auto"/>
        </w:rPr>
      </w:pPr>
      <w:r>
        <w:rPr>
          <w:rFonts w:ascii="Arial" w:cs="Arial" w:eastAsia="Arial" w:hAnsi="Arial"/>
          <w:sz w:val="18"/>
          <w:szCs w:val="18"/>
          <w:color w:val="auto"/>
        </w:rPr>
        <w:t>In the first nine months of fiscal 2017 we awarded 349,956 RSUs and we issued 398,529 shares of our common stock on vesting of previously granted awards. At September 30, 2017, we had 1,014,145 RSUs outstanding with an aggregate intrinsic value of approximately $17.7 million and the weighted average remaining vesting period was approximately 2.2 years.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Performance Stock Units</w:t>
      </w:r>
    </w:p>
    <w:p>
      <w:pPr>
        <w:spacing w:after="0" w:line="223" w:lineRule="exact"/>
        <w:rPr>
          <w:sz w:val="20"/>
          <w:szCs w:val="20"/>
          <w:color w:val="auto"/>
        </w:rPr>
      </w:pPr>
    </w:p>
    <w:p>
      <w:pPr>
        <w:ind w:left="480" w:right="20"/>
        <w:spacing w:after="0" w:line="265" w:lineRule="auto"/>
        <w:rPr>
          <w:sz w:val="20"/>
          <w:szCs w:val="20"/>
          <w:color w:val="auto"/>
        </w:rPr>
      </w:pPr>
      <w:r>
        <w:rPr>
          <w:rFonts w:ascii="Arial" w:cs="Arial" w:eastAsia="Arial" w:hAnsi="Arial"/>
          <w:sz w:val="17"/>
          <w:szCs w:val="17"/>
          <w:color w:val="auto"/>
        </w:rPr>
        <w:t>We also grant performance stock units (“PSUs”) to senior executives as a part of our long-term equity compensation program. The number of shares of common stock that will ultimately be issued to settle PSUs granted in 2017 and 2016 ranges from 25% to 200% and is determined based on certain performance criteria over a three-year measurement period. For PSUs granted in 2015, the number of shares of common stock issued to settle PSUs granted is determined based on a two-year measurement period. The performance criteria for the PSUs are based on a combination of our annualized Total Shareholder Return (“TSR”) for the performance period and the relative performance of our TSR compared with the annualized TSR of certain peer companies for the performance period. PSUs granted in 2017 and 2016 vest 100% on the third anniversary of their grant and PSUs granted in 2015 vest 50% on the second and third anniversary of their grant, respectively.</w:t>
      </w:r>
    </w:p>
    <w:p>
      <w:pPr>
        <w:spacing w:after="0" w:line="184" w:lineRule="exact"/>
        <w:rPr>
          <w:sz w:val="20"/>
          <w:szCs w:val="20"/>
          <w:color w:val="auto"/>
        </w:rPr>
      </w:pPr>
    </w:p>
    <w:p>
      <w:pPr>
        <w:ind w:left="480" w:right="20"/>
        <w:spacing w:after="0" w:line="252" w:lineRule="auto"/>
        <w:rPr>
          <w:sz w:val="20"/>
          <w:szCs w:val="20"/>
          <w:color w:val="auto"/>
        </w:rPr>
      </w:pPr>
      <w:r>
        <w:rPr>
          <w:rFonts w:ascii="Arial" w:cs="Arial" w:eastAsia="Arial" w:hAnsi="Arial"/>
          <w:sz w:val="18"/>
          <w:szCs w:val="18"/>
          <w:color w:val="auto"/>
        </w:rPr>
        <w:t>We estimated the fair value of the PSUs using a Monte Carlo simulation model on the date of grant. Compensation expense is recognized ratably over the derived service period. New shares of our common stock will be issued on the date the PSUs vest net of the minimum statutory tax withholding requirements to be paid by us on behalf of our employees. As a result, the actual number of shares issued will be fewer than the actual number outstanding at September 30, 2017.</w:t>
      </w:r>
    </w:p>
    <w:p>
      <w:pPr>
        <w:spacing w:after="0" w:line="190" w:lineRule="exact"/>
        <w:rPr>
          <w:sz w:val="20"/>
          <w:szCs w:val="20"/>
          <w:color w:val="auto"/>
        </w:rPr>
      </w:pPr>
    </w:p>
    <w:p>
      <w:pPr>
        <w:ind w:left="480" w:right="260"/>
        <w:spacing w:after="0" w:line="255" w:lineRule="auto"/>
        <w:rPr>
          <w:sz w:val="20"/>
          <w:szCs w:val="20"/>
          <w:color w:val="auto"/>
        </w:rPr>
      </w:pPr>
      <w:r>
        <w:rPr>
          <w:rFonts w:ascii="Arial" w:cs="Arial" w:eastAsia="Arial" w:hAnsi="Arial"/>
          <w:sz w:val="18"/>
          <w:szCs w:val="18"/>
          <w:color w:val="auto"/>
        </w:rPr>
        <w:t>In the first nine months of fiscal 2017, we awarded 185,305 PSUs and we issued 186,146 shares of our common stock on vesting of previously granted awards. At September 30, 2017, we had 357,333 PSUs outstanding with an aggregate intrinsic value of approximately $6.2 million and the weighted average remaining vesting period was approximately 1.6 years.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Employee Stock Purchase Plan</w:t>
      </w:r>
    </w:p>
    <w:p>
      <w:pPr>
        <w:spacing w:after="0" w:line="223" w:lineRule="exact"/>
        <w:rPr>
          <w:sz w:val="20"/>
          <w:szCs w:val="20"/>
          <w:color w:val="auto"/>
        </w:rPr>
      </w:pPr>
    </w:p>
    <w:p>
      <w:pPr>
        <w:ind w:left="480" w:right="160"/>
        <w:spacing w:after="0" w:line="318" w:lineRule="auto"/>
        <w:rPr>
          <w:sz w:val="20"/>
          <w:szCs w:val="20"/>
          <w:color w:val="auto"/>
        </w:rPr>
      </w:pPr>
      <w:r>
        <w:rPr>
          <w:rFonts w:ascii="Arial" w:cs="Arial" w:eastAsia="Arial" w:hAnsi="Arial"/>
          <w:sz w:val="15"/>
          <w:szCs w:val="15"/>
          <w:color w:val="auto"/>
        </w:rPr>
        <w:t>The Cohu, Inc. 1997 Employee Stock Purchase Plan (the "Plan”) provides for the issuance of shares of our common stock. Under the Plan, eligible employees may purchase shares of Cohu common stock through payroll deductions at a price equal to 85 percent of the lower of the fair market value of Cohu common stock at the beginning or end of each 6-month purchase period, subject to certain limits. During the first nine months of fiscal 2017, 61,313 shares of our common stock were sold to our employees under the Plan leaving 639,171 shares available for future issuance.</w:t>
      </w:r>
    </w:p>
    <w:p>
      <w:pPr>
        <w:spacing w:after="0" w:line="139" w:lineRule="exact"/>
        <w:rPr>
          <w:sz w:val="20"/>
          <w:szCs w:val="20"/>
          <w:color w:val="auto"/>
        </w:rPr>
      </w:pPr>
    </w:p>
    <w:p>
      <w:pPr>
        <w:ind w:left="480" w:hanging="474"/>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2" w:lineRule="exact"/>
        <w:rPr>
          <w:rFonts w:ascii="Arial" w:cs="Arial" w:eastAsia="Arial" w:hAnsi="Arial"/>
          <w:sz w:val="18"/>
          <w:szCs w:val="18"/>
          <w:b w:val="1"/>
          <w:bCs w:val="1"/>
          <w:color w:val="auto"/>
        </w:rPr>
      </w:pPr>
    </w:p>
    <w:p>
      <w:pPr>
        <w:ind w:left="480" w:right="14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For the three and nine months ended September 30, 2017, we used the estimated effective tax rate (“ETR”) expected to be applicable for the full fiscal year in computing our tax provision. The ETR on income from continuing operations for the three months ended September 30, 2017 and September 24, 2016, was 17.3% and 86.9%, respectively, and 14.0% and 65.8% for the nine months ended September 30, 2017 and September 24, 2016, respectively. The tax provision on income from continuing operations in 2017 and 2016 differs from the U.S. federal statutory rate primarily due to the lack of a provision (benefit) on our domestic income (losses) as a result of our valuation allowance on deferred tax assets, foreign income taxed at different rates, changes in our deferred tax asset valuation allowance, state taxes and interest related to unrecognized tax benefits.</w:t>
      </w:r>
    </w:p>
    <w:p>
      <w:pPr>
        <w:spacing w:after="0" w:line="155" w:lineRule="exact"/>
        <w:rPr>
          <w:sz w:val="20"/>
          <w:szCs w:val="20"/>
          <w:color w:val="auto"/>
        </w:rPr>
      </w:pPr>
    </w:p>
    <w:p>
      <w:pPr>
        <w:ind w:left="480" w:right="80"/>
        <w:spacing w:after="0" w:line="294" w:lineRule="auto"/>
        <w:rPr>
          <w:sz w:val="20"/>
          <w:szCs w:val="20"/>
          <w:color w:val="auto"/>
        </w:rPr>
      </w:pPr>
      <w:r>
        <w:rPr>
          <w:rFonts w:ascii="Arial" w:cs="Arial" w:eastAsia="Arial" w:hAnsi="Arial"/>
          <w:sz w:val="17"/>
          <w:szCs w:val="17"/>
          <w:color w:val="auto"/>
        </w:rPr>
        <w:t>Other than for foreign currency exchange rate changes and the Kita acquisition, there was no material change to our unrecognized tax benefits and related accrued interest and penalties during the three- and nine-month periods ended September 30, 2017 and September 24, 2016.</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ind w:left="480" w:hanging="474"/>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22" w:lineRule="exact"/>
        <w:rPr>
          <w:rFonts w:ascii="Arial" w:cs="Arial" w:eastAsia="Arial" w:hAnsi="Arial"/>
          <w:sz w:val="18"/>
          <w:szCs w:val="18"/>
          <w:b w:val="1"/>
          <w:bCs w:val="1"/>
          <w:color w:val="auto"/>
        </w:rPr>
      </w:pPr>
    </w:p>
    <w:p>
      <w:pPr>
        <w:ind w:left="480"/>
        <w:spacing w:after="0" w:line="265" w:lineRule="auto"/>
        <w:rPr>
          <w:rFonts w:ascii="Arial" w:cs="Arial" w:eastAsia="Arial" w:hAnsi="Arial"/>
          <w:sz w:val="18"/>
          <w:szCs w:val="18"/>
          <w:b w:val="1"/>
          <w:bCs w:val="1"/>
          <w:color w:val="auto"/>
        </w:rPr>
      </w:pPr>
      <w:r>
        <w:rPr>
          <w:rFonts w:ascii="Arial" w:cs="Arial" w:eastAsia="Arial" w:hAnsi="Arial"/>
          <w:sz w:val="17"/>
          <w:szCs w:val="17"/>
          <w:color w:val="auto"/>
        </w:rPr>
        <w:t>In June 2015, we sold all of the outstanding stock of BMS for $4.9 million in cash and up to $2.5 million of contingent cash consideration. Our decision to sell this non-core business resulted from management’s determination that it was no longer a strategic fit within our organization. As part of the divestiture of BMS we recorded a long-term contingent consideration receivable that has been classified as Level 3 in the fair value hierarchy. See Note 3, “Financial Instruments Measured at Fair Value” for additional information on the three-tier fair value hierarchy. The contingent consideration represents the estimated fair value of future payments we are due from the buyer should BMS achieve specified annual revenue targets in certain years as specified in the sale agreement. The periodic fair value of the contingent consideration is determined through the use of the Monte Carlo simulation model. Based on updated information the contingent consideration receivable was adjusted in the second quarter of 2017 and is included in the loss from sale of BMS amount below.</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0" w:type="dxa"/>
            <w:vAlign w:val="bottom"/>
            <w:gridSpan w:val="7"/>
          </w:tcPr>
          <w:p>
            <w:pPr>
              <w:ind w:left="60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8"/>
                <w:szCs w:val="18"/>
                <w:color w:val="auto"/>
              </w:rPr>
              <w:t>Nine Months Ended</w:t>
            </w:r>
          </w:p>
        </w:tc>
      </w:tr>
      <w:tr>
        <w:trPr>
          <w:trHeight w:val="212"/>
        </w:trPr>
        <w:tc>
          <w:tcPr>
            <w:tcW w:w="3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4"/>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September 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September 30,</w:t>
            </w:r>
          </w:p>
        </w:tc>
        <w:tc>
          <w:tcPr>
            <w:tcW w:w="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September 24,</w:t>
            </w:r>
          </w:p>
        </w:tc>
      </w:tr>
      <w:tr>
        <w:trPr>
          <w:trHeight w:val="224"/>
        </w:trPr>
        <w:tc>
          <w:tcPr>
            <w:tcW w:w="3560" w:type="dxa"/>
            <w:vAlign w:val="bottom"/>
          </w:tcPr>
          <w:p>
            <w:pPr>
              <w:spacing w:after="0"/>
              <w:rPr>
                <w:sz w:val="19"/>
                <w:szCs w:val="19"/>
                <w:color w:val="auto"/>
              </w:rPr>
            </w:pPr>
          </w:p>
        </w:tc>
        <w:tc>
          <w:tcPr>
            <w:tcW w:w="2240" w:type="dxa"/>
            <w:vAlign w:val="bottom"/>
            <w:gridSpan w:val="2"/>
          </w:tcPr>
          <w:p>
            <w:pPr>
              <w:jc w:val="right"/>
              <w:ind w:right="272"/>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9"/>
                <w:szCs w:val="19"/>
                <w:color w:val="auto"/>
              </w:rPr>
            </w:pPr>
          </w:p>
        </w:tc>
      </w:tr>
      <w:tr>
        <w:trPr>
          <w:trHeight w:val="206"/>
        </w:trPr>
        <w:tc>
          <w:tcPr>
            <w:tcW w:w="3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52"/>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40" w:type="dxa"/>
            <w:vAlign w:val="bottom"/>
            <w:gridSpan w:val="2"/>
            <w:shd w:val="clear" w:color="auto" w:fill="CCEEFF"/>
          </w:tcPr>
          <w:p>
            <w:pPr>
              <w:jc w:val="right"/>
              <w:ind w:right="992"/>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192"/>
        </w:trPr>
        <w:tc>
          <w:tcPr>
            <w:tcW w:w="35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12"/>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before income taxes</w:t>
            </w:r>
          </w:p>
        </w:tc>
        <w:tc>
          <w:tcPr>
            <w:tcW w:w="10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2"/>
        </w:trPr>
        <w:tc>
          <w:tcPr>
            <w:tcW w:w="3560" w:type="dxa"/>
            <w:vAlign w:val="bottom"/>
          </w:tcPr>
          <w:p>
            <w:pPr>
              <w:spacing w:after="0"/>
              <w:rPr>
                <w:sz w:val="20"/>
                <w:szCs w:val="20"/>
                <w:color w:val="auto"/>
              </w:rPr>
            </w:pPr>
            <w:r>
              <w:rPr>
                <w:rFonts w:ascii="Arial" w:cs="Arial" w:eastAsia="Arial" w:hAnsi="Arial"/>
                <w:sz w:val="18"/>
                <w:szCs w:val="18"/>
                <w:color w:val="auto"/>
              </w:rPr>
              <w:t>Loss from sale of BMS</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3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Loss before taxes</w:t>
            </w:r>
          </w:p>
        </w:tc>
        <w:tc>
          <w:tcPr>
            <w:tcW w:w="1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(4)</w:t>
            </w:r>
          </w:p>
        </w:tc>
      </w:tr>
      <w:tr>
        <w:trPr>
          <w:trHeight w:val="212"/>
        </w:trPr>
        <w:tc>
          <w:tcPr>
            <w:tcW w:w="3560" w:type="dxa"/>
            <w:vAlign w:val="bottom"/>
          </w:tcPr>
          <w:p>
            <w:pPr>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3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356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Loss, net of tax</w:t>
            </w:r>
          </w:p>
        </w:tc>
        <w:tc>
          <w:tcPr>
            <w:tcW w:w="2240" w:type="dxa"/>
            <w:vAlign w:val="bottom"/>
            <w:gridSpan w:val="2"/>
            <w:shd w:val="clear" w:color="auto" w:fill="CCEEFF"/>
          </w:tcPr>
          <w:p>
            <w:pPr>
              <w:jc w:val="right"/>
              <w:ind w:right="992"/>
              <w:spacing w:after="0" w:line="205"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205" w:lineRule="exact"/>
              <w:rPr>
                <w:sz w:val="20"/>
                <w:szCs w:val="20"/>
                <w:color w:val="auto"/>
              </w:rPr>
            </w:pPr>
            <w:r>
              <w:rPr>
                <w:rFonts w:ascii="Arial" w:cs="Arial" w:eastAsia="Arial" w:hAnsi="Arial"/>
                <w:sz w:val="18"/>
                <w:szCs w:val="18"/>
                <w:color w:val="auto"/>
              </w:rPr>
              <w:t>51</w:t>
            </w:r>
          </w:p>
        </w:tc>
        <w:tc>
          <w:tcPr>
            <w:tcW w:w="200" w:type="dxa"/>
            <w:vAlign w:val="bottom"/>
            <w:gridSpan w:val="2"/>
            <w:shd w:val="clear" w:color="auto" w:fill="CCEEFF"/>
          </w:tcPr>
          <w:p>
            <w:pPr>
              <w:jc w:val="right"/>
              <w:spacing w:after="0" w:line="205" w:lineRule="exact"/>
              <w:rPr>
                <w:sz w:val="20"/>
                <w:szCs w:val="20"/>
                <w:color w:val="auto"/>
              </w:rPr>
            </w:pPr>
            <w:r>
              <w:rPr>
                <w:rFonts w:ascii="Arial" w:cs="Arial" w:eastAsia="Arial" w:hAnsi="Arial"/>
                <w:sz w:val="18"/>
                <w:szCs w:val="18"/>
                <w:color w:val="auto"/>
              </w:rPr>
              <w:t>$</w:t>
            </w:r>
          </w:p>
        </w:tc>
        <w:tc>
          <w:tcPr>
            <w:tcW w:w="1320" w:type="dxa"/>
            <w:vAlign w:val="bottom"/>
            <w:tcBorders>
              <w:right w:val="single" w:sz="8" w:color="CCEEFF"/>
            </w:tcBorders>
            <w:gridSpan w:val="2"/>
            <w:shd w:val="clear" w:color="auto" w:fill="CCEEFF"/>
          </w:tcPr>
          <w:p>
            <w:pPr>
              <w:jc w:val="right"/>
              <w:ind w:right="140"/>
              <w:spacing w:after="0" w:line="205" w:lineRule="exact"/>
              <w:rPr>
                <w:sz w:val="20"/>
                <w:szCs w:val="20"/>
                <w:color w:val="auto"/>
              </w:rPr>
            </w:pPr>
            <w:r>
              <w:rPr>
                <w:rFonts w:ascii="Arial" w:cs="Arial" w:eastAsia="Arial" w:hAnsi="Arial"/>
                <w:sz w:val="18"/>
                <w:szCs w:val="18"/>
                <w:color w:val="auto"/>
              </w:rPr>
              <w:t>(278)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
              <w:spacing w:after="0" w:line="205" w:lineRule="exact"/>
              <w:rPr>
                <w:sz w:val="20"/>
                <w:szCs w:val="20"/>
                <w:color w:val="auto"/>
              </w:rPr>
            </w:pPr>
            <w:r>
              <w:rPr>
                <w:rFonts w:ascii="Arial" w:cs="Arial" w:eastAsia="Arial" w:hAnsi="Arial"/>
                <w:sz w:val="18"/>
                <w:szCs w:val="18"/>
                <w:color w:val="auto"/>
              </w:rPr>
              <w:t>(4)</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480" w:hanging="474"/>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2" w:lineRule="exact"/>
        <w:rPr>
          <w:rFonts w:ascii="Arial" w:cs="Arial" w:eastAsia="Arial" w:hAnsi="Arial"/>
          <w:sz w:val="18"/>
          <w:szCs w:val="18"/>
          <w:b w:val="1"/>
          <w:bCs w:val="1"/>
          <w:color w:val="auto"/>
        </w:rPr>
      </w:pPr>
    </w:p>
    <w:p>
      <w:pPr>
        <w:ind w:left="480" w:right="20"/>
        <w:spacing w:after="0" w:line="277" w:lineRule="auto"/>
        <w:rPr>
          <w:rFonts w:ascii="Arial" w:cs="Arial" w:eastAsia="Arial" w:hAnsi="Arial"/>
          <w:sz w:val="18"/>
          <w:szCs w:val="18"/>
          <w:b w:val="1"/>
          <w:bCs w:val="1"/>
          <w:color w:val="auto"/>
        </w:rPr>
      </w:pPr>
      <w:r>
        <w:rPr>
          <w:rFonts w:ascii="Arial" w:cs="Arial" w:eastAsia="Arial" w:hAnsi="Arial"/>
          <w:sz w:val="17"/>
          <w:szCs w:val="17"/>
          <w:color w:val="auto"/>
        </w:rPr>
        <w:t>From time-to-time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spacing w:after="0" w:line="164" w:lineRule="exact"/>
        <w:rPr>
          <w:rFonts w:ascii="Arial" w:cs="Arial" w:eastAsia="Arial" w:hAnsi="Arial"/>
          <w:sz w:val="18"/>
          <w:szCs w:val="18"/>
          <w:b w:val="1"/>
          <w:bCs w:val="1"/>
          <w:color w:val="auto"/>
        </w:rPr>
      </w:pPr>
    </w:p>
    <w:p>
      <w:pPr>
        <w:ind w:left="480" w:right="8320" w:hanging="474"/>
        <w:spacing w:after="0" w:line="494" w:lineRule="auto"/>
        <w:tabs>
          <w:tab w:leader="none" w:pos="47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Other Obligations Product Warranty</w:t>
      </w:r>
    </w:p>
    <w:p>
      <w:pPr>
        <w:spacing w:after="0" w:line="1" w:lineRule="exact"/>
        <w:rPr>
          <w:rFonts w:ascii="Arial" w:cs="Arial" w:eastAsia="Arial" w:hAnsi="Arial"/>
          <w:sz w:val="18"/>
          <w:szCs w:val="18"/>
          <w:b w:val="1"/>
          <w:bCs w:val="1"/>
          <w:color w:val="auto"/>
        </w:rPr>
      </w:pPr>
    </w:p>
    <w:p>
      <w:pPr>
        <w:ind w:left="480" w:right="20"/>
        <w:spacing w:after="0" w:line="294" w:lineRule="auto"/>
        <w:rPr>
          <w:rFonts w:ascii="Arial" w:cs="Arial" w:eastAsia="Arial" w:hAnsi="Arial"/>
          <w:sz w:val="18"/>
          <w:szCs w:val="18"/>
          <w:b w:val="1"/>
          <w:bCs w:val="1"/>
          <w:color w:val="auto"/>
        </w:rPr>
      </w:pPr>
      <w:r>
        <w:rPr>
          <w:rFonts w:ascii="Arial" w:cs="Arial" w:eastAsia="Arial" w:hAnsi="Arial"/>
          <w:sz w:val="17"/>
          <w:szCs w:val="17"/>
          <w:color w:val="auto"/>
        </w:rPr>
        <w:t>Our products are generally sold with warranty periods that range from 12 to 36 months following sale or acceptance. Parts and labor are covered under the terms of the warranty agreement. The warranty provision is based on historical and projected experience by product and configuration.</w:t>
      </w:r>
    </w:p>
    <w:p>
      <w:pPr>
        <w:sectPr>
          <w:pgSz w:w="11900" w:h="16838" w:orient="portrait"/>
          <w:cols w:equalWidth="0" w:num="1">
            <w:col w:w="11420"/>
          </w:cols>
          <w:pgMar w:left="240" w:top="118" w:right="239" w:bottom="1440" w:gutter="0" w:footer="0" w:header="0"/>
        </w:sectPr>
      </w:pPr>
    </w:p>
    <w:p>
      <w:pPr>
        <w:spacing w:after="0" w:line="15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Changes in accrued warranty were as follows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at beginning of period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Warranty expense accruals</w:t>
      </w:r>
    </w:p>
    <w:p>
      <w:pPr>
        <w:spacing w:after="0" w:line="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Warranty payments</w:t>
      </w:r>
    </w:p>
    <w:p>
      <w:pPr>
        <w:spacing w:after="0" w:line="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Warranty liability assumed</w:t>
      </w:r>
    </w:p>
    <w:p>
      <w:pPr>
        <w:spacing w:after="0" w:line="4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8"/>
                <w:szCs w:val="18"/>
                <w:color w:val="auto"/>
              </w:rPr>
            </w:pPr>
          </w:p>
        </w:tc>
        <w:tc>
          <w:tcPr>
            <w:tcW w:w="2360" w:type="dxa"/>
            <w:vAlign w:val="bottom"/>
            <w:gridSpan w:val="5"/>
          </w:tcPr>
          <w:p>
            <w:pPr>
              <w:jc w:val="right"/>
              <w:ind w:right="620"/>
              <w:spacing w:after="0"/>
              <w:rPr>
                <w:sz w:val="20"/>
                <w:szCs w:val="20"/>
                <w:color w:val="auto"/>
              </w:rPr>
            </w:pPr>
            <w:r>
              <w:rPr>
                <w:rFonts w:ascii="Arial" w:cs="Arial" w:eastAsia="Arial" w:hAnsi="Arial"/>
                <w:sz w:val="18"/>
                <w:szCs w:val="18"/>
                <w:color w:val="auto"/>
              </w:rPr>
              <w:t>Nine Months Ended</w:t>
            </w: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September 30,</w:t>
            </w: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September 24,</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w w:val="91"/>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September 24,</w:t>
            </w:r>
          </w:p>
        </w:tc>
      </w:tr>
      <w:tr>
        <w:trPr>
          <w:trHeight w:val="224"/>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line="194" w:lineRule="exact"/>
              <w:rPr>
                <w:sz w:val="20"/>
                <w:szCs w:val="20"/>
                <w:color w:val="auto"/>
              </w:rPr>
            </w:pPr>
            <w:r>
              <w:rPr>
                <w:rFonts w:ascii="Arial" w:cs="Arial" w:eastAsia="Arial" w:hAnsi="Arial"/>
                <w:sz w:val="18"/>
                <w:szCs w:val="18"/>
                <w:color w:val="auto"/>
              </w:rPr>
              <w:t>5,070</w:t>
            </w:r>
          </w:p>
        </w:tc>
        <w:tc>
          <w:tcPr>
            <w:tcW w:w="220" w:type="dxa"/>
            <w:vAlign w:val="bottom"/>
          </w:tcPr>
          <w:p>
            <w:pPr>
              <w:spacing w:after="0"/>
              <w:rPr>
                <w:sz w:val="16"/>
                <w:szCs w:val="16"/>
                <w:color w:val="auto"/>
              </w:rPr>
            </w:pPr>
          </w:p>
        </w:tc>
        <w:tc>
          <w:tcPr>
            <w:tcW w:w="260" w:type="dxa"/>
            <w:vAlign w:val="bottom"/>
          </w:tcPr>
          <w:p>
            <w:pPr>
              <w:jc w:val="right"/>
              <w:ind w:right="72"/>
              <w:spacing w:after="0" w:line="194" w:lineRule="exact"/>
              <w:rPr>
                <w:sz w:val="20"/>
                <w:szCs w:val="20"/>
                <w:color w:val="auto"/>
              </w:rPr>
            </w:pPr>
            <w:r>
              <w:rPr>
                <w:rFonts w:ascii="Arial" w:cs="Arial" w:eastAsia="Arial" w:hAnsi="Arial"/>
                <w:sz w:val="18"/>
                <w:szCs w:val="18"/>
                <w:color w:val="auto"/>
                <w:w w:val="79"/>
              </w:rPr>
              <w:t>$</w:t>
            </w:r>
          </w:p>
        </w:tc>
        <w:tc>
          <w:tcPr>
            <w:tcW w:w="920" w:type="dxa"/>
            <w:vAlign w:val="bottom"/>
          </w:tcPr>
          <w:p>
            <w:pPr>
              <w:jc w:val="center"/>
              <w:ind w:left="452"/>
              <w:spacing w:after="0" w:line="194" w:lineRule="exact"/>
              <w:rPr>
                <w:sz w:val="20"/>
                <w:szCs w:val="20"/>
                <w:color w:val="auto"/>
              </w:rPr>
            </w:pPr>
            <w:r>
              <w:rPr>
                <w:rFonts w:ascii="Arial" w:cs="Arial" w:eastAsia="Arial" w:hAnsi="Arial"/>
                <w:sz w:val="18"/>
                <w:szCs w:val="18"/>
                <w:color w:val="auto"/>
                <w:w w:val="84"/>
              </w:rPr>
              <w:t>5,118</w:t>
            </w:r>
          </w:p>
        </w:tc>
        <w:tc>
          <w:tcPr>
            <w:tcW w:w="220" w:type="dxa"/>
            <w:vAlign w:val="bottom"/>
          </w:tcPr>
          <w:p>
            <w:pPr>
              <w:spacing w:after="0"/>
              <w:rPr>
                <w:sz w:val="16"/>
                <w:szCs w:val="16"/>
                <w:color w:val="auto"/>
              </w:rPr>
            </w:pP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line="194" w:lineRule="exact"/>
              <w:rPr>
                <w:sz w:val="20"/>
                <w:szCs w:val="20"/>
                <w:color w:val="auto"/>
              </w:rPr>
            </w:pPr>
            <w:r>
              <w:rPr>
                <w:rFonts w:ascii="Arial" w:cs="Arial" w:eastAsia="Arial" w:hAnsi="Arial"/>
                <w:sz w:val="18"/>
                <w:szCs w:val="18"/>
                <w:color w:val="auto"/>
              </w:rPr>
              <w:t>4,350</w:t>
            </w:r>
          </w:p>
        </w:tc>
        <w:tc>
          <w:tcPr>
            <w:tcW w:w="240" w:type="dxa"/>
            <w:vAlign w:val="bottom"/>
          </w:tcPr>
          <w:p>
            <w:pPr>
              <w:jc w:val="right"/>
              <w:ind w:right="7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4" w:lineRule="exact"/>
              <w:rPr>
                <w:sz w:val="20"/>
                <w:szCs w:val="20"/>
                <w:color w:val="auto"/>
              </w:rPr>
            </w:pPr>
            <w:r>
              <w:rPr>
                <w:rFonts w:ascii="Arial" w:cs="Arial" w:eastAsia="Arial" w:hAnsi="Arial"/>
                <w:sz w:val="18"/>
                <w:szCs w:val="18"/>
                <w:color w:val="auto"/>
              </w:rPr>
              <w:t>4,886</w:t>
            </w:r>
          </w:p>
        </w:tc>
        <w:tc>
          <w:tcPr>
            <w:tcW w:w="6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center"/>
              <w:ind w:left="232"/>
              <w:spacing w:after="0"/>
              <w:rPr>
                <w:sz w:val="20"/>
                <w:szCs w:val="20"/>
                <w:color w:val="auto"/>
              </w:rPr>
            </w:pPr>
            <w:r>
              <w:rPr>
                <w:rFonts w:ascii="Arial" w:cs="Arial" w:eastAsia="Arial" w:hAnsi="Arial"/>
                <w:sz w:val="18"/>
                <w:szCs w:val="18"/>
                <w:color w:val="auto"/>
                <w:w w:val="84"/>
              </w:rPr>
              <w:t>1,320</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5,446</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4,586</w:t>
            </w: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(1,773)</w:t>
            </w:r>
          </w:p>
        </w:tc>
        <w:tc>
          <w:tcPr>
            <w:tcW w:w="260" w:type="dxa"/>
            <w:vAlign w:val="bottom"/>
          </w:tcPr>
          <w:p>
            <w:pPr>
              <w:spacing w:after="0"/>
              <w:rPr>
                <w:sz w:val="18"/>
                <w:szCs w:val="18"/>
                <w:color w:val="auto"/>
              </w:rPr>
            </w:pPr>
          </w:p>
        </w:tc>
        <w:tc>
          <w:tcPr>
            <w:tcW w:w="1140" w:type="dxa"/>
            <w:vAlign w:val="bottom"/>
            <w:gridSpan w:val="2"/>
          </w:tcPr>
          <w:p>
            <w:pPr>
              <w:jc w:val="center"/>
              <w:ind w:left="232"/>
              <w:spacing w:after="0"/>
              <w:rPr>
                <w:sz w:val="20"/>
                <w:szCs w:val="20"/>
                <w:color w:val="auto"/>
              </w:rPr>
            </w:pPr>
            <w:r>
              <w:rPr>
                <w:rFonts w:ascii="Arial" w:cs="Arial" w:eastAsia="Arial" w:hAnsi="Arial"/>
                <w:sz w:val="18"/>
                <w:szCs w:val="18"/>
                <w:color w:val="auto"/>
                <w:w w:val="87"/>
              </w:rPr>
              <w:t>(1,401)</w:t>
            </w:r>
          </w:p>
        </w:tc>
        <w:tc>
          <w:tcPr>
            <w:tcW w:w="2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(4,829)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(4,435)</w:t>
            </w: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6"/>
        </w:trPr>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5,017</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20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center"/>
              <w:ind w:left="452"/>
              <w:spacing w:after="0" w:line="206" w:lineRule="exact"/>
              <w:rPr>
                <w:sz w:val="20"/>
                <w:szCs w:val="20"/>
                <w:color w:val="auto"/>
              </w:rPr>
            </w:pPr>
            <w:r>
              <w:rPr>
                <w:rFonts w:ascii="Arial" w:cs="Arial" w:eastAsia="Arial" w:hAnsi="Arial"/>
                <w:sz w:val="18"/>
                <w:szCs w:val="18"/>
                <w:color w:val="auto"/>
                <w:w w:val="84"/>
              </w:rPr>
              <w:t>5,037</w:t>
            </w:r>
          </w:p>
        </w:tc>
        <w:tc>
          <w:tcPr>
            <w:tcW w:w="2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5,017</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5,037</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-3376295</wp:posOffset>
            </wp:positionH>
            <wp:positionV relativeFrom="paragraph">
              <wp:posOffset>-705485</wp:posOffset>
            </wp:positionV>
            <wp:extent cx="6878955"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8955" cy="13462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-436880</wp:posOffset>
            </wp:positionV>
            <wp:extent cx="6878955" cy="13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8955" cy="13462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-159385</wp:posOffset>
            </wp:positionV>
            <wp:extent cx="6878955" cy="160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78955" cy="160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118" w:right="239" w:bottom="1440" w:gutter="0" w:footer="0" w:header="0"/>
          <w:type w:val="continuous"/>
        </w:sectPr>
      </w:pPr>
    </w:p>
    <w:p>
      <w:pPr>
        <w:ind w:left="480" w:right="540"/>
        <w:spacing w:after="0" w:line="294" w:lineRule="auto"/>
        <w:rPr>
          <w:sz w:val="20"/>
          <w:szCs w:val="20"/>
          <w:color w:val="auto"/>
        </w:rPr>
      </w:pPr>
      <w:r>
        <w:rPr>
          <w:rFonts w:ascii="Arial" w:cs="Arial" w:eastAsia="Arial" w:hAnsi="Arial"/>
          <w:sz w:val="17"/>
          <w:szCs w:val="17"/>
          <w:color w:val="auto"/>
        </w:rPr>
        <w:t>Accrued warranty amounts expected to be incurred after one year are included in noncurrent other accrued liabilities in the condensed consolidated balance sheet. These amounts total $0.7 million at September 30, 2017 and $0.6 million at December 31, 2016.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18" w:name="page19"/>
    <w:bookmarkEnd w:id="1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Borrowings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Revolving Lines of Credit</w:t>
      </w:r>
    </w:p>
    <w:p>
      <w:pPr>
        <w:spacing w:after="0" w:line="217" w:lineRule="exact"/>
        <w:rPr>
          <w:sz w:val="20"/>
          <w:szCs w:val="20"/>
          <w:color w:val="auto"/>
        </w:rPr>
      </w:pPr>
    </w:p>
    <w:p>
      <w:pPr>
        <w:ind w:left="480" w:right="200"/>
        <w:spacing w:after="0" w:line="268" w:lineRule="auto"/>
        <w:rPr>
          <w:sz w:val="20"/>
          <w:szCs w:val="20"/>
          <w:color w:val="auto"/>
        </w:rPr>
      </w:pPr>
      <w:r>
        <w:rPr>
          <w:rFonts w:ascii="Arial" w:cs="Arial" w:eastAsia="Arial" w:hAnsi="Arial"/>
          <w:sz w:val="17"/>
          <w:szCs w:val="17"/>
          <w:color w:val="auto"/>
        </w:rPr>
        <w:t>As a result of the Acquisition, we assumed a series of revolving credit facilities with various financial institutions in Japan. The credit facilities renew monthly and provide Kita with access to working capital totaling up to $6.2 million. At September 30, 2017, total borrowings outstanding under the revolving lines of credit were $3.1 million. As these credit facility agreements renew monthly, they have been included in short-term borrowings in our condensed consolidated balance sheet. The revolving lines of credit are denominated in Japanese Yen and, as a result, amounts disclosed herein will fluctuate because of changes in currency exchange rates.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Term Loans</w:t>
      </w:r>
    </w:p>
    <w:p>
      <w:pPr>
        <w:spacing w:after="0" w:line="217" w:lineRule="exact"/>
        <w:rPr>
          <w:sz w:val="20"/>
          <w:szCs w:val="20"/>
          <w:color w:val="auto"/>
        </w:rPr>
      </w:pPr>
    </w:p>
    <w:p>
      <w:pPr>
        <w:ind w:left="480" w:right="20"/>
        <w:spacing w:after="0" w:line="266" w:lineRule="auto"/>
        <w:rPr>
          <w:sz w:val="20"/>
          <w:szCs w:val="20"/>
          <w:color w:val="auto"/>
        </w:rPr>
      </w:pPr>
      <w:r>
        <w:rPr>
          <w:rFonts w:ascii="Arial" w:cs="Arial" w:eastAsia="Arial" w:hAnsi="Arial"/>
          <w:sz w:val="17"/>
          <w:szCs w:val="17"/>
          <w:color w:val="auto"/>
        </w:rPr>
        <w:t>As a result of the Acquisition, we assumed certain term loans from a series of Japanese financial institutions that had an aggregate amount outstanding of $6.2 million as of September 30, 2017 primarily related to the expansion of Kita’s facility in Osaka, Japan. The loans are collateralized by the facility and land, carry interest rates ranging from 0.05% to 0.45%, and expire at various dates through 2034. At September 30, 2017, $1.3 million of the term loans have been included in current installments of long-term debt in our condensed consolidated balance sheet. The fair value of our debt approximates the carrying value at September 30, 2017. The term loans are denominated in Japanese Yen and, as a result, amounts disclosed herein will fluctuate because of changes in currency exchange rates.</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Lines of Credit</w:t>
      </w:r>
    </w:p>
    <w:p>
      <w:pPr>
        <w:spacing w:after="0" w:line="217" w:lineRule="exact"/>
        <w:rPr>
          <w:sz w:val="20"/>
          <w:szCs w:val="20"/>
          <w:color w:val="auto"/>
        </w:rPr>
      </w:pPr>
    </w:p>
    <w:p>
      <w:pPr>
        <w:ind w:left="480"/>
        <w:spacing w:after="0" w:line="264" w:lineRule="auto"/>
        <w:rPr>
          <w:sz w:val="20"/>
          <w:szCs w:val="20"/>
          <w:color w:val="auto"/>
        </w:rPr>
      </w:pPr>
      <w:r>
        <w:rPr>
          <w:rFonts w:ascii="Arial" w:cs="Arial" w:eastAsia="Arial" w:hAnsi="Arial"/>
          <w:sz w:val="18"/>
          <w:szCs w:val="18"/>
          <w:color w:val="auto"/>
        </w:rPr>
        <w:t>We have two available lines of credit, which provide one of our wholly owned subsidiaries with borrowings up to 2.5 million Swiss Francs. At September 30, 2017 and December 31, 2016, no amounts were outstanding under the lines of credit.</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i w:val="1"/>
          <w:iCs w:val="1"/>
          <w:u w:val="single" w:color="auto"/>
          <w:color w:val="auto"/>
        </w:rPr>
        <w:t>Standby Letters of Credit</w:t>
      </w:r>
    </w:p>
    <w:p>
      <w:pPr>
        <w:spacing w:after="0" w:line="217" w:lineRule="exact"/>
        <w:rPr>
          <w:sz w:val="20"/>
          <w:szCs w:val="20"/>
          <w:color w:val="auto"/>
        </w:rPr>
      </w:pPr>
    </w:p>
    <w:p>
      <w:pPr>
        <w:ind w:left="480" w:right="60"/>
        <w:spacing w:after="0" w:line="264" w:lineRule="auto"/>
        <w:rPr>
          <w:sz w:val="20"/>
          <w:szCs w:val="20"/>
          <w:color w:val="auto"/>
        </w:rPr>
      </w:pPr>
      <w:r>
        <w:rPr>
          <w:rFonts w:ascii="Arial" w:cs="Arial" w:eastAsia="Arial" w:hAnsi="Arial"/>
          <w:sz w:val="18"/>
          <w:szCs w:val="18"/>
          <w:color w:val="auto"/>
        </w:rPr>
        <w:t>During the ordinary course of business, from time-to-time we provide standby letters of credit instruments to certain parties as required. As of September 30, 2017, no amounts were outstanding under standby lines of credit.</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19" w:name="page20"/>
    <w:bookmarkEnd w:id="1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3"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management’s current expectations and beliefs, including estimates and projections about our business and include, but are not limited to, statements concerning financial position, business strategy, and plans or objectives for future operations. Forward-looking statements are not guarantees of future performance, and are subject to certain risks, uncertainties, and assumptions that are difficult to predict and may cause actual results to differ materially from management’s current expectations. Such risks and uncertainties include those set forth in this Quarterly Report on Form 10-Q and our 2016 Annual Report on Form 10-K under the heading “Item 1A. Risk Factors”. The forward-looking statements in this report speak only as of the time they are made, and do not necessarily reflect management’s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3"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Cohu is a leading supplier of semiconductor test and inspection handlers, micro-electro mechanical system (MEMS) test modules, test contactors and thermal subsystems used by global semiconductor manufacturers and test subcontractors. Our business is significantly dependent on capital expenditures by semiconductor manufacturers and test subcontractors, which in turn is dependent on the current and anticipated market demand for semiconductors that is subject to seasonal trends. We expect that the semiconductor equipment industry will continue to be seasonal in part because consumer electronics, automotive and mobility, the principal end markets for integrated circuits, are highly dynamic industries and demand has traditionally fluctuated with global consumer spending. In light of these conditions, our results can vary significantly year-over-year, as well as quarter-over-quarter.</w:t>
      </w:r>
    </w:p>
    <w:p>
      <w:pPr>
        <w:spacing w:after="0" w:line="155" w:lineRule="exact"/>
        <w:rPr>
          <w:sz w:val="20"/>
          <w:szCs w:val="20"/>
          <w:color w:val="auto"/>
        </w:rPr>
      </w:pPr>
    </w:p>
    <w:p>
      <w:pPr>
        <w:ind w:right="100"/>
        <w:spacing w:after="0" w:line="306" w:lineRule="auto"/>
        <w:rPr>
          <w:sz w:val="20"/>
          <w:szCs w:val="20"/>
          <w:color w:val="auto"/>
        </w:rPr>
      </w:pPr>
      <w:r>
        <w:rPr>
          <w:rFonts w:ascii="Arial" w:cs="Arial" w:eastAsia="Arial" w:hAnsi="Arial"/>
          <w:sz w:val="15"/>
          <w:szCs w:val="15"/>
          <w:color w:val="auto"/>
        </w:rPr>
        <w:t>During the quarter ended September 30, 2017, sales of our products were essentially flat quarter over quarter, however, consolidated net sales increased 35.2% from the quarter ended September 24, 2016, as a result of the improved business conditions within the semiconductor industry and our success in growing share in the test handler and test contactor markets. In 2017, demand was driven primarily by semiconductor equipment for testing devices used in automotive, mobility and IoT (Internet of Things) markets. Customer test cell utilization remains strong and long-term, we continue to see momentum in the consumer electronics, automotive, mobile and industrial markets and are optimistic about the prospects for our business due to increasing ubiquity of semiconductors, the diminishing impact of parallel test, increasing semiconductor complexity and increasing quality demands of semiconductor customers. We are focused on growing our market share in the semiconductor test handling and test contactor markets, and expanding into the semiconductor inspection market.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Estimates and Policies</w:t>
      </w:r>
    </w:p>
    <w:p>
      <w:pPr>
        <w:spacing w:after="0" w:line="223"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spacing w:after="0" w:line="15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critical accounting estimates that we believe are the most important to an investor’s understanding of our financial results and condition and require complex management judgment include:</w:t>
      </w:r>
    </w:p>
    <w:p>
      <w:pPr>
        <w:spacing w:after="0" w:line="180" w:lineRule="exact"/>
        <w:rPr>
          <w:sz w:val="20"/>
          <w:szCs w:val="20"/>
          <w:color w:val="auto"/>
        </w:rPr>
      </w:pPr>
    </w:p>
    <w:p>
      <w:pPr>
        <w:ind w:left="480" w:hanging="315"/>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recognition, including the deferral of revenue on sales to customers, which impacts our results of operations;</w:t>
      </w:r>
    </w:p>
    <w:p>
      <w:pPr>
        <w:spacing w:after="0" w:line="16" w:lineRule="exact"/>
        <w:rPr>
          <w:rFonts w:ascii="Arial" w:cs="Arial" w:eastAsia="Arial" w:hAnsi="Arial"/>
          <w:sz w:val="18"/>
          <w:szCs w:val="18"/>
          <w:color w:val="auto"/>
        </w:rPr>
      </w:pPr>
    </w:p>
    <w:p>
      <w:pPr>
        <w:ind w:left="480" w:right="280" w:hanging="315"/>
        <w:spacing w:after="0" w:line="245"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estimation of valuation allowances and accrued liabilities, specifically product warranty, inventory reserves and allowance for bad debts, which impact gross margin or operating expenses;</w:t>
      </w:r>
    </w:p>
    <w:p>
      <w:pPr>
        <w:spacing w:after="0" w:line="1" w:lineRule="exact"/>
        <w:rPr>
          <w:rFonts w:ascii="Arial" w:cs="Arial" w:eastAsia="Arial" w:hAnsi="Arial"/>
          <w:sz w:val="18"/>
          <w:szCs w:val="18"/>
          <w:color w:val="auto"/>
        </w:rPr>
      </w:pPr>
    </w:p>
    <w:p>
      <w:pPr>
        <w:ind w:left="480" w:right="500" w:hanging="315"/>
        <w:spacing w:after="0" w:line="245"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recognition and measurement of current and deferred income tax assets and liabilities, unrecognized tax benefits and the valuation allowance on deferred tax assets, which impact our tax provision;</w:t>
      </w:r>
    </w:p>
    <w:p>
      <w:pPr>
        <w:spacing w:after="0" w:line="1" w:lineRule="exact"/>
        <w:rPr>
          <w:rFonts w:ascii="Arial" w:cs="Arial" w:eastAsia="Arial" w:hAnsi="Arial"/>
          <w:sz w:val="18"/>
          <w:szCs w:val="18"/>
          <w:color w:val="auto"/>
        </w:rPr>
      </w:pPr>
    </w:p>
    <w:p>
      <w:pPr>
        <w:ind w:left="480" w:right="300" w:hanging="315"/>
        <w:spacing w:after="0" w:line="245"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assessment of recoverability of long-lived assets including goodwill and other intangible assets, which primarily impacts gross margin or operating expenses if we are required to record impairments of assets or accelerate their depreciation or amortization; and</w:t>
      </w:r>
    </w:p>
    <w:p>
      <w:pPr>
        <w:spacing w:after="0" w:line="1" w:lineRule="exact"/>
        <w:rPr>
          <w:rFonts w:ascii="Arial" w:cs="Arial" w:eastAsia="Arial" w:hAnsi="Arial"/>
          <w:sz w:val="18"/>
          <w:szCs w:val="18"/>
          <w:color w:val="auto"/>
        </w:rPr>
      </w:pPr>
    </w:p>
    <w:p>
      <w:pPr>
        <w:ind w:left="480" w:right="400" w:hanging="315"/>
        <w:spacing w:after="0" w:line="251"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valuation and recognition of share-based compensation, which impacts gross margin, research and development expense, and selling, general and administrative expense.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spacing w:after="0" w:line="180"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We generally recognize revenue upon shipment and title passage for established products (i.e., those that have previously satisfied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 In certain instances, customer payment terms may provide that a minority portion (e.g. up to 20%) of the equipment purchase price be paid only upon customer acceptance. In those situations, the majority portion (e.g. 80%) of revenue where the contingent payment is tied to shipment and the entire product cost of sale are recognized upon shipment and passage of title and the minority portion of the purchase price related to customer acceptance is deferred and recognized upon receipt of customer acceptance. For arrangements containing multiple elements the revenue relating to the undelivered elements is deferred using the relative selling price method utilizing estimated sales prices until delivery of the deferred elements. We limit the amount of revenue recognition for delivered elements to the amount that is not contingent on the future delivery of products or services, future performance obligations or subject to customer-specified return or adjustment. On shipments where sales are not recognized, gross profit is generally recorded as deferred profit in our consolidated balance sheet, representing the difference between the receivable recorded and the inventory shipped.</w:t>
      </w:r>
    </w:p>
    <w:p>
      <w:pPr>
        <w:spacing w:after="0" w:line="18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b w:val="1"/>
          <w:bCs w:val="1"/>
          <w:i w:val="1"/>
          <w:iCs w:val="1"/>
          <w:color w:val="auto"/>
        </w:rPr>
        <w:t xml:space="preserve">Accounts Receivable: </w:t>
      </w:r>
      <w:r>
        <w:rPr>
          <w:rFonts w:ascii="Arial" w:cs="Arial" w:eastAsia="Arial" w:hAnsi="Arial"/>
          <w:sz w:val="18"/>
          <w:szCs w:val="18"/>
          <w:color w:val="auto"/>
        </w:rPr>
        <w:t>We maintain an allowance for doubtful accounts for estimated losses resulting from the inability of our customers to make required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payments. If the financial condition of our customers deteriorates, resulting in an impairment of their ability to make payments, additional allowances may be required.</w:t>
      </w:r>
    </w:p>
    <w:p>
      <w:pPr>
        <w:spacing w:after="0" w:line="18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b w:val="1"/>
          <w:bCs w:val="1"/>
          <w:i w:val="1"/>
          <w:iCs w:val="1"/>
          <w:color w:val="auto"/>
        </w:rPr>
        <w:t xml:space="preserve">Inventory: </w:t>
      </w:r>
      <w:r>
        <w:rPr>
          <w:rFonts w:ascii="Arial" w:cs="Arial" w:eastAsia="Arial" w:hAnsi="Arial"/>
          <w:sz w:val="17"/>
          <w:szCs w:val="17"/>
          <w:color w:val="auto"/>
        </w:rPr>
        <w:t>The valuation of inventory requires us to estimate obsolete or excess inventory as well as inventory that is not of saleable quality. The determination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spacing w:after="0" w:line="184" w:lineRule="exact"/>
        <w:rPr>
          <w:sz w:val="20"/>
          <w:szCs w:val="20"/>
          <w:color w:val="auto"/>
        </w:rPr>
      </w:pPr>
    </w:p>
    <w:p>
      <w:pPr>
        <w:ind w:right="100"/>
        <w:spacing w:after="0" w:line="303"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We estimate our liability for income taxes based on the various jurisdictions where we conduct business. This requires us to estimate our (i)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current taxes; (ii) temporary differences that result from differing treatment of certain items for tax and accounting purposes and (iii) unrecognized tax benefits. Temporary differences result in deferred tax assets and liabilities that are reflected in the consolidated balance sheet. The deferred tax assets are analyzed and reduced by a valuation allowance by jurisdiction, if, based upon all available evidence, it is more likely than not that some or all of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gross deferred tax asset balance as of September 30, 2017 was approximately $50.1 million, with a valuation allowance of approximately $46.5 million. Our deferred tax assets consist primarily of deferred gains and profits, reserves and accruals that are not yet deductible for tax and tax credit and net operating loss carryforwards.</w:t>
      </w:r>
    </w:p>
    <w:p>
      <w:pPr>
        <w:spacing w:after="0" w:line="159" w:lineRule="exact"/>
        <w:rPr>
          <w:sz w:val="20"/>
          <w:szCs w:val="20"/>
          <w:color w:val="auto"/>
        </w:rPr>
      </w:pPr>
    </w:p>
    <w:p>
      <w:pPr>
        <w:spacing w:after="0" w:line="308" w:lineRule="auto"/>
        <w:rPr>
          <w:sz w:val="20"/>
          <w:szCs w:val="20"/>
          <w:color w:val="auto"/>
        </w:rPr>
      </w:pPr>
      <w:r>
        <w:rPr>
          <w:rFonts w:ascii="Arial" w:cs="Arial" w:eastAsia="Arial" w:hAnsi="Arial"/>
          <w:sz w:val="15"/>
          <w:szCs w:val="15"/>
          <w:b w:val="1"/>
          <w:bCs w:val="1"/>
          <w:i w:val="1"/>
          <w:iCs w:val="1"/>
          <w:color w:val="auto"/>
        </w:rPr>
        <w:t xml:space="preserve">Segment Information: </w:t>
      </w:r>
      <w:r>
        <w:rPr>
          <w:rFonts w:ascii="Arial" w:cs="Arial" w:eastAsia="Arial" w:hAnsi="Arial"/>
          <w:sz w:val="15"/>
          <w:szCs w:val="15"/>
          <w:color w:val="auto"/>
        </w:rPr>
        <w:t>We applied the provisions of ASC Topic 280,</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Segment Reporting</w:t>
      </w:r>
      <w:r>
        <w:rPr>
          <w:rFonts w:ascii="Arial" w:cs="Arial" w:eastAsia="Arial" w:hAnsi="Arial"/>
          <w:sz w:val="15"/>
          <w:szCs w:val="15"/>
          <w:color w:val="auto"/>
        </w:rPr>
        <w:t>, (“ASC 280”), which sets forth a management approach to segment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and for which discrete financial information is available. Based on the provisions of ASC 280, we have determined that our identified operating segments qualify for aggregation under ASC 280 due to similarities in their customers, their economic characteristics, and the nature of products and services provided. As a result, we report in one segment, semiconductor equipment.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1" w:name="page22"/>
    <w:bookmarkEnd w:id="2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 Assets and Long-lived Assets:</w:t>
      </w:r>
    </w:p>
    <w:p>
      <w:pPr>
        <w:spacing w:after="0" w:line="16"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We evaluate goodwill for impairment annually and when an event occurs or circumstances change that indicate that the carrying value may not be recoverable.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estimated the fair values of our reporting units primarily using the income approach valuation methodology that includes the discounted cash flow method, taking into consideration the market approach and certain market multiples as a validation of the values derived using the discounted cash flow methodology. Forecasts of future cash flows are based on our best estimate of future net sales and operating expenses, based primarily on customer forecasts, industry trade organization data and general economic conditions.</w:t>
      </w:r>
    </w:p>
    <w:p>
      <w:pPr>
        <w:spacing w:after="0" w:line="175"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 xml:space="preserve">We conduct our annual impairment test as of October </w:t>
      </w:r>
      <w:r>
        <w:rPr>
          <w:rFonts w:ascii="Arial" w:cs="Arial" w:eastAsia="Arial" w:hAnsi="Arial"/>
          <w:sz w:val="15"/>
          <w:szCs w:val="15"/>
          <w:color w:val="auto"/>
        </w:rPr>
        <w:t>1st of each year, and have determined there was no impairment as of October 1, 2016 as we</w:t>
      </w:r>
      <w:r>
        <w:rPr>
          <w:rFonts w:ascii="Arial" w:cs="Arial" w:eastAsia="Arial" w:hAnsi="Arial"/>
          <w:sz w:val="19"/>
          <w:szCs w:val="19"/>
          <w:color w:val="auto"/>
        </w:rPr>
        <w:t xml:space="preserve"> </w:t>
      </w:r>
      <w:r>
        <w:rPr>
          <w:rFonts w:ascii="Arial" w:cs="Arial" w:eastAsia="Arial" w:hAnsi="Arial"/>
          <w:sz w:val="15"/>
          <w:szCs w:val="15"/>
          <w:color w:val="auto"/>
        </w:rPr>
        <w:t xml:space="preserve">determined that the estimated fair values of our reporting units exceeded their carrying values on that date. Other events and changes in circumstances may also require goodwill to be tested for impairment between annual measurement dates. </w:t>
      </w:r>
      <w:r>
        <w:rPr>
          <w:rFonts w:ascii="Arial" w:cs="Arial" w:eastAsia="Arial" w:hAnsi="Arial"/>
          <w:sz w:val="19"/>
          <w:szCs w:val="19"/>
          <w:color w:val="auto"/>
        </w:rPr>
        <w:t>As of September 30, 2017, we do not believe that circumstances</w:t>
      </w:r>
      <w:r>
        <w:rPr>
          <w:rFonts w:ascii="Arial" w:cs="Arial" w:eastAsia="Arial" w:hAnsi="Arial"/>
          <w:sz w:val="15"/>
          <w:szCs w:val="15"/>
          <w:color w:val="auto"/>
        </w:rPr>
        <w:t xml:space="preserve"> </w:t>
      </w:r>
      <w:r>
        <w:rPr>
          <w:rFonts w:ascii="Arial" w:cs="Arial" w:eastAsia="Arial" w:hAnsi="Arial"/>
          <w:sz w:val="19"/>
          <w:szCs w:val="19"/>
          <w:color w:val="auto"/>
        </w:rPr>
        <w:t xml:space="preserve">have occurred that indicate impairment of our goodwill is more-likely-than-not. </w:t>
      </w:r>
      <w:r>
        <w:rPr>
          <w:rFonts w:ascii="Arial" w:cs="Arial" w:eastAsia="Arial" w:hAnsi="Arial"/>
          <w:sz w:val="15"/>
          <w:szCs w:val="15"/>
          <w:color w:val="auto"/>
        </w:rPr>
        <w:t>In the event we determine that an interim goodwill impairment</w:t>
      </w:r>
      <w:r>
        <w:rPr>
          <w:rFonts w:ascii="Arial" w:cs="Arial" w:eastAsia="Arial" w:hAnsi="Arial"/>
          <w:sz w:val="19"/>
          <w:szCs w:val="19"/>
          <w:color w:val="auto"/>
        </w:rPr>
        <w:t xml:space="preserve"> </w:t>
      </w:r>
      <w:r>
        <w:rPr>
          <w:rFonts w:ascii="Arial" w:cs="Arial" w:eastAsia="Arial" w:hAnsi="Arial"/>
          <w:sz w:val="15"/>
          <w:szCs w:val="15"/>
          <w:color w:val="auto"/>
        </w:rPr>
        <w:t>review is required in a future period, the review may result in an impairment charge, which would have a negative impact on our results of operations.</w:t>
      </w:r>
    </w:p>
    <w:p>
      <w:pPr>
        <w:spacing w:after="0" w:line="165"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Long-lived assets, other than goodwill,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w:t>
      </w:r>
      <w:r>
        <w:rPr>
          <w:rFonts w:ascii="Arial" w:cs="Arial" w:eastAsia="Arial" w:hAnsi="Arial"/>
          <w:sz w:val="17"/>
          <w:szCs w:val="17"/>
          <w:color w:val="auto"/>
        </w:rPr>
        <w:t>’s carrying amount is not recoverable through its</w:t>
      </w:r>
      <w:r>
        <w:rPr>
          <w:rFonts w:ascii="Arial" w:cs="Arial" w:eastAsia="Arial" w:hAnsi="Arial"/>
          <w:sz w:val="21"/>
          <w:szCs w:val="21"/>
          <w:color w:val="auto"/>
        </w:rPr>
        <w:t xml:space="preserve"> </w:t>
      </w:r>
      <w:r>
        <w:rPr>
          <w:rFonts w:ascii="Arial" w:cs="Arial" w:eastAsia="Arial" w:hAnsi="Arial"/>
          <w:sz w:val="17"/>
          <w:szCs w:val="17"/>
          <w:color w:val="auto"/>
        </w:rPr>
        <w:t>undiscounted, probability-weighted future cash flows. We measure the impairment loss based on the difference between the carrying amount and estimated fair value.</w:t>
      </w:r>
    </w:p>
    <w:p>
      <w:pPr>
        <w:spacing w:after="0" w:line="197" w:lineRule="exact"/>
        <w:rPr>
          <w:sz w:val="20"/>
          <w:szCs w:val="20"/>
          <w:color w:val="auto"/>
        </w:rPr>
      </w:pPr>
    </w:p>
    <w:p>
      <w:pPr>
        <w:jc w:val="both"/>
        <w:ind w:right="480"/>
        <w:spacing w:after="0" w:line="262" w:lineRule="auto"/>
        <w:rPr>
          <w:sz w:val="20"/>
          <w:szCs w:val="20"/>
          <w:color w:val="auto"/>
        </w:rPr>
      </w:pPr>
      <w:r>
        <w:rPr>
          <w:rFonts w:ascii="Arial" w:cs="Arial" w:eastAsia="Arial" w:hAnsi="Arial"/>
          <w:sz w:val="20"/>
          <w:szCs w:val="20"/>
          <w:b w:val="1"/>
          <w:bCs w:val="1"/>
          <w:i w:val="1"/>
          <w:iCs w:val="1"/>
          <w:color w:val="auto"/>
        </w:rPr>
        <w:t xml:space="preserve">Warranty: </w:t>
      </w:r>
      <w:r>
        <w:rPr>
          <w:rFonts w:ascii="Arial" w:cs="Arial" w:eastAsia="Arial" w:hAnsi="Arial"/>
          <w:sz w:val="16"/>
          <w:szCs w:val="16"/>
          <w:color w:val="auto"/>
        </w:rPr>
        <w:t>We provide for the estimated costs of product warranties in the period sales are recognized. Our warranty obligation estimates are affected by</w:t>
      </w:r>
      <w:r>
        <w:rPr>
          <w:rFonts w:ascii="Arial" w:cs="Arial" w:eastAsia="Arial" w:hAnsi="Arial"/>
          <w:sz w:val="20"/>
          <w:szCs w:val="20"/>
          <w:b w:val="1"/>
          <w:bCs w:val="1"/>
          <w:i w:val="1"/>
          <w:iCs w:val="1"/>
          <w:color w:val="auto"/>
        </w:rPr>
        <w:t xml:space="preserve"> </w:t>
      </w:r>
      <w:r>
        <w:rPr>
          <w:rFonts w:ascii="Arial" w:cs="Arial" w:eastAsia="Arial" w:hAnsi="Arial"/>
          <w:sz w:val="16"/>
          <w:szCs w:val="16"/>
          <w:color w:val="auto"/>
        </w:rPr>
        <w:t>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spacing w:after="0" w:line="392" w:lineRule="exact"/>
        <w:rPr>
          <w:sz w:val="20"/>
          <w:szCs w:val="20"/>
          <w:color w:val="auto"/>
        </w:rPr>
      </w:pPr>
    </w:p>
    <w:p>
      <w:pPr>
        <w:jc w:val="both"/>
        <w:ind w:right="320"/>
        <w:spacing w:after="0" w:line="277"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We are subject to certain contingencies that arise in the ordinary course of our businesses which require us to assess the likelihood that future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events will confirm the existence of a loss or an impairment of an asset. If a loss or asset impairment is probable and the amount of the loss or impairment is reasonably estimable, we accrue a charge to operations in the period such conditions become known.</w:t>
      </w:r>
    </w:p>
    <w:p>
      <w:pPr>
        <w:spacing w:after="0" w:line="17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Share-based compensation expense related to restricted stock unit awards is calculated based on the market price of our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on the grant date, reduced by the present value of dividends expected to be paid on our common stock prior to vesting of the restricted stock unit. Share-based compensation on performance stock units with market-based goals is calculated using a Monte Carlo simulation model on the date of the grant. Share-based compensation expense related to stock options is recorded based on the fair value of the award on its grant date, which we estimate using the Black-Scholes valuation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3"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For a description of accounting changes and recent accounting pronouncements, including the expected dates of adoption and estimated effects, if any, on our consolidated financial statements, see Note 1, “Recent Accounting Pronouncements” in Part I, Item 1 of this Form 10-Q.</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On January 4, 2017, we completed the acquisition of Kita and the results of its operations have been included in our consolidated financial statements since that date. The following table summarizes certain operating data as a percentage of net sales:</w:t>
      </w:r>
    </w:p>
    <w:p>
      <w:pPr>
        <w:spacing w:after="0" w:line="174" w:lineRule="exact"/>
        <w:rPr>
          <w:sz w:val="20"/>
          <w:szCs w:val="20"/>
          <w:color w:val="auto"/>
        </w:rPr>
      </w:pPr>
    </w:p>
    <w:tbl>
      <w:tblPr>
        <w:tblLayout w:type="fixed"/>
        <w:tblInd w:w="64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98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Three Months Ended</w:t>
            </w:r>
          </w:p>
        </w:tc>
        <w:tc>
          <w:tcPr>
            <w:tcW w:w="28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Nine Months Ended</w:t>
            </w:r>
          </w:p>
        </w:tc>
      </w:tr>
      <w:tr>
        <w:trPr>
          <w:trHeight w:val="212"/>
        </w:trPr>
        <w:tc>
          <w:tcPr>
            <w:tcW w:w="50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September 30,</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September 24,</w:t>
            </w: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September 30,</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September 24,</w:t>
            </w:r>
          </w:p>
        </w:tc>
      </w:tr>
      <w:tr>
        <w:trPr>
          <w:trHeight w:val="230"/>
        </w:trPr>
        <w:tc>
          <w:tcPr>
            <w:tcW w:w="5000" w:type="dxa"/>
            <w:vAlign w:val="bottom"/>
          </w:tcPr>
          <w:p>
            <w:pPr>
              <w:spacing w:after="0"/>
              <w:rPr>
                <w:sz w:val="19"/>
                <w:szCs w:val="19"/>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r>
      <w:tr>
        <w:trPr>
          <w:trHeight w:val="206"/>
        </w:trPr>
        <w:tc>
          <w:tcPr>
            <w:tcW w:w="50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Net sales</w:t>
            </w:r>
          </w:p>
        </w:tc>
        <w:tc>
          <w:tcPr>
            <w:tcW w:w="150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100.0%</w:t>
            </w:r>
          </w:p>
        </w:tc>
        <w:tc>
          <w:tcPr>
            <w:tcW w:w="1480" w:type="dxa"/>
            <w:vAlign w:val="bottom"/>
            <w:gridSpan w:val="2"/>
            <w:shd w:val="clear" w:color="auto" w:fill="CCEEFF"/>
          </w:tcPr>
          <w:p>
            <w:pPr>
              <w:jc w:val="right"/>
              <w:ind w:right="180"/>
              <w:spacing w:after="0" w:line="206" w:lineRule="exact"/>
              <w:rPr>
                <w:sz w:val="20"/>
                <w:szCs w:val="20"/>
                <w:color w:val="auto"/>
              </w:rPr>
            </w:pPr>
            <w:r>
              <w:rPr>
                <w:rFonts w:ascii="Arial" w:cs="Arial" w:eastAsia="Arial" w:hAnsi="Arial"/>
                <w:sz w:val="18"/>
                <w:szCs w:val="18"/>
                <w:color w:val="auto"/>
              </w:rPr>
              <w:t>100.0%</w:t>
            </w:r>
          </w:p>
        </w:tc>
        <w:tc>
          <w:tcPr>
            <w:tcW w:w="1380" w:type="dxa"/>
            <w:vAlign w:val="bottom"/>
            <w:gridSpan w:val="2"/>
            <w:shd w:val="clear" w:color="auto" w:fill="CCEEFF"/>
          </w:tcPr>
          <w:p>
            <w:pPr>
              <w:jc w:val="right"/>
              <w:ind w:right="60"/>
              <w:spacing w:after="0" w:line="206" w:lineRule="exact"/>
              <w:rPr>
                <w:sz w:val="20"/>
                <w:szCs w:val="20"/>
                <w:color w:val="auto"/>
              </w:rPr>
            </w:pPr>
            <w:r>
              <w:rPr>
                <w:rFonts w:ascii="Arial" w:cs="Arial" w:eastAsia="Arial" w:hAnsi="Arial"/>
                <w:sz w:val="18"/>
                <w:szCs w:val="18"/>
                <w:color w:val="auto"/>
              </w:rPr>
              <w:t>100.0%</w:t>
            </w:r>
          </w:p>
        </w:tc>
      </w:tr>
      <w:tr>
        <w:trPr>
          <w:trHeight w:val="212"/>
        </w:trPr>
        <w:tc>
          <w:tcPr>
            <w:tcW w:w="5000" w:type="dxa"/>
            <w:vAlign w:val="bottom"/>
          </w:tcPr>
          <w:p>
            <w:pPr>
              <w:spacing w:after="0"/>
              <w:rPr>
                <w:sz w:val="20"/>
                <w:szCs w:val="20"/>
                <w:color w:val="auto"/>
              </w:rPr>
            </w:pPr>
            <w:r>
              <w:rPr>
                <w:rFonts w:ascii="Arial" w:cs="Arial" w:eastAsia="Arial" w:hAnsi="Arial"/>
                <w:sz w:val="18"/>
                <w:szCs w:val="18"/>
                <w:color w:val="auto"/>
              </w:rPr>
              <w:t>Cost of sales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(60.6)%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(60.4)%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r>
      <w:tr>
        <w:trPr>
          <w:trHeight w:val="20"/>
        </w:trPr>
        <w:tc>
          <w:tcPr>
            <w:tcW w:w="50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5"/>
        </w:trPr>
        <w:tc>
          <w:tcPr>
            <w:tcW w:w="50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Gross margin</w:t>
            </w:r>
          </w:p>
        </w:tc>
        <w:tc>
          <w:tcPr>
            <w:tcW w:w="150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39.4%</w:t>
            </w:r>
          </w:p>
        </w:tc>
        <w:tc>
          <w:tcPr>
            <w:tcW w:w="148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33.6%</w:t>
            </w:r>
          </w:p>
        </w:tc>
        <w:tc>
          <w:tcPr>
            <w:tcW w:w="1480" w:type="dxa"/>
            <w:vAlign w:val="bottom"/>
            <w:gridSpan w:val="2"/>
            <w:shd w:val="clear" w:color="auto" w:fill="CCEEFF"/>
          </w:tcPr>
          <w:p>
            <w:pPr>
              <w:jc w:val="right"/>
              <w:ind w:right="180"/>
              <w:spacing w:after="0" w:line="205" w:lineRule="exact"/>
              <w:rPr>
                <w:sz w:val="20"/>
                <w:szCs w:val="20"/>
                <w:color w:val="auto"/>
              </w:rPr>
            </w:pPr>
            <w:r>
              <w:rPr>
                <w:rFonts w:ascii="Arial" w:cs="Arial" w:eastAsia="Arial" w:hAnsi="Arial"/>
                <w:sz w:val="18"/>
                <w:szCs w:val="18"/>
                <w:color w:val="auto"/>
              </w:rPr>
              <w:t>39.6%</w:t>
            </w:r>
          </w:p>
        </w:tc>
        <w:tc>
          <w:tcPr>
            <w:tcW w:w="1380" w:type="dxa"/>
            <w:vAlign w:val="bottom"/>
            <w:gridSpan w:val="2"/>
            <w:shd w:val="clear" w:color="auto" w:fill="CCEEFF"/>
          </w:tcPr>
          <w:p>
            <w:pPr>
              <w:jc w:val="right"/>
              <w:ind w:right="60"/>
              <w:spacing w:after="0" w:line="205" w:lineRule="exact"/>
              <w:rPr>
                <w:sz w:val="20"/>
                <w:szCs w:val="20"/>
                <w:color w:val="auto"/>
              </w:rPr>
            </w:pPr>
            <w:r>
              <w:rPr>
                <w:rFonts w:ascii="Arial" w:cs="Arial" w:eastAsia="Arial" w:hAnsi="Arial"/>
                <w:sz w:val="18"/>
                <w:szCs w:val="18"/>
                <w:color w:val="auto"/>
              </w:rPr>
              <w:t>32.8%</w:t>
            </w:r>
          </w:p>
        </w:tc>
      </w:tr>
      <w:tr>
        <w:trPr>
          <w:trHeight w:val="212"/>
        </w:trPr>
        <w:tc>
          <w:tcPr>
            <w:tcW w:w="5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(10.7)%</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r>
      <w:tr>
        <w:trPr>
          <w:trHeight w:val="212"/>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r>
      <w:tr>
        <w:trPr>
          <w:trHeight w:val="20"/>
        </w:trPr>
        <w:tc>
          <w:tcPr>
            <w:tcW w:w="50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5"/>
        </w:trPr>
        <w:tc>
          <w:tcPr>
            <w:tcW w:w="5000" w:type="dxa"/>
            <w:vAlign w:val="bottom"/>
          </w:tcPr>
          <w:p>
            <w:pPr>
              <w:spacing w:after="0" w:line="205" w:lineRule="exact"/>
              <w:rPr>
                <w:sz w:val="20"/>
                <w:szCs w:val="20"/>
                <w:color w:val="auto"/>
              </w:rPr>
            </w:pPr>
            <w:r>
              <w:rPr>
                <w:rFonts w:ascii="Arial" w:cs="Arial" w:eastAsia="Arial" w:hAnsi="Arial"/>
                <w:sz w:val="18"/>
                <w:szCs w:val="18"/>
                <w:color w:val="auto"/>
              </w:rPr>
              <w:t>Income from operations</w:t>
            </w:r>
          </w:p>
        </w:tc>
        <w:tc>
          <w:tcPr>
            <w:tcW w:w="150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11.1%</w:t>
            </w:r>
          </w:p>
        </w:tc>
        <w:tc>
          <w:tcPr>
            <w:tcW w:w="148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1.3%</w:t>
            </w:r>
          </w:p>
        </w:tc>
        <w:tc>
          <w:tcPr>
            <w:tcW w:w="1480" w:type="dxa"/>
            <w:vAlign w:val="bottom"/>
            <w:gridSpan w:val="2"/>
          </w:tcPr>
          <w:p>
            <w:pPr>
              <w:jc w:val="right"/>
              <w:ind w:right="180"/>
              <w:spacing w:after="0" w:line="205" w:lineRule="exact"/>
              <w:rPr>
                <w:sz w:val="20"/>
                <w:szCs w:val="20"/>
                <w:color w:val="auto"/>
              </w:rPr>
            </w:pPr>
            <w:r>
              <w:rPr>
                <w:rFonts w:ascii="Arial" w:cs="Arial" w:eastAsia="Arial" w:hAnsi="Arial"/>
                <w:sz w:val="18"/>
                <w:szCs w:val="18"/>
                <w:color w:val="auto"/>
              </w:rPr>
              <w:t>11.3%</w:t>
            </w:r>
          </w:p>
        </w:tc>
        <w:tc>
          <w:tcPr>
            <w:tcW w:w="13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1.2%</w:t>
            </w:r>
          </w:p>
        </w:tc>
      </w:tr>
      <w:tr>
        <w:trPr>
          <w:trHeight w:val="20"/>
        </w:trPr>
        <w:tc>
          <w:tcPr>
            <w:tcW w:w="50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Fiscal 2017 Compared to Third Quarter of Fiscal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17" w:lineRule="exact"/>
        <w:rPr>
          <w:sz w:val="20"/>
          <w:szCs w:val="20"/>
          <w:color w:val="auto"/>
        </w:rPr>
      </w:pPr>
    </w:p>
    <w:p>
      <w:pPr>
        <w:ind w:right="220"/>
        <w:spacing w:after="0" w:line="267" w:lineRule="auto"/>
        <w:rPr>
          <w:sz w:val="20"/>
          <w:szCs w:val="20"/>
          <w:color w:val="auto"/>
        </w:rPr>
      </w:pPr>
      <w:r>
        <w:rPr>
          <w:rFonts w:ascii="Arial" w:cs="Arial" w:eastAsia="Arial" w:hAnsi="Arial"/>
          <w:sz w:val="17"/>
          <w:szCs w:val="17"/>
          <w:color w:val="auto"/>
        </w:rPr>
        <w:t>Our consolidated net sales increased 35.2% to $93.7 million in 2017, compared to $69.3 million in 2016. Global demand for back-end semiconductor test and assembly equipment is seasonal and volatile in part because consumer electronics, the principle end market for integrated circuits, is a highly dynamic industry and demand has traditionally fluctuated. Consolidated net sales in the third quarter of 2017 were up from 2016 as a result of the improved business conditions within the semiconductor industry and our success in growing share in the test handler and test contactor markets. Our increased sales were driven primarily by demand for equipment testing semiconductor devices used in automotive, mobility and IoT markets. Consolidated net sales in the third quarter of 2017 also include $5.3 million of net sales for Kita, which was acquired on January 4,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p>
      <w:pPr>
        <w:ind w:right="160"/>
        <w:spacing w:after="0" w:line="300" w:lineRule="auto"/>
        <w:rPr>
          <w:sz w:val="20"/>
          <w:szCs w:val="20"/>
          <w:color w:val="auto"/>
        </w:rPr>
      </w:pPr>
      <w:r>
        <w:rPr>
          <w:rFonts w:ascii="Arial" w:cs="Arial" w:eastAsia="Arial" w:hAnsi="Arial"/>
          <w:sz w:val="15"/>
          <w:szCs w:val="15"/>
          <w:color w:val="auto"/>
        </w:rPr>
        <w:t>Gross margin consists of net sales less cost of sales. Cost of sales consists primarily of the materials, assembly and test labor and overhead from operations. Our gross margin can fluctuate due to a number of factors, including, but not limited to, the mix and volume of products sold, product support costs, increases to inventory reserves or the sale of previously reserved inventory and utilization of manufacturing capacity. Our gross margin, as a percentage of net sales, was</w:t>
      </w:r>
    </w:p>
    <w:p>
      <w:pPr>
        <w:ind w:right="60"/>
        <w:spacing w:after="0" w:line="247" w:lineRule="auto"/>
        <w:rPr>
          <w:sz w:val="20"/>
          <w:szCs w:val="20"/>
          <w:color w:val="auto"/>
        </w:rPr>
      </w:pPr>
      <w:r>
        <w:rPr>
          <w:rFonts w:ascii="Arial" w:cs="Arial" w:eastAsia="Arial" w:hAnsi="Arial"/>
          <w:sz w:val="18"/>
          <w:szCs w:val="18"/>
          <w:color w:val="auto"/>
        </w:rPr>
        <w:t>39.4% in 2017 and 33.6% in 2016. As compared to the prior year, gross margin in the third quarter of 2017 benefitted from lower manufacturing costs as a result of our transition of volume handler manufacturing from the U.S. and Europe to Asia, as well as a significant increase in business volume which enabled us to better leverage our fixed costs. The third quarter of 2017 also benefitted from $0.7 million in lower intangible asset amortization due to certain assets being fully amortized in 2016 offset, in part, by the amortization of $0.6 million related to the purchase accounting inventory step-up adjustment recorded in connection with our acquisition of Kita.</w:t>
      </w:r>
    </w:p>
    <w:p>
      <w:pPr>
        <w:spacing w:after="0" w:line="195"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As highlighted above, our gross margin can be impacted by charges to cost of sales related to excess, obsolete and lower of cost or net realizable value inventory issues. We compute the majority of our excess and obsolete inventory reserve requirements using a one-year inventory usage forecast. In the third quarter of 2017, we recorded charges to cost of sales of $0.7 million for excess and obsolete inventory. In the third quarter of 2016, we recorded charges of approximately $0.5 million. While we believe our reserves for excess and obsolete inventory and lower of cost or net realizable value concerns are adequate to cover known exposures at September 30, 2017, reductions in customer forecasts or continued modifications to products, as a result of our failure to meet specifications or other customer requirements, may result in additional charges to operations that could negatively impact our gross margin in future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 (“R&amp;D Expense”)</w:t>
      </w:r>
    </w:p>
    <w:p>
      <w:pPr>
        <w:spacing w:after="0" w:line="217"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color w:val="auto"/>
        </w:rPr>
        <w:t>R&amp;D expense consists primarily of salaries and related costs of employees engaged in ongoing research, product design and development activities, costs of engineering materials and supplies and professional consulting expenses. R&amp;D expense was $9.6 million in 2017 and $8.7 million in 2016 representing 10.3% and 12.5% of net sales, respectively. New product development programs resulted in increased R&amp;D spending on labor and materials during the third quarter of 2017, however, these additional costs were partially offset by $0.7 million of cost reimbursements received under a cost-sharing arrangement that was entered into with a customer during the first quarter of 2016.</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80"/>
          </w:cols>
          <w:pgMar w:left="240" w:top="118" w:right="179" w:bottom="1440" w:gutter="0" w:footer="0" w:header="0"/>
        </w:sectPr>
      </w:pPr>
    </w:p>
    <w:bookmarkStart w:id="23" w:name="page24"/>
    <w:bookmarkEnd w:id="2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 (“SG&amp;A Expense”)</w:t>
      </w:r>
    </w:p>
    <w:p>
      <w:pPr>
        <w:spacing w:after="0" w:line="21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SG&amp;A expense consists primarily of salaries and benefit costs of employees, commission expense for independent sales representatives, product promotion and costs of professional services. SG&amp;A expense was $16.9 million or 18.0% of net sales in 2017, compared to $13.7 million or 19.8% in 2016. Our SG&amp;A expense has been negatively affected by the fluctuation of the Swiss Franc and Euro against the U.S. Dollar, which resulted in the recognition of foreign currency transaction losses totaling $0.2 million and $0.3 million in the third quarter of 2017 and 2016, respectively. Costs incurred specifically related to the Kita acquisition recorded in SG&amp;A totaled $0.1 million and $0.5 million in the third quarter of 2017 and 2016, respectively. SG&amp;A expense in the third quarter of 2017 was also negatively impacted by a $0.7 million mark-to-market adjustment related to the fair value of the Kita contingent consideration liability and includes $1.0 million of incremental SG&amp;A costs due to the acquisition of Kita.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For the three months ended September 30, 2017, we used the estimated effective tax rate (“ETR”) in computing our tax provision. The ETR on income from continuing operations for the three months ended September 30, 2017 and September 24, 2016, was 17.3% and 86.9%, respectively. The tax provision on income from continuing operations in 2017 and 2016 differs from the U.S. federal statutory rate primarily due to the lack of a provision (benefit) on our domestic income (losses) as a result of our valuation allowance on deferred tax assets, foreign income taxed at different rates, changes in our deferred tax asset valuation allowance, state taxes and interest related to unrecognized tax benefits.</w:t>
      </w:r>
    </w:p>
    <w:p>
      <w:pPr>
        <w:spacing w:after="0" w:line="193"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Other than for foreign currency exchange rate changes and the Kita Acquisition, there was no material change to our unrecognized tax benefits and related accrued interest and penalties during the three-month periods ended September 30, 2017 and September 24,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 factors set forth above, our income from continuing operations was $8.8 million in 2017, compared to $0.1 million in 2016. Including the impact of the disposal of our discontinued mobile microwave communication equipment business, our net income was $8.8 million and $0.2 million in 2017 and 2016,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Nine Months of Fiscal 2017 Compared to First Nine Months of Fiscal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17"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Our consolidated net sales increased 27.1% to $268.6 million in 2017, compared to $211.4 million in 2016. Consolidated net sales in the first nine months of 2017 increased from 2016 as a result of the improved business conditions within the semiconductor industry and our success in growing share in the test handler and test contactor markets. Our increased sales were driven primarily by demand for equipment to test semiconductor devices used in automotive, mobility and IoT markets. Consolidated net sales in the first nine months of 2017 also include the net sales of Kita, totaling $14.4 million, which was acquired on January 4,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7"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color w:val="auto"/>
        </w:rPr>
        <w:t>Our gross margin, as a percentage of net sales, increased to 39.6% in 2017 from 32.8% in 2016. As compared to the prior year, gross margin in the first nine months of 2017 benefitted from lower manufacturing costs as a result of our transition of volume handler manufacturing from the U.S. and Europe to Asia, as well as a significant increase in business volume which enabled us to better leverage our fixed costs, and lower charges for excess and obsolete inventory. The first nine months of 2017 benefitted by $2.0 million from lower intangible asset amortization due to certain assets being fully amortized in 2016 offset, in part, by the amortization of $1.4 million related to the purchase accounting inventory step-up adjustment recorded in connection with our acquisition of Kita.</w:t>
      </w:r>
    </w:p>
    <w:p>
      <w:pPr>
        <w:spacing w:after="0" w:line="15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the first nine months of fiscal 2017 and 2016 we recorded charges to cost of sales of approximately $0.5 million and $1.9 million for excess and obsolete inventory, respectively.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R&amp;D Expense</w:t>
      </w:r>
    </w:p>
    <w:p>
      <w:pPr>
        <w:spacing w:after="0" w:line="217"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R&amp;D expense was $28.9 million or 10.7% of net sales in 2017, compared to $24.7 million or 11.7% in 2016. New product development programs resulted in higher R&amp;D labor and material expense in the first nine months of 2017, however, this increase was partially offset by $1.0 million of cost reimbursements received under a cost-sharing arrangement entered into with a customer in the first quarter of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w:t>
      </w:r>
    </w:p>
    <w:p>
      <w:pPr>
        <w:spacing w:after="0" w:line="217"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SG&amp;A expense was $47.4 million or 17.6% of net sales in 2017, compared to $42.0 million or 19.9% in 2016. Our SG&amp;A expense has been negatively affected by the strengthening of the Swiss Franc and Euro against the U.S. Dollar, which resulted in the recognition of $2.7 million and $1.0 million in foreign currency transaction losses in the first nine months of 2017 and 2016, respectively. Costs incurred specifically related to the Kita acquisition recorded in SG&amp;A totaled $0.3 million and $0.9 million in the first nine months of 2017 and 2016, respectively. SG&amp;A expense in the first nine months of 2017 was negatively impacted by a $0.7 million mark-to-market adjustment related to the fair value of the Kita contingent consideration liability and includes $2.5 million of incremental SG&amp;A costs due to the acquisition of Kita.</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7" w:lineRule="exact"/>
        <w:rPr>
          <w:sz w:val="20"/>
          <w:szCs w:val="20"/>
          <w:color w:val="auto"/>
        </w:rPr>
      </w:pPr>
    </w:p>
    <w:p>
      <w:pPr>
        <w:jc w:val="both"/>
        <w:ind w:right="260"/>
        <w:spacing w:after="0" w:line="271" w:lineRule="auto"/>
        <w:rPr>
          <w:sz w:val="20"/>
          <w:szCs w:val="20"/>
          <w:color w:val="auto"/>
        </w:rPr>
      </w:pPr>
      <w:r>
        <w:rPr>
          <w:rFonts w:ascii="Arial" w:cs="Arial" w:eastAsia="Arial" w:hAnsi="Arial"/>
          <w:sz w:val="17"/>
          <w:szCs w:val="17"/>
          <w:color w:val="auto"/>
        </w:rPr>
        <w:t>The ETR on income from continuing operations for the nine months ended September 30, 2017 and September 24, 2016, was 14.0% and 65.8%, respectively. The tax provision on income from continuing operations in 2017 and 2016 differs from the U.S. federal statutory rate primarily due to the lack of a provision (benefit) on our domestic income (losses) as a result of our valuation allowance on deferred tax assets, foreign income taxed at different rates, changes in our deferred tax asset valuation allowance, state taxes and interest related to unrecognized tax benefits.</w:t>
      </w:r>
    </w:p>
    <w:p>
      <w:pPr>
        <w:spacing w:after="0" w:line="17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than foreign currency exchange rate changes and the Kita Acquisition, there was no material change to our unrecognized tax benefits and related accrued interest and penalties during the nine-month periods ended September 30, 2017 and September 24,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 and Net Income</w:t>
      </w:r>
    </w:p>
    <w:p>
      <w:pPr>
        <w:spacing w:after="0" w:line="21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As a result of the factors set forth above, our income from continuing operations was $26.2 million in 2017 compared to $1.0 million in 2016. Including the impact of the disposal of our discontinued mobile microwave communication equipment business, which included a loss of $0.3 million due to an adjustment to the fair value of the contingent consideration, our net income in the first nine months of 2017, was $25.9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primary business is dependent on capital expenditures by semiconductor manufacturers and test subcontractors that are, in turn, dependent on the current and anticipated market demand for semiconductors. The seasonal and volatile nature of demand for semiconductor equipment, our primary industry, makes estimates of future revenues, results of operations and net cash flows difficult.</w:t>
      </w:r>
    </w:p>
    <w:p>
      <w:pPr>
        <w:spacing w:after="0" w:line="188"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Our primary historical source of liquidity and capital resources has been cash flow generated by our operations and we manage our business to maximize operating cash flows as our primary source of liquidity. We use cash to fund growth in our operating assets and to fund new products and product enhancements primarily through research and development. As of September 30, 2017, $77.6 million of our cash and cash equivalents was held by our foreign subsidiaries. If these funds are needed for our operations in the U.S., we may be required to accrue and pay U.S. taxes if we repatriate these funds. Except for certain geographic locations where we have curtailed operations and from which repatriation would not result in incremental U.S. or foreign withholding tax, our intent is to indefinitely reinvest these funds in our foreign operations and we have no current plans that would require us to repatriate these funds to the 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following summarizes our cash, cash equivalents, short-term investments and working capital:</w:t>
      </w:r>
    </w:p>
    <w:p>
      <w:pPr>
        <w:spacing w:after="0" w:line="217"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4440" w:type="dxa"/>
            <w:vAlign w:val="bottom"/>
          </w:tcPr>
          <w:p>
            <w:pPr>
              <w:spacing w:after="0"/>
              <w:rPr>
                <w:sz w:val="19"/>
                <w:szCs w:val="19"/>
                <w:color w:val="auto"/>
              </w:rPr>
            </w:pPr>
          </w:p>
        </w:tc>
        <w:tc>
          <w:tcPr>
            <w:tcW w:w="2180" w:type="dxa"/>
            <w:vAlign w:val="bottom"/>
            <w:gridSpan w:val="2"/>
          </w:tcPr>
          <w:p>
            <w:pPr>
              <w:jc w:val="right"/>
              <w:ind w:right="112"/>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w w:val="86"/>
              </w:rPr>
              <w:t>December 31,</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r>
      <w:tr>
        <w:trPr>
          <w:trHeight w:val="226"/>
        </w:trPr>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2016</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98"/>
              </w:rPr>
              <w:t>Increase</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60" w:type="dxa"/>
            <w:vAlign w:val="bottom"/>
          </w:tcPr>
          <w:p>
            <w:pPr>
              <w:spacing w:after="0"/>
              <w:rPr>
                <w:sz w:val="19"/>
                <w:szCs w:val="19"/>
                <w:color w:val="auto"/>
              </w:rPr>
            </w:pPr>
          </w:p>
        </w:tc>
      </w:tr>
      <w:tr>
        <w:trPr>
          <w:trHeight w:val="206"/>
        </w:trPr>
        <w:tc>
          <w:tcPr>
            <w:tcW w:w="4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Cash, cash equivalents and short-term investments</w:t>
            </w:r>
          </w:p>
        </w:tc>
        <w:tc>
          <w:tcPr>
            <w:tcW w:w="1140" w:type="dxa"/>
            <w:vAlign w:val="bottom"/>
            <w:shd w:val="clear" w:color="auto" w:fill="CCEEFF"/>
          </w:tcPr>
          <w:p>
            <w:pPr>
              <w:jc w:val="right"/>
              <w:ind w:right="72"/>
              <w:spacing w:after="0" w:line="20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206" w:lineRule="exact"/>
              <w:rPr>
                <w:sz w:val="20"/>
                <w:szCs w:val="20"/>
                <w:color w:val="auto"/>
              </w:rPr>
            </w:pPr>
            <w:r>
              <w:rPr>
                <w:rFonts w:ascii="Arial" w:cs="Arial" w:eastAsia="Arial" w:hAnsi="Arial"/>
                <w:sz w:val="18"/>
                <w:szCs w:val="18"/>
                <w:color w:val="auto"/>
              </w:rPr>
              <w:t>138,324</w:t>
            </w:r>
          </w:p>
        </w:tc>
        <w:tc>
          <w:tcPr>
            <w:tcW w:w="18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128,035</w:t>
            </w:r>
          </w:p>
        </w:tc>
        <w:tc>
          <w:tcPr>
            <w:tcW w:w="300" w:type="dxa"/>
            <w:vAlign w:val="bottom"/>
            <w:shd w:val="clear" w:color="auto" w:fill="CCEEFF"/>
          </w:tcPr>
          <w:p>
            <w:pPr>
              <w:jc w:val="right"/>
              <w:ind w:right="12"/>
              <w:spacing w:after="0" w:line="20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2"/>
              <w:spacing w:after="0" w:line="206" w:lineRule="exact"/>
              <w:rPr>
                <w:sz w:val="20"/>
                <w:szCs w:val="20"/>
                <w:color w:val="auto"/>
              </w:rPr>
            </w:pPr>
            <w:r>
              <w:rPr>
                <w:rFonts w:ascii="Arial" w:cs="Arial" w:eastAsia="Arial" w:hAnsi="Arial"/>
                <w:sz w:val="18"/>
                <w:szCs w:val="18"/>
                <w:color w:val="auto"/>
              </w:rPr>
              <w:t>10,289</w:t>
            </w:r>
          </w:p>
        </w:tc>
        <w:tc>
          <w:tcPr>
            <w:tcW w:w="1340" w:type="dxa"/>
            <w:vAlign w:val="bottom"/>
            <w:gridSpan w:val="2"/>
            <w:shd w:val="clear" w:color="auto" w:fill="CCEEFF"/>
          </w:tcPr>
          <w:p>
            <w:pPr>
              <w:jc w:val="right"/>
              <w:ind w:right="20"/>
              <w:spacing w:after="0" w:line="206" w:lineRule="exact"/>
              <w:rPr>
                <w:sz w:val="20"/>
                <w:szCs w:val="20"/>
                <w:color w:val="auto"/>
              </w:rPr>
            </w:pPr>
            <w:r>
              <w:rPr>
                <w:rFonts w:ascii="Arial" w:cs="Arial" w:eastAsia="Arial" w:hAnsi="Arial"/>
                <w:sz w:val="18"/>
                <w:szCs w:val="18"/>
                <w:color w:val="auto"/>
              </w:rPr>
              <w:t>8.0%</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Working capital</w:t>
            </w: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202,409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176,460</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2"/>
              <w:spacing w:after="0"/>
              <w:rPr>
                <w:sz w:val="20"/>
                <w:szCs w:val="20"/>
                <w:color w:val="auto"/>
              </w:rPr>
            </w:pPr>
            <w:r>
              <w:rPr>
                <w:rFonts w:ascii="Arial" w:cs="Arial" w:eastAsia="Arial" w:hAnsi="Arial"/>
                <w:sz w:val="18"/>
                <w:szCs w:val="18"/>
                <w:color w:val="auto"/>
              </w:rPr>
              <w:t>25,949</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3" w:lineRule="exact"/>
        <w:rPr>
          <w:sz w:val="20"/>
          <w:szCs w:val="20"/>
          <w:color w:val="auto"/>
        </w:rPr>
      </w:pPr>
    </w:p>
    <w:p>
      <w:pPr>
        <w:ind w:right="360"/>
        <w:spacing w:after="0" w:line="300"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Operating cash flows for the first nine months of fiscal 2017 consist of our net income, adjusted for non-cash expenses and changes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operating assets and liabilities. These adjustments include depreciation expense on property, plant and equipment, share-based compensation expense, amortization of intangible assets, deferred income taxes, mark-to-market charge of the Kita on contingent consideration and amortization of inventory step-</w:t>
      </w:r>
    </w:p>
    <w:p>
      <w:pPr>
        <w:spacing w:after="0" w:line="265" w:lineRule="auto"/>
        <w:rPr>
          <w:sz w:val="20"/>
          <w:szCs w:val="20"/>
          <w:color w:val="auto"/>
        </w:rPr>
      </w:pPr>
      <w:r>
        <w:rPr>
          <w:rFonts w:ascii="Arial" w:cs="Arial" w:eastAsia="Arial" w:hAnsi="Arial"/>
          <w:sz w:val="17"/>
          <w:szCs w:val="17"/>
          <w:color w:val="auto"/>
        </w:rPr>
        <w:t>up. Our net cash provided by operating activities in the first nine months of fiscal 2017 totaled $23.6 million. Excluding the impact of the acquisition of Kita, net cash provided by operating activities was impacted by changes in current assets and liabilities and included increases in accounts receivable of $9.0 million and inventories of $6.7 million, and a decrease in accounts payable of $3.6 million. The increase in accounts receivable resulted from a sequential increase in product shipments and the timing of the resulting cash conversion cycle. The significant increase in business volume resulted in an increase in our consolidated inventory. The decrease in accounts payable balance is a result of the timing of payments to customers.</w:t>
      </w:r>
    </w:p>
    <w:p>
      <w:pPr>
        <w:spacing w:after="0" w:line="18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Investing cash flows consist primarily of cash used for capital expenditures in support of our businesses, proceeds from investment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maturities, asset disposals and cash used for purchases of investments and business acquisitions. Net cash used in investing activities in the first nine months of fiscal 2017 totaled $0.7 million and included $11.7 million used for the acquisition of Kita. The acquisition of Kita was a strategic transaction to expand our total available market, extend our market leadership and broaden our product offerings. Investing activities in the first nine months of fiscal 2017 were also impacted by $39.3 million in net proceeds from sales and maturities of short-term investments offset by $23.7 million in cash used for purchases of short-term investments. We invest our excess cash, in an attempt to seek the highest available return while preserving capital, in short-term investments since excess cash is only temporarily available and may be required for a business-related purpose. Additions to property, plant and equipment of $4.7 million were made to support the operating and development activities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Cash flows from financing activities consist primarily of net proceeds from the issuance of common stock under our stock option and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employee stock purchase plans and cash used to pay dividends to our stockholders. We issue stock options and maintain an employee stock purchase plan as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components of our overall employee compensation. In the first nine months of fiscal 2017, net proceeds from the exercise of employee stock options were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$7.1 million. We paid dividends totaling $4.9 million, or $0.18 per common share. On October 31, 2017, Cohu's Board of Directors approved a quarterly cash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dividend of $0.06 per share payable on January 2, 2018 to shareholders of record on November 17, 2017. Future quarterly dividends are subject to our cash</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liquidity, capital availability and periodic determinations by our Board of Directors that cash dividends are in the best interests of our stockholders. Total</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repayments of short-term borrowings and long-term debt during the first nine months of fiscal 2017 totaled $1.3 million.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connection with the acquisition of Kita on January 4, 2017, we assumed a series of revolving credit facilities with various financial institutions in Japan. The credit facilities renew monthly and provide Kita with access to working capital totaling up to $6.2 million. At September 30, 2017 total borrowings outstanding under the revolving lines of credit were $3.1 million. As these credit facility agreements renew monthly, they have been included in short-term borrowings in our condensed consolidated balance sheet. We also assumed long-term term loans from a series of Japanese financial institutions totaling $6.2 million primarily related to the expansion of Kita’s facility in Osaka, Japan. The loans are collateralized by the facility and land. The loans carry interest rates ranging from 0.05% to 0.45% and expire at various dates through 2034. At September 30, 2017, $1.3 million of the term loans have been included in current installments of long-term debt in our condensed consolidated balance sheet. The revolving lines of credit and term loans are denominated in Japanese Yen and, as a result, amounts will fluctuate as a result of changes in currency exchange rates.</w:t>
      </w:r>
    </w:p>
    <w:p>
      <w:pPr>
        <w:spacing w:after="0" w:line="180" w:lineRule="exact"/>
        <w:rPr>
          <w:sz w:val="20"/>
          <w:szCs w:val="20"/>
          <w:color w:val="auto"/>
        </w:rPr>
      </w:pPr>
    </w:p>
    <w:p>
      <w:pPr>
        <w:ind w:right="60"/>
        <w:spacing w:after="0" w:line="330" w:lineRule="auto"/>
        <w:rPr>
          <w:sz w:val="20"/>
          <w:szCs w:val="20"/>
          <w:color w:val="auto"/>
        </w:rPr>
      </w:pPr>
      <w:r>
        <w:rPr>
          <w:rFonts w:ascii="Arial" w:cs="Arial" w:eastAsia="Arial" w:hAnsi="Arial"/>
          <w:sz w:val="15"/>
          <w:szCs w:val="15"/>
          <w:color w:val="auto"/>
        </w:rPr>
        <w:t>We have a secured letter of credit facility (the “Secured Facility”) under which Bank of America, N.A., has agreed to administer the issuance of letters of credit on our behalf. The Secured Facility requires us to maintain deposits of cash or other approved investments, which serve as collateral, in amounts that approximate our outstanding letters of credit. As of September 30, 2017, no amounts were outstanding under standby letters of credit under the Secured Facility.</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6" w:name="page27"/>
    <w:bookmarkEnd w:id="2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2017</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also have credit agreements with multiple financial institutions under which they administer lines of credit on behalf of our wholly owned Ismeca subsidiary. The agreements provide Ismeca with 2.5 million Swiss Francs of available credit and at September 30, 2017, no amounts were outstanding. We expect that we will continue to make capital expenditures to support our business and we anticipate that present working capital will be sufficient to meet our operating requirements for at least the next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3" w:lineRule="exact"/>
        <w:rPr>
          <w:sz w:val="20"/>
          <w:szCs w:val="20"/>
          <w:color w:val="auto"/>
        </w:rPr>
      </w:pPr>
    </w:p>
    <w:p>
      <w:pPr>
        <w:ind w:right="500"/>
        <w:spacing w:after="0" w:line="271"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Our significant contractual obligations consist of liabilities for debt, operating leases, unrecognized tax benefits, pensions, post-retirement benefits and warranties. As a result of the acquisition of Kita on January 4, 2017, our contractual obligations for debt increased approximately $9.2 million, of which approximately $0.3 million will be due in the remainder of 2017, $1.3 million will be due in 2018, $1.1 million will be due in 2019, $1.0 million will be due in 2020, $1.1 million will be due in 2021 and $4.4 million thereafter.</w:t>
      </w:r>
    </w:p>
    <w:p>
      <w:pPr>
        <w:spacing w:after="0" w:line="177"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b w:val="1"/>
          <w:bCs w:val="1"/>
          <w:i w:val="1"/>
          <w:iCs w:val="1"/>
          <w:color w:val="auto"/>
        </w:rPr>
        <w:t xml:space="preserve">Purchase Commitments: </w:t>
      </w:r>
      <w:r>
        <w:rPr>
          <w:rFonts w:ascii="Arial" w:cs="Arial" w:eastAsia="Arial" w:hAnsi="Arial"/>
          <w:sz w:val="15"/>
          <w:szCs w:val="15"/>
          <w:color w:val="auto"/>
        </w:rPr>
        <w:t>From time to time, we enter into commitments with our vendors and outsourcing partners to purchase inventory at fixed prices or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spacing w:after="0" w:line="15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During the ordinary course of business, we provide standby letters of credit instruments to certain parties as required.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2017, no amounts were outstanding under standby letters of credit.</w:t>
      </w:r>
    </w:p>
    <w:p>
      <w:pPr>
        <w:spacing w:after="0" w:line="17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and Interest Rate Risk.</w:t>
      </w:r>
    </w:p>
    <w:p>
      <w:pPr>
        <w:spacing w:after="0" w:line="223"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At September 30, 2017, our investment portfolio included short-term fixed-income investment securities with a fair value of approximately $16.3 million.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other-than-temporary. Due to the relatively short duration of our investment portfolio, an immediate ten percent change in interest rates would have no material impact on our financial condition or results of operations.</w:t>
      </w:r>
    </w:p>
    <w:p>
      <w:pPr>
        <w:spacing w:after="0" w:line="15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We evaluate our investments periodically for possible other-than-temporary impairment by reviewing factors such as the length of time and extent to which fair value has been below cost basis, the financial condition of the issuer and our ability and intent to hold the investment for a period of time sufficient for anticipated recovery of market value. As of September 30, 2017, we had $7.5 million of investments with loss positions. We evaluated the nature of these investments, credit worthiness of the issuer and the duration of these impairments and concluded that these losses were temporary and we have the ability and intent to hold these investments to maturity.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3"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with the acquisition of Kita, the Japanese Yen. These fluctuations can impact our reported earnings.</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Fluctuations in currency exchange rates also impact the U.S. Dollar amount of our net investment in foreign operations. The assets and liabilities of our foreign subsidiaries are translated into U.S. Dollars at the exchange rates in effect at the fiscal year-end balance sheet date. Income and expense accounts are translated at an average exchange rate during the year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September 30, 2017 compared to December 31, 2016, our stockholders’ equity increased by $10.0 million.</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Based upon the current levels of net foreign assets, a hypothetical 10% devaluation of the U.S. Dollar as compared to these currencies as of September 30, 2017 would result in an approximate $15.5 million positive translation adjustment recorded in other comprehensive income within stockholders’ equity. Conversely, a hypothetical 10% appreciation of the U.S. Dollar as compared to these currencies as of September 30, 2017 would result in an approximate $15.5 million negative translation adjustment recorded in other comprehensive income within stockholders’ equity.</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17" w:lineRule="exact"/>
        <w:rPr>
          <w:sz w:val="20"/>
          <w:szCs w:val="20"/>
          <w:color w:val="auto"/>
        </w:rPr>
      </w:pPr>
    </w:p>
    <w:p>
      <w:pPr>
        <w:ind w:right="20" w:firstLine="6"/>
        <w:spacing w:after="0" w:line="321" w:lineRule="auto"/>
        <w:tabs>
          <w:tab w:leader="none" w:pos="25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Evaluation of Disclosure Controls and Procedures. </w:t>
      </w:r>
      <w:r>
        <w:rPr>
          <w:rFonts w:ascii="Arial" w:cs="Arial" w:eastAsia="Arial" w:hAnsi="Arial"/>
          <w:sz w:val="15"/>
          <w:szCs w:val="15"/>
          <w:color w:val="auto"/>
        </w:rPr>
        <w:t>Under the supervision and with the participation of our management, including our principal executive</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4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89" w:lineRule="exact"/>
        <w:rPr>
          <w:sz w:val="20"/>
          <w:szCs w:val="20"/>
          <w:color w:val="auto"/>
        </w:rPr>
      </w:pPr>
    </w:p>
    <w:p>
      <w:pPr>
        <w:ind w:firstLine="6"/>
        <w:spacing w:after="0" w:line="252" w:lineRule="auto"/>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During the third quarter of fiscal 2017, certain of our wholly owned subsidiaries implemented an</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integrated finance/accounting and manufacturing software system. The implementation involved changes in systems that included internal controls, and accordingly, these changes have required changes to our system of internal controls. We reviewed the system as it was being implemented and the controls affected by the implementation of the new system and made appropriate changes to affected internal controls during the implementation process. We believe that the controls as modified are appropriate and functioning effectively.</w:t>
      </w:r>
    </w:p>
    <w:p>
      <w:pPr>
        <w:spacing w:after="0" w:line="19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Other than the described above, there have been no changes in our internal control over financial reporting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8" w:name="page29"/>
    <w:bookmarkEnd w:id="2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1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3" w:lineRule="exact"/>
        <w:rPr>
          <w:sz w:val="20"/>
          <w:szCs w:val="20"/>
          <w:color w:val="auto"/>
        </w:rPr>
      </w:pPr>
    </w:p>
    <w:p>
      <w:pPr>
        <w:ind w:left="960" w:right="240"/>
        <w:spacing w:after="0" w:line="264" w:lineRule="auto"/>
        <w:rPr>
          <w:sz w:val="20"/>
          <w:szCs w:val="20"/>
          <w:color w:val="auto"/>
        </w:rPr>
      </w:pPr>
      <w:r>
        <w:rPr>
          <w:rFonts w:ascii="Arial" w:cs="Arial" w:eastAsia="Arial" w:hAnsi="Arial"/>
          <w:sz w:val="18"/>
          <w:szCs w:val="18"/>
          <w:color w:val="auto"/>
        </w:rPr>
        <w:t>The information set forth above under Note 7 contained in the "Notes to Unaudited Condensed Consolidated Financial Statements" of this Form 10-Q is incorporated herein by reference.</w:t>
      </w:r>
    </w:p>
    <w:p>
      <w:pPr>
        <w:spacing w:after="0" w:line="174"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3" w:lineRule="exact"/>
        <w:rPr>
          <w:sz w:val="20"/>
          <w:szCs w:val="20"/>
          <w:color w:val="auto"/>
        </w:rPr>
      </w:pPr>
    </w:p>
    <w:p>
      <w:pPr>
        <w:ind w:left="960" w:right="60"/>
        <w:spacing w:after="0" w:line="268" w:lineRule="auto"/>
        <w:rPr>
          <w:sz w:val="20"/>
          <w:szCs w:val="20"/>
          <w:color w:val="auto"/>
        </w:rPr>
      </w:pPr>
      <w:r>
        <w:rPr>
          <w:rFonts w:ascii="Arial" w:cs="Arial" w:eastAsia="Arial" w:hAnsi="Arial"/>
          <w:sz w:val="17"/>
          <w:szCs w:val="17"/>
          <w:i w:val="1"/>
          <w:iCs w:val="1"/>
          <w:color w:val="auto"/>
        </w:rPr>
        <w:t>The risks described below may not be the only risks we face. Additional risks that we are unaware of, or that we currently believe are not material, may also impair our business operations. The risk factors set forth below with an asterisk (*) next to the title contain changes to the description of the risk factors associated with our business as previously disclosed in Item 1A to our 2016 Annual Report on Form 10-K. If any of the events or circumstances described in the following risks occur, our business, financial condition, results of operations or cash flows could suffer, and the trading price of our common stock and our market capitalization could decline.</w:t>
      </w:r>
    </w:p>
    <w:p>
      <w:pPr>
        <w:spacing w:after="0" w:line="180" w:lineRule="exact"/>
        <w:rPr>
          <w:sz w:val="20"/>
          <w:szCs w:val="20"/>
          <w:color w:val="auto"/>
        </w:rPr>
      </w:pPr>
    </w:p>
    <w:p>
      <w:pPr>
        <w:ind w:left="940" w:hanging="298"/>
        <w:spacing w:after="0"/>
        <w:tabs>
          <w:tab w:leader="none" w:pos="9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exposed to risks associated with acquisitions, investments and divestitures.</w:t>
      </w:r>
    </w:p>
    <w:p>
      <w:pPr>
        <w:spacing w:after="0" w:line="16" w:lineRule="exact"/>
        <w:rPr>
          <w:rFonts w:ascii="Arial" w:cs="Arial" w:eastAsia="Arial" w:hAnsi="Arial"/>
          <w:sz w:val="18"/>
          <w:szCs w:val="18"/>
          <w:b w:val="1"/>
          <w:bCs w:val="1"/>
          <w:i w:val="1"/>
          <w:iCs w:val="1"/>
          <w:color w:val="auto"/>
        </w:rPr>
      </w:pPr>
    </w:p>
    <w:p>
      <w:pPr>
        <w:ind w:left="960" w:right="160"/>
        <w:spacing w:after="0" w:line="322" w:lineRule="auto"/>
        <w:rPr>
          <w:rFonts w:ascii="Arial" w:cs="Arial" w:eastAsia="Arial" w:hAnsi="Arial"/>
          <w:sz w:val="18"/>
          <w:szCs w:val="18"/>
          <w:b w:val="1"/>
          <w:bCs w:val="1"/>
          <w:i w:val="1"/>
          <w:iCs w:val="1"/>
          <w:color w:val="auto"/>
        </w:rPr>
      </w:pPr>
      <w:r>
        <w:rPr>
          <w:rFonts w:ascii="Arial" w:cs="Arial" w:eastAsia="Arial" w:hAnsi="Arial"/>
          <w:sz w:val="15"/>
          <w:szCs w:val="15"/>
          <w:color w:val="auto"/>
        </w:rPr>
        <w:t>As part of our business strategy, we regularly evaluate investments in, or acquisitions of, complementary businesses, joint ventures, services and technologies, and we expect that periodically we will continue to make such investments and acquisitions in the future, such as our acquisition of Kita, which was completed on January 4, 2017. Acquisitions and investments involve numerous risks, including, but not limited to:</w:t>
      </w:r>
    </w:p>
    <w:p>
      <w:pPr>
        <w:spacing w:after="0" w:line="141" w:lineRule="exact"/>
        <w:rPr>
          <w:rFonts w:ascii="Arial" w:cs="Arial" w:eastAsia="Arial" w:hAnsi="Arial"/>
          <w:sz w:val="18"/>
          <w:szCs w:val="18"/>
          <w:b w:val="1"/>
          <w:bCs w:val="1"/>
          <w:i w:val="1"/>
          <w:iCs w:val="1"/>
          <w:color w:val="auto"/>
        </w:rPr>
      </w:pPr>
    </w:p>
    <w:p>
      <w:pPr>
        <w:ind w:left="1440" w:hanging="322"/>
        <w:spacing w:after="0"/>
        <w:tabs>
          <w:tab w:leader="none" w:pos="14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difficulties and increased costs in connection with integration of the personnel, operations, technologies and products of acquired businesses;</w:t>
      </w:r>
    </w:p>
    <w:p>
      <w:pPr>
        <w:spacing w:after="0" w:line="50" w:lineRule="exact"/>
        <w:rPr>
          <w:rFonts w:ascii="Arial" w:cs="Arial" w:eastAsia="Arial" w:hAnsi="Arial"/>
          <w:sz w:val="15"/>
          <w:szCs w:val="15"/>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business;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operational matters;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potential loss of key employees, customers or suppliers of Cohu or acquired businesses;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the acquisition;</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failure to commercialize purchased technology;</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the impairment of acquired intangible assets and goodwill that could result in significant charges to operating results in future periods; and</w:t>
      </w:r>
    </w:p>
    <w:p>
      <w:pPr>
        <w:spacing w:after="0" w:line="39" w:lineRule="exact"/>
        <w:rPr>
          <w:rFonts w:ascii="Arial" w:cs="Arial" w:eastAsia="Arial" w:hAnsi="Arial"/>
          <w:sz w:val="15"/>
          <w:szCs w:val="15"/>
          <w:color w:val="auto"/>
        </w:rPr>
      </w:pPr>
    </w:p>
    <w:p>
      <w:pPr>
        <w:ind w:left="1440" w:hanging="322"/>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challenges caused by distance, language and cultural differences.</w:t>
      </w:r>
    </w:p>
    <w:p>
      <w:pPr>
        <w:spacing w:after="0" w:line="205" w:lineRule="exact"/>
        <w:rPr>
          <w:sz w:val="20"/>
          <w:szCs w:val="20"/>
          <w:color w:val="auto"/>
        </w:rPr>
      </w:pPr>
    </w:p>
    <w:p>
      <w:pPr>
        <w:ind w:left="960"/>
        <w:spacing w:after="0" w:line="255" w:lineRule="auto"/>
        <w:rPr>
          <w:sz w:val="20"/>
          <w:szCs w:val="20"/>
          <w:color w:val="auto"/>
        </w:rPr>
      </w:pPr>
      <w:r>
        <w:rPr>
          <w:rFonts w:ascii="Arial" w:cs="Arial" w:eastAsia="Arial" w:hAnsi="Arial"/>
          <w:sz w:val="18"/>
          <w:szCs w:val="18"/>
          <w:color w:val="auto"/>
        </w:rPr>
        <w:t>We may decide to finance future acquisitions and investments through a combination of borrowings, proceeds from equity or debt offerings and the use of cash, cash equivalents and short-term investments. If we finance acquisitions by issuing convertible debt or equity securities, our existing stockholders may be diluted which could affect the market price of our stock.</w:t>
      </w:r>
    </w:p>
    <w:p>
      <w:pPr>
        <w:spacing w:after="0" w:line="188" w:lineRule="exact"/>
        <w:rPr>
          <w:sz w:val="20"/>
          <w:szCs w:val="20"/>
          <w:color w:val="auto"/>
        </w:rPr>
      </w:pPr>
    </w:p>
    <w:p>
      <w:pPr>
        <w:ind w:left="960"/>
        <w:spacing w:after="0" w:line="255" w:lineRule="auto"/>
        <w:rPr>
          <w:sz w:val="20"/>
          <w:szCs w:val="20"/>
          <w:color w:val="auto"/>
        </w:rPr>
      </w:pPr>
      <w:r>
        <w:rPr>
          <w:rFonts w:ascii="Arial" w:cs="Arial" w:eastAsia="Arial" w:hAnsi="Arial"/>
          <w:sz w:val="18"/>
          <w:szCs w:val="18"/>
          <w:color w:val="auto"/>
        </w:rPr>
        <w:t>Mergers, acquisitions and investments are inherently risky and the inability to effectively manage these risks could materially and adversely affect our business, financial condition and results of operations. At September 30, 2017, we had goodwill and net purchased intangible assets balances of $65.5 million and $17.8 million, respectively.</w:t>
      </w:r>
    </w:p>
    <w:p>
      <w:pPr>
        <w:spacing w:after="0" w:line="188" w:lineRule="exact"/>
        <w:rPr>
          <w:sz w:val="20"/>
          <w:szCs w:val="20"/>
          <w:color w:val="auto"/>
        </w:rPr>
      </w:pPr>
    </w:p>
    <w:p>
      <w:pPr>
        <w:ind w:left="960" w:right="60"/>
        <w:spacing w:after="0" w:line="252" w:lineRule="auto"/>
        <w:rPr>
          <w:sz w:val="20"/>
          <w:szCs w:val="20"/>
          <w:color w:val="auto"/>
        </w:rPr>
      </w:pPr>
      <w:r>
        <w:rPr>
          <w:rFonts w:ascii="Arial" w:cs="Arial" w:eastAsia="Arial" w:hAnsi="Arial"/>
          <w:sz w:val="18"/>
          <w:szCs w:val="18"/>
          <w:b w:val="1"/>
          <w:bCs w:val="1"/>
          <w:i w:val="1"/>
          <w:iCs w:val="1"/>
          <w:color w:val="auto"/>
        </w:rPr>
        <w:t>We are making investments in new products to enter new markets, which may adversely affect our operating results; these investments may not be successful.</w:t>
      </w:r>
    </w:p>
    <w:p>
      <w:pPr>
        <w:spacing w:after="0" w:line="1" w:lineRule="exact"/>
        <w:rPr>
          <w:sz w:val="20"/>
          <w:szCs w:val="20"/>
          <w:color w:val="auto"/>
        </w:rPr>
      </w:pPr>
    </w:p>
    <w:p>
      <w:pPr>
        <w:ind w:left="960"/>
        <w:spacing w:after="0" w:line="263" w:lineRule="auto"/>
        <w:rPr>
          <w:sz w:val="20"/>
          <w:szCs w:val="20"/>
          <w:color w:val="auto"/>
        </w:rPr>
      </w:pPr>
      <w:r>
        <w:rPr>
          <w:rFonts w:ascii="Arial" w:cs="Arial" w:eastAsia="Arial" w:hAnsi="Arial"/>
          <w:sz w:val="17"/>
          <w:szCs w:val="17"/>
          <w:color w:val="auto"/>
        </w:rPr>
        <w:t>Given the highly competitive and rapidly evolving technology environment in which we operate, we believe it is important to develop new product offerings to meet strategic opportunities as they evolve. This includes developing products that we believe are necessary to meet the future needs of the marketplace. We are currently investing in new product development programs to enable us to compete in the test contactor and wafer level package (WLP) probe and inspection markets. We expect to continue to make investments and we may at any time, based on product need or marketplace demand, decide to significantly increase our product development expenditures in these or other products. The cost of investments in new product offerings can have a negative impact on our operating results and there can be no assurance that any new products we develop will be accepted in the marketplace or generate material revenues for us.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29" w:name="page30"/>
    <w:bookmarkEnd w:id="29"/>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16" w:lineRule="exact"/>
        <w:rPr>
          <w:sz w:val="20"/>
          <w:szCs w:val="20"/>
          <w:color w:val="auto"/>
        </w:rPr>
      </w:pPr>
    </w:p>
    <w:p>
      <w:pPr>
        <w:ind w:left="960" w:right="100"/>
        <w:spacing w:after="0" w:line="248" w:lineRule="auto"/>
        <w:rPr>
          <w:sz w:val="20"/>
          <w:szCs w:val="20"/>
          <w:color w:val="auto"/>
        </w:rPr>
      </w:pPr>
      <w:r>
        <w:rPr>
          <w:rFonts w:ascii="Arial" w:cs="Arial" w:eastAsia="Arial" w:hAnsi="Arial"/>
          <w:sz w:val="18"/>
          <w:szCs w:val="18"/>
          <w:color w:val="auto"/>
        </w:rPr>
        <w:t>We are a global corporation with offices and subsidiaries in certain foreign locations to manufacture our products, support our sales and services to the global semiconductor industry and, as such, we face risks in doing business abroad. Certain aspects inherent in transacting business internationally could negatively impact our operating results, including:</w:t>
      </w:r>
    </w:p>
    <w:p>
      <w:pPr>
        <w:spacing w:after="0" w:line="195" w:lineRule="exact"/>
        <w:rPr>
          <w:sz w:val="20"/>
          <w:szCs w:val="20"/>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difficulties in staffing and managing international operations;</w:t>
      </w:r>
    </w:p>
    <w:p>
      <w:pPr>
        <w:spacing w:after="0" w:line="16" w:lineRule="exact"/>
        <w:rPr>
          <w:rFonts w:ascii="Arial" w:cs="Arial" w:eastAsia="Arial" w:hAnsi="Arial"/>
          <w:sz w:val="18"/>
          <w:szCs w:val="18"/>
          <w:color w:val="auto"/>
        </w:rPr>
      </w:pPr>
    </w:p>
    <w:p>
      <w:pPr>
        <w:ind w:left="1440" w:right="120" w:hanging="322"/>
        <w:spacing w:after="0" w:line="245" w:lineRule="auto"/>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or regulatory requirements and potential changes in or interpretations of requirements in the United States and in the countries in which we manufacture or sell our products;</w:t>
      </w:r>
    </w:p>
    <w:p>
      <w:pPr>
        <w:spacing w:after="0" w:line="1"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restrictions, including treaty changes, sanctions and the suspension of export licenses;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and changes in import/export tariffs and regulations;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enforcing contractual and intellectual property rights;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local political and economic conditions;</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repatriating earnings and the threat of “double taxation”; and</w:t>
      </w:r>
    </w:p>
    <w:p>
      <w:pPr>
        <w:spacing w:after="0" w:line="4" w:lineRule="exact"/>
        <w:rPr>
          <w:rFonts w:ascii="Arial" w:cs="Arial" w:eastAsia="Arial" w:hAnsi="Arial"/>
          <w:sz w:val="18"/>
          <w:szCs w:val="18"/>
          <w:color w:val="auto"/>
        </w:rPr>
      </w:pPr>
    </w:p>
    <w:p>
      <w:pPr>
        <w:ind w:left="1440" w:hanging="322"/>
        <w:spacing w:after="0"/>
        <w:tabs>
          <w:tab w:leader="none" w:pos="14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fluctuations in foreign currency exchange rates against the U.S. Dollar, which can affect demand for our products and increase our costs.</w:t>
      </w:r>
    </w:p>
    <w:p>
      <w:pPr>
        <w:spacing w:after="0" w:line="240" w:lineRule="exact"/>
        <w:rPr>
          <w:sz w:val="20"/>
          <w:szCs w:val="20"/>
          <w:color w:val="auto"/>
        </w:rPr>
      </w:pPr>
    </w:p>
    <w:p>
      <w:pPr>
        <w:ind w:left="960" w:right="120"/>
        <w:spacing w:after="0" w:line="252" w:lineRule="auto"/>
        <w:rPr>
          <w:sz w:val="20"/>
          <w:szCs w:val="20"/>
          <w:color w:val="auto"/>
        </w:rPr>
      </w:pPr>
      <w:r>
        <w:rPr>
          <w:rFonts w:ascii="Arial" w:cs="Arial" w:eastAsia="Arial" w:hAnsi="Arial"/>
          <w:sz w:val="18"/>
          <w:szCs w:val="18"/>
          <w:color w:val="auto"/>
        </w:rPr>
        <w:t>Additionally, managing geographically dispersed operations presents difficult challenges associated with organizational alignment and infrastructure, communications and information technology, inventory control, customer relationship management, terrorist threats and related security matters and cultural diversities. If we are unsuccessful in managing such operations effectively, our business and results of operations will be adversely affected.</w:t>
      </w:r>
    </w:p>
    <w:p>
      <w:pPr>
        <w:spacing w:after="0" w:line="190" w:lineRule="exact"/>
        <w:rPr>
          <w:sz w:val="20"/>
          <w:szCs w:val="20"/>
          <w:color w:val="auto"/>
        </w:rPr>
      </w:pPr>
    </w:p>
    <w:p>
      <w:pPr>
        <w:ind w:left="960" w:right="40" w:hanging="242"/>
        <w:spacing w:after="0" w:line="302" w:lineRule="auto"/>
        <w:tabs>
          <w:tab w:leader="none" w:pos="936" w:val="left"/>
        </w:tabs>
        <w:numPr>
          <w:ilvl w:val="0"/>
          <w:numId w:val="1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We have manufacturing operations in Asia. Any failure to effectively manage multiple manufacturing sites and to secure raw materials meeting our quality, cost and other requirements, or failures by our suppliers to perform, could harm our sales, service levels and reputation.</w:t>
      </w:r>
    </w:p>
    <w:p>
      <w:pPr>
        <w:spacing w:after="0" w:line="1" w:lineRule="exact"/>
        <w:rPr>
          <w:rFonts w:ascii="Arial" w:cs="Arial" w:eastAsia="Arial" w:hAnsi="Arial"/>
          <w:sz w:val="15"/>
          <w:szCs w:val="15"/>
          <w:b w:val="1"/>
          <w:bCs w:val="1"/>
          <w:i w:val="1"/>
          <w:iCs w:val="1"/>
          <w:color w:val="auto"/>
        </w:rPr>
      </w:pPr>
    </w:p>
    <w:p>
      <w:pPr>
        <w:ind w:left="960" w:right="160"/>
        <w:spacing w:after="0" w:line="303" w:lineRule="auto"/>
        <w:rPr>
          <w:rFonts w:ascii="Arial" w:cs="Arial" w:eastAsia="Arial" w:hAnsi="Arial"/>
          <w:sz w:val="15"/>
          <w:szCs w:val="15"/>
          <w:b w:val="1"/>
          <w:bCs w:val="1"/>
          <w:i w:val="1"/>
          <w:iCs w:val="1"/>
          <w:color w:val="auto"/>
        </w:rPr>
      </w:pPr>
      <w:r>
        <w:rPr>
          <w:rFonts w:ascii="Arial" w:cs="Arial" w:eastAsia="Arial" w:hAnsi="Arial"/>
          <w:sz w:val="15"/>
          <w:szCs w:val="15"/>
          <w:color w:val="auto"/>
        </w:rPr>
        <w:t>Our reliance on overseas manufacturers exposes us to significant risks including complex management, foreign currency, legal, tax and economic risks, which we may not be able to address quickly and adequately. In addition, it is time consuming and costly to qualify overseas supplier relationships. Therefore, if we should fail to effectively manage overseas manufacturing operations or if one or more of them should experience delays, disruptions or quality control problems, or if we had to change or add additional manufacturing sites, our ability to ship products to our customers could be delayed. Also, the addition of overseas manufacturing locations increases the demands on our administrative and operations infrastructure and the complexity of our supply chain management. If our overseas manufacturing locations are unable to meet our manufacturing requirements in a timely manner, our ability to ship products and to realize the related revenues when anticipated could be materially affected.</w:t>
      </w:r>
    </w:p>
    <w:p>
      <w:pPr>
        <w:spacing w:after="0" w:line="159" w:lineRule="exact"/>
        <w:rPr>
          <w:sz w:val="20"/>
          <w:szCs w:val="20"/>
          <w:color w:val="auto"/>
        </w:rPr>
      </w:pPr>
    </w:p>
    <w:p>
      <w:pPr>
        <w:ind w:left="960" w:right="20"/>
        <w:spacing w:after="0" w:line="268" w:lineRule="auto"/>
        <w:rPr>
          <w:sz w:val="20"/>
          <w:szCs w:val="20"/>
          <w:color w:val="auto"/>
        </w:rPr>
      </w:pPr>
      <w:r>
        <w:rPr>
          <w:rFonts w:ascii="Arial" w:cs="Arial" w:eastAsia="Arial" w:hAnsi="Arial"/>
          <w:sz w:val="17"/>
          <w:szCs w:val="17"/>
          <w:color w:val="auto"/>
        </w:rPr>
        <w:t>Our suppliers are subject to the fluctuations in general economic cycles, and global economic conditions may impact their ability to operate their business. They may also be impacted by increasing costs of raw materials, labor and distribution, resulting in demands for less attractive contract terms or an inability for them to meet our requirements or conduct their own businesses. The performance and financial condition of a supplier may cause us to alter our business terms or to cease doing business with a particular supplier, or change our sourcing practices generally, which could in turn adversely affect our own business and financial condition.</w:t>
      </w:r>
    </w:p>
    <w:p>
      <w:pPr>
        <w:spacing w:after="0" w:line="180" w:lineRule="exact"/>
        <w:rPr>
          <w:sz w:val="20"/>
          <w:szCs w:val="20"/>
          <w:color w:val="auto"/>
        </w:rPr>
      </w:pPr>
    </w:p>
    <w:p>
      <w:pPr>
        <w:ind w:left="960"/>
        <w:spacing w:after="0" w:line="306" w:lineRule="auto"/>
        <w:rPr>
          <w:sz w:val="20"/>
          <w:szCs w:val="20"/>
          <w:color w:val="auto"/>
        </w:rPr>
      </w:pPr>
      <w:r>
        <w:rPr>
          <w:rFonts w:ascii="Arial" w:cs="Arial" w:eastAsia="Arial" w:hAnsi="Arial"/>
          <w:sz w:val="15"/>
          <w:szCs w:val="15"/>
          <w:b w:val="1"/>
          <w:bCs w:val="1"/>
          <w:i w:val="1"/>
          <w:iCs w:val="1"/>
          <w:color w:val="auto"/>
        </w:rPr>
        <w:t xml:space="preserve">Failure of critical suppliers to deliver sufficient quantities of parts in a timely and cost-effective manner could adversely impact our operations. </w:t>
      </w:r>
      <w:r>
        <w:rPr>
          <w:rFonts w:ascii="Arial" w:cs="Arial" w:eastAsia="Arial" w:hAnsi="Arial"/>
          <w:sz w:val="15"/>
          <w:szCs w:val="15"/>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significantly raise prices or cease manufacturing certain components (with or without advance notice to us) that are difficult to replace without significant reengineering of our products. On occasion, we have experienced problems in obtaining adequate and reliable quantities of various parts and components from certain key suppliers. Our results of operations may be materially and adversely impacted if we do not receive sufficient parts to meet our requirements in a timely and cost-effective manner.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The semiconductor industry we serve is highly seasonal, volatile and unpredictable.</w:t>
      </w:r>
    </w:p>
    <w:p>
      <w:pPr>
        <w:spacing w:after="0" w:line="16" w:lineRule="exact"/>
        <w:rPr>
          <w:sz w:val="20"/>
          <w:szCs w:val="20"/>
          <w:color w:val="auto"/>
        </w:rPr>
      </w:pPr>
    </w:p>
    <w:p>
      <w:pPr>
        <w:ind w:left="960" w:right="60"/>
        <w:spacing w:after="0" w:line="262" w:lineRule="auto"/>
        <w:rPr>
          <w:sz w:val="20"/>
          <w:szCs w:val="20"/>
          <w:color w:val="auto"/>
        </w:rPr>
      </w:pPr>
      <w:r>
        <w:rPr>
          <w:rFonts w:ascii="Arial" w:cs="Arial" w:eastAsia="Arial" w:hAnsi="Arial"/>
          <w:sz w:val="17"/>
          <w:szCs w:val="17"/>
          <w:color w:val="auto"/>
        </w:rPr>
        <w:t>Visibility into our markets is limited. The semiconductor equipment business is highly dependent on the overall strength of the semiconductor industry. Historically, the semiconductor industry has been highly seasonal, volatile and unpredictable with recurring periods of oversupply and excess capacity, which often have had a significant effect on the semiconductor industry’s demand for capital equipment, including equipment of the type we manufacture and market. We anticipate that the markets for newer generations of semiconductors and semiconductor equipment may also be subject to similar cycles and severe downturns. Any significant reductions in capital equipment investment by semiconductor integrated device manufacturers and test subcontractors will materially and adversely affect our business, financial position and results of operations. In addition, the seasonal, volatile and unpredictable nature of semiconductor equipment demand has in the past and may in the future expose us to significant excess and obsolete and lower of cost or net realizable value inventory write-offs and reserve requirements. In 2016, 2015 and 2014, we recorded pre-tax inventory-related charges of approximately $1.1 million, $2.4 million, and $2.6 million, respectively, primarily as a result of changes in customer forecasts.</w:t>
      </w:r>
    </w:p>
    <w:p>
      <w:pPr>
        <w:spacing w:after="0" w:line="186" w:lineRule="exact"/>
        <w:rPr>
          <w:sz w:val="20"/>
          <w:szCs w:val="20"/>
          <w:color w:val="auto"/>
        </w:rPr>
      </w:pPr>
    </w:p>
    <w:p>
      <w:pPr>
        <w:ind w:left="960" w:right="80"/>
        <w:spacing w:after="0" w:line="252" w:lineRule="auto"/>
        <w:rPr>
          <w:sz w:val="20"/>
          <w:szCs w:val="20"/>
          <w:color w:val="auto"/>
        </w:rPr>
      </w:pPr>
      <w:r>
        <w:rPr>
          <w:rFonts w:ascii="Arial" w:cs="Arial" w:eastAsia="Arial" w:hAnsi="Arial"/>
          <w:sz w:val="18"/>
          <w:szCs w:val="18"/>
          <w:b w:val="1"/>
          <w:bCs w:val="1"/>
          <w:i w:val="1"/>
          <w:iCs w:val="1"/>
          <w:color w:val="auto"/>
        </w:rPr>
        <w:t>Due to the nature of our business, we need continued access to capital, which if not available to us or if not available on favorable terms, could harm our ability to operate or expand our business.</w:t>
      </w:r>
    </w:p>
    <w:p>
      <w:pPr>
        <w:spacing w:after="0" w:line="1" w:lineRule="exact"/>
        <w:rPr>
          <w:sz w:val="20"/>
          <w:szCs w:val="20"/>
          <w:color w:val="auto"/>
        </w:rPr>
      </w:pPr>
    </w:p>
    <w:p>
      <w:pPr>
        <w:jc w:val="both"/>
        <w:ind w:left="960" w:right="440"/>
        <w:spacing w:after="0" w:line="248" w:lineRule="auto"/>
        <w:rPr>
          <w:sz w:val="20"/>
          <w:szCs w:val="20"/>
          <w:color w:val="auto"/>
        </w:rPr>
      </w:pPr>
      <w:r>
        <w:rPr>
          <w:rFonts w:ascii="Arial" w:cs="Arial" w:eastAsia="Arial" w:hAnsi="Arial"/>
          <w:sz w:val="18"/>
          <w:szCs w:val="18"/>
          <w:color w:val="auto"/>
        </w:rPr>
        <w:t>Our business requires capital to finance accounts receivable and product inventory that is not financed by trade creditors when our business is expanding. If cash from available sources is insufficient or cash is used for unanticipated needs, we may require additional capital sooner than anticipated.</w:t>
      </w:r>
    </w:p>
    <w:p>
      <w:pPr>
        <w:spacing w:after="0" w:line="195" w:lineRule="exact"/>
        <w:rPr>
          <w:sz w:val="20"/>
          <w:szCs w:val="20"/>
          <w:color w:val="auto"/>
        </w:rPr>
      </w:pPr>
    </w:p>
    <w:p>
      <w:pPr>
        <w:ind w:left="960"/>
        <w:spacing w:after="0" w:line="303" w:lineRule="auto"/>
        <w:rPr>
          <w:sz w:val="20"/>
          <w:szCs w:val="20"/>
          <w:color w:val="auto"/>
        </w:rPr>
      </w:pPr>
      <w:r>
        <w:rPr>
          <w:rFonts w:ascii="Arial" w:cs="Arial" w:eastAsia="Arial" w:hAnsi="Arial"/>
          <w:sz w:val="15"/>
          <w:szCs w:val="15"/>
          <w:color w:val="auto"/>
        </w:rPr>
        <w:t>We believe that our existing sources of liquidity, including cash resources and cash provided by operating activities will provide sufficient resources to meet our working capital and cash requirements for at least the next twelve months. In the event we are required, or elect, to raise additional funds, we may be unable to do so on favorable terms, or at all, and may incur expenses in raising the additional funds and future indebtedness could adversely affect our operating results and severely limit our ability to plan for, or react to, changes in our business or industry. We could also be limited by financial and other restrictive covenants in credit arrangements, including limitations on our borrowing of additional funds and issuing dividends. If we choose to issue new equity securities, existing stockholders may experience dilution, or the new equity securities may have rights, preferences or privileges senior to those of existing holders of common stock. If we cannot raise funds on acceptable terms, we may not be able to take advantage of future opportunities or respond to competitive pressures or unanticipated requirements. Any inability to raise additional capital when required could have an adverse effect on our business and operating results.</w:t>
      </w:r>
    </w:p>
    <w:p>
      <w:pPr>
        <w:spacing w:after="0" w:line="159"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16" w:lineRule="exact"/>
        <w:rPr>
          <w:sz w:val="20"/>
          <w:szCs w:val="20"/>
          <w:color w:val="auto"/>
        </w:rPr>
      </w:pPr>
    </w:p>
    <w:p>
      <w:pPr>
        <w:ind w:left="960" w:right="100"/>
        <w:spacing w:after="0" w:line="299" w:lineRule="auto"/>
        <w:rPr>
          <w:sz w:val="20"/>
          <w:szCs w:val="20"/>
          <w:color w:val="auto"/>
        </w:rPr>
      </w:pPr>
      <w:r>
        <w:rPr>
          <w:rFonts w:ascii="Arial" w:cs="Arial" w:eastAsia="Arial" w:hAnsi="Arial"/>
          <w:sz w:val="15"/>
          <w:szCs w:val="15"/>
          <w:color w:val="auto"/>
        </w:rPr>
        <w:t>The semiconductor test handler industry is intensely competitive, and we face substantial competition from numerous companies throughout the world. The test handler industry, while relatively small in terms of worldwide market size compared to other segments of the semiconductor equipment industry, has several participants resulting in intense competitive pricing pressures. Future competition may include companies that do not currently supply test handlers. Some of our competitors are part of larger corporations that have substantially greater financial, engineering, manufacturing and customer support capabilities and provide more extensive product offerings. In addition, there are emerging semiconductor equipment companies that provide or may provide innovative technology incorporated in products that may compete successfully against our products.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to use certain intellectual property or technology could result in a loss of our competitive position and reduced sales of, or margins on our existing products. Intense competition has adversely impacted our product average selling prices and gross margins on certain products. If we are unable to reduce the cost of our existing products and successfully introduce new lower cost products we expect these competitive conditions to negatively impact our gross margin and operating results in the foreseeable future.</w:t>
      </w:r>
    </w:p>
    <w:p>
      <w:pPr>
        <w:spacing w:after="0" w:line="165" w:lineRule="exact"/>
        <w:rPr>
          <w:sz w:val="20"/>
          <w:szCs w:val="20"/>
          <w:color w:val="auto"/>
        </w:rPr>
      </w:pPr>
    </w:p>
    <w:p>
      <w:pPr>
        <w:ind w:left="960" w:right="160"/>
        <w:spacing w:after="0" w:line="252"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which may result in inventory write-offs, and our new product development involves numerous risks and uncertainties.</w:t>
      </w:r>
    </w:p>
    <w:p>
      <w:pPr>
        <w:spacing w:after="0" w:line="1" w:lineRule="exact"/>
        <w:rPr>
          <w:sz w:val="20"/>
          <w:szCs w:val="20"/>
          <w:color w:val="auto"/>
        </w:rPr>
      </w:pPr>
    </w:p>
    <w:p>
      <w:pPr>
        <w:ind w:left="960" w:right="140"/>
        <w:spacing w:after="0" w:line="302" w:lineRule="auto"/>
        <w:rPr>
          <w:sz w:val="20"/>
          <w:szCs w:val="20"/>
          <w:color w:val="auto"/>
        </w:rPr>
      </w:pPr>
      <w:r>
        <w:rPr>
          <w:rFonts w:ascii="Arial" w:cs="Arial" w:eastAsia="Arial" w:hAnsi="Arial"/>
          <w:sz w:val="15"/>
          <w:szCs w:val="15"/>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including the products obtained in our acquisitions, may adversely impact sales and/or margins of existing products. In addition, the introduction of new products by us or by our competitors, the concentration of our revenues in a limited number of large customers, the migration to new semiconductor testing methodologies and the custom nature of our inventory parts increases the risk that our established products and related inventory may become obsolete, resulting in significant excess and obsolete inventory exposure. This exposure resulted in charges to operations during each of the years in the three-year period ended December 31, 2016. Future inventory write-offs and increased inventory reserve requirements could have a material adverse impact on our results of operations and financial condition.</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spacing w:after="0" w:line="301" w:lineRule="auto"/>
        <w:rPr>
          <w:sz w:val="20"/>
          <w:szCs w:val="20"/>
          <w:color w:val="auto"/>
        </w:rPr>
      </w:pPr>
      <w:r>
        <w:rPr>
          <w:rFonts w:ascii="Arial" w:cs="Arial" w:eastAsia="Arial" w:hAnsi="Arial"/>
          <w:sz w:val="15"/>
          <w:szCs w:val="15"/>
          <w:color w:val="auto"/>
        </w:rPr>
        <w:t>The design, development, commercial introduction and manufacture of new semiconductor equipment is an inherently complex process that involves a number of risks and uncertainties. These risks include potential problems in meeting customer acceptance and performance requirements, integration of the equipment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semiconductor equipment is heavily influenced by changes in integrated circuit assembly, test and final manufacturing processes and integrated circuit package design changes. We believe that the rate of change in such processes and integrated circuit packages is accelerating. As a result of these changes and other factors, assessing the market potential and commercial viability of handling, MEMS, system-level and burn-in test equipment is extremely difficult and subject to a great deal of risk. In addition, not all integrated circuit manufacturers employ the same manufacturing processes. Differences in such processes make it difficult to design standard test products that can achieve broad market acceptance. As a result, we might not accurately assess the semiconductor industry’s future equipment requirements and fail to design and develop products that meet such requirements and achieve market acceptance. Failure to accurately assess customer requirements and market trends for new semiconductor test products may have a material adverse impact on our operations, financial condition and results of operations.</w:t>
      </w:r>
    </w:p>
    <w:p>
      <w:pPr>
        <w:spacing w:after="0" w:line="371" w:lineRule="exact"/>
        <w:rPr>
          <w:sz w:val="20"/>
          <w:szCs w:val="20"/>
          <w:color w:val="auto"/>
        </w:rPr>
      </w:pPr>
    </w:p>
    <w:p>
      <w:pPr>
        <w:ind w:left="960" w:right="100"/>
        <w:spacing w:after="0" w:line="306" w:lineRule="auto"/>
        <w:rPr>
          <w:sz w:val="20"/>
          <w:szCs w:val="20"/>
          <w:color w:val="auto"/>
        </w:rPr>
      </w:pPr>
      <w:r>
        <w:rPr>
          <w:rFonts w:ascii="Arial" w:cs="Arial" w:eastAsia="Arial" w:hAnsi="Arial"/>
          <w:sz w:val="15"/>
          <w:szCs w:val="15"/>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equipment. In addition, as is common with semiconductor equipment, after sale support and warranty costs have typically been significantly higher with new products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56" w:lineRule="exact"/>
        <w:rPr>
          <w:sz w:val="20"/>
          <w:szCs w:val="20"/>
          <w:color w:val="auto"/>
        </w:rPr>
      </w:pPr>
    </w:p>
    <w:p>
      <w:pPr>
        <w:ind w:left="960" w:right="120"/>
        <w:spacing w:after="0" w:line="268" w:lineRule="auto"/>
        <w:rPr>
          <w:sz w:val="20"/>
          <w:szCs w:val="20"/>
          <w:color w:val="auto"/>
        </w:rPr>
      </w:pPr>
      <w:r>
        <w:rPr>
          <w:rFonts w:ascii="Arial" w:cs="Arial" w:eastAsia="Arial" w:hAnsi="Arial"/>
          <w:sz w:val="17"/>
          <w:szCs w:val="17"/>
          <w:b w:val="1"/>
          <w:bCs w:val="1"/>
          <w:i w:val="1"/>
          <w:iCs w:val="1"/>
          <w:color w:val="auto"/>
        </w:rPr>
        <w:t xml:space="preserve">Global economic conditions may have an impact on our business and financial condition in ways that we currently cannot predict. </w:t>
      </w:r>
      <w:r>
        <w:rPr>
          <w:rFonts w:ascii="Arial" w:cs="Arial" w:eastAsia="Arial" w:hAnsi="Arial"/>
          <w:sz w:val="17"/>
          <w:szCs w:val="17"/>
          <w:color w:val="auto"/>
        </w:rPr>
        <w:t>Our operations and financial results depend on worldwide economic conditions and their impact on levels of business spending. Continued uncertainties may reduce future sales of our products and services. While we believe we have a strong customer base and have experienced strong collections in the past, if the current market conditions deteriorate, we may experience increased collection times and greater write-offs, either of which could have a material adverse effect on our cash flow.</w:t>
      </w:r>
    </w:p>
    <w:p>
      <w:pPr>
        <w:spacing w:after="0" w:line="180" w:lineRule="exact"/>
        <w:rPr>
          <w:sz w:val="20"/>
          <w:szCs w:val="20"/>
          <w:color w:val="auto"/>
        </w:rPr>
      </w:pPr>
    </w:p>
    <w:p>
      <w:pPr>
        <w:ind w:left="960" w:right="160"/>
        <w:spacing w:after="0" w:line="250" w:lineRule="auto"/>
        <w:rPr>
          <w:sz w:val="20"/>
          <w:szCs w:val="20"/>
          <w:color w:val="auto"/>
        </w:rPr>
      </w:pPr>
      <w:r>
        <w:rPr>
          <w:rFonts w:ascii="Arial" w:cs="Arial" w:eastAsia="Arial" w:hAnsi="Arial"/>
          <w:sz w:val="18"/>
          <w:szCs w:val="18"/>
          <w:color w:val="auto"/>
        </w:rPr>
        <w:t>In addition, the tightening of credit markets and concerns regarding the availability of credit may make it more difficult for our customers to raise capital, whether debt or equity, to finance their purchases of capital equipment, including the products we sell. Delays in our customers’ ability to obtain such financing, or the unavailability of such financing would adversely affect our product sales and revenues and therefore harm our business and operating results. We cannot predict the timing, duration of or effect on our business of an economic slowdown or the timing or strength of a subsequent recovery.</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2" w:name="page33"/>
    <w:bookmarkEnd w:id="32"/>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16" w:lineRule="exact"/>
        <w:rPr>
          <w:sz w:val="20"/>
          <w:szCs w:val="20"/>
          <w:color w:val="auto"/>
        </w:rPr>
      </w:pPr>
    </w:p>
    <w:p>
      <w:pPr>
        <w:ind w:left="960" w:right="20"/>
        <w:spacing w:after="0" w:line="300" w:lineRule="auto"/>
        <w:rPr>
          <w:sz w:val="20"/>
          <w:szCs w:val="20"/>
          <w:color w:val="auto"/>
        </w:rPr>
      </w:pPr>
      <w:r>
        <w:rPr>
          <w:rFonts w:ascii="Arial" w:cs="Arial" w:eastAsia="Arial" w:hAnsi="Arial"/>
          <w:sz w:val="15"/>
          <w:szCs w:val="15"/>
          <w:color w:val="auto"/>
        </w:rPr>
        <w:t>A small number of customers have been responsible for a significant portion of our net sales. During the past five years, the percentage of our sales derived from these significant customers has varied greatly. Such variations are due to changes in the customers’ business, consolidation within the semiconductor industry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including end market demand for our customers’ products, outsourcing final semiconductor test to test subcontractors that are not our customers or other factors, would have a material adverse impact on our business, financial condition and results of operations. Furthermore, the concentration of our revenues in a limited number of large customers is likely to cause significant fluctuations in our future annual and quarterly operating results.</w:t>
      </w:r>
    </w:p>
    <w:p>
      <w:pPr>
        <w:spacing w:after="0" w:line="163" w:lineRule="exact"/>
        <w:rPr>
          <w:sz w:val="20"/>
          <w:szCs w:val="20"/>
          <w:color w:val="auto"/>
        </w:rPr>
      </w:pPr>
    </w:p>
    <w:p>
      <w:pPr>
        <w:ind w:left="960" w:right="140"/>
        <w:spacing w:after="0" w:line="252" w:lineRule="auto"/>
        <w:rPr>
          <w:sz w:val="20"/>
          <w:szCs w:val="20"/>
          <w:color w:val="auto"/>
        </w:rPr>
      </w:pPr>
      <w:r>
        <w:rPr>
          <w:rFonts w:ascii="Arial" w:cs="Arial" w:eastAsia="Arial" w:hAnsi="Arial"/>
          <w:sz w:val="18"/>
          <w:szCs w:val="18"/>
          <w:b w:val="1"/>
          <w:bCs w:val="1"/>
          <w:i w:val="1"/>
          <w:iCs w:val="1"/>
          <w:color w:val="auto"/>
        </w:rPr>
        <w:t>If we cannot continue to develop, manufacture and market products and services that meet customer requirements for innovation and quality, our revenue and gross margin may suffer.</w:t>
      </w:r>
    </w:p>
    <w:p>
      <w:pPr>
        <w:spacing w:after="0" w:line="1" w:lineRule="exact"/>
        <w:rPr>
          <w:sz w:val="20"/>
          <w:szCs w:val="20"/>
          <w:color w:val="auto"/>
        </w:rPr>
      </w:pPr>
    </w:p>
    <w:p>
      <w:pPr>
        <w:ind w:left="960"/>
        <w:spacing w:after="0" w:line="302" w:lineRule="auto"/>
        <w:rPr>
          <w:sz w:val="20"/>
          <w:szCs w:val="20"/>
          <w:color w:val="auto"/>
        </w:rPr>
      </w:pPr>
      <w:r>
        <w:rPr>
          <w:rFonts w:ascii="Arial" w:cs="Arial" w:eastAsia="Arial" w:hAnsi="Arial"/>
          <w:sz w:val="15"/>
          <w:szCs w:val="15"/>
          <w:color w:val="auto"/>
        </w:rPr>
        <w:t>The process of developing new high technology products and services and enhancing existing products and services is complex, costly and uncertain, and any failure by us to anticipate customers’ changing needs and emerging technological trends accurately could significantly harm our market share and results of operations. In addition, in the course of conducting our business, we must adequately address quality issues associated with our products and services, including defects in our engineering, design and manufacturing processes, as well as defects in third-party components included in our products. To address quality issues, we work extensively with our customers and suppliers and engage in product testing to determine the cause of quality problems and appropriate solutions. Finding solutions to quality issues can be expensive and may result in additional warranty, replacement and other costs, adversely affecting our profits. In addition, quality issues can impair our relationships with new or existing customers and adversely affect our reputation, which could lead to a material adverse effect on our operating results.</w:t>
      </w:r>
    </w:p>
    <w:p>
      <w:pPr>
        <w:spacing w:after="0" w:line="159" w:lineRule="exact"/>
        <w:rPr>
          <w:sz w:val="20"/>
          <w:szCs w:val="20"/>
          <w:color w:val="auto"/>
        </w:rPr>
      </w:pPr>
    </w:p>
    <w:p>
      <w:pPr>
        <w:ind w:left="960" w:right="40"/>
        <w:spacing w:after="0" w:line="302" w:lineRule="auto"/>
        <w:rPr>
          <w:sz w:val="20"/>
          <w:szCs w:val="20"/>
          <w:color w:val="auto"/>
        </w:rPr>
      </w:pPr>
      <w:r>
        <w:rPr>
          <w:rFonts w:ascii="Arial" w:cs="Arial" w:eastAsia="Arial" w:hAnsi="Arial"/>
          <w:sz w:val="15"/>
          <w:szCs w:val="15"/>
          <w:b w:val="1"/>
          <w:bCs w:val="1"/>
          <w:i w:val="1"/>
          <w:iCs w:val="1"/>
          <w:color w:val="auto"/>
        </w:rPr>
        <w:t xml:space="preserve">The seasonal nature of the semiconductor equipment industry places enormous demands on our employees, operations and infrastructure. </w:t>
      </w:r>
      <w:r>
        <w:rPr>
          <w:rFonts w:ascii="Arial" w:cs="Arial" w:eastAsia="Arial" w:hAnsi="Arial"/>
          <w:sz w:val="15"/>
          <w:szCs w:val="15"/>
          <w:color w:val="auto"/>
        </w:rPr>
        <w:t>The semiconductor equipment industry is characterized by dramatic and sometimes rapid changes in demand for its products. These are generally dictated by introduction of new consumer products, launch of new model vehicles, implementation of new communications infrastructure, or in response to an increase in industrial equipment and machinery that utilizes semiconductors. A number of other factors including changes in integrated circuit design and packaging may affect demand for our products. Sudden changes in demand for semiconductor equipment commonly occur, and have a significant impact on our operations. We have in the past and may in the future experience difficulties, particularly in manufacturing, in training and recruiting the large number of additions to our workforce. The volatility in headcount and business levels, combined with the seasonal nature of the semiconductor industry, may require that we invest substantial amounts in new operational and financial systems, procedures and controls. We may not be able to successfully adjust our systems, facilities and production capacity to meet our customers’ changing requirements. The inability to meet such requirements will have an adverse impact on our business, financial position and results of operations.</w:t>
      </w:r>
    </w:p>
    <w:p>
      <w:pPr>
        <w:spacing w:after="0" w:line="160"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16" w:lineRule="exact"/>
        <w:rPr>
          <w:sz w:val="20"/>
          <w:szCs w:val="20"/>
          <w:color w:val="auto"/>
        </w:rPr>
      </w:pPr>
    </w:p>
    <w:p>
      <w:pPr>
        <w:ind w:left="960" w:right="20"/>
        <w:spacing w:after="0" w:line="262" w:lineRule="auto"/>
        <w:rPr>
          <w:sz w:val="20"/>
          <w:szCs w:val="20"/>
          <w:color w:val="auto"/>
        </w:rPr>
      </w:pPr>
      <w:r>
        <w:rPr>
          <w:rFonts w:ascii="Arial" w:cs="Arial" w:eastAsia="Arial" w:hAnsi="Arial"/>
          <w:sz w:val="17"/>
          <w:szCs w:val="17"/>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In addition, the cost of living in the San Diego, California, Kolbermoor, Germany and La Chaux-de-Fonds, Switzerland areas, where the majority of our development personnel are located, is high and we have had difficulty in recruiting prospective employees from other locations. There may be only a limited number of persons with the requisite skills and relevant industry experience to serve in these positions and it may become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Third parties may violate our proprietary rights or accuse us of infringing upon their proprietary rights.</w:t>
      </w:r>
    </w:p>
    <w:p>
      <w:pPr>
        <w:spacing w:after="0" w:line="16" w:lineRule="exact"/>
        <w:rPr>
          <w:sz w:val="20"/>
          <w:szCs w:val="20"/>
          <w:color w:val="auto"/>
        </w:rPr>
      </w:pPr>
    </w:p>
    <w:p>
      <w:pPr>
        <w:ind w:left="960" w:right="100"/>
        <w:spacing w:after="0" w:line="264" w:lineRule="auto"/>
        <w:rPr>
          <w:sz w:val="20"/>
          <w:szCs w:val="20"/>
          <w:color w:val="auto"/>
        </w:rPr>
      </w:pPr>
      <w:r>
        <w:rPr>
          <w:rFonts w:ascii="Arial" w:cs="Arial" w:eastAsia="Arial" w:hAnsi="Arial"/>
          <w:sz w:val="17"/>
          <w:szCs w:val="17"/>
          <w:color w:val="auto"/>
        </w:rPr>
        <w:t>We rely on patent, copyright, trademark and trade secret laws to establish and maintain proprietary rights in our technology and products. Any of our proprietary rights may expire due to patent life, or be challenged, invalidated or circumvented. In addition, from time to time, we receive notices from third parties regarding patent or copyright claims. Any such claims, with or without merit, could be time-consuming to defend, result in costly litigation, divert management’s attention and resources and cause us to incur significant expenses. In the event of a successful claim of infringement against us and our failure or inability to license the infringed technology or to substitute similar non-infringing technology, our business, financial condition and results of operations could be adversely affected.</w:t>
      </w:r>
    </w:p>
    <w:p>
      <w:pPr>
        <w:spacing w:after="0" w:line="182" w:lineRule="exact"/>
        <w:rPr>
          <w:sz w:val="20"/>
          <w:szCs w:val="20"/>
          <w:color w:val="auto"/>
        </w:rPr>
      </w:pPr>
    </w:p>
    <w:p>
      <w:pPr>
        <w:ind w:left="960" w:right="580"/>
        <w:spacing w:after="0" w:line="252"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and political instability and we compete against a number of Asian test handling equipment suppliers.</w:t>
      </w:r>
    </w:p>
    <w:p>
      <w:pPr>
        <w:spacing w:after="0" w:line="1" w:lineRule="exact"/>
        <w:rPr>
          <w:sz w:val="20"/>
          <w:szCs w:val="20"/>
          <w:color w:val="auto"/>
        </w:rPr>
      </w:pPr>
    </w:p>
    <w:p>
      <w:pPr>
        <w:ind w:left="960" w:right="20"/>
        <w:spacing w:after="0" w:line="246" w:lineRule="auto"/>
        <w:rPr>
          <w:sz w:val="20"/>
          <w:szCs w:val="20"/>
          <w:color w:val="auto"/>
        </w:rPr>
      </w:pPr>
      <w:r>
        <w:rPr>
          <w:rFonts w:ascii="Arial" w:cs="Arial" w:eastAsia="Arial" w:hAnsi="Arial"/>
          <w:sz w:val="18"/>
          <w:szCs w:val="18"/>
          <w:color w:val="auto"/>
        </w:rPr>
        <w:t>The majority of our export sales are made to destinations in Asia. Political or economic instability, particularly in Asia, may adversely impact the demand for capital equipment, including equipment of the type we manufacture and market. In addition, we face intense competition from a number of Asian suppliers that have certain advantages over United States (“U.S.”) suppliers, including us. These advantages include, among other things, proximity to customers, lower cost structures,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99" w:lineRule="exact"/>
        <w:rPr>
          <w:sz w:val="20"/>
          <w:szCs w:val="20"/>
          <w:color w:val="auto"/>
        </w:rPr>
      </w:pPr>
    </w:p>
    <w:p>
      <w:pPr>
        <w:ind w:left="980" w:hanging="180"/>
        <w:spacing w:after="0"/>
        <w:tabs>
          <w:tab w:leader="none" w:pos="98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16" w:lineRule="exact"/>
        <w:rPr>
          <w:rFonts w:ascii="Arial" w:cs="Arial" w:eastAsia="Arial" w:hAnsi="Arial"/>
          <w:sz w:val="18"/>
          <w:szCs w:val="18"/>
          <w:b w:val="1"/>
          <w:bCs w:val="1"/>
          <w:i w:val="1"/>
          <w:iCs w:val="1"/>
          <w:color w:val="auto"/>
        </w:rPr>
      </w:pPr>
    </w:p>
    <w:p>
      <w:pPr>
        <w:ind w:left="960" w:right="20"/>
        <w:spacing w:after="0" w:line="300" w:lineRule="auto"/>
        <w:rPr>
          <w:rFonts w:ascii="Arial" w:cs="Arial" w:eastAsia="Arial" w:hAnsi="Arial"/>
          <w:sz w:val="18"/>
          <w:szCs w:val="18"/>
          <w:b w:val="1"/>
          <w:bCs w:val="1"/>
          <w:i w:val="1"/>
          <w:iCs w:val="1"/>
          <w:color w:val="auto"/>
        </w:rPr>
      </w:pPr>
      <w:r>
        <w:rPr>
          <w:rFonts w:ascii="Arial" w:cs="Arial" w:eastAsia="Arial" w:hAnsi="Arial"/>
          <w:sz w:val="15"/>
          <w:szCs w:val="15"/>
          <w:color w:val="auto"/>
        </w:rPr>
        <w:t>We are subject to income and other taxes in the U.S. and numerous foreign jurisdictions. Our tax liabilities are affected by, among other things, the amounts our affiliated entities charge each other for intercompany transactions. We may be subject to ongoing tax examinations in various jurisdictions. Tax authorities may disagree with our intercompany charges or other matters and assess additional taxes. While we regularly assess the likely outcomes of these examinations to determine the appropriateness of our tax provision, tax audits are inherently uncertain and an unfavorable outcome could occur. An unanticipated, unfavorable outcome in any specific period could harm our operating results for that period or future periods. The financial cost and management attention and time devoted to defending income tax positions may divert resources from our business operations, which could harm our business and profitability. Tax examinations may also impact the timing and/or amount of our refund claims. In addition, our effective tax rate in the future could be adversely affected by changes in the mix of earnings in countries with differing statutory tax rates, changes in the valuation of our deferred tax assets and liabilities, changes in tax laws and the discovery of new information in the course of our tax return preparation process. In particular, the carrying value of our deferred tax assets and the utilization of our net operating loss and credit carryforwards are dependent on our ability to generate future taxable income in the U.S and other countries. Furthermore, these carryforwards may be subject to annual limitations as a result of changes in Cohu’s ownership.</w:t>
      </w:r>
    </w:p>
    <w:p>
      <w:pPr>
        <w:spacing w:after="0" w:line="371" w:lineRule="exact"/>
        <w:rPr>
          <w:rFonts w:ascii="Arial" w:cs="Arial" w:eastAsia="Arial" w:hAnsi="Arial"/>
          <w:sz w:val="18"/>
          <w:szCs w:val="18"/>
          <w:b w:val="1"/>
          <w:bCs w:val="1"/>
          <w:i w:val="1"/>
          <w:iCs w:val="1"/>
          <w:color w:val="auto"/>
        </w:rPr>
      </w:pPr>
    </w:p>
    <w:p>
      <w:pPr>
        <w:ind w:left="960" w:right="20"/>
        <w:spacing w:after="0" w:line="304"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addition, in October 2015, the Organization for Economic Co-operation and Development (OECD) issued its reports on the 15 focus areas identified in its Action Plan on Base Erosion and Profit Shifting (“BEPS”). Some BEPS measures will require treaty based or legislative action by countries. The final impact of BEPS on Cohu’s income tax provision and liability is currently not quantifiable and is likely to result in additional recordkeeping and administrative cost to implement certain of its requirements. Furthermore, the U.S. House of Representatives Committee on Ways and Means released draft legislation, referred to as the Tax Cuts and Jobs Act, on November 2, 2017 in an effort to reform the U.S. federal income tax system. Among other changes, the draft legislation has provisions regarding deemed repatriation of currently deferred foreign profits, a minimum tax on foreign profits, limits on the deductibility of net interest expense, and a lower overall corporate tax rate. At this time, it is not possible to ascertain what provisions would be included in a final legislative package or whether the legislation will pass at all and, therefore, we cannot estimate what effect these changes, if enacted, may have on our business results.</w:t>
      </w:r>
    </w:p>
    <w:p>
      <w:pPr>
        <w:spacing w:after="0" w:line="371" w:lineRule="exact"/>
        <w:rPr>
          <w:rFonts w:ascii="Arial" w:cs="Arial" w:eastAsia="Arial" w:hAnsi="Arial"/>
          <w:sz w:val="18"/>
          <w:szCs w:val="18"/>
          <w:b w:val="1"/>
          <w:bCs w:val="1"/>
          <w:i w:val="1"/>
          <w:iCs w:val="1"/>
          <w:color w:val="auto"/>
        </w:rPr>
      </w:pPr>
    </w:p>
    <w:p>
      <w:pPr>
        <w:ind w:left="9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Compliance with regulations may impact sales to foreign customers and impose costs.</w:t>
      </w:r>
    </w:p>
    <w:p>
      <w:pPr>
        <w:spacing w:after="0" w:line="16" w:lineRule="exact"/>
        <w:rPr>
          <w:rFonts w:ascii="Arial" w:cs="Arial" w:eastAsia="Arial" w:hAnsi="Arial"/>
          <w:sz w:val="18"/>
          <w:szCs w:val="18"/>
          <w:b w:val="1"/>
          <w:bCs w:val="1"/>
          <w:i w:val="1"/>
          <w:iCs w:val="1"/>
          <w:color w:val="auto"/>
        </w:rPr>
      </w:pPr>
    </w:p>
    <w:p>
      <w:pPr>
        <w:ind w:left="960"/>
        <w:spacing w:after="0" w:line="299" w:lineRule="auto"/>
        <w:rPr>
          <w:rFonts w:ascii="Arial" w:cs="Arial" w:eastAsia="Arial" w:hAnsi="Arial"/>
          <w:sz w:val="18"/>
          <w:szCs w:val="18"/>
          <w:b w:val="1"/>
          <w:bCs w:val="1"/>
          <w:i w:val="1"/>
          <w:iCs w:val="1"/>
          <w:color w:val="auto"/>
        </w:rPr>
      </w:pPr>
      <w:r>
        <w:rPr>
          <w:rFonts w:ascii="Arial" w:cs="Arial" w:eastAsia="Arial" w:hAnsi="Arial"/>
          <w:sz w:val="15"/>
          <w:szCs w:val="15"/>
          <w:color w:val="auto"/>
        </w:rPr>
        <w:t>Certain products and services that we offer require compliance with U.S. and other foreign country export and other regulations. Compliance with complex U.S. and other foreign country laws and regulations that apply to our international sales activities increases our cost of doing business in international jurisdictions and could expose us or our employees to fines and penalties. These laws and regulations include import and export requirements, the U.S. State Department International Traffic in Arms Regulations (“ITAR”) and U.S. and other foreign country laws such as the Foreign Corrupt Practices Act (“FCPA”), and local laws prohibiting corrupt payments to governmental officials. Violations of these laws and regulations could result in fines, criminal sanctions against us, our officers or our employees, prohibitions on the conduct of our business and damage to our reputation. Although we have implemented policies and procedures designed to ensure compliance with these laws, there can be no assurance that our employees, contractors or agents will not violate our policies, or that our policies will be effective in preventing all potential violations. Any such violations could include prohibitions on our ability to offer our products and services to one or more countries, and could also materially damage our reputation, our brand, our international expansion efforts, our ability to attract and retain employees, our business and our operating results. Further, defending against claims of violations of these laws and regulations, even if we are successful, could be time-consuming, result in costly litigation, divert management’s attention and resources and cause us to incur significant expenses.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34" w:name="page35"/>
    <w:bookmarkEnd w:id="34"/>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right="160"/>
        <w:spacing w:after="0" w:line="308" w:lineRule="auto"/>
        <w:rPr>
          <w:sz w:val="20"/>
          <w:szCs w:val="20"/>
          <w:color w:val="auto"/>
        </w:rPr>
      </w:pPr>
      <w:r>
        <w:rPr>
          <w:rFonts w:ascii="Arial" w:cs="Arial" w:eastAsia="Arial" w:hAnsi="Arial"/>
          <w:sz w:val="15"/>
          <w:szCs w:val="15"/>
          <w:color w:val="auto"/>
        </w:rPr>
        <w:t>In addition to government regulations regarding sale and export, we are subject to other regulations regarding our products. For example, the U.S. Securities and Exchange Commission has adopted disclosure rules for companies that use conflict minerals in their products, with substantial supply chain verification requirements if the materials come from, or could have come from, the Democratic Republic of the Congo or adjoining countries. These new rules and verification requirements will impose additional costs on us and on our suppliers, and may limit the sources or increase the cost of materials used in our products. Further, if we are unable to certify that our products are conflict free, we may face challenges with our customers that could place us at a competitive disadvantage, and our reputation may be harmed.</w:t>
      </w:r>
    </w:p>
    <w:p>
      <w:pPr>
        <w:spacing w:after="0" w:line="155" w:lineRule="exact"/>
        <w:rPr>
          <w:sz w:val="20"/>
          <w:szCs w:val="20"/>
          <w:color w:val="auto"/>
        </w:rPr>
      </w:pPr>
    </w:p>
    <w:p>
      <w:pPr>
        <w:ind w:left="9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16" w:lineRule="exact"/>
        <w:rPr>
          <w:sz w:val="20"/>
          <w:szCs w:val="20"/>
          <w:color w:val="auto"/>
        </w:rPr>
      </w:pPr>
    </w:p>
    <w:p>
      <w:pPr>
        <w:ind w:left="960" w:right="80"/>
        <w:spacing w:after="0" w:line="263" w:lineRule="auto"/>
        <w:rPr>
          <w:sz w:val="20"/>
          <w:szCs w:val="20"/>
          <w:color w:val="auto"/>
        </w:rPr>
      </w:pPr>
      <w:r>
        <w:rPr>
          <w:rFonts w:ascii="Arial" w:cs="Arial" w:eastAsia="Arial" w:hAnsi="Arial"/>
          <w:sz w:val="17"/>
          <w:szCs w:val="17"/>
          <w:color w:val="auto"/>
        </w:rPr>
        <w:t>Attempts by others to gain unauthorized access to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may be required to devote additional resources to the security of our information technology systems.</w:t>
      </w:r>
    </w:p>
    <w:p>
      <w:pPr>
        <w:spacing w:after="0" w:line="182" w:lineRule="exact"/>
        <w:rPr>
          <w:sz w:val="20"/>
          <w:szCs w:val="20"/>
          <w:color w:val="auto"/>
        </w:rPr>
      </w:pPr>
    </w:p>
    <w:p>
      <w:pPr>
        <w:ind w:left="960" w:hanging="242"/>
        <w:spacing w:after="0" w:line="252" w:lineRule="auto"/>
        <w:tabs>
          <w:tab w:leader="none" w:pos="1024"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implementation of enterprise resource planning (“ERP”) systems may adversely affect our business and results of operations or the effectiveness of internal controls over financial reporting.</w:t>
      </w:r>
    </w:p>
    <w:p>
      <w:pPr>
        <w:ind w:left="960" w:right="180"/>
        <w:spacing w:after="0" w:line="246" w:lineRule="auto"/>
        <w:rPr>
          <w:rFonts w:ascii="Arial" w:cs="Arial" w:eastAsia="Arial" w:hAnsi="Arial"/>
          <w:sz w:val="18"/>
          <w:szCs w:val="18"/>
          <w:b w:val="1"/>
          <w:bCs w:val="1"/>
          <w:i w:val="1"/>
          <w:iCs w:val="1"/>
          <w:color w:val="auto"/>
        </w:rPr>
      </w:pPr>
      <w:r>
        <w:rPr>
          <w:rFonts w:ascii="Arial" w:cs="Arial" w:eastAsia="Arial" w:hAnsi="Arial"/>
          <w:sz w:val="18"/>
          <w:szCs w:val="18"/>
          <w:color w:val="auto"/>
        </w:rPr>
        <w:t>We recently completed the implementation of a new ERP system within our Switzerland and Malaysia operations, to conform these operations to the same ERP system used within our other principal business locations. ERP implementations are complex and time-consuming projects that involve substantial expenditures on system software and implementation activities. If we did not effectively implement the ERP system or if the system does not operate as intended, it could adversely affect our financial reporting systems and our ability to produce financial reports and process transactions, the effectiveness of internal controls over financial reporting, and our business, financial condition, results of operations and cash flows.</w:t>
      </w:r>
    </w:p>
    <w:p>
      <w:pPr>
        <w:spacing w:after="0" w:line="199" w:lineRule="exact"/>
        <w:rPr>
          <w:sz w:val="20"/>
          <w:szCs w:val="20"/>
          <w:color w:val="auto"/>
        </w:rPr>
      </w:pPr>
    </w:p>
    <w:p>
      <w:pPr>
        <w:ind w:left="960" w:right="780"/>
        <w:spacing w:after="0" w:line="252" w:lineRule="auto"/>
        <w:rPr>
          <w:sz w:val="20"/>
          <w:szCs w:val="20"/>
          <w:color w:val="auto"/>
        </w:rPr>
      </w:pPr>
      <w:r>
        <w:rPr>
          <w:rFonts w:ascii="Arial" w:cs="Arial" w:eastAsia="Arial" w:hAnsi="Arial"/>
          <w:sz w:val="18"/>
          <w:szCs w:val="18"/>
          <w:b w:val="1"/>
          <w:bCs w:val="1"/>
          <w:i w:val="1"/>
          <w:iCs w:val="1"/>
          <w:color w:val="auto"/>
        </w:rPr>
        <w:t>The occurrence of natural disasters and geopolitical instability caused by terrorist attacks and other threats may adversely impact our operations and sales.</w:t>
      </w:r>
    </w:p>
    <w:p>
      <w:pPr>
        <w:spacing w:after="0" w:line="1" w:lineRule="exact"/>
        <w:rPr>
          <w:sz w:val="20"/>
          <w:szCs w:val="20"/>
          <w:color w:val="auto"/>
        </w:rPr>
      </w:pPr>
    </w:p>
    <w:p>
      <w:pPr>
        <w:ind w:left="960"/>
        <w:spacing w:after="0" w:line="264" w:lineRule="auto"/>
        <w:rPr>
          <w:sz w:val="20"/>
          <w:szCs w:val="20"/>
          <w:color w:val="auto"/>
        </w:rPr>
      </w:pPr>
      <w:r>
        <w:rPr>
          <w:rFonts w:ascii="Arial" w:cs="Arial" w:eastAsia="Arial" w:hAnsi="Arial"/>
          <w:sz w:val="17"/>
          <w:szCs w:val="17"/>
          <w:color w:val="auto"/>
        </w:rPr>
        <w:t>Our Corporate headquarters is located in San Diego, California, our Asian sales and service headquarters is located in Singapore and the majority of our sales are made to destinations in Asia. In addition, we have manufacturing plants in Malaysia, Philippines and Japan. These regions are known for being vulnerable to natural disasters and other risks, such as earthquakes, tsunamis, fires, and floods, which at times have disrupted the local economies. A significant earthquake or tsunami could materially affect operating results. We are not insured for most losses and business interruptions of this kind, or for geopolitical or terrorism impacts, and presently have limited redundant, multiple site capacity in the event of a disaster. In the event of such disaster, our business would materially suffer.</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15"/>
          <w:szCs w:val="15"/>
          <w:b w:val="1"/>
          <w:bCs w:val="1"/>
          <w:i w:val="1"/>
          <w:iCs w:val="1"/>
          <w:color w:val="auto"/>
        </w:rPr>
        <w:t>Our financial and operating results may vary and fall below analysts’ estimates, which may cause the price of our common stock to decline.</w:t>
      </w:r>
    </w:p>
    <w:p>
      <w:pPr>
        <w:spacing w:after="0" w:line="5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Our operating results may fluctuate from quarter to quarter due to a variety of factors including, but not limited to:</w:t>
      </w:r>
    </w:p>
    <w:p>
      <w:pPr>
        <w:spacing w:after="0" w:line="205" w:lineRule="exact"/>
        <w:rPr>
          <w:sz w:val="20"/>
          <w:szCs w:val="20"/>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volatile and unpredictable nature of the semiconductor equipment industry;</w:t>
      </w:r>
    </w:p>
    <w:p>
      <w:pPr>
        <w:spacing w:after="0" w:line="16" w:lineRule="exact"/>
        <w:rPr>
          <w:rFonts w:ascii="Arial" w:cs="Arial" w:eastAsia="Arial" w:hAnsi="Arial"/>
          <w:sz w:val="18"/>
          <w:szCs w:val="18"/>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and amount of orders from customers and shipments to customers;</w:t>
      </w:r>
    </w:p>
    <w:p>
      <w:pPr>
        <w:spacing w:after="0" w:line="20" w:lineRule="exact"/>
        <w:rPr>
          <w:rFonts w:ascii="Arial" w:cs="Arial" w:eastAsia="Arial" w:hAnsi="Arial"/>
          <w:sz w:val="18"/>
          <w:szCs w:val="18"/>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recognize revenue due to accounting requirements;</w:t>
      </w:r>
    </w:p>
    <w:p>
      <w:pPr>
        <w:spacing w:after="0" w:line="31" w:lineRule="exact"/>
        <w:rPr>
          <w:rFonts w:ascii="Arial" w:cs="Arial" w:eastAsia="Arial" w:hAnsi="Arial"/>
          <w:sz w:val="18"/>
          <w:szCs w:val="18"/>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inventory write-downs;</w:t>
      </w:r>
    </w:p>
    <w:p>
      <w:pPr>
        <w:spacing w:after="0" w:line="31" w:lineRule="exact"/>
        <w:rPr>
          <w:rFonts w:ascii="Arial" w:cs="Arial" w:eastAsia="Arial" w:hAnsi="Arial"/>
          <w:sz w:val="18"/>
          <w:szCs w:val="18"/>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deliver solutions as expected by our customers; and</w:t>
      </w:r>
    </w:p>
    <w:p>
      <w:pPr>
        <w:spacing w:after="0" w:line="31" w:lineRule="exact"/>
        <w:rPr>
          <w:rFonts w:ascii="Arial" w:cs="Arial" w:eastAsia="Arial" w:hAnsi="Arial"/>
          <w:sz w:val="18"/>
          <w:szCs w:val="18"/>
          <w:color w:val="auto"/>
        </w:rPr>
      </w:pPr>
    </w:p>
    <w:p>
      <w:pPr>
        <w:ind w:left="1600" w:hanging="482"/>
        <w:spacing w:after="0"/>
        <w:tabs>
          <w:tab w:leader="none" w:pos="1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intangible and deferred tax asset write-downs.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8" w:lineRule="exact"/>
        <w:rPr>
          <w:sz w:val="20"/>
          <w:szCs w:val="20"/>
          <w:color w:val="auto"/>
        </w:rPr>
      </w:pPr>
    </w:p>
    <w:p>
      <w:pPr>
        <w:ind w:left="960" w:right="380"/>
        <w:spacing w:after="0" w:line="252" w:lineRule="auto"/>
        <w:rPr>
          <w:sz w:val="20"/>
          <w:szCs w:val="20"/>
          <w:color w:val="auto"/>
        </w:rPr>
      </w:pPr>
      <w:r>
        <w:rPr>
          <w:rFonts w:ascii="Arial" w:cs="Arial" w:eastAsia="Arial" w:hAnsi="Arial"/>
          <w:sz w:val="18"/>
          <w:szCs w:val="18"/>
          <w:color w:val="auto"/>
        </w:rPr>
        <w:t>Due to these factors or other unanticipated events, quarter-to-quarter comparisons of our operating results may not be reliable indicators of our future performance. In addition, from time to time our quarterly financial results may fall below the expectations of the securities and industry analysts who publish reports on our company or of investors in general. This could cause the market price of our stock to decline, perhaps significantly.</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  We have experienced significant volatility in our stock price.</w:t>
      </w:r>
    </w:p>
    <w:p>
      <w:pPr>
        <w:spacing w:after="0" w:line="16" w:lineRule="exact"/>
        <w:rPr>
          <w:sz w:val="20"/>
          <w:szCs w:val="20"/>
          <w:color w:val="auto"/>
        </w:rPr>
      </w:pPr>
    </w:p>
    <w:p>
      <w:pPr>
        <w:ind w:left="960"/>
        <w:spacing w:after="0" w:line="263" w:lineRule="auto"/>
        <w:rPr>
          <w:sz w:val="20"/>
          <w:szCs w:val="20"/>
          <w:color w:val="auto"/>
        </w:rPr>
      </w:pPr>
      <w:r>
        <w:rPr>
          <w:rFonts w:ascii="Arial" w:cs="Arial" w:eastAsia="Arial" w:hAnsi="Arial"/>
          <w:sz w:val="17"/>
          <w:szCs w:val="17"/>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three-year period ended September 30, 2017 the price of our common stock has ranged from $23.88 to $9.14. The price of our stock may be more volatile than the stock of other companies due to, among other factors, the volatile, unpredictable and seasonal nature of the semiconductor industry, our significant customer concentration, intense competition in the test handler industry, our limited backlog and our relatively low daily stock trading volume. The market price of our common stock is likely to continue to fluctuate significantly in the future, including fluctuations related and unrelated to our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6" w:name="page37"/>
    <w:bookmarkEnd w:id="36"/>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1651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37" w:name="page38"/>
    <w:bookmarkEnd w:id="37"/>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10"/>
          </w:tcPr>
          <w:p>
            <w:pPr>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1040" w:type="dxa"/>
            <w:vAlign w:val="bottom"/>
          </w:tcPr>
          <w:p>
            <w:pPr>
              <w:spacing w:after="0"/>
              <w:rPr>
                <w:sz w:val="20"/>
                <w:szCs w:val="20"/>
                <w:color w:val="auto"/>
              </w:rPr>
            </w:pPr>
            <w:r>
              <w:rPr>
                <w:rFonts w:ascii="Arial" w:cs="Arial" w:eastAsia="Arial" w:hAnsi="Arial"/>
                <w:sz w:val="18"/>
                <w:szCs w:val="18"/>
                <w:color w:val="auto"/>
              </w:rPr>
              <w:t>3(i).1</w:t>
            </w:r>
          </w:p>
        </w:tc>
        <w:tc>
          <w:tcPr>
            <w:tcW w:w="10380" w:type="dxa"/>
            <w:vAlign w:val="bottom"/>
            <w:gridSpan w:val="10"/>
          </w:tcPr>
          <w:p>
            <w:pPr>
              <w:spacing w:after="0"/>
              <w:rPr>
                <w:rFonts w:ascii="Arial" w:cs="Arial" w:eastAsia="Arial" w:hAnsi="Arial"/>
                <w:sz w:val="18"/>
                <w:szCs w:val="18"/>
                <w:color w:val="0000EE"/>
                <w:w w:val="90"/>
              </w:rPr>
            </w:pPr>
            <w:hyperlink r:id="rId51">
              <w:r>
                <w:rPr>
                  <w:rFonts w:ascii="Arial" w:cs="Arial" w:eastAsia="Arial" w:hAnsi="Arial"/>
                  <w:sz w:val="18"/>
                  <w:szCs w:val="18"/>
                  <w:color w:val="0000EE"/>
                  <w:w w:val="90"/>
                </w:rPr>
                <w:t>Amended and Restated Certificate of Incorporation of Cohu, Inc. incorporated herein by reference to Exhibit 3.1(a) from the Cohu, Inc. Form 10-</w:t>
              </w:r>
            </w:hyperlink>
          </w:p>
        </w:tc>
      </w:tr>
      <w:tr>
        <w:trPr>
          <w:trHeight w:val="192"/>
        </w:trPr>
        <w:tc>
          <w:tcPr>
            <w:tcW w:w="1040" w:type="dxa"/>
            <w:vAlign w:val="bottom"/>
          </w:tcPr>
          <w:p>
            <w:pPr>
              <w:spacing w:after="0"/>
              <w:rPr>
                <w:sz w:val="16"/>
                <w:szCs w:val="16"/>
                <w:color w:val="auto"/>
              </w:rPr>
            </w:pPr>
          </w:p>
        </w:tc>
        <w:tc>
          <w:tcPr>
            <w:tcW w:w="10280" w:type="dxa"/>
            <w:vAlign w:val="bottom"/>
            <w:tcBorders>
              <w:top w:val="single" w:sz="8" w:color="0000EE"/>
            </w:tcBorders>
            <w:gridSpan w:val="9"/>
          </w:tcPr>
          <w:p>
            <w:pPr>
              <w:spacing w:after="0" w:line="192" w:lineRule="exact"/>
              <w:rPr>
                <w:rFonts w:ascii="Arial" w:cs="Arial" w:eastAsia="Arial" w:hAnsi="Arial"/>
                <w:sz w:val="18"/>
                <w:szCs w:val="18"/>
                <w:color w:val="0000EE"/>
              </w:rPr>
            </w:pPr>
            <w:hyperlink r:id="rId51">
              <w:r>
                <w:rPr>
                  <w:rFonts w:ascii="Arial" w:cs="Arial" w:eastAsia="Arial" w:hAnsi="Arial"/>
                  <w:sz w:val="18"/>
                  <w:szCs w:val="18"/>
                  <w:color w:val="0000EE"/>
                </w:rPr>
                <w:t>Q for the quarterly period ended June 30, 1999</w:t>
              </w:r>
            </w:hyperlink>
          </w:p>
        </w:tc>
        <w:tc>
          <w:tcPr>
            <w:tcW w:w="10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3(i).2</w:t>
            </w:r>
          </w:p>
        </w:tc>
        <w:tc>
          <w:tcPr>
            <w:tcW w:w="10240" w:type="dxa"/>
            <w:vAlign w:val="bottom"/>
            <w:tcBorders>
              <w:bottom w:val="single" w:sz="8" w:color="0000EE"/>
            </w:tcBorders>
            <w:gridSpan w:val="8"/>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Certificate of Amendment of Amended and Restated Certificate of Incorporation of Cohu, Inc. incorporated herein by reference to Exhibit 4.1(a)</w:t>
              </w:r>
            </w:hyperlink>
          </w:p>
        </w:tc>
        <w:tc>
          <w:tcPr>
            <w:tcW w:w="140" w:type="dxa"/>
            <w:vAlign w:val="bottom"/>
            <w:gridSpan w:val="2"/>
          </w:tcPr>
          <w:p>
            <w:pPr>
              <w:spacing w:after="0"/>
              <w:rPr>
                <w:sz w:val="24"/>
                <w:szCs w:val="24"/>
                <w:color w:val="auto"/>
              </w:rPr>
            </w:pPr>
          </w:p>
        </w:tc>
      </w:tr>
      <w:tr>
        <w:trPr>
          <w:trHeight w:val="192"/>
        </w:trPr>
        <w:tc>
          <w:tcPr>
            <w:tcW w:w="1040" w:type="dxa"/>
            <w:vAlign w:val="bottom"/>
          </w:tcPr>
          <w:p>
            <w:pPr>
              <w:spacing w:after="0"/>
              <w:rPr>
                <w:sz w:val="16"/>
                <w:szCs w:val="16"/>
                <w:color w:val="auto"/>
              </w:rPr>
            </w:pPr>
          </w:p>
        </w:tc>
        <w:tc>
          <w:tcPr>
            <w:tcW w:w="7060" w:type="dxa"/>
            <w:vAlign w:val="bottom"/>
            <w:tcBorders>
              <w:bottom w:val="single" w:sz="8" w:color="0000EE"/>
            </w:tcBorders>
            <w:gridSpan w:val="6"/>
          </w:tcPr>
          <w:p>
            <w:pPr>
              <w:spacing w:after="0" w:line="192"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from the Cohu, Inc. Form S-8 filed with the Securities and Exchange Commission on June 30, 2000</w:t>
              </w:r>
            </w:hyperlink>
          </w:p>
        </w:tc>
        <w:tc>
          <w:tcPr>
            <w:tcW w:w="3320" w:type="dxa"/>
            <w:vAlign w:val="bottom"/>
            <w:gridSpan w:val="4"/>
          </w:tcPr>
          <w:p>
            <w:pPr>
              <w:spacing w:after="0"/>
              <w:rPr>
                <w:sz w:val="16"/>
                <w:szCs w:val="16"/>
                <w:color w:val="auto"/>
              </w:rPr>
            </w:pP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3(ii)</w:t>
            </w:r>
          </w:p>
        </w:tc>
        <w:tc>
          <w:tcPr>
            <w:tcW w:w="10380" w:type="dxa"/>
            <w:vAlign w:val="bottom"/>
            <w:gridSpan w:val="10"/>
          </w:tcPr>
          <w:p>
            <w:pPr>
              <w:spacing w:after="0"/>
              <w:rPr>
                <w:rFonts w:ascii="Arial" w:cs="Arial" w:eastAsia="Arial" w:hAnsi="Arial"/>
                <w:sz w:val="18"/>
                <w:szCs w:val="18"/>
                <w:color w:val="0000EE"/>
                <w:w w:val="91"/>
              </w:rPr>
            </w:pPr>
            <w:hyperlink r:id="rId53">
              <w:r>
                <w:rPr>
                  <w:rFonts w:ascii="Arial" w:cs="Arial" w:eastAsia="Arial" w:hAnsi="Arial"/>
                  <w:sz w:val="18"/>
                  <w:szCs w:val="18"/>
                  <w:color w:val="0000EE"/>
                  <w:w w:val="91"/>
                </w:rPr>
                <w:t>Amended and Restated Bylaws of Cohu, Inc. incorporated herein by reference to Exhibit 3.2 from the Cohu, Inc. Report on Form 8-K filed with</w:t>
              </w:r>
            </w:hyperlink>
          </w:p>
        </w:tc>
      </w:tr>
      <w:tr>
        <w:trPr>
          <w:trHeight w:val="192"/>
        </w:trPr>
        <w:tc>
          <w:tcPr>
            <w:tcW w:w="1040" w:type="dxa"/>
            <w:vAlign w:val="bottom"/>
          </w:tcPr>
          <w:p>
            <w:pPr>
              <w:spacing w:after="0"/>
              <w:rPr>
                <w:sz w:val="16"/>
                <w:szCs w:val="16"/>
                <w:color w:val="auto"/>
              </w:rPr>
            </w:pPr>
          </w:p>
        </w:tc>
        <w:tc>
          <w:tcPr>
            <w:tcW w:w="10180" w:type="dxa"/>
            <w:vAlign w:val="bottom"/>
            <w:tcBorders>
              <w:top w:val="single" w:sz="8" w:color="0000EE"/>
            </w:tcBorders>
            <w:gridSpan w:val="7"/>
          </w:tcPr>
          <w:p>
            <w:pPr>
              <w:spacing w:after="0" w:line="192" w:lineRule="exact"/>
              <w:rPr>
                <w:rFonts w:ascii="Arial" w:cs="Arial" w:eastAsia="Arial" w:hAnsi="Arial"/>
                <w:sz w:val="18"/>
                <w:szCs w:val="18"/>
                <w:color w:val="0000EE"/>
              </w:rPr>
            </w:pPr>
            <w:hyperlink r:id="rId53">
              <w:r>
                <w:rPr>
                  <w:rFonts w:ascii="Arial" w:cs="Arial" w:eastAsia="Arial" w:hAnsi="Arial"/>
                  <w:sz w:val="18"/>
                  <w:szCs w:val="18"/>
                  <w:color w:val="0000EE"/>
                </w:rPr>
                <w:t>the Securities and Exchange Commission on December 12, 1996</w:t>
              </w:r>
            </w:hyperlink>
          </w:p>
        </w:tc>
        <w:tc>
          <w:tcPr>
            <w:tcW w:w="200" w:type="dxa"/>
            <w:vAlign w:val="bottom"/>
            <w:gridSpan w:val="3"/>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53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Certification pursuant to Section 302(a) of the Sarbanes-Oxley Act of 2002</w:t>
              </w:r>
            </w:hyperlink>
          </w:p>
        </w:tc>
        <w:tc>
          <w:tcPr>
            <w:tcW w:w="5060" w:type="dxa"/>
            <w:vAlign w:val="bottom"/>
            <w:gridSpan w:val="7"/>
          </w:tcPr>
          <w:p>
            <w:pPr>
              <w:spacing w:after="0"/>
              <w:rPr>
                <w:sz w:val="24"/>
                <w:szCs w:val="24"/>
                <w:color w:val="auto"/>
              </w:rPr>
            </w:pP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53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Certification pursuant to Section 302(a) of the Sarbanes-Oxley Act of 2002</w:t>
              </w:r>
            </w:hyperlink>
          </w:p>
        </w:tc>
        <w:tc>
          <w:tcPr>
            <w:tcW w:w="5060" w:type="dxa"/>
            <w:vAlign w:val="bottom"/>
            <w:gridSpan w:val="7"/>
          </w:tcPr>
          <w:p>
            <w:pPr>
              <w:spacing w:after="0"/>
              <w:rPr>
                <w:sz w:val="24"/>
                <w:szCs w:val="24"/>
                <w:color w:val="auto"/>
              </w:rPr>
            </w:pPr>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80" w:type="dxa"/>
            <w:vAlign w:val="bottom"/>
            <w:gridSpan w:val="1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Certification of Chief Executive Officer pursuant to Section 906 of the Sarbanes-Oxley Act of 2002</w:t>
              </w:r>
            </w:hyperlink>
          </w:p>
        </w:tc>
      </w:tr>
      <w:tr>
        <w:trPr>
          <w:trHeight w:val="404"/>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7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Certification of Chief Financial Officer pursuant to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3340" w:type="dxa"/>
            <w:vAlign w:val="bottom"/>
            <w:gridSpan w:val="5"/>
          </w:tcPr>
          <w:p>
            <w:pPr>
              <w:spacing w:after="0"/>
              <w:rPr>
                <w:sz w:val="24"/>
                <w:szCs w:val="24"/>
                <w:color w:val="auto"/>
              </w:rPr>
            </w:pPr>
          </w:p>
        </w:tc>
      </w:tr>
      <w:tr>
        <w:trPr>
          <w:trHeight w:val="443"/>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r>
      <w:tr>
        <w:trPr>
          <w:trHeight w:val="424"/>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24"/>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4"/>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24"/>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24"/>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3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74"/>
        </w:trPr>
        <w:tc>
          <w:tcPr>
            <w:tcW w:w="1040" w:type="dxa"/>
            <w:vAlign w:val="bottom"/>
          </w:tcPr>
          <w:p>
            <w:pPr>
              <w:spacing w:after="0"/>
              <w:rPr>
                <w:sz w:val="24"/>
                <w:szCs w:val="24"/>
                <w:color w:val="auto"/>
              </w:rPr>
            </w:pPr>
          </w:p>
        </w:tc>
        <w:tc>
          <w:tcPr>
            <w:tcW w:w="5320" w:type="dxa"/>
            <w:vAlign w:val="bottom"/>
            <w:gridSpan w:val="3"/>
          </w:tcPr>
          <w:p>
            <w:pPr>
              <w:ind w:left="4580"/>
              <w:spacing w:after="0"/>
              <w:rPr>
                <w:sz w:val="20"/>
                <w:szCs w:val="20"/>
                <w:color w:val="auto"/>
              </w:rPr>
            </w:pPr>
            <w:r>
              <w:rPr>
                <w:rFonts w:ascii="Arial" w:cs="Arial" w:eastAsia="Arial" w:hAnsi="Arial"/>
                <w:sz w:val="18"/>
                <w:szCs w:val="18"/>
                <w:color w:val="auto"/>
              </w:rPr>
              <w:t>38</w:t>
            </w: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104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spacing w:after="0"/>
        <w:rPr>
          <w:rFonts w:ascii="Arial" w:cs="Arial" w:eastAsia="Arial" w:hAnsi="Arial"/>
          <w:sz w:val="21"/>
          <w:szCs w:val="21"/>
          <w:u w:val="single" w:color="auto"/>
          <w:color w:val="0000EE"/>
        </w:rPr>
      </w:pPr>
      <w:hyperlink w:anchor="page2">
        <w:r>
          <w:rPr>
            <w:rFonts w:ascii="Arial" w:cs="Arial" w:eastAsia="Arial" w:hAnsi="Arial"/>
            <w:sz w:val="21"/>
            <w:szCs w:val="21"/>
            <w:u w:val="single" w:color="auto"/>
            <w:color w:val="0000EE"/>
          </w:rPr>
          <w:t>Table of Contents</w:t>
        </w:r>
      </w:hyperlink>
    </w:p>
    <w:p>
      <w:pPr>
        <w:spacing w:after="0" w:line="21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3" w:lineRule="exact"/>
        <w:rPr>
          <w:sz w:val="20"/>
          <w:szCs w:val="20"/>
          <w:color w:val="auto"/>
        </w:rPr>
      </w:pPr>
    </w:p>
    <w:p>
      <w:pPr>
        <w:ind w:firstLine="127"/>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98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COHU, INC.</w:t>
            </w:r>
          </w:p>
        </w:tc>
      </w:tr>
      <w:tr>
        <w:trPr>
          <w:trHeight w:val="217"/>
        </w:trPr>
        <w:tc>
          <w:tcPr>
            <w:tcW w:w="3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tcPr>
          <w:p>
            <w:pPr>
              <w:ind w:left="1540"/>
              <w:spacing w:after="0"/>
              <w:rPr>
                <w:sz w:val="20"/>
                <w:szCs w:val="20"/>
                <w:color w:val="auto"/>
              </w:rPr>
            </w:pPr>
            <w:r>
              <w:rPr>
                <w:rFonts w:ascii="Arial" w:cs="Arial" w:eastAsia="Arial" w:hAnsi="Arial"/>
                <w:sz w:val="18"/>
                <w:szCs w:val="18"/>
                <w:color w:val="auto"/>
              </w:rPr>
              <w:t>(Registrant)</w:t>
            </w:r>
          </w:p>
        </w:tc>
      </w:tr>
      <w:tr>
        <w:trPr>
          <w:trHeight w:val="624"/>
        </w:trPr>
        <w:tc>
          <w:tcPr>
            <w:tcW w:w="3680" w:type="dxa"/>
            <w:vAlign w:val="bottom"/>
          </w:tcPr>
          <w:p>
            <w:pPr>
              <w:spacing w:after="0"/>
              <w:rPr>
                <w:sz w:val="20"/>
                <w:szCs w:val="20"/>
                <w:color w:val="auto"/>
              </w:rPr>
            </w:pPr>
            <w:r>
              <w:rPr>
                <w:rFonts w:ascii="Arial" w:cs="Arial" w:eastAsia="Arial" w:hAnsi="Arial"/>
                <w:sz w:val="18"/>
                <w:szCs w:val="18"/>
                <w:color w:val="auto"/>
              </w:rPr>
              <w:t>Date: November 7, 2017</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A. Müller</w:t>
            </w:r>
          </w:p>
        </w:tc>
      </w:tr>
      <w:tr>
        <w:trPr>
          <w:trHeight w:val="193"/>
        </w:trPr>
        <w:tc>
          <w:tcPr>
            <w:tcW w:w="36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spacing w:after="0" w:line="194" w:lineRule="exact"/>
              <w:rPr>
                <w:sz w:val="20"/>
                <w:szCs w:val="20"/>
                <w:color w:val="auto"/>
              </w:rPr>
            </w:pPr>
            <w:r>
              <w:rPr>
                <w:rFonts w:ascii="Arial" w:cs="Arial" w:eastAsia="Arial" w:hAnsi="Arial"/>
                <w:sz w:val="18"/>
                <w:szCs w:val="18"/>
                <w:color w:val="auto"/>
              </w:rPr>
              <w:t>Luis A. Müller</w:t>
            </w:r>
          </w:p>
        </w:tc>
      </w:tr>
      <w:tr>
        <w:trPr>
          <w:trHeight w:val="223"/>
        </w:trPr>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36"/>
        </w:trPr>
        <w:tc>
          <w:tcPr>
            <w:tcW w:w="3680" w:type="dxa"/>
            <w:vAlign w:val="bottom"/>
          </w:tcPr>
          <w:p>
            <w:pPr>
              <w:spacing w:after="0"/>
              <w:rPr>
                <w:sz w:val="20"/>
                <w:szCs w:val="20"/>
                <w:color w:val="auto"/>
              </w:rPr>
            </w:pPr>
            <w:r>
              <w:rPr>
                <w:rFonts w:ascii="Arial" w:cs="Arial" w:eastAsia="Arial" w:hAnsi="Arial"/>
                <w:sz w:val="18"/>
                <w:szCs w:val="18"/>
                <w:color w:val="auto"/>
              </w:rPr>
              <w:t>Date: November 7, 2017</w:t>
            </w: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r>
      <w:tr>
        <w:trPr>
          <w:trHeight w:val="193"/>
        </w:trPr>
        <w:tc>
          <w:tcPr>
            <w:tcW w:w="36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980" w:type="dxa"/>
            <w:vAlign w:val="bottom"/>
          </w:tcPr>
          <w:p>
            <w:pPr>
              <w:ind w:left="40"/>
              <w:spacing w:after="0" w:line="194" w:lineRule="exact"/>
              <w:rPr>
                <w:sz w:val="20"/>
                <w:szCs w:val="20"/>
                <w:color w:val="auto"/>
              </w:rPr>
            </w:pPr>
            <w:r>
              <w:rPr>
                <w:rFonts w:ascii="Arial" w:cs="Arial" w:eastAsia="Arial" w:hAnsi="Arial"/>
                <w:sz w:val="18"/>
                <w:szCs w:val="18"/>
                <w:color w:val="auto"/>
              </w:rPr>
              <w:t>Jeffrey D. Jones</w:t>
            </w:r>
          </w:p>
        </w:tc>
      </w:tr>
      <w:tr>
        <w:trPr>
          <w:trHeight w:val="212"/>
        </w:trPr>
        <w:tc>
          <w:tcPr>
            <w:tcW w:w="36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Vice President, Finance &amp; Chief Financial Officer</w:t>
            </w:r>
          </w:p>
        </w:tc>
      </w:tr>
      <w:tr>
        <w:trPr>
          <w:trHeight w:val="223"/>
        </w:trPr>
        <w:tc>
          <w:tcPr>
            <w:tcW w:w="36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&amp; Accounting Officer)</w:t>
            </w:r>
          </w:p>
        </w:tc>
      </w:tr>
      <w:tr>
        <w:trPr>
          <w:trHeight w:val="848"/>
        </w:trPr>
        <w:tc>
          <w:tcPr>
            <w:tcW w:w="3680" w:type="dxa"/>
            <w:vAlign w:val="bottom"/>
          </w:tcPr>
          <w:p>
            <w:pPr>
              <w:spacing w:after="0"/>
              <w:rPr>
                <w:sz w:val="24"/>
                <w:szCs w:val="24"/>
                <w:color w:val="auto"/>
              </w:rPr>
            </w:pPr>
          </w:p>
        </w:tc>
        <w:tc>
          <w:tcPr>
            <w:tcW w:w="6040" w:type="dxa"/>
            <w:vAlign w:val="bottom"/>
            <w:gridSpan w:val="3"/>
          </w:tcPr>
          <w:p>
            <w:pPr>
              <w:jc w:val="right"/>
              <w:ind w:right="3832"/>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120"/>
          </w:cols>
          <w:pgMar w:left="240" w:top="118" w:right="5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Luis A. Müller, certify that:</w:t>
      </w:r>
    </w:p>
    <w:p>
      <w:pPr>
        <w:spacing w:after="0" w:line="217" w:lineRule="exact"/>
        <w:rPr>
          <w:sz w:val="20"/>
          <w:szCs w:val="20"/>
          <w:color w:val="auto"/>
        </w:rPr>
      </w:pPr>
    </w:p>
    <w:p>
      <w:pPr>
        <w:ind w:left="640" w:hanging="31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216"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640" w:right="480" w:hanging="316"/>
        <w:spacing w:after="0" w:line="294" w:lineRule="auto"/>
        <w:tabs>
          <w:tab w:leader="none" w:pos="6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640" w:right="100" w:hanging="316"/>
        <w:spacing w:after="0" w:line="255"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960" w:right="200" w:hanging="1"/>
        <w:spacing w:after="0" w:line="255"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960" w:right="140" w:hanging="1"/>
        <w:spacing w:after="0" w:line="255" w:lineRule="auto"/>
        <w:tabs>
          <w:tab w:leader="none" w:pos="12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960" w:right="720" w:hanging="1"/>
        <w:spacing w:after="0" w:line="365" w:lineRule="auto"/>
        <w:tabs>
          <w:tab w:leader="none" w:pos="1200"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jc w:val="both"/>
        <w:ind w:left="960" w:right="180" w:hanging="1"/>
        <w:spacing w:after="0" w:line="255" w:lineRule="auto"/>
        <w:tabs>
          <w:tab w:leader="none" w:pos="12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40" w:right="240" w:hanging="316"/>
        <w:spacing w:after="0" w:line="365" w:lineRule="auto"/>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100" w:hanging="1"/>
        <w:spacing w:after="0" w:line="264" w:lineRule="auto"/>
        <w:tabs>
          <w:tab w:leader="none" w:pos="1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960" w:right="80" w:hanging="1"/>
        <w:spacing w:after="0" w:line="264" w:lineRule="auto"/>
        <w:tabs>
          <w:tab w:leader="none" w:pos="121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951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9519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Luis A. Müller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27"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COHU,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SECTION 302(a)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certify that:</w:t>
      </w:r>
    </w:p>
    <w:p>
      <w:pPr>
        <w:spacing w:after="0" w:line="217"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Cohu, Inc.;</w:t>
      </w:r>
    </w:p>
    <w:p>
      <w:pPr>
        <w:spacing w:after="0" w:line="216" w:lineRule="exact"/>
        <w:rPr>
          <w:rFonts w:ascii="Arial" w:cs="Arial" w:eastAsia="Arial" w:hAnsi="Arial"/>
          <w:sz w:val="18"/>
          <w:szCs w:val="18"/>
          <w:color w:val="auto"/>
        </w:rPr>
      </w:pPr>
    </w:p>
    <w:p>
      <w:pPr>
        <w:ind w:left="640" w:right="20" w:hanging="316"/>
        <w:spacing w:after="0" w:line="365"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5"/>
          <w:szCs w:val="15"/>
          <w:color w:val="auto"/>
        </w:rPr>
      </w:pPr>
    </w:p>
    <w:p>
      <w:pPr>
        <w:ind w:left="640" w:right="480" w:hanging="316"/>
        <w:spacing w:after="0" w:line="294" w:lineRule="auto"/>
        <w:tabs>
          <w:tab w:leader="none" w:pos="6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640" w:right="100" w:hanging="316"/>
        <w:spacing w:after="0" w:line="255"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Arial" w:cs="Arial" w:eastAsia="Arial" w:hAnsi="Arial"/>
          <w:sz w:val="18"/>
          <w:szCs w:val="18"/>
          <w:color w:val="auto"/>
        </w:rPr>
      </w:pPr>
    </w:p>
    <w:p>
      <w:pPr>
        <w:ind w:left="960" w:right="200" w:hanging="1"/>
        <w:spacing w:after="0" w:line="255"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960" w:right="140" w:hanging="1"/>
        <w:spacing w:after="0" w:line="255" w:lineRule="auto"/>
        <w:tabs>
          <w:tab w:leader="none" w:pos="12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960" w:right="720" w:hanging="1"/>
        <w:spacing w:after="0" w:line="365" w:lineRule="auto"/>
        <w:tabs>
          <w:tab w:leader="none" w:pos="1200"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jc w:val="both"/>
        <w:ind w:left="960" w:right="180" w:hanging="1"/>
        <w:spacing w:after="0" w:line="255" w:lineRule="auto"/>
        <w:tabs>
          <w:tab w:leader="none" w:pos="12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640" w:right="240" w:hanging="316"/>
        <w:spacing w:after="0" w:line="365" w:lineRule="auto"/>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960" w:right="100" w:hanging="1"/>
        <w:spacing w:after="0" w:line="264" w:lineRule="auto"/>
        <w:tabs>
          <w:tab w:leader="none" w:pos="12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960" w:right="80" w:hanging="1"/>
        <w:spacing w:after="0" w:line="264" w:lineRule="auto"/>
        <w:tabs>
          <w:tab w:leader="none" w:pos="12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482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p>
      <w:pPr>
        <w:sectPr>
          <w:pgSz w:w="11900" w:h="16838" w:orient="portrait"/>
          <w:cols w:equalWidth="0" w:num="1">
            <w:col w:w="11420"/>
          </w:cols>
          <w:pgMar w:left="240" w:top="12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05" w:lineRule="exact"/>
        <w:rPr>
          <w:sz w:val="20"/>
          <w:szCs w:val="20"/>
          <w:color w:val="auto"/>
        </w:rPr>
      </w:pPr>
    </w:p>
    <w:p>
      <w:pPr>
        <w:ind w:right="120" w:firstLine="265"/>
        <w:spacing w:after="0" w:line="255"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30, 2017 (the "Report"), I, Luis A. Müller, President and Chief Executive Officer of the Company, certify, pursuant to 18 U.S.C. Section 1350, as adopted pursuant to Section 906 of the Sarbanes-Oxley Act of 2002, that, based on my knowledge:</w:t>
      </w:r>
    </w:p>
    <w:p>
      <w:pPr>
        <w:spacing w:after="0" w:line="188" w:lineRule="exact"/>
        <w:rPr>
          <w:sz w:val="20"/>
          <w:szCs w:val="20"/>
          <w:color w:val="auto"/>
        </w:rPr>
      </w:pPr>
    </w:p>
    <w:p>
      <w:pPr>
        <w:ind w:left="260" w:hanging="254"/>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right="920" w:firstLine="6"/>
        <w:spacing w:after="0" w:line="510" w:lineRule="auto"/>
        <w:tabs>
          <w:tab w:leader="none" w:pos="25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Luis A. Müller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Luis A. Müller,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ectPr>
          <w:pgSz w:w="11900" w:h="16838" w:orient="portrait"/>
          <w:cols w:equalWidth="0" w:num="1">
            <w:col w:w="11420"/>
          </w:cols>
          <w:pgMar w:left="240" w:top="12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05" w:lineRule="exact"/>
        <w:rPr>
          <w:sz w:val="20"/>
          <w:szCs w:val="20"/>
          <w:color w:val="auto"/>
        </w:rPr>
      </w:pPr>
    </w:p>
    <w:p>
      <w:pPr>
        <w:ind w:right="240" w:firstLine="265"/>
        <w:spacing w:after="0" w:line="255" w:lineRule="auto"/>
        <w:rPr>
          <w:sz w:val="20"/>
          <w:szCs w:val="20"/>
          <w:color w:val="auto"/>
        </w:rPr>
      </w:pPr>
      <w:r>
        <w:rPr>
          <w:rFonts w:ascii="Arial" w:cs="Arial" w:eastAsia="Arial" w:hAnsi="Arial"/>
          <w:sz w:val="18"/>
          <w:szCs w:val="18"/>
          <w:color w:val="auto"/>
        </w:rPr>
        <w:t>In connection with the accompanying Quarterly Report of Cohu, Inc. (the "Company") on Form 10-Q for the fiscal quarter ended September 30, 2017 (the "Report"), I, Jeffrey D. Jones, Vice President Finance &amp; Chief Financial Officer of the Company, certify, pursuant to 18 U.S.C. Section 1350, as adopted pursuant to Section 906 of the Sarbanes-Oxley Act of 2002, that, based on my knowledge:</w:t>
      </w:r>
    </w:p>
    <w:p>
      <w:pPr>
        <w:spacing w:after="0" w:line="188" w:lineRule="exact"/>
        <w:rPr>
          <w:sz w:val="20"/>
          <w:szCs w:val="20"/>
          <w:color w:val="auto"/>
        </w:rPr>
      </w:pPr>
    </w:p>
    <w:p>
      <w:pPr>
        <w:ind w:left="260" w:hanging="254"/>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6" w:lineRule="exact"/>
        <w:rPr>
          <w:rFonts w:ascii="Arial" w:cs="Arial" w:eastAsia="Arial" w:hAnsi="Arial"/>
          <w:sz w:val="18"/>
          <w:szCs w:val="18"/>
          <w:color w:val="auto"/>
        </w:rPr>
      </w:pPr>
    </w:p>
    <w:p>
      <w:pPr>
        <w:ind w:right="920" w:firstLine="6"/>
        <w:spacing w:after="0" w:line="510" w:lineRule="auto"/>
        <w:tabs>
          <w:tab w:leader="none" w:pos="25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 Jeffrey D. Jones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&amp; Chief Financial Officer</w:t>
      </w:r>
    </w:p>
    <w:sectPr>
      <w:pgSz w:w="11900" w:h="16838" w:orient="portrait"/>
      <w:cols w:equalWidth="0" w:num="1">
        <w:col w:w="11420"/>
      </w:cols>
      <w:pgMar w:left="24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1" Type="http://schemas.openxmlformats.org/officeDocument/2006/relationships/hyperlink" Target="http://www.sec.gov/Archives/edgar/data/21535/000093639299000842/0000936392-99-000842.txt" TargetMode="External"/><Relationship Id="rId52" Type="http://schemas.openxmlformats.org/officeDocument/2006/relationships/hyperlink" Target="http://www.sec.gov/Archives/edgar/data/21535/000093639200000364/ex4-1a.txt" TargetMode="External"/><Relationship Id="rId53" Type="http://schemas.openxmlformats.org/officeDocument/2006/relationships/hyperlink" Target="http://www.sec.gov/Archives/edgar/data/21535/0000936392-96-001173-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2019-12-29T03:05:15Z</dcterms:created>
  <dcterms:modified xsi:type="dcterms:W3CDTF">2019-12-29T03:05:15Z</dcterms:modified>
</cp:coreProperties>
</file>