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w w:val="95"/>
              </w:rPr>
              <w:t>Date of Report (Date of Earliest Event Reported):</w:t>
            </w:r>
          </w:p>
        </w:tc>
        <w:tc>
          <w:tcPr>
            <w:tcW w:w="4200" w:type="dxa"/>
            <w:vAlign w:val="bottom"/>
          </w:tcPr>
          <w:p>
            <w:pPr>
              <w:spacing w:after="0"/>
              <w:rPr>
                <w:sz w:val="20"/>
                <w:szCs w:val="20"/>
                <w:color w:val="auto"/>
              </w:rPr>
            </w:pPr>
          </w:p>
        </w:tc>
        <w:tc>
          <w:tcPr>
            <w:tcW w:w="3460" w:type="dxa"/>
            <w:vAlign w:val="bottom"/>
          </w:tcPr>
          <w:p>
            <w:pPr>
              <w:jc w:val="right"/>
              <w:ind w:right="2110"/>
              <w:spacing w:after="0"/>
              <w:rPr>
                <w:sz w:val="20"/>
                <w:szCs w:val="20"/>
                <w:color w:val="auto"/>
              </w:rPr>
            </w:pPr>
            <w:r>
              <w:rPr>
                <w:rFonts w:ascii="Arial" w:cs="Arial" w:eastAsia="Arial" w:hAnsi="Arial"/>
                <w:sz w:val="18"/>
                <w:szCs w:val="18"/>
                <w:color w:val="auto"/>
              </w:rPr>
              <w:t>July 4, 2019</w:t>
            </w:r>
          </w:p>
        </w:tc>
      </w:tr>
      <w:tr>
        <w:trPr>
          <w:trHeight w:val="738"/>
        </w:trPr>
        <w:tc>
          <w:tcPr>
            <w:tcW w:w="3760" w:type="dxa"/>
            <w:vAlign w:val="bottom"/>
          </w:tcPr>
          <w:p>
            <w:pPr>
              <w:spacing w:after="0"/>
              <w:rPr>
                <w:sz w:val="24"/>
                <w:szCs w:val="24"/>
                <w:color w:val="auto"/>
              </w:rPr>
            </w:pPr>
          </w:p>
        </w:tc>
        <w:tc>
          <w:tcPr>
            <w:tcW w:w="4200" w:type="dxa"/>
            <w:vAlign w:val="bottom"/>
          </w:tcPr>
          <w:p>
            <w:pPr>
              <w:jc w:val="center"/>
              <w:ind w:right="189"/>
              <w:spacing w:after="0"/>
              <w:rPr>
                <w:sz w:val="20"/>
                <w:szCs w:val="20"/>
                <w:color w:val="auto"/>
              </w:rPr>
            </w:pPr>
            <w:r>
              <w:rPr>
                <w:rFonts w:ascii="Arial" w:cs="Arial" w:eastAsia="Arial" w:hAnsi="Arial"/>
                <w:sz w:val="43"/>
                <w:szCs w:val="43"/>
                <w:color w:val="auto"/>
                <w:w w:val="92"/>
              </w:rPr>
              <w:t>Cohu, Inc.</w:t>
            </w:r>
          </w:p>
        </w:tc>
        <w:tc>
          <w:tcPr>
            <w:tcW w:w="3460" w:type="dxa"/>
            <w:vAlign w:val="bottom"/>
          </w:tcPr>
          <w:p>
            <w:pPr>
              <w:spacing w:after="0"/>
              <w:rPr>
                <w:sz w:val="24"/>
                <w:szCs w:val="24"/>
                <w:color w:val="auto"/>
              </w:rPr>
            </w:pPr>
          </w:p>
        </w:tc>
      </w:tr>
      <w:tr>
        <w:trPr>
          <w:trHeight w:val="248"/>
        </w:trPr>
        <w:tc>
          <w:tcPr>
            <w:tcW w:w="3760" w:type="dxa"/>
            <w:vAlign w:val="bottom"/>
            <w:tcBorders>
              <w:bottom w:val="single" w:sz="8" w:color="auto"/>
            </w:tcBorders>
          </w:tcPr>
          <w:p>
            <w:pPr>
              <w:spacing w:after="0"/>
              <w:rPr>
                <w:sz w:val="21"/>
                <w:szCs w:val="21"/>
                <w:color w:val="auto"/>
              </w:rPr>
            </w:pPr>
          </w:p>
        </w:tc>
        <w:tc>
          <w:tcPr>
            <w:tcW w:w="420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tcPr>
          <w:p>
            <w:pPr>
              <w:spacing w:after="0"/>
              <w:rPr>
                <w:sz w:val="21"/>
                <w:szCs w:val="21"/>
                <w:color w:val="auto"/>
              </w:rPr>
            </w:pPr>
          </w:p>
        </w:tc>
      </w:tr>
      <w:tr>
        <w:trPr>
          <w:trHeight w:val="480"/>
        </w:trPr>
        <w:tc>
          <w:tcPr>
            <w:tcW w:w="3760" w:type="dxa"/>
            <w:vAlign w:val="bottom"/>
          </w:tcPr>
          <w:p>
            <w:pPr>
              <w:spacing w:after="0"/>
              <w:rPr>
                <w:sz w:val="24"/>
                <w:szCs w:val="24"/>
                <w:color w:val="auto"/>
              </w:rPr>
            </w:pPr>
          </w:p>
        </w:tc>
        <w:tc>
          <w:tcPr>
            <w:tcW w:w="4200" w:type="dxa"/>
            <w:vAlign w:val="bottom"/>
          </w:tcPr>
          <w:p>
            <w:pPr>
              <w:jc w:val="center"/>
              <w:ind w:right="169"/>
              <w:spacing w:after="0"/>
              <w:rPr>
                <w:sz w:val="20"/>
                <w:szCs w:val="20"/>
                <w:color w:val="auto"/>
              </w:rPr>
            </w:pPr>
            <w:r>
              <w:rPr>
                <w:rFonts w:ascii="Arial" w:cs="Arial" w:eastAsia="Arial" w:hAnsi="Arial"/>
                <w:sz w:val="18"/>
                <w:szCs w:val="18"/>
                <w:color w:val="auto"/>
                <w:w w:val="90"/>
              </w:rPr>
              <w:t>(Exact name of registrant as specified in its charter)</w:t>
            </w:r>
          </w:p>
        </w:tc>
        <w:tc>
          <w:tcPr>
            <w:tcW w:w="3460" w:type="dxa"/>
            <w:vAlign w:val="bottom"/>
          </w:tcPr>
          <w:p>
            <w:pPr>
              <w:spacing w:after="0"/>
              <w:rPr>
                <w:sz w:val="24"/>
                <w:szCs w:val="24"/>
                <w:color w:val="auto"/>
              </w:rPr>
            </w:pPr>
          </w:p>
        </w:tc>
      </w:tr>
      <w:tr>
        <w:trPr>
          <w:trHeight w:val="418"/>
        </w:trPr>
        <w:tc>
          <w:tcPr>
            <w:tcW w:w="3760" w:type="dxa"/>
            <w:vAlign w:val="bottom"/>
          </w:tcPr>
          <w:p>
            <w:pPr>
              <w:jc w:val="center"/>
              <w:ind w:left="230"/>
              <w:spacing w:after="0"/>
              <w:rPr>
                <w:sz w:val="20"/>
                <w:szCs w:val="20"/>
                <w:color w:val="auto"/>
              </w:rPr>
            </w:pPr>
            <w:r>
              <w:rPr>
                <w:rFonts w:ascii="Arial" w:cs="Arial" w:eastAsia="Arial" w:hAnsi="Arial"/>
                <w:sz w:val="18"/>
                <w:szCs w:val="18"/>
                <w:color w:val="auto"/>
                <w:w w:val="89"/>
              </w:rPr>
              <w:t>Delaware</w:t>
            </w:r>
          </w:p>
        </w:tc>
        <w:tc>
          <w:tcPr>
            <w:tcW w:w="4200" w:type="dxa"/>
            <w:vAlign w:val="bottom"/>
          </w:tcPr>
          <w:p>
            <w:pPr>
              <w:jc w:val="center"/>
              <w:ind w:right="189"/>
              <w:spacing w:after="0"/>
              <w:rPr>
                <w:sz w:val="20"/>
                <w:szCs w:val="20"/>
                <w:color w:val="auto"/>
              </w:rPr>
            </w:pPr>
            <w:r>
              <w:rPr>
                <w:rFonts w:ascii="Arial" w:cs="Arial" w:eastAsia="Arial" w:hAnsi="Arial"/>
                <w:sz w:val="18"/>
                <w:szCs w:val="18"/>
                <w:color w:val="auto"/>
                <w:w w:val="90"/>
              </w:rPr>
              <w:t>001-04298</w:t>
            </w:r>
          </w:p>
        </w:tc>
        <w:tc>
          <w:tcPr>
            <w:tcW w:w="3460" w:type="dxa"/>
            <w:vAlign w:val="bottom"/>
          </w:tcPr>
          <w:p>
            <w:pPr>
              <w:jc w:val="right"/>
              <w:ind w:right="1530"/>
              <w:spacing w:after="0"/>
              <w:rPr>
                <w:sz w:val="20"/>
                <w:szCs w:val="20"/>
                <w:color w:val="auto"/>
              </w:rPr>
            </w:pPr>
            <w:r>
              <w:rPr>
                <w:rFonts w:ascii="Arial" w:cs="Arial" w:eastAsia="Arial" w:hAnsi="Arial"/>
                <w:sz w:val="18"/>
                <w:szCs w:val="18"/>
                <w:color w:val="auto"/>
              </w:rPr>
              <w:t>95-1934119</w:t>
            </w:r>
          </w:p>
        </w:tc>
      </w:tr>
      <w:tr>
        <w:trPr>
          <w:trHeight w:val="216"/>
        </w:trPr>
        <w:tc>
          <w:tcPr>
            <w:tcW w:w="3760" w:type="dxa"/>
            <w:vAlign w:val="bottom"/>
          </w:tcPr>
          <w:p>
            <w:pPr>
              <w:jc w:val="center"/>
              <w:ind w:left="230"/>
              <w:spacing w:after="0"/>
              <w:rPr>
                <w:sz w:val="20"/>
                <w:szCs w:val="20"/>
                <w:color w:val="auto"/>
              </w:rPr>
            </w:pPr>
            <w:r>
              <w:rPr>
                <w:rFonts w:ascii="Arial" w:cs="Arial" w:eastAsia="Arial" w:hAnsi="Arial"/>
                <w:sz w:val="18"/>
                <w:szCs w:val="18"/>
                <w:color w:val="auto"/>
                <w:w w:val="91"/>
              </w:rPr>
              <w:t>(State or other jurisdiction</w:t>
            </w:r>
          </w:p>
        </w:tc>
        <w:tc>
          <w:tcPr>
            <w:tcW w:w="4200" w:type="dxa"/>
            <w:vAlign w:val="bottom"/>
          </w:tcPr>
          <w:p>
            <w:pPr>
              <w:jc w:val="center"/>
              <w:ind w:right="209"/>
              <w:spacing w:after="0"/>
              <w:rPr>
                <w:sz w:val="20"/>
                <w:szCs w:val="20"/>
                <w:color w:val="auto"/>
              </w:rPr>
            </w:pPr>
            <w:r>
              <w:rPr>
                <w:rFonts w:ascii="Arial" w:cs="Arial" w:eastAsia="Arial" w:hAnsi="Arial"/>
                <w:sz w:val="18"/>
                <w:szCs w:val="18"/>
                <w:color w:val="auto"/>
                <w:w w:val="91"/>
              </w:rPr>
              <w:t>(Commission</w:t>
            </w:r>
          </w:p>
        </w:tc>
        <w:tc>
          <w:tcPr>
            <w:tcW w:w="3460" w:type="dxa"/>
            <w:vAlign w:val="bottom"/>
          </w:tcPr>
          <w:p>
            <w:pPr>
              <w:jc w:val="center"/>
              <w:ind w:right="550"/>
              <w:spacing w:after="0"/>
              <w:rPr>
                <w:sz w:val="20"/>
                <w:szCs w:val="20"/>
                <w:color w:val="auto"/>
              </w:rPr>
            </w:pPr>
            <w:r>
              <w:rPr>
                <w:rFonts w:ascii="Arial" w:cs="Arial" w:eastAsia="Arial" w:hAnsi="Arial"/>
                <w:sz w:val="18"/>
                <w:szCs w:val="18"/>
                <w:color w:val="auto"/>
                <w:w w:val="92"/>
              </w:rPr>
              <w:t>(I.R.S. Employer</w:t>
            </w:r>
          </w:p>
        </w:tc>
      </w:tr>
      <w:tr>
        <w:trPr>
          <w:trHeight w:val="230"/>
        </w:trPr>
        <w:tc>
          <w:tcPr>
            <w:tcW w:w="3760" w:type="dxa"/>
            <w:vAlign w:val="bottom"/>
          </w:tcPr>
          <w:p>
            <w:pPr>
              <w:jc w:val="center"/>
              <w:ind w:left="230"/>
              <w:spacing w:after="0"/>
              <w:rPr>
                <w:sz w:val="20"/>
                <w:szCs w:val="20"/>
                <w:color w:val="auto"/>
              </w:rPr>
            </w:pPr>
            <w:r>
              <w:rPr>
                <w:rFonts w:ascii="Arial" w:cs="Arial" w:eastAsia="Arial" w:hAnsi="Arial"/>
                <w:sz w:val="18"/>
                <w:szCs w:val="18"/>
                <w:color w:val="auto"/>
                <w:w w:val="95"/>
              </w:rPr>
              <w:t>of incorporation)</w:t>
            </w:r>
          </w:p>
        </w:tc>
        <w:tc>
          <w:tcPr>
            <w:tcW w:w="4200" w:type="dxa"/>
            <w:vAlign w:val="bottom"/>
          </w:tcPr>
          <w:p>
            <w:pPr>
              <w:jc w:val="center"/>
              <w:ind w:right="209"/>
              <w:spacing w:after="0"/>
              <w:rPr>
                <w:sz w:val="20"/>
                <w:szCs w:val="20"/>
                <w:color w:val="auto"/>
              </w:rPr>
            </w:pPr>
            <w:r>
              <w:rPr>
                <w:rFonts w:ascii="Arial" w:cs="Arial" w:eastAsia="Arial" w:hAnsi="Arial"/>
                <w:sz w:val="18"/>
                <w:szCs w:val="18"/>
                <w:color w:val="auto"/>
                <w:w w:val="92"/>
              </w:rPr>
              <w:t>File Number)</w:t>
            </w:r>
          </w:p>
        </w:tc>
        <w:tc>
          <w:tcPr>
            <w:tcW w:w="3460" w:type="dxa"/>
            <w:vAlign w:val="bottom"/>
          </w:tcPr>
          <w:p>
            <w:pPr>
              <w:jc w:val="center"/>
              <w:ind w:right="5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760" w:type="dxa"/>
            <w:vAlign w:val="bottom"/>
          </w:tcPr>
          <w:p>
            <w:pPr>
              <w:jc w:val="center"/>
              <w:ind w:left="230"/>
              <w:spacing w:after="0"/>
              <w:rPr>
                <w:sz w:val="20"/>
                <w:szCs w:val="20"/>
                <w:color w:val="auto"/>
              </w:rPr>
            </w:pPr>
            <w:r>
              <w:rPr>
                <w:rFonts w:ascii="Arial" w:cs="Arial" w:eastAsia="Arial" w:hAnsi="Arial"/>
                <w:sz w:val="18"/>
                <w:szCs w:val="18"/>
                <w:color w:val="auto"/>
                <w:w w:val="92"/>
              </w:rPr>
              <w:t>12367 Crosthwaite Circle, Poway, California</w:t>
            </w:r>
          </w:p>
        </w:tc>
        <w:tc>
          <w:tcPr>
            <w:tcW w:w="4200" w:type="dxa"/>
            <w:vAlign w:val="bottom"/>
          </w:tcPr>
          <w:p>
            <w:pPr>
              <w:spacing w:after="0"/>
              <w:rPr>
                <w:sz w:val="24"/>
                <w:szCs w:val="24"/>
                <w:color w:val="auto"/>
              </w:rPr>
            </w:pPr>
          </w:p>
        </w:tc>
        <w:tc>
          <w:tcPr>
            <w:tcW w:w="3460" w:type="dxa"/>
            <w:vAlign w:val="bottom"/>
          </w:tcPr>
          <w:p>
            <w:pPr>
              <w:jc w:val="right"/>
              <w:ind w:right="1730"/>
              <w:spacing w:after="0"/>
              <w:rPr>
                <w:sz w:val="20"/>
                <w:szCs w:val="20"/>
                <w:color w:val="auto"/>
              </w:rPr>
            </w:pPr>
            <w:r>
              <w:rPr>
                <w:rFonts w:ascii="Arial" w:cs="Arial" w:eastAsia="Arial" w:hAnsi="Arial"/>
                <w:sz w:val="18"/>
                <w:szCs w:val="18"/>
                <w:color w:val="auto"/>
              </w:rPr>
              <w:t>92064</w:t>
            </w:r>
          </w:p>
        </w:tc>
      </w:tr>
      <w:tr>
        <w:trPr>
          <w:trHeight w:val="230"/>
        </w:trPr>
        <w:tc>
          <w:tcPr>
            <w:tcW w:w="3760" w:type="dxa"/>
            <w:vAlign w:val="bottom"/>
          </w:tcPr>
          <w:p>
            <w:pPr>
              <w:jc w:val="center"/>
              <w:ind w:left="230"/>
              <w:spacing w:after="0"/>
              <w:rPr>
                <w:sz w:val="20"/>
                <w:szCs w:val="20"/>
                <w:color w:val="auto"/>
              </w:rPr>
            </w:pPr>
            <w:r>
              <w:rPr>
                <w:rFonts w:ascii="Arial" w:cs="Arial" w:eastAsia="Arial" w:hAnsi="Arial"/>
                <w:sz w:val="18"/>
                <w:szCs w:val="18"/>
                <w:color w:val="auto"/>
                <w:w w:val="92"/>
              </w:rPr>
              <w:t>(Address of principal executive offices)</w:t>
            </w:r>
          </w:p>
        </w:tc>
        <w:tc>
          <w:tcPr>
            <w:tcW w:w="4200" w:type="dxa"/>
            <w:vAlign w:val="bottom"/>
          </w:tcPr>
          <w:p>
            <w:pPr>
              <w:spacing w:after="0"/>
              <w:rPr>
                <w:sz w:val="20"/>
                <w:szCs w:val="20"/>
                <w:color w:val="auto"/>
              </w:rPr>
            </w:pPr>
          </w:p>
        </w:tc>
        <w:tc>
          <w:tcPr>
            <w:tcW w:w="3460" w:type="dxa"/>
            <w:vAlign w:val="bottom"/>
          </w:tcPr>
          <w:p>
            <w:pPr>
              <w:jc w:val="center"/>
              <w:ind w:right="530"/>
              <w:spacing w:after="0"/>
              <w:rPr>
                <w:sz w:val="20"/>
                <w:szCs w:val="20"/>
                <w:color w:val="auto"/>
              </w:rPr>
            </w:pPr>
            <w:r>
              <w:rPr>
                <w:rFonts w:ascii="Arial" w:cs="Arial" w:eastAsia="Arial" w:hAnsi="Arial"/>
                <w:sz w:val="18"/>
                <w:szCs w:val="18"/>
                <w:color w:val="auto"/>
                <w:w w:val="94"/>
              </w:rPr>
              <w:t>(Zip Code)</w:t>
            </w:r>
          </w:p>
        </w:tc>
      </w:tr>
      <w:tr>
        <w:trPr>
          <w:trHeight w:val="432"/>
        </w:trPr>
        <w:tc>
          <w:tcPr>
            <w:tcW w:w="7960" w:type="dxa"/>
            <w:vAlign w:val="bottom"/>
            <w:gridSpan w:val="2"/>
          </w:tcPr>
          <w:p>
            <w:pPr>
              <w:jc w:val="center"/>
              <w:ind w:right="3709"/>
              <w:spacing w:after="0"/>
              <w:rPr>
                <w:sz w:val="20"/>
                <w:szCs w:val="20"/>
                <w:color w:val="auto"/>
              </w:rPr>
            </w:pPr>
            <w:r>
              <w:rPr>
                <w:rFonts w:ascii="Arial" w:cs="Arial" w:eastAsia="Arial" w:hAnsi="Arial"/>
                <w:sz w:val="18"/>
                <w:szCs w:val="18"/>
                <w:color w:val="auto"/>
                <w:w w:val="89"/>
              </w:rPr>
              <w:t>Registrant’s telephone number, including area code:</w:t>
            </w:r>
          </w:p>
        </w:tc>
        <w:tc>
          <w:tcPr>
            <w:tcW w:w="3460" w:type="dxa"/>
            <w:vAlign w:val="bottom"/>
          </w:tcPr>
          <w:p>
            <w:pPr>
              <w:jc w:val="right"/>
              <w:ind w:right="1390"/>
              <w:spacing w:after="0"/>
              <w:rPr>
                <w:sz w:val="20"/>
                <w:szCs w:val="20"/>
                <w:color w:val="auto"/>
              </w:rPr>
            </w:pPr>
            <w:r>
              <w:rPr>
                <w:rFonts w:ascii="Arial" w:cs="Arial" w:eastAsia="Arial" w:hAnsi="Arial"/>
                <w:sz w:val="18"/>
                <w:szCs w:val="18"/>
                <w:color w:val="auto"/>
              </w:rPr>
              <w:t>858-848-8100</w:t>
            </w:r>
          </w:p>
        </w:tc>
      </w:tr>
      <w:tr>
        <w:trPr>
          <w:trHeight w:val="432"/>
        </w:trPr>
        <w:tc>
          <w:tcPr>
            <w:tcW w:w="3760" w:type="dxa"/>
            <w:vAlign w:val="bottom"/>
          </w:tcPr>
          <w:p>
            <w:pPr>
              <w:spacing w:after="0"/>
              <w:rPr>
                <w:sz w:val="24"/>
                <w:szCs w:val="24"/>
                <w:color w:val="auto"/>
              </w:rPr>
            </w:pPr>
          </w:p>
        </w:tc>
        <w:tc>
          <w:tcPr>
            <w:tcW w:w="4200" w:type="dxa"/>
            <w:vAlign w:val="bottom"/>
          </w:tcPr>
          <w:p>
            <w:pPr>
              <w:jc w:val="center"/>
              <w:ind w:right="189"/>
              <w:spacing w:after="0"/>
              <w:rPr>
                <w:sz w:val="20"/>
                <w:szCs w:val="20"/>
                <w:color w:val="auto"/>
              </w:rPr>
            </w:pPr>
            <w:r>
              <w:rPr>
                <w:rFonts w:ascii="Arial" w:cs="Arial" w:eastAsia="Arial" w:hAnsi="Arial"/>
                <w:sz w:val="18"/>
                <w:szCs w:val="18"/>
                <w:color w:val="auto"/>
                <w:w w:val="94"/>
              </w:rPr>
              <w:t>Not Applicable</w:t>
            </w:r>
          </w:p>
        </w:tc>
        <w:tc>
          <w:tcPr>
            <w:tcW w:w="3460" w:type="dxa"/>
            <w:vAlign w:val="bottom"/>
          </w:tcPr>
          <w:p>
            <w:pPr>
              <w:spacing w:after="0"/>
              <w:rPr>
                <w:sz w:val="24"/>
                <w:szCs w:val="24"/>
                <w:color w:val="auto"/>
              </w:rPr>
            </w:pPr>
          </w:p>
        </w:tc>
      </w:tr>
      <w:tr>
        <w:trPr>
          <w:trHeight w:val="270"/>
        </w:trPr>
        <w:tc>
          <w:tcPr>
            <w:tcW w:w="3760" w:type="dxa"/>
            <w:vAlign w:val="bottom"/>
            <w:tcBorders>
              <w:bottom w:val="single" w:sz="8" w:color="auto"/>
            </w:tcBorders>
          </w:tcPr>
          <w:p>
            <w:pPr>
              <w:spacing w:after="0"/>
              <w:rPr>
                <w:sz w:val="23"/>
                <w:szCs w:val="23"/>
                <w:color w:val="auto"/>
              </w:rPr>
            </w:pPr>
          </w:p>
        </w:tc>
        <w:tc>
          <w:tcPr>
            <w:tcW w:w="4200" w:type="dxa"/>
            <w:vAlign w:val="bottom"/>
            <w:tcBorders>
              <w:bottom w:val="single" w:sz="8" w:color="auto"/>
            </w:tcBorders>
          </w:tcPr>
          <w:p>
            <w:pPr>
              <w:spacing w:after="0"/>
              <w:rPr>
                <w:sz w:val="23"/>
                <w:szCs w:val="23"/>
                <w:color w:val="auto"/>
              </w:rPr>
            </w:pPr>
          </w:p>
        </w:tc>
        <w:tc>
          <w:tcPr>
            <w:tcW w:w="3460" w:type="dxa"/>
            <w:vAlign w:val="bottom"/>
            <w:tcBorders>
              <w:bottom w:val="single" w:sz="8" w:color="auto"/>
            </w:tcBorders>
          </w:tcPr>
          <w:p>
            <w:pPr>
              <w:spacing w:after="0"/>
              <w:rPr>
                <w:sz w:val="23"/>
                <w:szCs w:val="23"/>
                <w:color w:val="auto"/>
              </w:rPr>
            </w:pPr>
          </w:p>
        </w:tc>
      </w:tr>
    </w:tbl>
    <w:p>
      <w:pPr>
        <w:spacing w:after="0" w:line="296"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449" w:right="239" w:bottom="1440" w:gutter="0" w:footer="0" w:header="0"/>
        </w:sectPr>
      </w:pPr>
    </w:p>
    <w:p>
      <w:pPr>
        <w:spacing w:after="0" w:line="225"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40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320" w:space="720"/>
            <w:col w:w="2080" w:space="720"/>
            <w:col w:w="3580"/>
          </w:cols>
          <w:pgMar w:left="240" w:top="449" w:right="239" w:bottom="1440" w:gutter="0" w:footer="0" w:header="0"/>
          <w:type w:val="continuous"/>
        </w:sectPr>
      </w:pPr>
    </w:p>
    <w:p>
      <w:pPr>
        <w:spacing w:after="0" w:line="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Compensatory Arrangements of Certain Officers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Cohu, Inc. (“Cohu”), after considering market conditions within its industry, its 2019 business outlook and ongoing geopolitical uncertainties, has decided to implement, effective as of July 29, 2019, a temporary salary reduction program pursuant to which the base salaries of certain of its officers, including its named executive officers, will be reduced by 5%. The Compensation Committee of Cohu’s Board of Directors may review, change or end the temporary salary reduction program at its discretion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is a summary of the temporary base salary reductions, on an annualized basis, for Cohu’s named executive officers as previously identified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Cohu’s proxy statement for its 2019 annual meeting of stockholders: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20"/>
        </w:trPr>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20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Current Base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5"/>
              </w:rPr>
              <w:t>Reduced Base</w:t>
            </w:r>
          </w:p>
        </w:tc>
      </w:tr>
      <w:tr>
        <w:trPr>
          <w:trHeight w:val="271"/>
        </w:trPr>
        <w:tc>
          <w:tcPr>
            <w:tcW w:w="20" w:type="dxa"/>
            <w:vAlign w:val="bottom"/>
          </w:tcPr>
          <w:p>
            <w:pPr>
              <w:spacing w:after="0"/>
              <w:rPr>
                <w:sz w:val="23"/>
                <w:szCs w:val="23"/>
                <w:color w:val="auto"/>
              </w:rPr>
            </w:pPr>
          </w:p>
        </w:tc>
        <w:tc>
          <w:tcPr>
            <w:tcW w:w="7820" w:type="dxa"/>
            <w:vAlign w:val="bottom"/>
            <w:tcBorders>
              <w:bottom w:val="single" w:sz="8" w:color="auto"/>
            </w:tcBorders>
          </w:tcPr>
          <w:p>
            <w:pPr>
              <w:ind w:left="2940"/>
              <w:spacing w:after="0"/>
              <w:rPr>
                <w:sz w:val="20"/>
                <w:szCs w:val="20"/>
                <w:color w:val="auto"/>
              </w:rPr>
            </w:pPr>
            <w:r>
              <w:rPr>
                <w:rFonts w:ascii="Arial" w:cs="Arial" w:eastAsia="Arial" w:hAnsi="Arial"/>
                <w:sz w:val="18"/>
                <w:szCs w:val="18"/>
                <w:b w:val="1"/>
                <w:bCs w:val="1"/>
                <w:color w:val="auto"/>
              </w:rPr>
              <w:t>Named Executive Officer and Title</w:t>
            </w:r>
          </w:p>
        </w:tc>
        <w:tc>
          <w:tcPr>
            <w:tcW w:w="220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92"/>
              </w:rPr>
              <w:t>Salary</w:t>
            </w:r>
          </w:p>
        </w:tc>
        <w:tc>
          <w:tcPr>
            <w:tcW w:w="138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6"/>
              </w:rPr>
              <w:t xml:space="preserve">Salary </w:t>
            </w:r>
            <w:r>
              <w:rPr>
                <w:rFonts w:ascii="Arial" w:cs="Arial" w:eastAsia="Arial" w:hAnsi="Arial"/>
                <w:sz w:val="30"/>
                <w:szCs w:val="30"/>
                <w:b w:val="1"/>
                <w:bCs w:val="1"/>
                <w:color w:val="auto"/>
                <w:w w:val="86"/>
                <w:vertAlign w:val="superscript"/>
              </w:rPr>
              <w:t>(1)</w:t>
            </w: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Luis A. Müller, President and Chief Executive Officer</w:t>
            </w:r>
          </w:p>
        </w:tc>
        <w:tc>
          <w:tcPr>
            <w:tcW w:w="220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0"/>
              </w:rPr>
              <w:t>$595,000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$565,250</w:t>
            </w: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Jeffrey D. Jones, Vice President, Finance and Chief Financial Officer</w:t>
            </w:r>
          </w:p>
        </w:tc>
        <w:tc>
          <w:tcPr>
            <w:tcW w:w="2200" w:type="dxa"/>
            <w:vAlign w:val="bottom"/>
          </w:tcPr>
          <w:p>
            <w:pPr>
              <w:jc w:val="center"/>
              <w:ind w:left="710"/>
              <w:spacing w:after="0"/>
              <w:rPr>
                <w:sz w:val="20"/>
                <w:szCs w:val="20"/>
                <w:color w:val="auto"/>
              </w:rPr>
            </w:pPr>
            <w:r>
              <w:rPr>
                <w:rFonts w:ascii="Arial" w:cs="Arial" w:eastAsia="Arial" w:hAnsi="Arial"/>
                <w:sz w:val="18"/>
                <w:szCs w:val="18"/>
                <w:color w:val="auto"/>
                <w:w w:val="90"/>
              </w:rPr>
              <w:t>$380,000</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$361,000</w:t>
            </w:r>
          </w:p>
        </w:tc>
      </w:tr>
      <w:tr>
        <w:trPr>
          <w:trHeight w:val="257"/>
        </w:trPr>
        <w:tc>
          <w:tcPr>
            <w:tcW w:w="20" w:type="dxa"/>
            <w:vAlign w:val="bottom"/>
          </w:tcPr>
          <w:p>
            <w:pPr>
              <w:spacing w:after="0"/>
              <w:rPr>
                <w:sz w:val="22"/>
                <w:szCs w:val="22"/>
                <w:color w:val="auto"/>
              </w:rPr>
            </w:pPr>
          </w:p>
        </w:tc>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Pascal Rondé,</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Senior Vice President Global Customer Group</w:t>
            </w:r>
          </w:p>
        </w:tc>
        <w:tc>
          <w:tcPr>
            <w:tcW w:w="220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0"/>
              </w:rPr>
              <w:t>$365,217</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$346,956</w:t>
            </w: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Christopher G. Bohrson, Senior Vice President and General Manager Test Handler Group</w:t>
            </w:r>
          </w:p>
        </w:tc>
        <w:tc>
          <w:tcPr>
            <w:tcW w:w="2200" w:type="dxa"/>
            <w:vAlign w:val="bottom"/>
          </w:tcPr>
          <w:p>
            <w:pPr>
              <w:jc w:val="center"/>
              <w:ind w:left="710"/>
              <w:spacing w:after="0"/>
              <w:rPr>
                <w:sz w:val="20"/>
                <w:szCs w:val="20"/>
                <w:color w:val="auto"/>
              </w:rPr>
            </w:pPr>
            <w:r>
              <w:rPr>
                <w:rFonts w:ascii="Arial" w:cs="Arial" w:eastAsia="Arial" w:hAnsi="Arial"/>
                <w:sz w:val="18"/>
                <w:szCs w:val="18"/>
                <w:color w:val="auto"/>
                <w:w w:val="90"/>
              </w:rPr>
              <w:t>$350,000</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$332,500</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Thomas D. Kampfer, Vice President Corporate Development, General Counsel and Secretary</w:t>
            </w:r>
          </w:p>
        </w:tc>
        <w:tc>
          <w:tcPr>
            <w:tcW w:w="220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0"/>
              </w:rPr>
              <w:t>$335,000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$318,250</w:t>
            </w:r>
          </w:p>
        </w:tc>
      </w:tr>
      <w:tr>
        <w:trPr>
          <w:trHeight w:val="257"/>
        </w:trPr>
        <w:tc>
          <w:tcPr>
            <w:tcW w:w="20" w:type="dxa"/>
            <w:vAlign w:val="bottom"/>
          </w:tcPr>
          <w:p>
            <w:pPr>
              <w:spacing w:after="0"/>
              <w:rPr>
                <w:sz w:val="22"/>
                <w:szCs w:val="22"/>
                <w:color w:val="auto"/>
              </w:rPr>
            </w:pPr>
          </w:p>
        </w:tc>
        <w:tc>
          <w:tcPr>
            <w:tcW w:w="7820" w:type="dxa"/>
            <w:vAlign w:val="bottom"/>
          </w:tcPr>
          <w:p>
            <w:pPr>
              <w:spacing w:after="0" w:line="256" w:lineRule="exact"/>
              <w:rPr>
                <w:sz w:val="20"/>
                <w:szCs w:val="20"/>
                <w:color w:val="auto"/>
              </w:rPr>
            </w:pPr>
            <w:r>
              <w:rPr>
                <w:rFonts w:ascii="Arial" w:cs="Arial" w:eastAsia="Arial" w:hAnsi="Arial"/>
                <w:sz w:val="18"/>
                <w:szCs w:val="18"/>
                <w:color w:val="auto"/>
              </w:rPr>
              <w:t>Ian von Fellenberg,</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Vice President of Integration and Managing Director of Multitest GmbH</w:t>
            </w:r>
          </w:p>
        </w:tc>
        <w:tc>
          <w:tcPr>
            <w:tcW w:w="2200" w:type="dxa"/>
            <w:vAlign w:val="bottom"/>
          </w:tcPr>
          <w:p>
            <w:pPr>
              <w:jc w:val="center"/>
              <w:ind w:left="710"/>
              <w:spacing w:after="0"/>
              <w:rPr>
                <w:sz w:val="20"/>
                <w:szCs w:val="20"/>
                <w:color w:val="auto"/>
              </w:rPr>
            </w:pPr>
            <w:r>
              <w:rPr>
                <w:rFonts w:ascii="Arial" w:cs="Arial" w:eastAsia="Arial" w:hAnsi="Arial"/>
                <w:sz w:val="18"/>
                <w:szCs w:val="18"/>
                <w:color w:val="auto"/>
                <w:w w:val="90"/>
              </w:rPr>
              <w:t>$286,030</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$271,729</w:t>
            </w:r>
          </w:p>
        </w:tc>
      </w:tr>
      <w:tr>
        <w:trPr>
          <w:trHeight w:val="257"/>
        </w:trPr>
        <w:tc>
          <w:tcPr>
            <w:tcW w:w="20" w:type="dxa"/>
            <w:vAlign w:val="bottom"/>
          </w:tcPr>
          <w:p>
            <w:pPr>
              <w:spacing w:after="0"/>
              <w:rPr>
                <w:sz w:val="22"/>
                <w:szCs w:val="22"/>
                <w:color w:val="auto"/>
              </w:rPr>
            </w:pPr>
          </w:p>
        </w:tc>
        <w:tc>
          <w:tcPr>
            <w:tcW w:w="7820" w:type="dxa"/>
            <w:vAlign w:val="bottom"/>
            <w:tcBorders>
              <w:bottom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Hock W. Chiang,</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former Vice President, Sales - Asia</w:t>
            </w:r>
          </w:p>
        </w:tc>
        <w:tc>
          <w:tcPr>
            <w:tcW w:w="220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ind w:left="580" w:hanging="46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 as of July 29, 2019, annualized.</w:t>
      </w:r>
    </w:p>
    <w:p>
      <w:pPr>
        <w:spacing w:after="0" w:line="9" w:lineRule="exact"/>
        <w:rPr>
          <w:rFonts w:ascii="Arial" w:cs="Arial" w:eastAsia="Arial" w:hAnsi="Arial"/>
          <w:sz w:val="18"/>
          <w:szCs w:val="18"/>
          <w:color w:val="auto"/>
        </w:rPr>
      </w:pPr>
    </w:p>
    <w:p>
      <w:pPr>
        <w:ind w:left="580" w:hanging="46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Rondé is paid in Euros and the base salary rates above have been converted to U.S. Dollars as required by SEC rules.</w:t>
      </w:r>
    </w:p>
    <w:p>
      <w:pPr>
        <w:spacing w:after="0" w:line="9" w:lineRule="exact"/>
        <w:rPr>
          <w:rFonts w:ascii="Arial" w:cs="Arial" w:eastAsia="Arial" w:hAnsi="Arial"/>
          <w:sz w:val="18"/>
          <w:szCs w:val="18"/>
          <w:color w:val="auto"/>
        </w:rPr>
      </w:pPr>
    </w:p>
    <w:p>
      <w:pPr>
        <w:ind w:left="580" w:hanging="464"/>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Mr. von Fellenberg is paid in Swiss Francs and the base salary rates above have been converted to U.S. Dollars as required by SEC rules.</w:t>
      </w:r>
    </w:p>
    <w:p>
      <w:pPr>
        <w:spacing w:after="0" w:line="20" w:lineRule="exact"/>
        <w:rPr>
          <w:rFonts w:ascii="Arial" w:cs="Arial" w:eastAsia="Arial" w:hAnsi="Arial"/>
          <w:sz w:val="17"/>
          <w:szCs w:val="17"/>
          <w:color w:val="auto"/>
        </w:rPr>
      </w:pPr>
    </w:p>
    <w:p>
      <w:pPr>
        <w:ind w:left="580" w:hanging="46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previously disclosed, Mr. Chiang retired, effective June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Cohu, Inc.</w:t>
      </w:r>
    </w:p>
    <w:p>
      <w:pPr>
        <w:sectPr>
          <w:pgSz w:w="11900" w:h="16838" w:orient="portrait"/>
          <w:cols w:equalWidth="0" w:num="1">
            <w:col w:w="11220"/>
          </w:cols>
          <w:pgMar w:left="240" w:top="580"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July 8, 2019</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Jeffrey D. Jones</w:t>
      </w:r>
    </w:p>
    <w:p>
      <w:pPr>
        <w:spacing w:after="0" w:line="46" w:lineRule="exact"/>
        <w:rPr>
          <w:sz w:val="20"/>
          <w:szCs w:val="20"/>
          <w:color w:val="auto"/>
        </w:rPr>
      </w:pPr>
    </w:p>
    <w:p>
      <w:pPr>
        <w:sectPr>
          <w:pgSz w:w="11900" w:h="16838" w:orient="portrait"/>
          <w:cols w:equalWidth="0" w:num="3">
            <w:col w:w="4780" w:space="720"/>
            <w:col w:w="240" w:space="300"/>
            <w:col w:w="5180"/>
          </w:cols>
          <w:pgMar w:left="240" w:top="580" w:right="439" w:bottom="1440" w:gutter="0" w:footer="0" w:header="0"/>
          <w:type w:val="continuous"/>
        </w:sectPr>
      </w:pPr>
    </w:p>
    <w:p>
      <w:pPr>
        <w:ind w:left="5820"/>
        <w:spacing w:after="0"/>
        <w:rPr>
          <w:sz w:val="20"/>
          <w:szCs w:val="20"/>
          <w:color w:val="auto"/>
        </w:rPr>
      </w:pPr>
      <w:r>
        <w:rPr>
          <w:rFonts w:ascii="Arial" w:cs="Arial" w:eastAsia="Arial" w:hAnsi="Arial"/>
          <w:sz w:val="18"/>
          <w:szCs w:val="18"/>
          <w:i w:val="1"/>
          <w:iCs w:val="1"/>
          <w:color w:val="auto"/>
        </w:rPr>
        <w:t>Name: Jeffrey D. Jones</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6"/>
          <w:szCs w:val="16"/>
          <w:i w:val="1"/>
          <w:iCs w:val="1"/>
          <w:color w:val="auto"/>
        </w:rPr>
        <w:t>Title: VP Finance and Chief Financial Officer</w:t>
      </w:r>
    </w:p>
    <w:sectPr>
      <w:pgSz w:w="11900" w:h="16838" w:orient="portrait"/>
      <w:cols w:equalWidth="0" w:num="1">
        <w:col w:w="11220"/>
      </w:cols>
      <w:pgMar w:left="240" w:top="58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2019-12-01T02:52:58Z</dcterms:created>
  <dcterms:modified xsi:type="dcterms:W3CDTF">2019-12-01T02:52:58Z</dcterms:modified>
</cp:coreProperties>
</file>