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hu20231230_10k.htm"/>
      <w:bookmarkStart w:id="1" w:name="kscohu20231230_10k"/>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 C. 20549</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10-K</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230"/>
        <w:gridCol w:w="9455"/>
      </w:tblGrid>
      <w:tr>
        <w:trPr/>
        <w:tc>
          <w:tcPr>
            <w:tcW w:w="230" w:type="dxa"/>
            <w:tcBorders/>
            <w:vAlign w:val="center"/>
          </w:tcPr>
          <w:p>
            <w:pPr>
              <w:pStyle w:val="TableContents"/>
              <w:bidi w:val="0"/>
              <w:spacing w:before="0" w:after="0"/>
              <w:ind w:left="0" w:right="0" w:hanging="0"/>
              <w:jc w:val="left"/>
              <w:rPr/>
            </w:pPr>
            <w:r>
              <w:rPr/>
              <w:t>☑</w:t>
            </w:r>
          </w:p>
        </w:tc>
        <w:tc>
          <w:tcPr>
            <w:tcW w:w="94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December 30, 2023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pPr>
            <w:r>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720" w:right="0" w:hanging="72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1-4298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COHU, INC</w:t>
      </w:r>
      <w:r>
        <w:rPr>
          <w:rFonts w:ascii="Times New Roman" w:hAnsi="Times New Roman"/>
          <w:caps w:val="false"/>
          <w:smallCaps w:val="false"/>
          <w:sz w:val="36"/>
        </w:rPr>
        <w:t>.</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tbl>
      <w:tblPr>
        <w:tblW w:w="7960" w:type="dxa"/>
        <w:jc w:val="left"/>
        <w:tblInd w:w="0" w:type="dxa"/>
        <w:tblLayout w:type="fixed"/>
        <w:tblCellMar>
          <w:top w:w="0" w:type="dxa"/>
          <w:left w:w="0" w:type="dxa"/>
          <w:bottom w:w="0" w:type="dxa"/>
          <w:right w:w="0" w:type="dxa"/>
        </w:tblCellMar>
      </w:tblPr>
      <w:tblGrid>
        <w:gridCol w:w="4565"/>
        <w:gridCol w:w="3395"/>
      </w:tblGrid>
      <w:tr>
        <w:trPr/>
        <w:tc>
          <w:tcPr>
            <w:tcW w:w="4565" w:type="dxa"/>
            <w:tcBorders/>
            <w:vAlign w:val="center"/>
          </w:tcPr>
          <w:p>
            <w:pPr>
              <w:pStyle w:val="TableContents"/>
              <w:bidi w:val="0"/>
              <w:spacing w:before="0" w:after="283"/>
              <w:jc w:val="center"/>
              <w:rPr>
                <w:b/>
              </w:rPr>
            </w:pPr>
            <w:r>
              <w:rPr>
                <w:b/>
              </w:rPr>
              <w:t>Delaware</w:t>
            </w:r>
          </w:p>
        </w:tc>
        <w:tc>
          <w:tcPr>
            <w:tcW w:w="3395" w:type="dxa"/>
            <w:tcBorders/>
            <w:vAlign w:val="center"/>
          </w:tcPr>
          <w:p>
            <w:pPr>
              <w:pStyle w:val="TableContents"/>
              <w:bidi w:val="0"/>
              <w:spacing w:before="0" w:after="283"/>
              <w:jc w:val="center"/>
              <w:rPr>
                <w:b/>
              </w:rPr>
            </w:pPr>
            <w:r>
              <w:rPr>
                <w:b/>
              </w:rPr>
              <w:t>95-1934119</w:t>
            </w:r>
          </w:p>
        </w:tc>
      </w:tr>
      <w:tr>
        <w:trPr/>
        <w:tc>
          <w:tcPr>
            <w:tcW w:w="4565" w:type="dxa"/>
            <w:tcBorders/>
            <w:vAlign w:val="center"/>
          </w:tcPr>
          <w:p>
            <w:pPr>
              <w:pStyle w:val="TableContents"/>
              <w:bidi w:val="0"/>
              <w:spacing w:before="0" w:after="283"/>
              <w:jc w:val="center"/>
              <w:rPr/>
            </w:pPr>
            <w:r>
              <w:rPr>
                <w:i/>
              </w:rPr>
              <w:t>(State or other jurisdiction of</w:t>
            </w:r>
            <w:r>
              <w:rPr/>
              <w:t> </w:t>
            </w:r>
          </w:p>
        </w:tc>
        <w:tc>
          <w:tcPr>
            <w:tcW w:w="3395" w:type="dxa"/>
            <w:tcBorders/>
            <w:vAlign w:val="center"/>
          </w:tcPr>
          <w:p>
            <w:pPr>
              <w:pStyle w:val="TableContents"/>
              <w:bidi w:val="0"/>
              <w:spacing w:before="0" w:after="283"/>
              <w:jc w:val="center"/>
              <w:rPr>
                <w:i/>
              </w:rPr>
            </w:pPr>
            <w:r>
              <w:rPr>
                <w:i/>
              </w:rPr>
              <w:t>(I.R.S. Employer Identification No.)</w:t>
            </w:r>
          </w:p>
        </w:tc>
      </w:tr>
      <w:tr>
        <w:trPr/>
        <w:tc>
          <w:tcPr>
            <w:tcW w:w="4565" w:type="dxa"/>
            <w:tcBorders/>
            <w:vAlign w:val="center"/>
          </w:tcPr>
          <w:p>
            <w:pPr>
              <w:pStyle w:val="TableContents"/>
              <w:bidi w:val="0"/>
              <w:spacing w:before="0" w:after="283"/>
              <w:jc w:val="center"/>
              <w:rPr>
                <w:i/>
              </w:rPr>
            </w:pPr>
            <w:r>
              <w:rPr>
                <w:i/>
              </w:rPr>
              <w:t>Incorporation or Organization)</w:t>
            </w:r>
          </w:p>
        </w:tc>
        <w:tc>
          <w:tcPr>
            <w:tcW w:w="339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center"/>
              <w:rPr>
                <w:b/>
              </w:rPr>
            </w:pPr>
            <w:r>
              <w:rPr>
                <w:b/>
              </w:rPr>
              <w:t>12367 Crosthwaite Circle, Poway, California</w:t>
            </w:r>
          </w:p>
        </w:tc>
        <w:tc>
          <w:tcPr>
            <w:tcW w:w="3395" w:type="dxa"/>
            <w:tcBorders/>
            <w:vAlign w:val="center"/>
          </w:tcPr>
          <w:p>
            <w:pPr>
              <w:pStyle w:val="TableContents"/>
              <w:bidi w:val="0"/>
              <w:spacing w:before="0" w:after="283"/>
              <w:jc w:val="center"/>
              <w:rPr>
                <w:b/>
              </w:rPr>
            </w:pPr>
            <w:r>
              <w:rPr>
                <w:b/>
              </w:rPr>
              <w:t>92064-6817</w:t>
            </w:r>
          </w:p>
        </w:tc>
      </w:tr>
      <w:tr>
        <w:trPr/>
        <w:tc>
          <w:tcPr>
            <w:tcW w:w="4565" w:type="dxa"/>
            <w:tcBorders/>
            <w:vAlign w:val="center"/>
          </w:tcPr>
          <w:p>
            <w:pPr>
              <w:pStyle w:val="TableContents"/>
              <w:bidi w:val="0"/>
              <w:spacing w:before="0" w:after="283"/>
              <w:jc w:val="center"/>
              <w:rPr>
                <w:i/>
              </w:rPr>
            </w:pPr>
            <w:r>
              <w:rPr>
                <w:i/>
              </w:rPr>
              <w:t>(Address of principal executive offices)</w:t>
            </w:r>
          </w:p>
        </w:tc>
        <w:tc>
          <w:tcPr>
            <w:tcW w:w="3395" w:type="dxa"/>
            <w:tcBorders/>
            <w:vAlign w:val="center"/>
          </w:tcPr>
          <w:p>
            <w:pPr>
              <w:pStyle w:val="TableContents"/>
              <w:bidi w:val="0"/>
              <w:spacing w:before="0" w:after="283"/>
              <w:jc w:val="center"/>
              <w:rPr>
                <w:i/>
              </w:rPr>
            </w:pPr>
            <w:r>
              <w:rPr>
                <w:i/>
              </w:rPr>
              <w:t>(Zip Code)</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(858) 848-8100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tbl>
      <w:tblPr>
        <w:tblW w:w="7740" w:type="dxa"/>
        <w:jc w:val="left"/>
        <w:tblInd w:w="0" w:type="dxa"/>
        <w:tblLayout w:type="fixed"/>
        <w:tblCellMar>
          <w:top w:w="0" w:type="dxa"/>
          <w:left w:w="0" w:type="dxa"/>
          <w:bottom w:w="0" w:type="dxa"/>
          <w:right w:w="0" w:type="dxa"/>
        </w:tblCellMar>
      </w:tblPr>
      <w:tblGrid>
        <w:gridCol w:w="2720"/>
        <w:gridCol w:w="1610"/>
        <w:gridCol w:w="3410"/>
      </w:tblGrid>
      <w:tr>
        <w:trPr/>
        <w:tc>
          <w:tcPr>
            <w:tcW w:w="272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4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Exchange on Which Registered</w:t>
            </w:r>
          </w:p>
        </w:tc>
      </w:tr>
      <w:tr>
        <w:trPr/>
        <w:tc>
          <w:tcPr>
            <w:tcW w:w="27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Common Stock, $1.00</w:t>
            </w:r>
            <w:r>
              <w:rPr>
                <w:rFonts w:ascii="Times New Roman" w:hAnsi="Times New Roman"/>
                <w:caps w:val="false"/>
                <w:smallCaps w:val="false"/>
                <w:sz w:val="20"/>
              </w:rPr>
              <w:t> </w:t>
            </w:r>
            <w:r>
              <w:rPr>
                <w:rFonts w:ascii="Times New Roman" w:hAnsi="Times New Roman"/>
                <w:b/>
                <w:caps w:val="false"/>
                <w:smallCaps w:val="false"/>
                <w:sz w:val="20"/>
              </w:rPr>
              <w:t>par value</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w:t>
            </w:r>
          </w:p>
        </w:tc>
        <w:tc>
          <w:tcPr>
            <w:tcW w:w="34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12(g) of the Act: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 Accelerated filer    ☐ Non-accelerated filer    ☐ Smaller reporting company    ☐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The aggregate market value of voting stock held by non-affiliates of the registrant was approximately $1,930,300,000 based on the closing stock price as reported by the Nasdaq Stock Market LLC as of June 30, 2023.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As of February 7, 2024, the Registrant had 47,076,499 shares of its $1.00 par value common stock outstanding.</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Portions of the Proxy Statement for Cohu, Inc.’s 2024 Annual Meeting of Stockholders to be held on June 5, 2024, and to be filed pursuant to Regulation 14A within 120 days after registrant’s fiscal year ended December 30, 2023, are incorporated by reference into Part III of this Report.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10-K FOR THE FISCAL YEAR ENDED DECEMBER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1"/>
        <w:gridCol w:w="8668"/>
        <w:gridCol w:w="516"/>
      </w:tblGrid>
      <w:tr>
        <w:trPr/>
        <w:tc>
          <w:tcPr>
            <w:tcW w:w="1021" w:type="dxa"/>
            <w:tcBorders/>
            <w:vAlign w:val="center"/>
          </w:tcPr>
          <w:p>
            <w:pPr>
              <w:pStyle w:val="TableContents"/>
              <w:bidi w:val="0"/>
              <w:spacing w:before="0" w:after="283"/>
              <w:jc w:val="left"/>
              <w:rPr/>
            </w:pPr>
            <w:hyperlink w:anchor="part1">
              <w:r>
                <w:rPr>
                  <w:rStyle w:val="InternetLink"/>
                  <w:b/>
                </w:rPr>
                <w:t>PART I</w:t>
              </w:r>
            </w:hyperlink>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b/>
                <w:u w:val="single"/>
              </w:rPr>
            </w:pPr>
            <w:r>
              <w:rPr>
                <w:b/>
                <w:u w:val="single"/>
              </w:rPr>
              <w:t>Page</w:t>
            </w:r>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w:t>
            </w:r>
          </w:p>
        </w:tc>
        <w:tc>
          <w:tcPr>
            <w:tcW w:w="8668" w:type="dxa"/>
            <w:tcBorders/>
            <w:vAlign w:val="center"/>
          </w:tcPr>
          <w:p>
            <w:pPr>
              <w:pStyle w:val="TableContents"/>
              <w:bidi w:val="0"/>
              <w:spacing w:before="0" w:after="283"/>
              <w:jc w:val="left"/>
              <w:rPr/>
            </w:pPr>
            <w:hyperlink w:anchor="item1">
              <w:r>
                <w:rPr>
                  <w:rStyle w:val="InternetLink"/>
                </w:rPr>
                <w:t>Business</w:t>
              </w:r>
            </w:hyperlink>
          </w:p>
        </w:tc>
        <w:tc>
          <w:tcPr>
            <w:tcW w:w="516" w:type="dxa"/>
            <w:tcBorders/>
            <w:vAlign w:val="center"/>
          </w:tcPr>
          <w:p>
            <w:pPr>
              <w:pStyle w:val="TableContents"/>
              <w:bidi w:val="0"/>
              <w:spacing w:before="0" w:after="283"/>
              <w:jc w:val="right"/>
              <w:rPr/>
            </w:pPr>
            <w:hyperlink w:anchor="item1">
              <w:r>
                <w:rPr>
                  <w:rStyle w:val="InternetLink"/>
                </w:rPr>
                <w:t>1</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1A.</w:t>
            </w:r>
          </w:p>
        </w:tc>
        <w:tc>
          <w:tcPr>
            <w:tcW w:w="8668" w:type="dxa"/>
            <w:tcBorders/>
            <w:vAlign w:val="center"/>
          </w:tcPr>
          <w:p>
            <w:pPr>
              <w:pStyle w:val="TableContents"/>
              <w:bidi w:val="0"/>
              <w:spacing w:before="0" w:after="283"/>
              <w:jc w:val="left"/>
              <w:rPr/>
            </w:pPr>
            <w:hyperlink w:anchor="item1a">
              <w:r>
                <w:rPr>
                  <w:rStyle w:val="InternetLink"/>
                </w:rPr>
                <w:t>Risk Factors</w:t>
              </w:r>
            </w:hyperlink>
          </w:p>
        </w:tc>
        <w:tc>
          <w:tcPr>
            <w:tcW w:w="516" w:type="dxa"/>
            <w:tcBorders/>
            <w:vAlign w:val="center"/>
          </w:tcPr>
          <w:p>
            <w:pPr>
              <w:pStyle w:val="TableContents"/>
              <w:bidi w:val="0"/>
              <w:spacing w:before="0" w:after="283"/>
              <w:jc w:val="right"/>
              <w:rPr/>
            </w:pPr>
            <w:hyperlink w:anchor="item1a">
              <w:r>
                <w:rPr>
                  <w:rStyle w:val="InternetLink"/>
                </w:rPr>
                <w:t>7</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1B.</w:t>
            </w:r>
          </w:p>
        </w:tc>
        <w:tc>
          <w:tcPr>
            <w:tcW w:w="8668" w:type="dxa"/>
            <w:tcBorders/>
            <w:vAlign w:val="center"/>
          </w:tcPr>
          <w:p>
            <w:pPr>
              <w:pStyle w:val="TableContents"/>
              <w:bidi w:val="0"/>
              <w:spacing w:before="0" w:after="283"/>
              <w:jc w:val="left"/>
              <w:rPr/>
            </w:pPr>
            <w:hyperlink w:anchor="item1b">
              <w:r>
                <w:rPr>
                  <w:rStyle w:val="InternetLink"/>
                </w:rPr>
                <w:t>Unresolved Staff Comments</w:t>
              </w:r>
            </w:hyperlink>
          </w:p>
        </w:tc>
        <w:tc>
          <w:tcPr>
            <w:tcW w:w="516" w:type="dxa"/>
            <w:tcBorders/>
            <w:vAlign w:val="center"/>
          </w:tcPr>
          <w:p>
            <w:pPr>
              <w:pStyle w:val="TableContents"/>
              <w:bidi w:val="0"/>
              <w:spacing w:before="0" w:after="283"/>
              <w:jc w:val="right"/>
              <w:rPr/>
            </w:pPr>
            <w:hyperlink w:anchor="item1b">
              <w:r>
                <w:rPr>
                  <w:rStyle w:val="InternetLink"/>
                </w:rPr>
                <w:t>28</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1C.</w:t>
            </w:r>
          </w:p>
        </w:tc>
        <w:tc>
          <w:tcPr>
            <w:tcW w:w="8668" w:type="dxa"/>
            <w:tcBorders/>
            <w:vAlign w:val="center"/>
          </w:tcPr>
          <w:p>
            <w:pPr>
              <w:pStyle w:val="TableContents"/>
              <w:bidi w:val="0"/>
              <w:spacing w:before="0" w:after="283"/>
              <w:jc w:val="left"/>
              <w:rPr/>
            </w:pPr>
            <w:hyperlink w:anchor="item1c">
              <w:r>
                <w:rPr>
                  <w:rStyle w:val="InternetLink"/>
                </w:rPr>
                <w:t>Cybersecurity</w:t>
              </w:r>
            </w:hyperlink>
          </w:p>
        </w:tc>
        <w:tc>
          <w:tcPr>
            <w:tcW w:w="516" w:type="dxa"/>
            <w:tcBorders/>
            <w:vAlign w:val="center"/>
          </w:tcPr>
          <w:p>
            <w:pPr>
              <w:pStyle w:val="TableContents"/>
              <w:bidi w:val="0"/>
              <w:spacing w:before="0" w:after="283"/>
              <w:jc w:val="right"/>
              <w:rPr/>
            </w:pPr>
            <w:hyperlink w:anchor="item1c">
              <w:r>
                <w:rPr>
                  <w:rStyle w:val="InternetLink"/>
                </w:rPr>
                <w:t>28</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pPr>
            <w:r>
              <w:rPr/>
              <w:t>Item 2.</w:t>
            </w:r>
          </w:p>
        </w:tc>
        <w:tc>
          <w:tcPr>
            <w:tcW w:w="8668" w:type="dxa"/>
            <w:tcBorders/>
            <w:vAlign w:val="center"/>
          </w:tcPr>
          <w:p>
            <w:pPr>
              <w:pStyle w:val="TableContents"/>
              <w:bidi w:val="0"/>
              <w:spacing w:before="0" w:after="283"/>
              <w:jc w:val="left"/>
              <w:rPr/>
            </w:pPr>
            <w:hyperlink w:anchor="item2">
              <w:r>
                <w:rPr>
                  <w:rStyle w:val="InternetLink"/>
                </w:rPr>
                <w:t>Properties</w:t>
              </w:r>
            </w:hyperlink>
          </w:p>
        </w:tc>
        <w:tc>
          <w:tcPr>
            <w:tcW w:w="516" w:type="dxa"/>
            <w:tcBorders/>
            <w:vAlign w:val="center"/>
          </w:tcPr>
          <w:p>
            <w:pPr>
              <w:pStyle w:val="TableContents"/>
              <w:bidi w:val="0"/>
              <w:spacing w:before="0" w:after="283"/>
              <w:jc w:val="right"/>
              <w:rPr/>
            </w:pPr>
            <w:hyperlink w:anchor="item2">
              <w:r>
                <w:rPr>
                  <w:rStyle w:val="InternetLink"/>
                </w:rPr>
                <w:t>30</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3.</w:t>
            </w:r>
          </w:p>
        </w:tc>
        <w:tc>
          <w:tcPr>
            <w:tcW w:w="8668" w:type="dxa"/>
            <w:tcBorders/>
            <w:vAlign w:val="center"/>
          </w:tcPr>
          <w:p>
            <w:pPr>
              <w:pStyle w:val="TableContents"/>
              <w:bidi w:val="0"/>
              <w:spacing w:before="0" w:after="283"/>
              <w:jc w:val="left"/>
              <w:rPr/>
            </w:pPr>
            <w:hyperlink w:anchor="item3">
              <w:r>
                <w:rPr>
                  <w:rStyle w:val="InternetLink"/>
                </w:rPr>
                <w:t>Legal Proceedings</w:t>
              </w:r>
            </w:hyperlink>
          </w:p>
        </w:tc>
        <w:tc>
          <w:tcPr>
            <w:tcW w:w="516" w:type="dxa"/>
            <w:tcBorders/>
            <w:vAlign w:val="center"/>
          </w:tcPr>
          <w:p>
            <w:pPr>
              <w:pStyle w:val="TableContents"/>
              <w:bidi w:val="0"/>
              <w:spacing w:before="0" w:after="283"/>
              <w:jc w:val="right"/>
              <w:rPr/>
            </w:pPr>
            <w:hyperlink w:anchor="item3">
              <w:r>
                <w:rPr>
                  <w:rStyle w:val="InternetLink"/>
                </w:rPr>
                <w:t>30</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4.</w:t>
            </w:r>
          </w:p>
        </w:tc>
        <w:tc>
          <w:tcPr>
            <w:tcW w:w="8668" w:type="dxa"/>
            <w:tcBorders/>
            <w:vAlign w:val="center"/>
          </w:tcPr>
          <w:p>
            <w:pPr>
              <w:pStyle w:val="TableContents"/>
              <w:bidi w:val="0"/>
              <w:spacing w:before="0" w:after="283"/>
              <w:jc w:val="left"/>
              <w:rPr/>
            </w:pPr>
            <w:hyperlink w:anchor="item4">
              <w:r>
                <w:rPr>
                  <w:rStyle w:val="InternetLink"/>
                </w:rPr>
                <w:t>Mine Safety Disclosures</w:t>
              </w:r>
            </w:hyperlink>
          </w:p>
        </w:tc>
        <w:tc>
          <w:tcPr>
            <w:tcW w:w="516" w:type="dxa"/>
            <w:tcBorders/>
            <w:vAlign w:val="center"/>
          </w:tcPr>
          <w:p>
            <w:pPr>
              <w:pStyle w:val="TableContents"/>
              <w:bidi w:val="0"/>
              <w:spacing w:before="0" w:after="283"/>
              <w:jc w:val="right"/>
              <w:rPr/>
            </w:pPr>
            <w:hyperlink w:anchor="item4">
              <w:r>
                <w:rPr>
                  <w:rStyle w:val="InternetLink"/>
                </w:rPr>
                <w:t>30</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hyperlink w:anchor="part2">
              <w:r>
                <w:rPr>
                  <w:rStyle w:val="InternetLink"/>
                  <w:b/>
                </w:rPr>
                <w:t>PART II</w:t>
              </w:r>
            </w:hyperlink>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5.</w:t>
            </w:r>
          </w:p>
        </w:tc>
        <w:tc>
          <w:tcPr>
            <w:tcW w:w="8668" w:type="dxa"/>
            <w:tcBorders/>
            <w:vAlign w:val="center"/>
          </w:tcPr>
          <w:p>
            <w:pPr>
              <w:pStyle w:val="TableContents"/>
              <w:bidi w:val="0"/>
              <w:spacing w:before="0" w:after="283"/>
              <w:jc w:val="left"/>
              <w:rPr/>
            </w:pPr>
            <w:hyperlink w:anchor="item5">
              <w:r>
                <w:rPr>
                  <w:rStyle w:val="InternetLink"/>
                </w:rPr>
                <w:t>Market for Registrant’s Common Equity, Related Stockholder Matters and Issuer Purchases of Equity Securities</w:t>
              </w:r>
            </w:hyperlink>
          </w:p>
        </w:tc>
        <w:tc>
          <w:tcPr>
            <w:tcW w:w="516" w:type="dxa"/>
            <w:tcBorders/>
            <w:vAlign w:val="center"/>
          </w:tcPr>
          <w:p>
            <w:pPr>
              <w:pStyle w:val="TableContents"/>
              <w:bidi w:val="0"/>
              <w:spacing w:before="0" w:after="283"/>
              <w:jc w:val="right"/>
              <w:rPr/>
            </w:pPr>
            <w:hyperlink w:anchor="item5">
              <w:r>
                <w:rPr>
                  <w:rStyle w:val="InternetLink"/>
                </w:rPr>
                <w:t>31</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6.</w:t>
            </w:r>
          </w:p>
        </w:tc>
        <w:tc>
          <w:tcPr>
            <w:tcW w:w="8668" w:type="dxa"/>
            <w:tcBorders/>
            <w:vAlign w:val="center"/>
          </w:tcPr>
          <w:p>
            <w:pPr>
              <w:pStyle w:val="TableContents"/>
              <w:bidi w:val="0"/>
              <w:spacing w:before="0" w:after="283"/>
              <w:jc w:val="left"/>
              <w:rPr/>
            </w:pPr>
            <w:hyperlink w:anchor="item6">
              <w:r>
                <w:rPr>
                  <w:rStyle w:val="InternetLink"/>
                </w:rPr>
                <w:t>Reserved</w:t>
              </w:r>
            </w:hyperlink>
          </w:p>
        </w:tc>
        <w:tc>
          <w:tcPr>
            <w:tcW w:w="516" w:type="dxa"/>
            <w:tcBorders/>
            <w:vAlign w:val="center"/>
          </w:tcPr>
          <w:p>
            <w:pPr>
              <w:pStyle w:val="TableContents"/>
              <w:bidi w:val="0"/>
              <w:spacing w:before="0" w:after="283"/>
              <w:jc w:val="right"/>
              <w:rPr/>
            </w:pPr>
            <w:hyperlink w:anchor="item6">
              <w:r>
                <w:rPr>
                  <w:rStyle w:val="InternetLink"/>
                </w:rPr>
                <w:t>33</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7.</w:t>
            </w:r>
          </w:p>
        </w:tc>
        <w:tc>
          <w:tcPr>
            <w:tcW w:w="8668" w:type="dxa"/>
            <w:tcBorders/>
            <w:vAlign w:val="center"/>
          </w:tcPr>
          <w:p>
            <w:pPr>
              <w:pStyle w:val="TableContents"/>
              <w:bidi w:val="0"/>
              <w:spacing w:before="0" w:after="283"/>
              <w:jc w:val="left"/>
              <w:rPr/>
            </w:pPr>
            <w:hyperlink w:anchor="item7">
              <w:r>
                <w:rPr>
                  <w:rStyle w:val="InternetLink"/>
                </w:rPr>
                <w:t>Management’s Discussion and Analysis of Financial Condition and Results of Operations</w:t>
              </w:r>
            </w:hyperlink>
          </w:p>
        </w:tc>
        <w:tc>
          <w:tcPr>
            <w:tcW w:w="516" w:type="dxa"/>
            <w:tcBorders/>
            <w:vAlign w:val="center"/>
          </w:tcPr>
          <w:p>
            <w:pPr>
              <w:pStyle w:val="TableContents"/>
              <w:bidi w:val="0"/>
              <w:spacing w:before="0" w:after="283"/>
              <w:jc w:val="right"/>
              <w:rPr/>
            </w:pPr>
            <w:hyperlink w:anchor="item7">
              <w:r>
                <w:rPr>
                  <w:rStyle w:val="InternetLink"/>
                </w:rPr>
                <w:t>33</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7A.</w:t>
            </w:r>
          </w:p>
        </w:tc>
        <w:tc>
          <w:tcPr>
            <w:tcW w:w="8668" w:type="dxa"/>
            <w:tcBorders/>
            <w:vAlign w:val="center"/>
          </w:tcPr>
          <w:p>
            <w:pPr>
              <w:pStyle w:val="TableContents"/>
              <w:bidi w:val="0"/>
              <w:spacing w:before="0" w:after="283"/>
              <w:jc w:val="left"/>
              <w:rPr/>
            </w:pPr>
            <w:hyperlink w:anchor="item7a">
              <w:r>
                <w:rPr>
                  <w:rStyle w:val="InternetLink"/>
                </w:rPr>
                <w:t>Quantitative and Qualitative Disclosures About Market Risk</w:t>
              </w:r>
            </w:hyperlink>
          </w:p>
        </w:tc>
        <w:tc>
          <w:tcPr>
            <w:tcW w:w="516" w:type="dxa"/>
            <w:tcBorders/>
            <w:vAlign w:val="center"/>
          </w:tcPr>
          <w:p>
            <w:pPr>
              <w:pStyle w:val="TableContents"/>
              <w:bidi w:val="0"/>
              <w:spacing w:before="0" w:after="283"/>
              <w:jc w:val="right"/>
              <w:rPr/>
            </w:pPr>
            <w:hyperlink w:anchor="item7a">
              <w:r>
                <w:rPr>
                  <w:rStyle w:val="InternetLink"/>
                </w:rPr>
                <w:t>44</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8.</w:t>
            </w:r>
          </w:p>
        </w:tc>
        <w:tc>
          <w:tcPr>
            <w:tcW w:w="8668" w:type="dxa"/>
            <w:tcBorders/>
            <w:vAlign w:val="center"/>
          </w:tcPr>
          <w:p>
            <w:pPr>
              <w:pStyle w:val="TableContents"/>
              <w:bidi w:val="0"/>
              <w:spacing w:before="0" w:after="283"/>
              <w:jc w:val="left"/>
              <w:rPr/>
            </w:pPr>
            <w:hyperlink w:anchor="item8">
              <w:r>
                <w:rPr>
                  <w:rStyle w:val="InternetLink"/>
                </w:rPr>
                <w:t>Financial Statements and Supplementary Data</w:t>
              </w:r>
            </w:hyperlink>
          </w:p>
        </w:tc>
        <w:tc>
          <w:tcPr>
            <w:tcW w:w="516" w:type="dxa"/>
            <w:tcBorders/>
            <w:vAlign w:val="center"/>
          </w:tcPr>
          <w:p>
            <w:pPr>
              <w:pStyle w:val="TableContents"/>
              <w:bidi w:val="0"/>
              <w:spacing w:before="0" w:after="283"/>
              <w:jc w:val="right"/>
              <w:rPr/>
            </w:pPr>
            <w:hyperlink w:anchor="item8">
              <w:r>
                <w:rPr>
                  <w:rStyle w:val="InternetLink"/>
                </w:rPr>
                <w:t>46</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9.</w:t>
            </w:r>
          </w:p>
        </w:tc>
        <w:tc>
          <w:tcPr>
            <w:tcW w:w="8668" w:type="dxa"/>
            <w:tcBorders/>
            <w:vAlign w:val="center"/>
          </w:tcPr>
          <w:p>
            <w:pPr>
              <w:pStyle w:val="TableContents"/>
              <w:bidi w:val="0"/>
              <w:spacing w:before="0" w:after="283"/>
              <w:jc w:val="left"/>
              <w:rPr/>
            </w:pPr>
            <w:hyperlink w:anchor="item9">
              <w:r>
                <w:rPr>
                  <w:rStyle w:val="InternetLink"/>
                </w:rPr>
                <w:t>Changes in and Disagreements with Accountants on Accounting and Financial Disclosure</w:t>
              </w:r>
            </w:hyperlink>
          </w:p>
        </w:tc>
        <w:tc>
          <w:tcPr>
            <w:tcW w:w="516" w:type="dxa"/>
            <w:tcBorders/>
            <w:vAlign w:val="center"/>
          </w:tcPr>
          <w:p>
            <w:pPr>
              <w:pStyle w:val="TableContents"/>
              <w:bidi w:val="0"/>
              <w:spacing w:before="0" w:after="283"/>
              <w:jc w:val="right"/>
              <w:rPr/>
            </w:pPr>
            <w:hyperlink w:anchor="item9">
              <w:r>
                <w:rPr>
                  <w:rStyle w:val="InternetLink"/>
                </w:rPr>
                <w:t>46</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9A.</w:t>
            </w:r>
          </w:p>
        </w:tc>
        <w:tc>
          <w:tcPr>
            <w:tcW w:w="8668" w:type="dxa"/>
            <w:tcBorders/>
            <w:vAlign w:val="center"/>
          </w:tcPr>
          <w:p>
            <w:pPr>
              <w:pStyle w:val="TableContents"/>
              <w:bidi w:val="0"/>
              <w:spacing w:before="0" w:after="283"/>
              <w:jc w:val="left"/>
              <w:rPr/>
            </w:pPr>
            <w:hyperlink w:anchor="item9a">
              <w:r>
                <w:rPr>
                  <w:rStyle w:val="InternetLink"/>
                </w:rPr>
                <w:t>Controls and Procedures</w:t>
              </w:r>
            </w:hyperlink>
          </w:p>
        </w:tc>
        <w:tc>
          <w:tcPr>
            <w:tcW w:w="516" w:type="dxa"/>
            <w:tcBorders/>
            <w:vAlign w:val="center"/>
          </w:tcPr>
          <w:p>
            <w:pPr>
              <w:pStyle w:val="TableContents"/>
              <w:bidi w:val="0"/>
              <w:spacing w:before="0" w:after="283"/>
              <w:jc w:val="right"/>
              <w:rPr/>
            </w:pPr>
            <w:hyperlink w:anchor="item9a">
              <w:r>
                <w:rPr>
                  <w:rStyle w:val="InternetLink"/>
                </w:rPr>
                <w:t>46</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9B.</w:t>
            </w:r>
          </w:p>
        </w:tc>
        <w:tc>
          <w:tcPr>
            <w:tcW w:w="8668" w:type="dxa"/>
            <w:tcBorders/>
            <w:vAlign w:val="center"/>
          </w:tcPr>
          <w:p>
            <w:pPr>
              <w:pStyle w:val="TableContents"/>
              <w:bidi w:val="0"/>
              <w:spacing w:before="0" w:after="283"/>
              <w:jc w:val="left"/>
              <w:rPr/>
            </w:pPr>
            <w:hyperlink w:anchor="item9b">
              <w:r>
                <w:rPr>
                  <w:rStyle w:val="InternetLink"/>
                </w:rPr>
                <w:t>Other Information</w:t>
              </w:r>
            </w:hyperlink>
          </w:p>
        </w:tc>
        <w:tc>
          <w:tcPr>
            <w:tcW w:w="516" w:type="dxa"/>
            <w:tcBorders/>
            <w:vAlign w:val="center"/>
          </w:tcPr>
          <w:p>
            <w:pPr>
              <w:pStyle w:val="TableContents"/>
              <w:bidi w:val="0"/>
              <w:spacing w:before="0" w:after="283"/>
              <w:jc w:val="right"/>
              <w:rPr/>
            </w:pPr>
            <w:hyperlink w:anchor="item9b">
              <w:r>
                <w:rPr>
                  <w:rStyle w:val="InternetLink"/>
                </w:rPr>
                <w:t>48</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9C.</w:t>
            </w:r>
          </w:p>
        </w:tc>
        <w:tc>
          <w:tcPr>
            <w:tcW w:w="8668" w:type="dxa"/>
            <w:tcBorders/>
            <w:vAlign w:val="center"/>
          </w:tcPr>
          <w:p>
            <w:pPr>
              <w:pStyle w:val="TableContents"/>
              <w:bidi w:val="0"/>
              <w:spacing w:before="0" w:after="283"/>
              <w:jc w:val="left"/>
              <w:rPr/>
            </w:pPr>
            <w:hyperlink w:anchor="item9c">
              <w:r>
                <w:rPr>
                  <w:rStyle w:val="InternetLink"/>
                </w:rPr>
                <w:t>Disclosure Regarding Foreign Jurisdictions That Prevent Inspections</w:t>
              </w:r>
            </w:hyperlink>
          </w:p>
        </w:tc>
        <w:tc>
          <w:tcPr>
            <w:tcW w:w="516" w:type="dxa"/>
            <w:tcBorders/>
            <w:vAlign w:val="center"/>
          </w:tcPr>
          <w:p>
            <w:pPr>
              <w:pStyle w:val="TableContents"/>
              <w:bidi w:val="0"/>
              <w:spacing w:before="0" w:after="283"/>
              <w:jc w:val="right"/>
              <w:rPr/>
            </w:pPr>
            <w:hyperlink w:anchor="item9c">
              <w:r>
                <w:rPr>
                  <w:rStyle w:val="InternetLink"/>
                </w:rPr>
                <w:t>48</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hyperlink w:anchor="part3">
              <w:r>
                <w:rPr>
                  <w:rStyle w:val="InternetLink"/>
                  <w:b/>
                </w:rPr>
                <w:t>PART III</w:t>
              </w:r>
            </w:hyperlink>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10.</w:t>
            </w:r>
          </w:p>
        </w:tc>
        <w:tc>
          <w:tcPr>
            <w:tcW w:w="8668" w:type="dxa"/>
            <w:tcBorders/>
            <w:vAlign w:val="center"/>
          </w:tcPr>
          <w:p>
            <w:pPr>
              <w:pStyle w:val="TableContents"/>
              <w:bidi w:val="0"/>
              <w:spacing w:before="0" w:after="283"/>
              <w:jc w:val="left"/>
              <w:rPr/>
            </w:pPr>
            <w:hyperlink w:anchor="item10">
              <w:r>
                <w:rPr>
                  <w:rStyle w:val="InternetLink"/>
                </w:rPr>
                <w:t>Directors, Executive Officers and Corporate Governance</w:t>
              </w:r>
            </w:hyperlink>
          </w:p>
        </w:tc>
        <w:tc>
          <w:tcPr>
            <w:tcW w:w="516" w:type="dxa"/>
            <w:tcBorders/>
            <w:vAlign w:val="center"/>
          </w:tcPr>
          <w:p>
            <w:pPr>
              <w:pStyle w:val="TableContents"/>
              <w:bidi w:val="0"/>
              <w:spacing w:before="0" w:after="283"/>
              <w:jc w:val="right"/>
              <w:rPr/>
            </w:pPr>
            <w:hyperlink w:anchor="item10">
              <w:r>
                <w:rPr>
                  <w:rStyle w:val="InternetLink"/>
                </w:rPr>
                <w:t>48</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11.</w:t>
            </w:r>
          </w:p>
        </w:tc>
        <w:tc>
          <w:tcPr>
            <w:tcW w:w="8668" w:type="dxa"/>
            <w:tcBorders/>
            <w:vAlign w:val="center"/>
          </w:tcPr>
          <w:p>
            <w:pPr>
              <w:pStyle w:val="TableContents"/>
              <w:bidi w:val="0"/>
              <w:spacing w:before="0" w:after="283"/>
              <w:jc w:val="left"/>
              <w:rPr/>
            </w:pPr>
            <w:hyperlink w:anchor="item11">
              <w:r>
                <w:rPr>
                  <w:rStyle w:val="InternetLink"/>
                </w:rPr>
                <w:t>Executive Compensation</w:t>
              </w:r>
            </w:hyperlink>
          </w:p>
        </w:tc>
        <w:tc>
          <w:tcPr>
            <w:tcW w:w="516" w:type="dxa"/>
            <w:tcBorders/>
            <w:vAlign w:val="center"/>
          </w:tcPr>
          <w:p>
            <w:pPr>
              <w:pStyle w:val="TableContents"/>
              <w:bidi w:val="0"/>
              <w:spacing w:before="0" w:after="283"/>
              <w:jc w:val="right"/>
              <w:rPr/>
            </w:pPr>
            <w:hyperlink w:anchor="item11">
              <w:r>
                <w:rPr>
                  <w:rStyle w:val="InternetLink"/>
                </w:rPr>
                <w:t>48</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12.</w:t>
            </w:r>
          </w:p>
        </w:tc>
        <w:tc>
          <w:tcPr>
            <w:tcW w:w="8668" w:type="dxa"/>
            <w:tcBorders/>
            <w:vAlign w:val="center"/>
          </w:tcPr>
          <w:p>
            <w:pPr>
              <w:pStyle w:val="TableContents"/>
              <w:bidi w:val="0"/>
              <w:spacing w:before="0" w:after="283"/>
              <w:jc w:val="left"/>
              <w:rPr/>
            </w:pPr>
            <w:hyperlink w:anchor="item12">
              <w:r>
                <w:rPr>
                  <w:rStyle w:val="InternetLink"/>
                </w:rPr>
                <w:t>Security Ownership of Certain Beneficial Owners and Management and Related Stockholder Matters</w:t>
              </w:r>
            </w:hyperlink>
          </w:p>
        </w:tc>
        <w:tc>
          <w:tcPr>
            <w:tcW w:w="516" w:type="dxa"/>
            <w:tcBorders/>
            <w:vAlign w:val="center"/>
          </w:tcPr>
          <w:p>
            <w:pPr>
              <w:pStyle w:val="TableContents"/>
              <w:bidi w:val="0"/>
              <w:spacing w:before="0" w:after="283"/>
              <w:jc w:val="right"/>
              <w:rPr/>
            </w:pPr>
            <w:hyperlink w:anchor="item12">
              <w:r>
                <w:rPr>
                  <w:rStyle w:val="InternetLink"/>
                </w:rPr>
                <w:t>49</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13.</w:t>
            </w:r>
          </w:p>
        </w:tc>
        <w:tc>
          <w:tcPr>
            <w:tcW w:w="8668" w:type="dxa"/>
            <w:tcBorders/>
            <w:vAlign w:val="center"/>
          </w:tcPr>
          <w:p>
            <w:pPr>
              <w:pStyle w:val="TableContents"/>
              <w:bidi w:val="0"/>
              <w:spacing w:before="0" w:after="283"/>
              <w:jc w:val="left"/>
              <w:rPr/>
            </w:pPr>
            <w:hyperlink w:anchor="item13">
              <w:r>
                <w:rPr>
                  <w:rStyle w:val="InternetLink"/>
                </w:rPr>
                <w:t>Certain Relationships and Related Transactions, and Director Independence</w:t>
              </w:r>
            </w:hyperlink>
          </w:p>
        </w:tc>
        <w:tc>
          <w:tcPr>
            <w:tcW w:w="516" w:type="dxa"/>
            <w:tcBorders/>
            <w:vAlign w:val="center"/>
          </w:tcPr>
          <w:p>
            <w:pPr>
              <w:pStyle w:val="TableContents"/>
              <w:bidi w:val="0"/>
              <w:spacing w:before="0" w:after="283"/>
              <w:jc w:val="right"/>
              <w:rPr/>
            </w:pPr>
            <w:hyperlink w:anchor="item13">
              <w:r>
                <w:rPr>
                  <w:rStyle w:val="InternetLink"/>
                </w:rPr>
                <w:t>49</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14.</w:t>
            </w:r>
          </w:p>
        </w:tc>
        <w:tc>
          <w:tcPr>
            <w:tcW w:w="8668" w:type="dxa"/>
            <w:tcBorders/>
            <w:vAlign w:val="center"/>
          </w:tcPr>
          <w:p>
            <w:pPr>
              <w:pStyle w:val="TableContents"/>
              <w:bidi w:val="0"/>
              <w:spacing w:before="0" w:after="283"/>
              <w:jc w:val="left"/>
              <w:rPr/>
            </w:pPr>
            <w:hyperlink w:anchor="item14">
              <w:r>
                <w:rPr>
                  <w:rStyle w:val="InternetLink"/>
                </w:rPr>
                <w:t>Principal Accounting Fees and Services</w:t>
              </w:r>
            </w:hyperlink>
          </w:p>
        </w:tc>
        <w:tc>
          <w:tcPr>
            <w:tcW w:w="516" w:type="dxa"/>
            <w:tcBorders/>
            <w:vAlign w:val="center"/>
          </w:tcPr>
          <w:p>
            <w:pPr>
              <w:pStyle w:val="TableContents"/>
              <w:bidi w:val="0"/>
              <w:spacing w:before="0" w:after="283"/>
              <w:jc w:val="right"/>
              <w:rPr/>
            </w:pPr>
            <w:hyperlink w:anchor="item14">
              <w:r>
                <w:rPr>
                  <w:rStyle w:val="InternetLink"/>
                </w:rPr>
                <w:t>49</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hyperlink w:anchor="part4">
              <w:r>
                <w:rPr>
                  <w:rStyle w:val="InternetLink"/>
                  <w:b/>
                </w:rPr>
                <w:t>PART IV</w:t>
              </w:r>
            </w:hyperlink>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15.</w:t>
            </w:r>
          </w:p>
        </w:tc>
        <w:tc>
          <w:tcPr>
            <w:tcW w:w="8668" w:type="dxa"/>
            <w:tcBorders/>
            <w:vAlign w:val="center"/>
          </w:tcPr>
          <w:p>
            <w:pPr>
              <w:pStyle w:val="TableContents"/>
              <w:bidi w:val="0"/>
              <w:spacing w:before="0" w:after="283"/>
              <w:jc w:val="left"/>
              <w:rPr/>
            </w:pPr>
            <w:hyperlink w:anchor="item15">
              <w:r>
                <w:rPr>
                  <w:rStyle w:val="InternetLink"/>
                </w:rPr>
                <w:t>Exhibits, Financial Statement Schedules</w:t>
              </w:r>
            </w:hyperlink>
          </w:p>
        </w:tc>
        <w:tc>
          <w:tcPr>
            <w:tcW w:w="516" w:type="dxa"/>
            <w:tcBorders/>
            <w:vAlign w:val="center"/>
          </w:tcPr>
          <w:p>
            <w:pPr>
              <w:pStyle w:val="TableContents"/>
              <w:bidi w:val="0"/>
              <w:spacing w:before="0" w:after="283"/>
              <w:jc w:val="right"/>
              <w:rPr/>
            </w:pPr>
            <w:hyperlink w:anchor="item15">
              <w:r>
                <w:rPr>
                  <w:rStyle w:val="InternetLink"/>
                </w:rPr>
                <w:t>50</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r>
              <w:rPr/>
              <w:t>Item 16.</w:t>
            </w:r>
          </w:p>
        </w:tc>
        <w:tc>
          <w:tcPr>
            <w:tcW w:w="8668" w:type="dxa"/>
            <w:tcBorders/>
            <w:vAlign w:val="center"/>
          </w:tcPr>
          <w:p>
            <w:pPr>
              <w:pStyle w:val="TableContents"/>
              <w:bidi w:val="0"/>
              <w:spacing w:before="0" w:after="283"/>
              <w:jc w:val="left"/>
              <w:rPr/>
            </w:pPr>
            <w:hyperlink w:anchor="item16">
              <w:r>
                <w:rPr>
                  <w:rStyle w:val="InternetLink"/>
                </w:rPr>
                <w:t>Form 10-K Summary</w:t>
              </w:r>
            </w:hyperlink>
          </w:p>
        </w:tc>
        <w:tc>
          <w:tcPr>
            <w:tcW w:w="516" w:type="dxa"/>
            <w:tcBorders/>
            <w:vAlign w:val="center"/>
          </w:tcPr>
          <w:p>
            <w:pPr>
              <w:pStyle w:val="TableContents"/>
              <w:bidi w:val="0"/>
              <w:spacing w:before="0" w:after="283"/>
              <w:jc w:val="right"/>
              <w:rPr/>
            </w:pPr>
            <w:hyperlink w:anchor="item16">
              <w:r>
                <w:rPr>
                  <w:rStyle w:val="InternetLink"/>
                </w:rPr>
                <w:t>92</w:t>
              </w:r>
            </w:hyperlink>
          </w:p>
        </w:tc>
      </w:tr>
      <w:tr>
        <w:trPr/>
        <w:tc>
          <w:tcPr>
            <w:tcW w:w="1021"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021" w:type="dxa"/>
            <w:tcBorders/>
            <w:vAlign w:val="center"/>
          </w:tcPr>
          <w:p>
            <w:pPr>
              <w:pStyle w:val="TableContents"/>
              <w:bidi w:val="0"/>
              <w:spacing w:before="0" w:after="283"/>
              <w:jc w:val="left"/>
              <w:rPr/>
            </w:pPr>
            <w:hyperlink w:anchor="sig">
              <w:r>
                <w:rPr>
                  <w:rStyle w:val="InternetLink"/>
                </w:rPr>
                <w:t>Signatures</w:t>
              </w:r>
            </w:hyperlink>
          </w:p>
        </w:tc>
        <w:tc>
          <w:tcPr>
            <w:tcW w:w="866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hyperlink w:anchor="sig">
              <w:r>
                <w:rPr>
                  <w:rStyle w:val="InternetLink"/>
                </w:rPr>
                <w:t>93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This Annual Report on Form 10-K contains forward-looking statements within the meaning of the Securities Exchange Act of 1934 and the Securities Act of 1933, which are subject to known and unknown risks and uncertainties. The forward-looking statements include statements concerning, among other things, our business strategy (including the influence of anticipated trends and developments in our business and the markets in which we operate), financial results, operating results, revenues, gross margin, operating expenses, products, projected costs and capital expenditures, research and development programs, sales and marketing initiatives, acquisitions and competition. In some cases, you can identify these statements by our use of forward-looking words, such as </w:t>
      </w:r>
      <w:r>
        <w:rPr>
          <w:rFonts w:ascii="Times New Roman;Times;serif" w:hAnsi="Times New Roman;Times;serif"/>
          <w:sz w:val="20"/>
        </w:rPr>
        <w:t>“</w:t>
      </w:r>
      <w:r>
        <w:rPr>
          <w:rFonts w:ascii="Times New Roman;Times;serif" w:hAnsi="Times New Roman;Times;serif"/>
          <w:i/>
          <w:sz w:val="20"/>
        </w:rPr>
        <w:t>may,</w:t>
      </w:r>
      <w:r>
        <w:rPr>
          <w:rFonts w:ascii="Times New Roman;Times;serif" w:hAnsi="Times New Roman;Times;serif"/>
          <w:sz w:val="20"/>
        </w:rPr>
        <w:t>” “</w:t>
      </w:r>
      <w:r>
        <w:rPr>
          <w:rFonts w:ascii="Times New Roman;Times;serif" w:hAnsi="Times New Roman;Times;serif"/>
          <w:i/>
          <w:sz w:val="20"/>
        </w:rPr>
        <w:t>might,</w:t>
      </w:r>
      <w:r>
        <w:rPr>
          <w:rFonts w:ascii="Times New Roman;Times;serif" w:hAnsi="Times New Roman;Times;serif"/>
          <w:sz w:val="20"/>
        </w:rPr>
        <w:t>” “</w:t>
      </w:r>
      <w:r>
        <w:rPr>
          <w:rFonts w:ascii="Times New Roman;Times;serif" w:hAnsi="Times New Roman;Times;serif"/>
          <w:i/>
          <w:sz w:val="20"/>
        </w:rPr>
        <w:t>will,</w:t>
      </w:r>
      <w:r>
        <w:rPr>
          <w:rFonts w:ascii="Times New Roman;Times;serif" w:hAnsi="Times New Roman;Times;serif"/>
          <w:sz w:val="20"/>
        </w:rPr>
        <w:t>” “</w:t>
      </w:r>
      <w:r>
        <w:rPr>
          <w:rFonts w:ascii="Times New Roman;Times;serif" w:hAnsi="Times New Roman;Times;serif"/>
          <w:i/>
          <w:sz w:val="20"/>
        </w:rPr>
        <w:t>could,</w:t>
      </w:r>
      <w:r>
        <w:rPr>
          <w:rFonts w:ascii="Times New Roman;Times;serif" w:hAnsi="Times New Roman;Times;serif"/>
          <w:sz w:val="20"/>
        </w:rPr>
        <w:t>” “</w:t>
      </w:r>
      <w:r>
        <w:rPr>
          <w:rFonts w:ascii="Times New Roman;Times;serif" w:hAnsi="Times New Roman;Times;serif"/>
          <w:i/>
          <w:sz w:val="20"/>
        </w:rPr>
        <w:t>should,</w:t>
      </w:r>
      <w:r>
        <w:rPr>
          <w:rFonts w:ascii="Times New Roman;Times;serif" w:hAnsi="Times New Roman;Times;serif"/>
          <w:sz w:val="20"/>
        </w:rPr>
        <w:t>” “</w:t>
      </w:r>
      <w:r>
        <w:rPr>
          <w:rFonts w:ascii="Times New Roman;Times;serif" w:hAnsi="Times New Roman;Times;serif"/>
          <w:i/>
          <w:sz w:val="20"/>
        </w:rPr>
        <w:t>expect,</w:t>
      </w:r>
      <w:r>
        <w:rPr>
          <w:rFonts w:ascii="Times New Roman;Times;serif" w:hAnsi="Times New Roman;Times;serif"/>
          <w:sz w:val="20"/>
        </w:rPr>
        <w:t>” “</w:t>
      </w:r>
      <w:r>
        <w:rPr>
          <w:rFonts w:ascii="Times New Roman;Times;serif" w:hAnsi="Times New Roman;Times;serif"/>
          <w:i/>
          <w:sz w:val="20"/>
        </w:rPr>
        <w:t>plan,</w:t>
      </w:r>
      <w:r>
        <w:rPr>
          <w:rFonts w:ascii="Times New Roman;Times;serif" w:hAnsi="Times New Roman;Times;serif"/>
          <w:sz w:val="20"/>
        </w:rPr>
        <w:t>” “</w:t>
      </w:r>
      <w:r>
        <w:rPr>
          <w:rFonts w:ascii="Times New Roman;Times;serif" w:hAnsi="Times New Roman;Times;serif"/>
          <w:i/>
          <w:sz w:val="20"/>
        </w:rPr>
        <w:t>anticipate,</w:t>
      </w:r>
      <w:r>
        <w:rPr>
          <w:rFonts w:ascii="Times New Roman;Times;serif" w:hAnsi="Times New Roman;Times;serif"/>
          <w:sz w:val="20"/>
        </w:rPr>
        <w:t>” “</w:t>
      </w:r>
      <w:r>
        <w:rPr>
          <w:rFonts w:ascii="Times New Roman;Times;serif" w:hAnsi="Times New Roman;Times;serif"/>
          <w:i/>
          <w:sz w:val="20"/>
        </w:rPr>
        <w:t>believe,</w:t>
      </w:r>
      <w:r>
        <w:rPr>
          <w:rFonts w:ascii="Times New Roman;Times;serif" w:hAnsi="Times New Roman;Times;serif"/>
          <w:sz w:val="20"/>
        </w:rPr>
        <w:t>” “</w:t>
      </w:r>
      <w:r>
        <w:rPr>
          <w:rFonts w:ascii="Times New Roman;Times;serif" w:hAnsi="Times New Roman;Times;serif"/>
          <w:i/>
          <w:sz w:val="20"/>
        </w:rPr>
        <w:t>estimate,</w:t>
      </w:r>
      <w:r>
        <w:rPr>
          <w:rFonts w:ascii="Times New Roman;Times;serif" w:hAnsi="Times New Roman;Times;serif"/>
          <w:sz w:val="20"/>
        </w:rPr>
        <w:t>” “</w:t>
      </w:r>
      <w:r>
        <w:rPr>
          <w:rFonts w:ascii="Times New Roman;Times;serif" w:hAnsi="Times New Roman;Times;serif"/>
          <w:i/>
          <w:sz w:val="20"/>
        </w:rPr>
        <w:t>predict,</w:t>
      </w:r>
      <w:r>
        <w:rPr>
          <w:rFonts w:ascii="Times New Roman;Times;serif" w:hAnsi="Times New Roman;Times;serif"/>
          <w:sz w:val="20"/>
        </w:rPr>
        <w:t>” “</w:t>
      </w:r>
      <w:r>
        <w:rPr>
          <w:rFonts w:ascii="Times New Roman;Times;serif" w:hAnsi="Times New Roman;Times;serif"/>
          <w:i/>
          <w:sz w:val="20"/>
        </w:rPr>
        <w:t>intend</w:t>
      </w:r>
      <w:r>
        <w:rPr>
          <w:rFonts w:ascii="Times New Roman;Times;serif" w:hAnsi="Times New Roman;Times;serif"/>
          <w:sz w:val="20"/>
        </w:rPr>
        <w:t xml:space="preserve">” </w:t>
      </w:r>
      <w:r>
        <w:rPr>
          <w:rFonts w:ascii="Times New Roman;Times;serif" w:hAnsi="Times New Roman;Times;serif"/>
          <w:i/>
          <w:sz w:val="20"/>
        </w:rPr>
        <w:t xml:space="preserve">and </w:t>
      </w:r>
      <w:r>
        <w:rPr>
          <w:rFonts w:ascii="Times New Roman;Times;serif" w:hAnsi="Times New Roman;Times;serif"/>
          <w:sz w:val="20"/>
        </w:rPr>
        <w:t>“</w:t>
      </w:r>
      <w:r>
        <w:rPr>
          <w:rFonts w:ascii="Times New Roman;Times;serif" w:hAnsi="Times New Roman;Times;serif"/>
          <w:i/>
          <w:sz w:val="20"/>
        </w:rPr>
        <w:t>continue,</w:t>
      </w:r>
      <w:r>
        <w:rPr>
          <w:rFonts w:ascii="Times New Roman;Times;serif" w:hAnsi="Times New Roman;Times;serif"/>
          <w:sz w:val="20"/>
        </w:rPr>
        <w:t xml:space="preserve">” </w:t>
      </w:r>
      <w:r>
        <w:rPr>
          <w:rFonts w:ascii="Times New Roman;Times;serif" w:hAnsi="Times New Roman;Times;serif"/>
          <w:i/>
          <w:sz w:val="20"/>
        </w:rPr>
        <w:t xml:space="preserve">the negative or plural of these words and other comparable terminology. Forward-looking statements are based on information available to us as of the filing date of this Annual Report on Form 10-K and our current expectations about future events, which are inherently subject to change and involve assumptions and known and unknown risks and uncertainties.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you should not place undue reliance on these forward-looking statements. We have no obligation to update any of these statements, and we assume no obligation to do so. Actual events or results may differ materially from those expressed or implied by these statements due to various factors, including but not limited to the matters discussed below in the section entitled </w:t>
      </w:r>
      <w:r>
        <w:rPr>
          <w:rFonts w:ascii="Times New Roman;Times;serif" w:hAnsi="Times New Roman;Times;serif"/>
          <w:sz w:val="20"/>
        </w:rPr>
        <w:t>“</w:t>
      </w:r>
      <w:r>
        <w:rPr>
          <w:rFonts w:ascii="Times New Roman;Times;serif" w:hAnsi="Times New Roman;Times;serif"/>
          <w:i/>
          <w:sz w:val="20"/>
        </w:rPr>
        <w:t>Item 1A: Risk Factors,</w:t>
      </w:r>
      <w:r>
        <w:rPr>
          <w:rFonts w:ascii="Times New Roman;Times;serif" w:hAnsi="Times New Roman;Times;serif"/>
          <w:sz w:val="20"/>
        </w:rPr>
        <w:t xml:space="preserve">” </w:t>
      </w:r>
      <w:r>
        <w:rPr>
          <w:rFonts w:ascii="Times New Roman;Times;serif" w:hAnsi="Times New Roman;Times;serif"/>
          <w:i/>
          <w:sz w:val="20"/>
        </w:rPr>
        <w:t>and elsewhere in this Annual Report on Form 10-K. This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general publications, government data, and similar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4" w:name="item1"/>
      <w:bookmarkEnd w:id="4"/>
      <w:r>
        <w:rPr>
          <w:rFonts w:ascii="Times New Roman" w:hAnsi="Times New Roman"/>
          <w:b/>
          <w:caps w:val="false"/>
          <w:smallCaps w:val="false"/>
          <w:sz w:val="20"/>
        </w:rPr>
        <w:t xml:space="preserve">Item 1.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Inc. (“Cohu”, “we”, “our”, “us” and the “Company”) is a global technology leader supplying test, interface, automation, inspection and metrology products, software and services to the semiconductor industry. Cohu’s differentiated and broad product portfolio enables optimized yield and productivity, accelerating customers’ manufacturing time-to-market. We offer a wide range of products and services, and revenue from our capital equipment products is driven by the capital expenditure budgets and spending patterns of our customers, who often delay or accelerate purchases in reaction to variations in their business. The level of capital expenditures by these companies depends on the current and anticipated market demand for semiconductor devices and the products that incorporate them. Our recurring revenues are driven by increases in our product installed base and in the number of semiconductor devices that are tested, and by the continuous introduction of new products and technologies by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30, 2023, we completed the acquisition of MCT Worldwide, LLC (“MCT”), a U.S. based company with its principal manufacturing site in Penang, Malaysia. MCT provides automated solutions for the semiconductor industry and designs, manufactures, markets, services and distributes strip test handlers, film frame handlers and laser mark handlers. On October 2, 2023, we acquired Equiptest Engineering Pte. Ltd. (“EQT”), a Singapore-based company. EQT is a provider of semiconductor test contactors and other test consumables. MCT and EQT are included in Cohu’s consolidated results from operations as of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24, 2021, we completed the sale of our PCB Test Equipment (“PCB Test”) business, that represented the entirety of our PCB Test reportable segment. As part of this divestiture, we also sold certain intellectual property held by our Semiconductor Test &amp; Inspection segment that was used by the PCB Test business. Unless otherwise noted, all amounts presented are from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determined that we have one reportable segment, Semiconductor Test and Inspection Equipment (“Semiconductor Test &amp; Inspection”). Prior to the sale of our PCB Test business, we reported two segments, Semiconductor Test &amp; Inspection and PCB Test. Financial information on our reportable segments for each of the last three years is included in Note 11, “Segment and Geographic Information” in Part IV, Item 15(a) of this Form 10-K.</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by reportable segment, expressed as a percentage of total consolidated net sales, for the last three years were as follows:</w:t>
      </w:r>
    </w:p>
    <w:p>
      <w:pPr>
        <w:pStyle w:val="TextBody"/>
        <w:bidi w:val="0"/>
        <w:spacing w:before="0" w:after="0"/>
        <w:ind w:left="0" w:right="0" w:hanging="0"/>
        <w:jc w:val="left"/>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2735"/>
        <w:gridCol w:w="60"/>
        <w:gridCol w:w="66"/>
        <w:gridCol w:w="374"/>
        <w:gridCol w:w="245"/>
        <w:gridCol w:w="60"/>
        <w:gridCol w:w="66"/>
        <w:gridCol w:w="374"/>
        <w:gridCol w:w="245"/>
        <w:gridCol w:w="60"/>
        <w:gridCol w:w="66"/>
        <w:gridCol w:w="374"/>
        <w:gridCol w:w="18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245" w:type="dxa"/>
            <w:tcBorders>
              <w:bottom w:val="single" w:sz="2" w:space="0" w:color="000000"/>
            </w:tcBorders>
            <w:tcMar>
              <w:bottom w:w="28"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245" w:type="dxa"/>
            <w:tcBorders>
              <w:bottom w:val="single" w:sz="2" w:space="0" w:color="000000"/>
            </w:tcBorders>
            <w:tcMar>
              <w:bottom w:w="28"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w:t>
            </w:r>
          </w:p>
        </w:tc>
        <w:tc>
          <w:tcPr>
            <w:tcW w:w="18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 Test &amp; Inspection</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3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3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3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PCB Test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 Our PCB Test segment was sold on June 24,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currently sell the following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Semiconductor Automated Test Equipment</w:t>
      </w:r>
      <w:r>
        <w:rPr>
          <w:rFonts w:ascii="Times New Roman" w:hAnsi="Times New Roman"/>
          <w:caps w:val="false"/>
          <w:smallCaps w:val="false"/>
          <w:sz w:val="20"/>
        </w:rPr>
        <w:t xml:space="preserve"> (“ATE”) is used both for wafer-level and device package testing. Our semiconductor ATE solutions consist primarily of two platforms for the system on a chip (“SoC”) device market. The Diamondx tester offers high-density instrumentation for testing various semiconductors: microcontrollers, application specific standard products (“ASSP”), power management, radio frequency (RF), display drivers, sensors and other mixed signal devices. The PAx tester is a focused tester for RF Front End IC and Module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Semiconductor Handlers</w:t>
      </w:r>
      <w:r>
        <w:rPr>
          <w:rFonts w:ascii="Times New Roman" w:hAnsi="Times New Roman"/>
          <w:caps w:val="false"/>
          <w:smallCaps w:val="false"/>
          <w:sz w:val="20"/>
        </w:rPr>
        <w:t xml:space="preserve"> are used in conjunction with semiconductor ATE to automate the testing of packaged semiconductor devices. Our handlers support a variety of package sizes and device types, including those used in automotive, mobility, industrial and computing applications, among others. We offer a broad range of test handlers, including pick-and-place, turret, gravity, strip, film frame, laser mark, micro-electromechanical system (MEMS) and thermal sub-systems. T-Core is our proprietary thermal technology for improving device under test temperature accuracy, enabling higher test yield, particularly for power dissipative devices such as microprocessors, graphic processor units, and high-performance semiconductors used in artificial intelligence data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Interface Products</w:t>
      </w:r>
      <w:r>
        <w:rPr>
          <w:rFonts w:ascii="Times New Roman" w:hAnsi="Times New Roman"/>
          <w:caps w:val="false"/>
          <w:smallCaps w:val="false"/>
          <w:sz w:val="20"/>
        </w:rPr>
        <w:t xml:space="preserve"> are comprised of test contactors, probe heads and probe pins. Test contactors serve as the interface between the test handler and the semiconductor device under test (such as digital semiconductor devices utilizing spring probe technology, power management and LED semiconductor devices utilizing cantilever technology) and RF semiconductor devices based on contacts designed to operate at high frequencies. With the recent acquisition of EQT, we expanded our interface products in mid- to high-power contactors. Test contactors and probe heads are specific to individual semiconductor device designs, need to be replaced frequently, and increase in size with the number of devices tested in parallel. Interface Products are included in our recurring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Inspection and Metrology</w:t>
      </w:r>
      <w:r>
        <w:rPr>
          <w:rFonts w:ascii="Times New Roman" w:hAnsi="Times New Roman"/>
          <w:caps w:val="false"/>
          <w:smallCaps w:val="false"/>
          <w:sz w:val="20"/>
        </w:rPr>
        <w:t xml:space="preserve"> are products that provide advanced vision capabilities. We offer a wide range of solutions for inspection of singulated molded leaded and leadless devices, and post-singulated wafer-level chip scale packages (“WLCSP”) and bare dies. NV-Core is our unique vision technology, enabling advanced inspection and metrology, such as 3-dimensional topographic inspection, sidewall micro-crack detection, and infrared inspection for sub-surface defect detection.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DI-CoreTM</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Data Analytics </w:t>
      </w:r>
      <w:r>
        <w:rPr>
          <w:rFonts w:ascii="Times New Roman" w:hAnsi="Times New Roman"/>
          <w:caps w:val="false"/>
          <w:smallCaps w:val="false"/>
          <w:sz w:val="20"/>
        </w:rPr>
        <w:t>is a comprehensive software suite used to optimize Cohu equipment performance. DI-Core data analytics provides real-time online performance monitoring and process control to improve utilization, manage predictive maintenance, and link semiconductor tester, handler and test contactor data. DI-Core data analytics is a software subscription service included in our recurring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Spares and Kits</w:t>
      </w:r>
      <w:r>
        <w:rPr>
          <w:rFonts w:ascii="Times New Roman" w:hAnsi="Times New Roman"/>
          <w:caps w:val="false"/>
          <w:smallCaps w:val="false"/>
          <w:sz w:val="20"/>
        </w:rPr>
        <w:t xml:space="preserve"> are consumable, non-consumable and spare items that are used to maintain, sustain or otherwise enable customers’ equipment to meet its performance, availability and production requirements. We also design and manufacture a wide range of device dedication kits that enable handlers to process different semiconductor packages. Spares and Kits are included in our recurring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Services</w:t>
      </w:r>
      <w:r>
        <w:rPr>
          <w:rFonts w:ascii="Times New Roman" w:hAnsi="Times New Roman"/>
          <w:caps w:val="false"/>
          <w:smallCaps w:val="false"/>
          <w:sz w:val="20"/>
        </w:rPr>
        <w:t xml:space="preserve"> are provided by our worldwide service organization and include installation and necessary maintenance of our systems’ installed base. We provide various parts and labor warranties on our test and handling systems and instruments. We also provide training on the maintenance and operation of our systems as well as application, data management software and consulting services on our products. Services are included in our recurring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Sales by Product Line and Related Marketing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last three years, our consolidated net sales were distributed as follows:</w:t>
      </w:r>
    </w:p>
    <w:p>
      <w:pPr>
        <w:pStyle w:val="TextBody"/>
        <w:bidi w:val="0"/>
        <w:spacing w:before="0" w:after="0"/>
        <w:ind w:left="0" w:right="0" w:hanging="0"/>
        <w:jc w:val="left"/>
        <w:rPr>
          <w:caps w:val="false"/>
          <w:smallCaps w:val="false"/>
        </w:rPr>
      </w:pPr>
      <w:r>
        <w:rPr>
          <w:caps w:val="false"/>
          <w:smallCaps w:val="false"/>
        </w:rPr>
        <w:t> </w:t>
      </w:r>
    </w:p>
    <w:tbl>
      <w:tblPr>
        <w:tblW w:w="9917" w:type="dxa"/>
        <w:jc w:val="left"/>
        <w:tblInd w:w="0" w:type="dxa"/>
        <w:tblLayout w:type="fixed"/>
        <w:tblCellMar>
          <w:top w:w="0" w:type="dxa"/>
          <w:left w:w="0" w:type="dxa"/>
          <w:bottom w:w="0" w:type="dxa"/>
          <w:right w:w="0" w:type="dxa"/>
        </w:tblCellMar>
      </w:tblPr>
      <w:tblGrid>
        <w:gridCol w:w="6948"/>
        <w:gridCol w:w="89"/>
        <w:gridCol w:w="135"/>
        <w:gridCol w:w="520"/>
        <w:gridCol w:w="276"/>
        <w:gridCol w:w="89"/>
        <w:gridCol w:w="135"/>
        <w:gridCol w:w="520"/>
        <w:gridCol w:w="276"/>
        <w:gridCol w:w="89"/>
        <w:gridCol w:w="135"/>
        <w:gridCol w:w="520"/>
        <w:gridCol w:w="185"/>
      </w:tblGrid>
      <w:tr>
        <w:trPr/>
        <w:tc>
          <w:tcPr>
            <w:tcW w:w="6948"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276"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276"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185" w:type="dxa"/>
            <w:tcBorders/>
            <w:vAlign w:val="center"/>
          </w:tcPr>
          <w:p>
            <w:pPr>
              <w:pStyle w:val="TableContents"/>
              <w:bidi w:val="0"/>
              <w:spacing w:before="0" w:after="283"/>
              <w:jc w:val="left"/>
              <w:rPr/>
            </w:pPr>
            <w:r>
              <w:rPr/>
              <w:t> </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 test &amp; inspection systems (including kits)</w:t>
            </w:r>
          </w:p>
        </w:tc>
        <w:tc>
          <w:tcPr>
            <w:tcW w:w="89"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48"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Recurring revenues (1)</w:t>
            </w:r>
          </w:p>
        </w:tc>
        <w:tc>
          <w:tcPr>
            <w:tcW w:w="89"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PCB test systems</w:t>
            </w:r>
          </w:p>
        </w:tc>
        <w:tc>
          <w:tcPr>
            <w:tcW w:w="89"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732" w:type="dxa"/>
            <w:gridSpan w:val="1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Recurring revenues include interface products, spares, kits (not as part of system sales), DI-Core software and services</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market our products worldwide through a combination of a direct sales force and independent sales representatives. In geographic areas where we believe there is sufficient sales potential, we generally employ our own personnel. Our U.S. sales offices are located in Poway and Milpitas, California; St. Paul, Minnesota; Lincoln, Rhode Island and Norwood, Massachusetts. Our European sales offices are located in Kolbermoor, Germany; Grenoble, France; Agrate, Italy and La Chaux-de-Fonds, Switzerland. We operate in Asia with sales and service offices in Singapore, Malaysia, Thailand, Philippines, Taiwan, China, South Korea and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customers include semiconductor integrated device manufacturers, fabless design houses, and test subcontractors throughout the world. Repeat sales to existing customers represent a significant portion of our sales. During the last three years, customers of our Semiconductor Test &amp; Inspection segment that comprised 10% or greater of our consolidated net sales were as follows:</w:t>
      </w:r>
    </w:p>
    <w:p>
      <w:pPr>
        <w:pStyle w:val="TextBody"/>
        <w:bidi w:val="0"/>
        <w:spacing w:before="0" w:after="0"/>
        <w:ind w:left="0" w:right="0" w:hanging="0"/>
        <w:jc w:val="left"/>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1658"/>
        <w:gridCol w:w="61"/>
        <w:gridCol w:w="61"/>
        <w:gridCol w:w="387"/>
        <w:gridCol w:w="188"/>
        <w:gridCol w:w="61"/>
        <w:gridCol w:w="144"/>
        <w:gridCol w:w="304"/>
        <w:gridCol w:w="61"/>
        <w:gridCol w:w="61"/>
        <w:gridCol w:w="61"/>
        <w:gridCol w:w="387"/>
        <w:gridCol w:w="185"/>
      </w:tblGrid>
      <w:tr>
        <w:trPr/>
        <w:tc>
          <w:tcPr>
            <w:tcW w:w="16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44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18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44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44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185" w:type="dxa"/>
            <w:tcBorders/>
            <w:vAlign w:val="center"/>
          </w:tcPr>
          <w:p>
            <w:pPr>
              <w:pStyle w:val="TableContents"/>
              <w:bidi w:val="0"/>
              <w:spacing w:before="0" w:after="283"/>
              <w:ind w:left="0" w:right="0" w:hanging="0"/>
              <w:jc w:val="left"/>
              <w:rPr/>
            </w:pPr>
            <w:r>
              <w:rPr/>
              <w:t> </w:t>
            </w:r>
          </w:p>
        </w:tc>
      </w:tr>
      <w:tr>
        <w:trPr/>
        <w:tc>
          <w:tcPr>
            <w:tcW w:w="16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STMicroelectronics</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3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3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16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Analog Devices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434" w:type="dxa"/>
            <w:gridSpan w:val="1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Less than 10% of consolidated net sales.</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For further information, see Item 1A entitled “Risk Factors”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24, 2021, we completed the divestment of our PCB Test business. No customer of our PCB Test segment exceeded 10% of consolidated net sales for the year ended December 25,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financial information on revenues from external customers by geographic area for each of the last three years is included in Note 11, “Segment and Geographic Information” in Part IV, Item 15(a)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backlog of unfilled orders for products was $160.4 million at December 30, 2023 and $279.8 million at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Backlog is generally expected to ship within the next twelve months. Our backlog at any point in time may not be representative of actual sales in any future period due to the possibility of customer changes in delivery schedules, cancellation of orders, potential delays in product shipments, and difficulties in obtaining parts from suppliers or failure to satisfy customer acceptance requirements resulting in the inability to recognize revenue under accounting requirements. Furthermore, many orders are subject to cancellation or rescheduling by the customer with limited or no penalty. A reduction in backlog during any period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semiconductor equipment industry is intensely competitive and is characterized by rapid technological change and demanding worldwide service requirements. Significant competitive factors include product performance, price, reliability, lead-time, customer support and installed base of third-party systems which are not compatible with our systems. While we are the leading global supplier of test handlers, we face substantial competition from suppliers headquartered in Japan, China and Taiwan. In the semiconductor ATE market, we face competition from two dominant suppliers headquartered in the U.S. and Japan, both of which are substantially larger than Cohu’s test business. While we are among the leading worldwide suppliers of test contactors, this market is fragmented with a large number of global and local competitors. To remain competitive within the industries we serve, we believe we will require significant financial resources to offer a broad range of products, maintain localized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Manufacturing and Raw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principal manufacturing operations are currently located in Melaka, Malaysia; Laguna, Philippines; Lincoln, Rhode Island; Osaka, Japan; and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outsource the manufacturing of many of our semiconductor automated test equipment products to Jabil Circuit, Inc.’s facility in Penang, Malaysia. Our contract manufacturing partner is responsible for significant material procurement, assembly and test. We continue to manage product design through pilot production for the subcontracted products, and we are directly involved in qualifying suppliers and key components used in all our products. While our contract manufacturer is responsible for funding a substantial portion of the capital expenses incurred in connection with the manufacture of our products, we finance and own end-of-line testing equipment and other specific manufacturing equipment utilized in assembling our products or sub-components.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Many of the components and subassemblies we utilize are standard products, although some items are made to our specifications. Certain components are obtained or are available from a limited number of suppliers or may be sole supplier sourced.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Patents, Trademarks and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technology is protected by various intellectual property laws including patent, license, trademark, copyright and trade secret laws. In addition, we believe that, due to the rapid pace of technological change in the semiconductor and electronic equipment industries, the successful manufacture and sale of our products also depends heavily upon our experience, technological know-how, manufacturing and marketing skills and speed of response to sales opportunities. We believe our intellectual property has value, and we have in the past and will in the future take actions we deem appropriate to protect such property from misappropriation.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Research</w:t>
      </w:r>
      <w:r>
        <w:rPr>
          <w:rFonts w:ascii="Times New Roman" w:hAnsi="Times New Roman"/>
          <w:caps w:val="false"/>
          <w:smallCaps w:val="false"/>
          <w:sz w:val="20"/>
        </w:rPr>
        <w:t xml:space="preserve"> </w:t>
      </w:r>
      <w:r>
        <w:rPr>
          <w:rFonts w:ascii="Times New Roman" w:hAnsi="Times New Roman"/>
          <w:b/>
          <w:caps w:val="false"/>
          <w:smallCaps w:val="false"/>
          <w:sz w:val="20"/>
        </w:rPr>
        <w:t>and</w:t>
      </w:r>
      <w:r>
        <w:rPr>
          <w:rFonts w:ascii="Times New Roman" w:hAnsi="Times New Roman"/>
          <w:caps w:val="false"/>
          <w:smallCaps w:val="false"/>
          <w:sz w:val="20"/>
        </w:rPr>
        <w:t xml:space="preserve"> </w:t>
      </w:r>
      <w:r>
        <w:rPr>
          <w:rFonts w:ascii="Times New Roman" w:hAnsi="Times New Roman"/>
          <w:b/>
          <w:caps w:val="false"/>
          <w:smallCaps w:val="false"/>
          <w:sz w:val="20"/>
        </w:rPr>
        <w:t>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activities are carried on in our various subsidiaries and are directed toward development of new products and equipment, as well as enhancements to existing products and equipment. Our total research and development expense was $88.6 million in 2023, $92.6 million in 2022 and $92.0 million in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work closely with our customers to make improvements to our existing products and in the development of new products. We expect to continue to make significant investments in research and development and must manage product transitions successfully.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Seasonality and Cyclicality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Historically, the semiconductor industry has been cyclical as well as seasonal with recurring periods of oversupply and excess capacity, which often have had a significant effect on the semiconductor industry’s demand for capital equipment, such as the type we manufacture and market. We anticipate that the markets for newer generations of semiconductors and semiconductor equipment will be subject to similar cycles and our business will continue to experience similar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 About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sets forth the names, ages, positions and offices held by all executive officers of Cohu as of February 7, 2024. Executive officers serve at the discretion of the Board of Directors, until their successors are appointed.</w:t>
      </w:r>
    </w:p>
    <w:p>
      <w:pPr>
        <w:pStyle w:val="TextBody"/>
        <w:bidi w:val="0"/>
        <w:spacing w:before="0" w:after="0"/>
        <w:ind w:left="0" w:right="0" w:hanging="0"/>
        <w:jc w:val="left"/>
        <w:rPr>
          <w:caps w:val="false"/>
          <w:smallCaps w:val="false"/>
        </w:rPr>
      </w:pPr>
      <w:r>
        <w:rPr>
          <w:caps w:val="false"/>
          <w:smallCaps w:val="false"/>
        </w:rPr>
        <w:t> </w:t>
      </w:r>
    </w:p>
    <w:tbl>
      <w:tblPr>
        <w:tblW w:w="8880" w:type="dxa"/>
        <w:jc w:val="left"/>
        <w:tblInd w:w="0" w:type="dxa"/>
        <w:tblLayout w:type="fixed"/>
        <w:tblCellMar>
          <w:top w:w="0" w:type="dxa"/>
          <w:left w:w="0" w:type="dxa"/>
          <w:bottom w:w="28" w:type="dxa"/>
          <w:right w:w="0" w:type="dxa"/>
        </w:tblCellMar>
      </w:tblPr>
      <w:tblGrid>
        <w:gridCol w:w="75"/>
        <w:gridCol w:w="1940"/>
        <w:gridCol w:w="60"/>
        <w:gridCol w:w="350"/>
        <w:gridCol w:w="60"/>
        <w:gridCol w:w="6395"/>
      </w:tblGrid>
      <w:tr>
        <w:trPr/>
        <w:tc>
          <w:tcPr>
            <w:tcW w:w="2015"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63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Luis A. Müller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w:t>
            </w:r>
          </w:p>
        </w:tc>
      </w:tr>
      <w:tr>
        <w:trPr/>
        <w:tc>
          <w:tcPr>
            <w:tcW w:w="75"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D. Jones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Finance and Chief Financial Officer</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Christopher G. Bohrson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and Chief Customer Officer</w:t>
            </w:r>
          </w:p>
        </w:tc>
      </w:tr>
      <w:tr>
        <w:trPr/>
        <w:tc>
          <w:tcPr>
            <w:tcW w:w="75"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D. Kampfer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Corporate Development,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Müller has been the President and Chief Executive Officer of Cohu since December 28, 2014. His previous roles at Cohu include serving as President of Cohu’s Semiconductor Equipment Group (“SEG”) from 2011 to 2014; Managing Director of Rasco GmbH (“Rasco”) from 2009 to 2010; Vice President of Delta Design’s High Speed Handling Group from 2008 to 2010; and Director of Engineering at Delta Design from 2005 to 2008. Prior to joining Cohu, Dr. Müller spent nine years at Teradyne Inc., where he held management positions in engineering and business development. Dr. Müller also serves as a director for Celestica Inc., a solutions-based company providing design, manufacturing and hardware platform and supply chain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Jones joined Cohu’s Delta Design subsidiary in July 2005 as Vice President Finance and Controller. In November 2007, Mr. Jones was named Vice President, Finance and Chief Financial Officer of Cohu, and was subsequently promoted on February 3, 2022 to Senior Vice President, Finance and Chief Financial Officer. Prior to joining Delta Design, Mr. Jones, was Vice President and General Manager of the Systems Group at SBS Technologies, Inc., a designer and manufacturer of embedded computer products. Prior to SBS Technologies, Mr. Jones was an Audit Manager for Coopers &amp; Lybrand (now PricewaterhouseCoopers).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Bohrson was promoted to Senior Vice President and Chief Customer Officer on February 2, 2023, and prior to that he served as Senior Vice President, Global Customer Group since February 8, 2021. Previously, Mr. Bohrson served as Sr. Vice President and General Manager, Test Handler Group beginning in October 2018 and was Vice President and General Manager for Digital Test Handlers from January 2017 until October 2018 and served as Vice President Sales and Service, Americas from May 2016 to January 2017. Prior to joining Cohu, from 2007 through 2016, Mr. Bohrson held several executive positions at Bosch Automotive Service Solutions/SPX lastly as Vice President and General Manager of the OEM Diagnostics and Information Solutions group. Prior to that, Mr. Bohrson spent twenty years working in a variety of management and technical roles at Teradyne, Inc.’s semiconductor and broadband test division in the U.S. and 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Kampfer was promoted to Senior Vice President Corporate Development, General Counsel and Secretary on February 6, 2024. Mr. Kampfer joined Cohu in May 2017 as Vice President, Corporate Development, General Counsel and Secretary. Prior to Cohu, Mr. Kampfer served from June 2015 to May 2017 as Executive Vice President and Chief Financial Officer of Multi-Fineline Electronix, Inc. Prior to that, Mr. Kampfer served from 2012 to 2015 as President of CohuHD, formerly a division of Cohu, which was divested in 2014. Previously, Mr. Kampfer spent eight years with Iomega Corporation, holding several executive positions, including President and Chief Operating Officer and Vice President, General Counsel and Secretary. Earlier, Mr. Kampfer served in various legal and business development executive roles with Proxima Corporation, and also held various positions in manufacturing engineering and legal at IBM.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Governmental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activities are worldwide and are subject to various federal, state, local, and foreign laws and our products and services are governed by a number of rules and regulations. Notably, the import and export of our products and services are subject to laws and regulations including international treaties, U.S. export controls and sanctions laws, customs regulations, and local trade rules around the world. We believe we are in compliance and are committed to maintaining compliance with all global trade laws applicable to our operations, products and services. Costs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or our competitive position, we do not currently anticipate material expenditures for government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Sustainability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that sound corporate governance is critical to helping us achieve our goals, including with respect to Sustainability considerations. We continue to evolve a governance framework that exercises appropriate oversight of responsibilities at all levels throughout the company and manage our affairs consistent with high principles of business ethics. Our Sustainability Report is available on our website and contains further information on our ESG initiatives and performance, including data indices that reflect the Technology and Communications Sector – Semiconductor Standard of the Sustainability Accounting Standards Board. We also submit responses to Carbon Disclosure Project’s (“CDP”) climate change questionnaire and post our responses on our website. The contents of the Sustainability Report, the responses to CDP’s questionnaire, and our website are not intended to be incorporated by reference into this Annual Report on Form 10-K or in any other report or document we file or furnish with the SEC, and any reference to the Sustainability Report and our website are intended to be inactive textual references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Human 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December 30, 2023, we had approximately 3,259 employees, including approximately 68 temporary employees, in 24 countries. Approximately 18% of our employees are located in the Americas, 12% are located in EMEA (Europe, the Middle East and Africa) and 70% are located in Asia Pacific. Our employee headcount has fluctuated in the last five years primarily due to the volatile and unpredictable business conditions in the semiconductor equipment industry and has also been impacted by acquisitions and divestitures.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ensure we maintain our position as a global leader in the semiconductor equipment space, we endeavor to provide a safe and positive work environment for our employees that emphasizes learning and professional development, respect for individuals and ethical conduct, and that is facilitated by a direct management-employee engagement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Diversity, Inclusion, and Non-discrimination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welcome and value diversity ensuring that our work benefits from a broad range of viewpoints and perspectives. We strive to maintain workplaces that are free from discrimination or harassment based on race, color, religion, gender, gender identity or gender expression, national origin or ancestry, age, disability, veteran status, military service, sexual orientation, genetic information, and any other protected category recognized under applicable laws. We believe that a diverse workforce is critical to our success, and we continue to endeavor to increase the hiring, retention and advancement of women and underrepresented populations. We are committed to respecting and protecting the human rights of all our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Management Engagement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adhere to our core values and Code of Business Conduct and Ethics with a commitment to treating our employees and all our partners with professionalism, dignity and respect. We pride ourselves at fostering an innovative environment and collaborative work relationships. This includes respecting principles of freedom of association and the right to engage in collective bargaining in accordance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employees in the U.S. and most locations in Asia are not covered by collective bargaining agreements. However, certain employees at our operation in Germany are represented by a works council and employees in Switzerland are members of the microtechnology and Swiss watch trade union. The Collective Bargaining Agreement of “Metallurgie (ingenieurs et cadres)” is applicable to all employees of our French subsidiary and certain employees in our China operation belong to local trade unions. We have not experienced any work stoppages and consider relations with our employees to be good.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Health and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health and safety of our employees is of utmost importance to us. Cohu works to protect the health and safety of employees and our customers and intends to conduct all business activities in an environmentally and socially responsible manner. We encourage and strive to have every employee actively champion those behaviors and the attitudes necessary to prevent work-related injuries, illnesses, property damage, and adverse impact to the environment. Our ultimate goal is to achieve a level of work-related injuries and adverse health impacts as close to zero as possible through continuous investment in our safety programs. We provide protective equipment (e.g., eye protection, masks and gloves) as required by applicable standards and as appropriate given employee job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Compensation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is committed to providing market competitive compensation programs to attract, retain and motivate a high performing workforce critical to our long-term success. As part of our compensation philosophy, we focus Cohu’s workforce on our financial and other business goals to drive and motivate employee performance in key areas through the administration of our management incentive plan, equity incentive plan, global profit-sharing and other local bonus plans, as may be applicable to a given position. Cohu also complies with applicable wage, work hours, overtime and benefits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foster a stronger sense of ownership and align the interests of our employees with shareholders, grants of restricted stock units are provided to many of our employees on an annual basis and certain eligible employees may elect to purchase shares of our common stock, at a 15% discount, through our Employee Stock Purchase Plan. Furthermore, we offer comprehensive, locally relevant and innovative benefits to all eligible employees. In the U.S, these include, among other benefits: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health and wellness insurance coverage is offered to employees working an average of 24 hours or more each week.</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401(k) retirement plan with matching company contributions of up to 4% of eligible compensation.</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Tuition reimbursement program.</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60"/>
        <w:gridCol w:w="170"/>
        <w:gridCol w:w="6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Parental leave is provided to all new parents for birth, adoption or foster placement.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 Time Off Programs covering time away from work due to employee and family illness, holidays, vacation, civic duties, and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Outside of the U.S., we have provided other innovative benefits to help address market-specific needs, such as supplemental medical coverage or reimbursements, paid time off programs, wellness and development events and programs, transportation subsidies,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Succession Planning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perform succession planning annually to ensure that we develop and sustain a strong bench of talent capable of performing at the highest levels. Not only is talent identified, but potential paths of development are discussed to ensure that employees have an opportunity to build their skills and are well-prepared for future roles. The strength of our succession planning process is evident through our long history of promoting our leaders from within the organization, including 58% of our current executive leadership team. In 2023 we deployed a new development plan process to a select group of high potential managers and contributors, continuing to invest in educating and growing our next generation of leaders.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website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(the “SEC”). Our Code of Business Conduct and Ethics and other documents related to our corporate governance are also posted on our website at </w:t>
      </w:r>
      <w:r>
        <w:rPr>
          <w:rFonts w:ascii="Times New Roman" w:hAnsi="Times New Roman"/>
          <w:caps w:val="false"/>
          <w:smallCaps w:val="false"/>
          <w:sz w:val="20"/>
          <w:u w:val="single"/>
        </w:rPr>
        <w:t>https://cohu.gcs-web.com/corporate-governance/documents-charters</w:t>
      </w:r>
      <w:r>
        <w:rPr>
          <w:rFonts w:ascii="Times New Roman" w:hAnsi="Times New Roman"/>
          <w:caps w:val="false"/>
          <w:smallCaps w:val="false"/>
          <w:sz w:val="20"/>
        </w:rPr>
        <w:t>. When required by the rules of the Nasdaq Stock Market, LLC (“Nasdaq”), or the SEC, we will disclose any future amendment to, or waiver of, any provision of the code of conduct for our chief executive officer and principal financial officer or any member or members of our board of directors on our website within four business days following the date of such amendment or waiver. Information contained on our web site is not deemed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5" w:name="item1a"/>
      <w:bookmarkEnd w:id="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In addition to the other information in this Annual Report on Form 10-K, you should carefully consider the risk factors discussed in this Annual Report on Form 10-K in evaluating Cohu and our business (the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w:t>
      </w:r>
      <w:r>
        <w:rPr>
          <w:rFonts w:ascii="Times New Roman" w:hAnsi="Times New Roman"/>
          <w:i/>
          <w:caps w:val="false"/>
          <w:smallCaps w:val="false"/>
          <w:sz w:val="20"/>
        </w:rPr>
        <w:t>). If any of the identified risks actually occur, our business, financial condition and results of operations could be materially adversely affected, the trading price of our common stock could decline, and you may lose all or part of your investment in our common stock. The risks and uncertainties described in this Annual Report on Form 10-K are not the only ones we face. Additional risks that we currently do not know about, or that we currently deem to be immaterial, may also impair our business operations or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 Factors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in our securities involves a high degree of risk. The following is a summary of the principal factors that make an investment in our securities speculative or risky, all of which are more fully described below. This summary should be read in conjunction with the full “Risk Factors” described below and should not be relied upon as a complete summary of the material risks facing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Our Business Operations, Growth Strategy and Industry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 equipment is subject to rapid technological change, product introductions and transitions which may result in inventory write-offs, and our new product development involves numerous risks and uncertainties.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semiconductor industry we serve is cyclical, seasonal, volatile and unpredictable, and increased cyclicality could have an adverse impact on our sales and gross margin.</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60"/>
        <w:gridCol w:w="170"/>
        <w:gridCol w:w="9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erosion in mobility, and automotive &amp; industrial market sales are collectively causing an adverse impact on our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failure to effectively manage multiple overseas manufacturing operations could harm our sales, service levels and reputation.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outsource select manufacturing activities to third-party service providers, which decreases our control over the performance of these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deliver systems with defects, our reputation and demand of our systems may decrease, and the cost of quality events could be harmful to our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Failure of critical suppliers to deliver sufficient quantities of parts in a timely and cost-effective manner could adversely impact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Inflationary pressures, along with any further increase in interest rates, increase the threat of recession and may impact our financial condition or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semiconductor equipment industry is intensely competitive and we may not be able to win business over that of our competition.</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60"/>
        <w:gridCol w:w="170"/>
        <w:gridCol w:w="9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Consolidation could adversely affect the market for our products and negatively impact our ability to compete.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cyclical nature of the semiconductor equipment industry places enormous demands on our employees, operations and infrastructure.</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60"/>
        <w:gridCol w:w="170"/>
        <w:gridCol w:w="6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limited number of customers account for a substantial percentage of our net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cannot continue to develop, manufacture, market and support products and services that meet customer requirements for innovation and quality, our revenue and gross margin may suffer.</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60"/>
        <w:gridCol w:w="170"/>
        <w:gridCol w:w="9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our relationships with our large customers deteriorate, our product development activities could be adversely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must attract and retain experienced personnel to help support our future growth, and competition for such personnel in our industry is high.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use of, or failure to properly implement the use of, Artificial Intelligence within Cohu’s product development involves risks and uncertainties that may impact our operational performance and be subject to legal and/or regulatory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Associated with Operating a Global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are exposed to the risks of operating in certain foreign locations where Cohu manufactures certain products and supports our sales and services to the global semiconductor industry.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Geopolitical instability in locations critical to Cohu and its customers may adversely impact our operations, sales and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occurrence of natural disasters, health epidemics, and geopolitical instability caused by terrorist attacks and other threats may adversely impact our operations and sales.</w:t>
            </w:r>
          </w:p>
        </w:tc>
      </w:tr>
    </w:tbl>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60"/>
        <w:gridCol w:w="170"/>
        <w:gridCol w:w="7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business could be adversely affected by climate change effects and related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are exposed to additional risks as a result of increased attention by our stakeholders to sustainability, including environmental, social and governance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Acquisitions and Other Strategic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choose to acquire new and complementary businesses, products or technologies instead of developing them ourselves, and we may be unable to complete these acquisitions or may not be able to successfully integrate an acquired business in a cost-effective and non-disruptive manner.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our Indebtedness, Financing and Future Access to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to the nature of our business, we need continued access to capital, which if not available to us or if not available on favorable terms, could harm our ability to operate or expand our business.</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foreign operations expose us to additional risks relating to currency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recorded restructuring, inventory write-offs and asset impairment charges in the past, and may do so again in the future, which could have a material negative impact on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exposed to the instability of financial institutions where we maintain cash deposits or other liquid holdings, which could result in a lack of liquidity.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could be required to write off some or all of this goodwill and other intangibles, which may adversely affect the combined company’s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Owning Our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financial and operating results may vary and fall below analysts’ estimates, or credit rating agencies may change their ratings on Cohu, any of which may cause the price of our common stock to decline or make it difficult to obtain other financing.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fail to maintain an effective system of internal control over financial reporting, we may not be able to accurately report our financial results, and current and potential stockholders may lose confidence in our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170"/>
        <w:gridCol w:w="4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experienced significant volatility in our stock price.</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60"/>
        <w:gridCol w:w="170"/>
        <w:gridCol w:w="4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underperform relative to our expectations.</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Provisions of our certificate of incorporation and bylaws and Delaware law may make a takeover of Cohu more difficult.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issuance of shares of our common stock in connection with any future offerings of securities by us, will dilute our shareholders’ ownership interest in the company.</w:t>
            </w:r>
          </w:p>
        </w:tc>
      </w:tr>
    </w:tbl>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60"/>
        <w:gridCol w:w="170"/>
        <w:gridCol w:w="8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Cohu’s stock repurchase program may not have an impact that is fully reflected in the current stock valuation.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Regulatory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may be changes in, and uncertainty with respect to, legislation, regulation and governmental policy in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regulations and restrictions impact our ability to manufacture certain products and to sell to customers, specifically in China, which may materially harm and limit Cohu’s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Unanticipated changes in our tax provisions, enactment of new tax laws, or exposure to additional income tax liabilities could affect our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with regulations may impact sales to foreign customers and impose costs and any failure to comply with such laws may result in severe sanctions and liabilities, which may negatively affect our business, operating results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failure to comply with environmental laws and regulations could subject us to significant fines and liabilities, and new laws and regulations (such as involving climate change) or changes in regulatory interpretation or enforcement could make compliance more difficult and costly.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Cybersecurity, Intellectual Property, Privacy and Litigation</w:t>
      </w:r>
    </w:p>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170"/>
        <w:gridCol w:w="9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and operations could suffer in the event of cybersecurity breaches within our operational systems or products.</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0"/>
        <w:gridCol w:w="170"/>
        <w:gridCol w:w="8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fail to adequately protect our intellectual property and, therefore, lose our competitive advantage.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not be able to adequately protect or defend ourselves against intellectual property infringement claims, which may be time consuming and expensive, or affect the freedom to operate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privacy, identity protection and information security compliance may require significant resources and presents certain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currently are, and in the future may be, subject to litigation or regulatory proceedings that could have an adverse effect on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 more complete discussion of the material risks facing our business, see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Relating to Our Business Operations, Growth Strategy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Semiconductor equipment is subject to rapid technological change, product introductions and transitions which may result in inventory write-offs, and our new product development involves numerous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exposure resulted in charges to operations during each of the years in the three-year period ended December 30, 2023. Future inventory write-offs and increased inventory reserve requirements could have a material adverse impact on our results of operations and financial condition. We are currently significantly investing in new product development programs relating to test handlers, test contactors and automated test equipment. In fiscal 2023, we incurred $88.6 million in research and development expenses. We expect to continue to make investments and we may, at any time, based on product need or marketplace demand, decide to significantly increase our product development expenditures in these or other products. The cost of investments in new product offerings and product enhancements can have a negative impact on our operating results. We have in the past made material investments in new product platforms that for various reasons, such as technical challenges or lack of customer adoption, have not generated the expected sales or return. There can be no assurance that other new products we develop will be accepted in the marketplace or generate material revenues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test handling, ATE, system-level and burn-in test equipment and test contactors is extremely difficult and subject to a great deal of risk. In addition, not all integrated circuit manufacturers employ the same manufacturing processes. Differences in such processes make it difficult to design standard test products that can achieve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semiconductor industry we serve is cyclical, seasonal, volatile and unpredictable, and increased cyclicality could have an adverse impact on our sales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equipment providers in the semiconductor industry, such as Cohu, have, in the past, been negatively impacted by both sudden slowdowns in global economies and recurring cyclicality within the markets we serve. These cycles have resulted in periods of over-supply and excess capacity; a trend we believe will continue to occur. Our business and results of operations depend, in significant part, upon capital expenditures of manufacturers and designers of semiconductor devices and other industrial products, which in turn depend upon the current and anticipated market demand for those products. Disruption or deterioration in economic conditions may reduce customer purchases of our products, thereby reducing our revenues and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such adverse changes in economic conditions, and resulting slowdowns in the market for our products, may, among other things, result in increased price competition for our products, increased risk of excess and obsolete inventories, increased risk in the collectability of our accounts receivable from our customers, potential reserves for doubtful accounts and write-offs of accounts receivable, increased risk of restructuring charges, and higher operating costs as a percentage of revenues, which, in each case and together, adversely affect our operating results. We are unable to predict the likely duration, frequency and severity of disruptions in financial markets, credit availability, and adverse economic conditions throughout the world will have on our customers, and we cannot ensure that the level of revenues or new orders for a fiscal year or quarter will be sustained in subsequent periods. In 2023, 2022 and 2021, we recorded pre-tax inventory-related charges of approximately $4.5 million, $7.2 million, and $7.1 million, respectively, primarily as a result of changes in customer forecasts. From quarter-to-quarter, we may see material swings in product mix among our test handler group (“THG”), interface solutions group (“ISG”) and semiconductor test group (“STG”) businesses, wherein each business has a different gross margin profile. Given the cyclical nature of our industry, we generally cannot accurately predict mix swings from quarter-to-quarter and such changes may have sudden adverse impacts on our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erosion in mobility, and automotive &amp; industrial market sales are collectively causing an adverse impact on our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material portion of Cohu’s sales have historically been derived from customers that provide semiconductor devices for use within the mobility, and automotive &amp; industrial markets. These markets continued to weaken during 2023. For example, mobility, and automotive &amp; industrial system sales in the last twelve months (as measured from the end of fourth quarter fiscal 2023), compared to the prior year period, have declined 54% and 24%, respectively. This decline has had, and is expected to continue to have, an adverse impact on our business and operating results. Given the inherent uncertainty and volatility within our industry, at this time, we are unable to predict when the mobility, and automotive &amp; industrial markets, or the overall market, will recover or the extent of any such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failure to effectively manage multiple overseas manufacturing operations could harm our sales, service levels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substantial majority of our products are manufactured in Asia. Our reliance on overseas manufacturers exposes us to significant risks including complex management, foreign currency, legal, tax and economic risks, which we may not be able to address quickly and adequately. In addition, it is time consuming and costly to qualify and manage overseas supplier relationships. If we should fail to effectively manage overseas manufacturing operations or logistics,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and logistics. Our overseas sites are more susceptible to impacts from natural disasters, health epidemics and geopolitical instability (see risk factor entitled “</w:t>
      </w:r>
      <w:r>
        <w:rPr>
          <w:rFonts w:ascii="Times New Roman" w:hAnsi="Times New Roman"/>
          <w:i/>
          <w:caps w:val="false"/>
          <w:smallCaps w:val="false"/>
          <w:sz w:val="20"/>
        </w:rPr>
        <w:t>The occurrence of natural disasters, health epidemics, corruption and geopolitical instability caused by terrorist attacks and other threats may adversely impact our operations and sales</w:t>
      </w:r>
      <w:r>
        <w:rPr>
          <w:rFonts w:ascii="Times New Roman" w:hAnsi="Times New Roman"/>
          <w:caps w:val="false"/>
          <w:smallCaps w:val="false"/>
          <w:sz w:val="20"/>
        </w:rPr>
        <w:t>”). If our overseas manufacturing locations are unable to meet our manufacturing requirements in a timely manner, our ability to ship products and to realize the related revenues when anticipated could be materially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suppliers are subject to fluctuations in general economic cycles, and global economic conditions may impact their ability to operate their businesses. They may also be impacted by possible import, export, tariff and other trade barriers, increasing costs of raw materials, labor and distribution, resulting in demands for less attractive contract terms or an inability for them to meet our requirements or conduct their own businesses. Additionally, consolidation in our supply chain due to mergers and acquisitions may reduce the number of suppliers or change our relationships with them. The performance and financial condition of a supplier may cause us to alter our business terms or to cease doing business with a particular supplier, or change our sourcing practices generally, which could in turn adversely affect our own business and financial condition. Failure to effectively manage our manufacturing and our relationships with our suppliers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outsource select manufacturing activities to third-party service providers, which decreases our control over the performance of these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outsource certain product manufacturing to third-party service providers. Outsourcing reduces our control over the performance of the outsourced functions. Dependence on outsourcing may also adversely affect our ability to bring new products to market. For example, we depend upon Jabil Manufacturing Co. (“Jabil”) to manufacture most of our semiconductor test systems from its facility located in Malaysia. In the event that Jabil is unable to meet Cohu’s current delivery schedule for semiconductor test systems, or if Jabil experienced unexpected downtime, we may not be able to sell to our customers, or have significant delays in fulfilling their orders. If we experienced significant delays or disruptions with Jabil, it would take us significant time to ramp up a new manufacturer for our semiconductor test products, either in-house or with another contract manufacturer. There can be no assurance that alternative capacity could be obtained on favorable terms, if at all. If we do not effectively manage our outsourcing strategy or if third-party service providers do not perform as anticipated, we may experience operational difficulties, increased costs, manufacturing interruptions or inefficiencies in the operation of our supply chain, any or all of which could delay our delivery of products to our customers, and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deliver systems with defects, our reputation and demand of our systems may decrease, and the cost of quality events could be harmful to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course of conducting our business, we must adequately address quality issues associated with our products and services, including defects in our engineering, design and manufacturing processes, as well as defects in third-party components included in our products. Our systems are complex and have occasionally contained errors, defects and bugs when introduced. When this occurs, our credibility and the market acceptance and sales of our systems may be harmed. Further, if our systems contain errors, defects or bugs, computer viruses or malicious code as a result of cyber-attacks to our computer networks, we may be required to expend significant capital and resources to alleviate these problems. To proactively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if any of our products contain defects or have reliability, quality or safety issues, we may need to conduct a product recall which could result in significant repair or replacement costs and substantial delays in product shipments and may damage our reputation, which could make it more difficult to sell our products. Defects could also lead to product liability lawsuits against us or against our customers. Our product liability insurance policy currently provides both aggregate coverage as well as overall umbrella coverage. In the event of a successful product liability claim, we could be obligated to pay damages significantly in excess of our product liability insurance limits. Any of these occurrences could have a material adverse effect on our business, results of operations or financial condition. In addition, quality issues can impair our relationships with new or existing customers and adversely affect our reputation, which could lead to a material adverse effect on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Failure of critical suppliers to deliver sufficient quantities of parts in a timely and cost-effective manner could adversely impact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use numerous vendors to supply parts, components and subassemblies for the manufacture of our products. It is not always possible to maintain multiple qualified suppliers for all of our parts, components and subassemblies. As a result, many key parts may be available only from a single supplier (“sole source”) or a limited number of suppliers. In addition, suppliers may significantly raise prices or cease manufacturing certain components (with or without advance notice) that are difficult to replace without significant reengineering of our products. On occasion, we have experienced problems in obtaining adequate and reliable quantities of various parts and components from certain key or sole source suppliers. For example, at the beginning of 2022, we experienced supply constraints and delays in accessing certain specialty semiconductors necessary for the production of test instruments for our semiconductor ATE products, and these supply constraints adversely impacted our overall gross margin in 2022. Although the supply constraints subsided during 2023, they may reoccur at any time due to factors beyond our control. More broadly, our results of operations may be materially and adversely impacted if we do not receive sufficient parts to meet our requirements in a timely and cost-effective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Inflationary pressures, along with any further increase in interest rates, increase the threat of recession and may impact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global manufacturer, we rely on raw materials, packaging materials, direct labor, energy, a large network of suppliers, distribution resources and transportation providers. In 2022 and 2023, these costs, including those for transportation and other inputs necessary for the production and distribution of our products, increased in large part due to global inflationary pressures. In addition, we also continue to incur higher employee wage costs and generally higher costs for outside services. These economic events are driven by factors beyond our control, and although inflationary pressures have recently moderated, we are unable to predict the future impacts, and such cost pressures may continue to adversely impact us in 2024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efforts to offset these cost pressures, such as through product price increases, or attempting to reduce operating costs elsewhere, may not be successful. Higher product prices may result in reductions in sales volume as customers may be less willing to pay a price differential for our products and may purchase lower-priced competitive offerings or may delay some purchases altogether. To the extent that this may result in decreases in sales volume, our financial condition or operating results may be adversely affected. Further, an extended period of higher prices may lead to continued regulatory efforts to tame price inflation, resulting in an increased risk of recession.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financial condition or operating results may also be affected by increased interest rates, which the Federal Reserve raised multiple times in 2022 and 2023. Increased interest rates intended to reduce price inflation may also contribute to the risk of recession, which may result in customer projections of slowed growth and an overall impact on customers’ and Cohu’s corporate earnings. We saw slowing customer demand in 2022 and 2023 and that trend has continued into 2024. While some experts believe that the Federal Reserve may start cutting interest rates in 2024, there can be no assurance that such rate cuts will happen or that such rate cuts will result in a reduction in expense to Cohu or its customers. Cohu is incurring interest expenses on our remaining indebtedness. In addition, our indebtedness may make us more vulnerable to changes in general economic conditions, with future inflationary pressures and efforts to rein in such an impact coupled with continued interest rate increases, thereby making it more costly for us to satisfy our obligations or causing an adverse effect on our free cashflows.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semiconductor equipment industry is intensely competitive and we may not be able to win business over that of our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industries we serve are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In addition, there are emerging companies that provide or may provide innovative technology incorporated in products that may compete successfully against our products. We expect our competitors to continue to improve the design and performance of their current products and to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Intense competition has adversely impacted our product average selling prices and gross margins on certain products. If we are unable to price our existing products competitively and successfully introduce new competitively priced products, then we expect that these competitive conditions would negatively impact our gross margin and operating results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increased investments in our test contactor business and targeted growth opportunities. However, the test contactor market is fragmented, with many entrenched regional players, and subject to intense price competition and high localized customer support requirements. We believe that customer support and responsiveness and an ability to consistently meet tight deadlines is critical to our success. If we are unable to continue to reduce the cost of our test contactor products, while also meeting customer support requirements and deadlines, then we expect that these competitive conditions would negatively impact our test contactor operating results and impede us from achieving our test contactor sales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Cohu’s ATE business, our ability to increase ATE sales depends, in part, on our ability to win new customers. Semiconductor and electronics manufacturers typically select a particular vendor’s product for testing new generations of a device and make substantial investments to develop related test program applications and interfaces. Once a manufacturer has selected an ATE vendor for a new generation of a device, that manufacturer is more likely to purchase systems from that vendor for that generation of the device, and, possibly, subsequent generations of that device as well. Cohu has a niche position and relatively low share in the ATE market, which is primarily driven by two larger companies with significantly more resources to invest into the ATE market. Therefore, the opportunities to obtain orders from new customers or existing customers may be limited, which may impair our ability to grow our ATE revenue. We also believe that our niche position results in greater sales cyclicality versus larger more diversified ATE vendors, and Cohu’s reliance on the mobility market for ATE sales had a significant adverse impact on our 2023 ATE sales. These factors may materially and adversely affect our current and future target markets and our ability to compete successfully in those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after-sales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Consolidation in the semiconductor industry and within the semiconductor test equipment market could adversely affect the market for our products and negatively impact our ability to compete.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Consolidation in the semiconductor industry may reduce our customer base and could adversely affect the market for our products, which could cause a decline in our revenues. With consolidation, the number of actual and potential customers for our products has decreased in recent years. Consolidation may lead to relatively fewer opportunities to sell our products if we are not chosen as a supplier by any given prospective customer, and may lead to increased pricing pressures from customers that have greater volume purchasing power. There has also been consolidation within the semiconductor test equipment market. This consolidation trend could change our interactions and relationships with complementary tester, instrument, and probe card suppliers, and negatively impact our revenue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cyclical nature of the semiconductor equipment industry places enormous demands on our employees, operations and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semiconductor equipment industry is characterized by dramatic and sometimes rapid changes in demand for products. Sudden demand changes in business conditions, positive or negative, are common in our industry but the timing of such changes is very difficult to predict. Regardless of the reason, sudden changes in demand for semiconductor equipment may have a significant impact on our operations, and such changes in demand (up or down) are difficult to predict and proactively plan for. We have in the past and may in the future experience difficulties, particularly in manufacturing, and with training and recruiting large numbers of additions to our workforce. The volatility in headcount and business levels, combined with the cyclical nature of the semiconductor industry, may require that we invest substantial amounts in new operational and financial systems, procedures and quality controls. We may not be able to timely or successfully adjust our systems, facilities, production capacity and quality standards to meet our customers’ changing requirements. Any inability to meet such requirements will have an adverse impact on our business,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 limited number of customers account for a substantial percentage of our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small number of customers have been responsible for a significant portion of our net sales. For fiscal year 2023, net revenue from our ten largest customers represented 62% of our total net revenue.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equipment industry for customers to purchase products from more than one equipment supplier, increasing the risk that our competitive position with a specific customer may deteriorate. No assurance can be given that we will continue to maintain our competitive position with these or other significant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could have a material adverse impact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cannot continue to develop, manufacture, market and support products and services that meet customer requirements for innovation and quality, our revenue and gross margin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sales and results of operations. Our customers’ selection processes typically are lengthy and can require us to incur significant sales, service and engineering expenses, and to provide the customer evaluation systems for a period of time at no charge, in pursuit of a single customer opportunity. For example, we typically expend significant resources educating our prospective customers regarding the uses and benefits of our products, customizing our products in ways that are specific to the potential customer’s needs or loaning out test equipment, and we might not be reimbursed for such activities. The substantial resources we devote to our sales efforts may not result in any revenues from a customer. For example, any semiconductor project may never reach production or customers elect to validate a project with our products and then search for a lower cost vendor for production equipment. We may not win the competitive selection process and may never generate any revenue despite incurring such expenditures. In addition, prospective customers might decide not to use our products or use our products for a relatively small percentage of their requirements after we have expended significant effort and expense toward product design, development, and/or manufacture. The delays inherent in these lengthy sales cycles increase the risk that a customer will decide to cancel, curtail, reduce or delay its product plans, causing us to lose anticipated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our relationships with our large customers deteriorate, our product development activities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success of our product development efforts depends on our ability to anticipate market trends and the price, performance and functionality requirements of semiconductor device manufacturers. In order to anticipate these trends and ensure that critical development projects proceed in a coordinated manner, we must continue to collaborate closely with our largest customers. Our relationships with these and other customers provide us with access to valuable information regarding trends in the semiconductor device industry, which enables us to better plan our product development activities. If current relationships with our large customers are impaired, or if we are unable to develop similar collaborative relationships with important customers in the future, our product development activities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must attract and retain experienced personnel to help support our future growth, and competition for such personnel in our industry is high.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success depends, to a significant degree, upon the continued contributions of our key executive management, engineering, sales and marketing, customer support, administrative and manufacturing personnel. The loss of any of these key personnel, each of whom would be extremely difficult to replace, through resignations, retirement or other circumstances, could harm our business and operating results. Despite our incentive arrangements with key members of our senior management team, these individuals or other key employees may still leave us, which could have a material adverse effect on our business. We do not have key person life insurance on any of our executives. In addition, to support our future growth, we will need to attract and retain additional qualified employees. Competition for such personnel in our industry is intense, and we may not be successful in attracting and retaining qualified employees. The expansion of high technology companies worldwide and growth in the demand for semiconductors have increased demand and competition for qualified personnel has intensified. In addition, the cost of living in San Diego and the Bay Area, California; Boston, Massachusetts; St. Paul, Minnesota; Lincoln, Rhode Island; Kolbermoor, Germany; La Chaux-de-Fonds, Switzerland and Osaka, Japan areas, where the majority of our engineering personnel are located, is high, and increasing further due to inflationary effects,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Competition for engineering and other technical personnel in some of the markets in which we operate is especially competitive due to continued increases in the number of technology companies worldwide. In order to attract and retain executives and other key employees, we must provide a competitive compensation package, including cash and stock-based compensation, along with other benefits and workplace policies. If the anticipated value of our stock-based incentive awards does not materialize so that they cease to be viewed as valuable, if our profits decrease, or if our total compensation package is not viewed as competitive, our ability to attract, retain and motivate executives and key employees could be weakened.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use of, or failure to properly implement the use of, Artificial Intelligence within Cohu</w:t>
      </w:r>
      <w:r>
        <w:rPr>
          <w:rFonts w:ascii="Times New Roman" w:hAnsi="Times New Roman"/>
          <w:caps w:val="false"/>
          <w:smallCaps w:val="false"/>
          <w:sz w:val="20"/>
        </w:rPr>
        <w:t>’</w:t>
      </w:r>
      <w:r>
        <w:rPr>
          <w:rFonts w:ascii="Times New Roman" w:hAnsi="Times New Roman"/>
          <w:b/>
          <w:i/>
          <w:caps w:val="false"/>
          <w:smallCaps w:val="false"/>
          <w:sz w:val="20"/>
        </w:rPr>
        <w:t xml:space="preserve">s product development involves risks and uncertainties that may impact our operational performance and be subject to legal and/or regulatory 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technology industry has experienced rapid technological developments, changes in industry standards, changes in customer requirements and frequent new product introductions and improvements We currently utilize, and expect in the future to continue to utilize, Artificial Intelligence (“AI”) technology within certain of our products, including data analytics software designed to provide predictive maintenance recommendations and vision inspection software designed to find pattern recognition within large image datasets. The primary goal of these technologies is to improve the efficiency and performance of our customer deployed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our use of AI technology is intended to accelerate innovation and improve productivity, the algorithmic calculations used by AI may result in incorrect data production and flawed root cause analysis of identified issues. Additionally, it is likely that legal and/or regulatory actions that will be taken by impacted jurisdictions may include enhanced legislation that addresses the protection of individuals from data privacy harm resulting from AI use. Finally, an overreliance on AI technology could result in the loss of or diminished human oversight and uncaught errors that could have a negative impact on our business operations and productivity. The continued rapid evolution of AI, including potential government regulation of AI, will require resources to develop, test and maintain our products and features to help us implement AI ethically in order to minimize unintended, harmful impact. If we are unable to respond quickly and successfully to these developments in AI requirements or policies, we may lose our competitive position, and our products or technologies may become uncompetitive or obsolete resulting in a loss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Associated with Operating a Global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exposed to the risks of operating in certain foreign locations where Cohu manufactures certain products and supports our sales and services to the global semiconductor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global corporation with offices and subsidiaries in certain foreign locations to manufacture our products and support our sales and services to the global semiconductor industry. As such, we face risks in doing business globally. For example, while our corporate headquarters are located in California, additional key engineering, sales and administrative personnel are located in China, Germany, Japan, Malaysia, Philippines, Singapore, Switzerland, Taiwan and elsewhere in the U.S., and our manufacturing operations are primarily located in Japan, Malaysia, Philippines and the U.S. Additionally, sales of our products to customers outside of the United States represent a significant part of our past and anticipated revenues. Our international sales as a percentage of our revenues were 88%, 90% and 91% for fiscal 2023, 2022 and 2021, respectively. Certain of our non-U.S. based customers also purchase through their subsidiaries in the United States. In the future we expect international sales to continue to account for a significant percentage of our revenues. Certain aspects inherent in transacting business internationally could negatively impact our operating results, including:</w:t>
      </w:r>
    </w:p>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170"/>
        <w:gridCol w:w="582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difficulties in staffing and managing international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exchange rate fluctuations, which could affect the value of our assets denominated in local currency, as well as the price of our products relative to locally produced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legislative or regulatory requirements and potential changes in, or interpretations of, requirements in the United States and in the countries in which we manufacture or sell our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7615" w:type="dxa"/>
        <w:jc w:val="left"/>
        <w:tblInd w:w="0" w:type="dxa"/>
        <w:tblLayout w:type="fixed"/>
        <w:tblCellMar>
          <w:top w:w="0" w:type="dxa"/>
          <w:left w:w="0" w:type="dxa"/>
          <w:bottom w:w="0" w:type="dxa"/>
          <w:right w:w="0" w:type="dxa"/>
        </w:tblCellMar>
      </w:tblPr>
      <w:tblGrid>
        <w:gridCol w:w="170"/>
        <w:gridCol w:w="744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restrictions, including treaty changes, sanctions and the suspension of export licenses;</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70"/>
        <w:gridCol w:w="567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compliance with and changes in import/export tariffs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70"/>
        <w:gridCol w:w="362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complex labor laws and privacy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in adequately supervising employees widely distributed around the world, including due to implementing remote and/or hybrid work arrangements;</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170"/>
        <w:gridCol w:w="552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in enforcing contractual and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70"/>
        <w:gridCol w:w="408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longer payment cycles and receivable collections;</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70"/>
        <w:gridCol w:w="476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freight rates and transportation disruptions;</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70"/>
        <w:gridCol w:w="510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seasonal fluctuations in purchasing patterns in other countries;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70"/>
        <w:gridCol w:w="504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health epidemics or other disruptions to trade and production;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local and global political and economic instability or foreign conflicts, including trade wars, that involve or affect the countries of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70"/>
        <w:gridCol w:w="326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disasters and other climate risks;</w:t>
            </w:r>
          </w:p>
        </w:tc>
      </w:tr>
    </w:tbl>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170"/>
        <w:gridCol w:w="659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varied environmental laws and regulations at each of our principal locations;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complex tax laws and potentially adverse tax consequences, including restrictions on repatriating earnings and the threat of “double 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observed a continuing trend of increasing risks and challenges in the conduct of our international business activities, including expanded tariffs and other trade barriers affecting the United States and China. Additionally, we are required to comply with foreign import and export requirements, customs and value added tax standards that can be unclear or complex. Our failure to meet these requirements and standards could negatively impact our business operations. If one or more of these risks occurs, it could require us to dedicate significant resources to remedy, and if we are unsuccessful in finding a solution, our financial results will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Geopolitical instability in locations critical to Cohu and its customers may adversely impact our operations, sales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lower cost structures, a willingness to compete solely on price, favorable tariffs and other government preferences or subsidy programs, and affiliation with significantly larger organizations. In addition, changes in the amount or price of semiconductors produced in Asia could negatively impact the profitability or capital equipment spending programs of our foreign and domestic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increase in geopolitical tensions in Asia, particularly in the Taiwan Strait, could disrupt existing semiconductor chip manufacturing and increase the prospect of an interruption to the semiconductor chip supply across the world. A setback to the current state of relative peace and stability in the region could compromise existing semiconductor chip production and have downstream implications for our company. The world’s largest semiconductor chip manufacturer is located in Taiwan and is a top supplier for many U.S. companies, many of which are part of the company’s customer base. Recently, the armed conflict involving Hamas and Israel, as well as further escalation of tensions between Israel and various countries in the Middle East and North Africa, may cause increased inflation in energy and logistics costs and could further cause general economic conditions in the U.S. or abroad to deteriorate. It is unknown how long any of these disruptions will continue and whether such disruptions will become more severe.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tensions related to Russia’s actions have resulted in the U.S. and many European countries imposing significant economic sanctions on Russia and specific individuals targeted as having connections to the Russian government. The totality of these actions has continued to impact international trade relationships, and resulted in sustained increases in the cost of materials, where higher oil and other commodity prices have resulted in further increased shipping and transportation costs. Furthermore, energy shortages, particularly with respect to natural gas, should they occur in Europe, would disrupt our test handler operations and research and development activities at our Kolbermoor, Germany and La Chaux-de-Fonds, Switzerland facilities. In addition, the conflict could adversely impact the supply chain in this region, particularly with respect to critical materials and metals, such as palladium which is used in our interface products as well as in semiconductors. Any increases in the cost, or shortages, of materials or energy may continue to create supply issues for critical materials that could constrain manufacturing levels for Cohu’s customers, leading to a decrease in demand for Cohu’s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global impact of the military action and subsequent imposing of sanctions continues to evolve and cannot be sufficiently measured or predicted with certainty. The inherent uncertainty surrounding this war may negatively impact the share prices of publicly traded companies. Government entities and both public and private companies within the United States may be exposed to attempted or actual cybersecurity attacks launched in retaliation, resulting in disruptions to domestic markets and a prolonged state of global market volatility. Furthermore, there remains ongoing uncertainty with respect to China’s willingness to support ongoing or expanded sanctions, which could distance China from its existing trade partners, potentially creating a significant impact to the semiconductor chip and equipment industries that conduct operations within China, Taiwan and the region. There is a likelihood that these sanctions, and related geopolitical tensions, will not be resolved in the short-term but will have a lengthy disruption to all global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of these conflicts or other threatened conflicts, if they cause interruption to semiconductor chip supply and related impacts to the company’s customers, any increased costs, increased competition or constraints on resources such as freight, or other disruption in our supply chain, could result in an adverse impact to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occurrence of natural disasters, health epidemics, and geopolitical instability caused by terrorist attacks and other threats may adversely impact our operations and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corporate headquarters is located in the San Diego, California area, our Asian sales and service headquarters are located in Singapore and Taiwan, and the majority of our sales are made to destinations in Asia. In addition, we have Asia-based manufacturing plants in Malaysia, Philippines and Japan. These regions are known for being vulnerable to natural disasters and other risks, such as earthquakes, tsunamis, fires and floods, volcanic eruptions, and geopolitical risks, which at times have disrupted the local economies. For example, a significant earthquake or tsunami could materially affect operating results. Although we believe that we carry reasonable and appropriate business insurance, we may not be insured for certain losses and business interruptions of this kind, or for geopolitical or terrorism impacts, and presently have very limited redundant, multiple site capacity in the event of a disaster. In the event of such disaster, our business would materially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could also be adversely affected by the effects of a widespread outbreak of contagious diseases, such as we were adversely affected by the COVID-19 global pandemic. Our business has previously, and may in the future be, adversely impacted by evolving and extended public health requirements around the world; government-mandated facility shutdowns; import/export, shipping and logistics disruptions and delays; other supply chain and distribution constraints or delays; rapid changes to business, political or regulatory conditions affecting the semiconductor equipment industry and the overall global economy; availability of employees, increased sick time and lost employee productivity; risks associated with, at times, temporarily housing employees in our Malaysia and Philippines factories; remote working and increased cybersecurity risks; increased internal control risks over financial reporting as key finance staff work remotely; delayed product development programs; customers’ canceling, pushing out orders or refusal to accept product deliveries; delayed collection of receivables; other actions of our customers, suppliers and competitors which may be sudden and inconsistent with our expectations; higher shipping, trucking and logistics costs; higher component costs; manufacturing capacity limitations; additional credit rating agency downgrades could occur which would increase our cost of raising capital; and potential additional impairment of goodwill or other intangible assets or inventory write-downs due to lower product demand may become necessary. Any of the foregoing, if they reoccur, may have a material adverse effect on our financial condition and results of operations, and may also have the effect of increasing the likelihood and/or magnitude of other risks described in these risk factors. With any reemerging COVID-19 surge or new health epidemic, we believe the risks of material adverse business disruption increase. We continuously monitor and react to the pandemic but cannot predict its future course or impacts.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could be materially and adversely affected by transition and physical climate change effects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analyze climate change risks in two separate categories: transition risks and physical risks. Transition risks are those risks relating to the transition of the global economy to a focus on more climate-friendly technologies. This transition could have adverse financial impacts on us in several ways. For instance, more stringent environmental policies or regulations could lead to increased expenses relating to greenhouse gas emissions or other emissions that could increase our operating costs. Enhanced emissions-reporting or shifting technology could require us to write off or impair assets or retire existing assets early. Increased environmental mandates could also increase our exposure to litigation. We could be required to incur increased costs and significant capital investment to transition to lower emissions technologies. In addition, overall market shifts could increase costs of our raw materials and cause unexpected shifts in energy costs. Focus on sustainability has increased, and the company or its industry could be stigmatized as not friendly to the environment, which could adversely affect our reputation and our business, including due to difficulties in employee hiring and retention and our ability to access capital. Any of these matters could materially and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Physical risks from climate change that could affect our business include acute weather events such as floods, tornadoes or other severe weather and ongoing changes such as rising temperatures or extreme variability in weather patterns. These events could lead to increased capital costs from damage to our facilities, increased insurance premiums or reduced revenue from decreased production capacity based on supply chain interruptions. Any of these events could have a material adverse effect on our business, financial condition or results of operations (see risk factor entitled “</w:t>
      </w:r>
      <w:r>
        <w:rPr>
          <w:rFonts w:ascii="Times New Roman" w:hAnsi="Times New Roman"/>
          <w:i/>
          <w:caps w:val="false"/>
          <w:smallCaps w:val="false"/>
          <w:sz w:val="20"/>
        </w:rPr>
        <w:t>The occurrence of natural disasters, health epidemics, and geopolitical instability caused by terrorist attacks and other threats may adversely impact our operations and sales</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exposed to additional risks as a result of increased attention by our stakeholders to sustainability, including environmental, social and governance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stakeholders, including customers, investors, advisory firms, employees, and suppliers, among others, are increasing their attention to, and establishing expectations for, sustainability and related matters. These expectations can extend to our corporate practices, initiatives, and disclosures, as well as stakeholder standards or preferences for investments or doing business. Third-party agencies have also established or added standards for rating companies on a range of sustainability-related factors that may be inconsistent and subject to change. As a result, these expectations may impact the attractiveness of our business, the manner in which we do business, our reputation, the costs of doing business, and the willingness of these stakeholders to engage with, invest in, or retain us. We may be further impacted by the adoption and evolution of sustainability-related regulation and legislation in the jurisdictions in which we do business, such as the SEC and California state disclosure requirements, which could result in increased compliance, operational, and other costs. In addition, the Company has provided voluntary disclosures on sustainability matters, including regarding energy usage, greenhouse gas emissions, health and safety, diversity and inclusion, and labor and human rights. Such disclosures are aspirational and based on frameworks and standards for such initiatives and progress that are still developing, assumptions that may change, and disclosure control and procedures that continue to evolve. We may fail, or be perceived to fail, in attaining or maintaining our sustainability-related initiatives. The topics on which we focus may not be popular with our stakeholders. These events or perceptions may expose us to additional reputational and operational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Relating to Acquisitions and Other Strategic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choose to acquire new and complementary businesses, products or technologies instead of developing them ourselves, and we may be unable to complete these acquisitions or may not be able to successfully integrate an acquired business in a cost-effective and non-disruptive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success depends on our ability to continually enhance and broaden our product offerings in response to changing technologies, customer demands and competitive pressures. As part of our business strategy, we will continue to regularly evaluate investments in, or acquisitions of, complementary businesses, joint ventures, services and technologies, and we expect that periodically we will continue to make such investments and acquisitions in the future. We may, however, face competition for acquisition targets from larger and more established companies with greater financial resources, making it more difficult for us to complete acquisitions. We cannot provide any assurance that we will be successful in consummating future acquisitions on favorable terms or that we will realize the benefits that we anticipate from one or more acquisitions that we consummate. Integrating any business, product, technology or service into our current operations could be expensive and time-consuming and/or disrupt our ongoing business. Acquisitions and investments involve numerous risks,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170"/>
        <w:gridCol w:w="818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may underperform and we may not achieve any forecasted growth, benefits or synergies;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entering potentially new markets or manufacturing in new geographies where Cohu has no or limited direct prior experience;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and increased costs in connection with integration of the personnel, operations, technologies and products of acquired businesses;</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170"/>
        <w:gridCol w:w="791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unexpected reduction of sales of existing products as a result of the introduction of new products;</w:t>
            </w:r>
          </w:p>
        </w:tc>
      </w:tr>
    </w:tbl>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170"/>
        <w:gridCol w:w="608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increasing the scope, geographic diversity and complexity of our business;</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170"/>
        <w:gridCol w:w="881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and risk of having to potentially develop new and unfamiliar sales channels for acquired businesses;</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70"/>
        <w:gridCol w:w="845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diversion of management’s attention from other operational matters and current products and customers;</w:t>
            </w:r>
          </w:p>
        </w:tc>
      </w:tr>
    </w:tbl>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170"/>
        <w:gridCol w:w="846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manufacturing disruptions and delays as we potentially consolidate certain manufacturing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and significant costs in integrating the systems and processes of two companies with complex operations including multiple manufacturing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integration of acquired businesses and their operations, including enterprise resource planning systems, may be costly and time-consuming and divert resources away from other projects;</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170"/>
        <w:gridCol w:w="740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loss of key employees, customers or suppliers of Cohu or acquired businesses;</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70"/>
        <w:gridCol w:w="750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lack of synergy, or the inability to realize expected synergies, resulting from the acquisition;</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70"/>
        <w:gridCol w:w="569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unknown liabilities associated with the acquired businesses;</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170"/>
        <w:gridCol w:w="812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commercialize or meet the expected performance of the purchased technology or business;</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70"/>
        <w:gridCol w:w="572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retain key employees and customer or supplier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impairment of acquired intangible assets and goodwill that could result in significant charges to operating results in future periods; and</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70"/>
        <w:gridCol w:w="530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challenges caused by distance, language and cultural differences.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decide to finance future acquisitions and investments through a combination of borrowings, proceeds from equity or debt offerings and the use of cash, cash equivalents and short-term investments. If we finance acquisitions or investments by issuing equity-linked (such as convertible debt) or equity securities, our existing stockholders may be diluted which would likely affect the market price of our stock. Mergers, acquisitions and investments are inherently risky and the inability to effectively manage these risks could materially and adversely affect our business, financial condition and results of operations. In addition, any impairment of goodwill or other intangible assets, amortization of intangible assets, write-down of other assets or charges resulting from the costs of acquisitions and purchase accounting could harm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Relating to our Indebtedness, Financing and Future Access to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Due to the nature of our business, we need continued access to capital, which if not available to us or if not available on favorable terms, could harm our ability to operate or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that our existing sources of liquidity, including cash resources and cash provided by operating activities will provide sufficient resources to meet our working capital and cash requirements for at least the next twelve months; however, a material adverse impact on our business from unforeseen events or a desire to reduce our outstanding indebtedness could result in a need to raise additional capital. Alternatively, we could decide to raise capital or incur additional indebtedness to fund strategic initiatives or operating activities, particularly if we pursue additional acquisitions. In the event we are required, or elect, to raise additional funds, we may be unable to do so on favorable terms, or at all, and may incur expenses in raising the additional funds and increase our interest rate exposure, and any future indebtedness could adversely affect our operating results and severely limit our ability to plan for, or react to, changes in our business or industry. For example, under our Credit Agreement which was repaid in full on February 9, 2024, we were limited by financial and other negative covenants in our credit arrangements, including limitations on our borrowing of additional funds and issuing dividends.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foreign operations expose us to additional risks relating to currency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international operations are significant to our revenues and net income, and we plan to continue to grow internationally. We report our financial results in U.S. dollars, but we incur certain costs in other currencies, and have certain foreign currency denominated assets and liabilities. For example, we have significant business operations located in Germany and Switzerland, each of which engage in transactions with end customers, while costs related to manufacturing products are incurred in our manufacturing facilities in Asia and raw material supply chain costs are incurred in yet other currencies. We, therefore, face exposure to fluctuations in currency exchange rates. Significant fluctuations in exchange rates between the U.S. dollar and foreign currencies may adversely affect our revenues and earnings, despite our hedging of a portion of our international currency exposures. Additionally, hedging programs are inherently risky, may be ineffective, and could expose us to additional costs and risks that could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recorded restructuring, inventory write-offs and asset impairment charges in the past, and may do so again in the future, which could have a material negative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plan to record restructuring charges in the first quarter of 2024, have previously recorded restructuring charges in prior years and we may implement restructuring plans in the future, which would require us to take additional, potentially material, restructuring charges related to employee terminations, asset disposal or exit costs. We may also be required to write-off additional inventory if our product build plans or usage of inventory experience declines, and such additional write-offs could constitute material charges. In addition, significant adverse changes in market conditions could require us to take additional material impairment charges related to our long-lived assets if the changes impact the critical assumptions or estimates that we use in our assessment of the recoverability of our long-lived assets. Any such additional charges, whether related to restructuring, asset impairment or factory underutilization, may have a material negative impact on our operating results and related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exposed to the instability of financial institutions where we maintain cash deposits or other liquid holdings, which could result in a lack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ensure financial flexibility, we maintain a substantial amount of cash deposit holdings in financial banks that exceed the limits insured by the Federal Deposit Insurance Corporation (“FDIC”). A bank failure, default, or other adverse events that restrict the ability of financial institutions to perform, including elevated concerns of such potential events that are rapidly communicated across media platforms, may lead to liquidity constraints for those institutions. For example, on March 10, 2023, Silicon Valley Bank (“SVB”), now a division of First Citizens Bank and formerly the country’s 16th largest bank by total assets, experienced a significant and rapid withdrawal of funds that led to its collapse. The FDIC determined that it would guarantee all deposit amounts held at SVB, including amounts above FDIC insurance limits. However, there is no guarantee that the FDIC will similarly protect deposit amounts held above insurance limits if other banks were to fail or other adverse conditions were to impact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held cash deposits at SVB in excess of FDIC insurance limits at the time of its failure totaling approximately $12.3 million which, based on the FDIC’s specific determination with respect to SVB, was fully protected and guaranteed by the FDIC and therefore we did not experience any losses on our cash deposits. Since that time, we have maintained a limited commercial relationship with SVB, but have minimal deposit risk when viewed as part of our overall financial strategy and diversification of assets across multiple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SVB’s collapse was partly driven by recent interest rate increases, which resulted in steep realized losses to cover the run on withdrawals, the potential for similar events occurring pose ongoing risk to us. Such events could cause the loss of cash deposits, limit our access to debt facilities and restrict our ability to obtain needed liquidity from financial institutions, hampering our ability to make strategic acquisitions or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Because a significant portion of Cohu</w:t>
      </w:r>
      <w:r>
        <w:rPr>
          <w:rFonts w:ascii="Times New Roman" w:hAnsi="Times New Roman"/>
          <w:caps w:val="false"/>
          <w:smallCaps w:val="false"/>
          <w:sz w:val="20"/>
        </w:rPr>
        <w:t>’</w:t>
      </w:r>
      <w:r>
        <w:rPr>
          <w:rFonts w:ascii="Times New Roman" w:hAnsi="Times New Roman"/>
          <w:b/>
          <w:i/>
          <w:caps w:val="false"/>
          <w:smallCaps w:val="false"/>
          <w:sz w:val="20"/>
        </w:rPr>
        <w:t>s total assets are represented by goodwill, which is subject to mandatory impairment evaluation, and other intangibles, Cohu could be required to write off some or all of this goodwill and other intangibles, which may adversely affect the combined company</w:t>
      </w:r>
      <w:r>
        <w:rPr>
          <w:rFonts w:ascii="Times New Roman" w:hAnsi="Times New Roman"/>
          <w:caps w:val="false"/>
          <w:smallCaps w:val="false"/>
          <w:sz w:val="20"/>
        </w:rPr>
        <w:t>’</w:t>
      </w:r>
      <w:r>
        <w:rPr>
          <w:rFonts w:ascii="Times New Roman" w:hAnsi="Times New Roman"/>
          <w:b/>
          <w:i/>
          <w:caps w:val="false"/>
          <w:smallCaps w:val="false"/>
          <w:sz w:val="20"/>
        </w:rPr>
        <w: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Goodwill and other intangibles comprise 34% of Cohu’s total assets, of which approximately $241.7 million of our total assets are allocated to goodwill. In accordance with Accounting Standards Codification (“ASC”) Topic 350, </w:t>
      </w:r>
      <w:r>
        <w:rPr>
          <w:rFonts w:ascii="Times New Roman" w:hAnsi="Times New Roman"/>
          <w:i/>
          <w:caps w:val="false"/>
          <w:smallCaps w:val="false"/>
          <w:sz w:val="20"/>
        </w:rPr>
        <w:t>Intangibles - Goodwill and Other</w:t>
      </w:r>
      <w:r>
        <w:rPr>
          <w:rFonts w:ascii="Times New Roman" w:hAnsi="Times New Roman"/>
          <w:caps w:val="false"/>
          <w:smallCaps w:val="false"/>
          <w:sz w:val="20"/>
        </w:rPr>
        <w:t>, goodwill and certain other intangible assets with indefinite useful lives are not amortized but are reviewed at least annually for impairment, or more frequently if there are indications of impairment. Significant declines in the price of Cohu’s common stock could increase the risk of an impairment. All other intangible assets are subject to periodic amortization. Cohu evaluates the remaining useful lives of other intangible assets each quarter to determine whether events and circumstances warrant a revision to the remaining period of amortization. When Cohu performs future impairment tests, it is possible that the carrying value of goodwill or other intangible assets could exceed their implied fair value and therefore would require adjustment. Such adjustment would result in a charge to operating income in that period. There can be no assurance that there will not be further adjustments for impairment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Relating to Owning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financial and operating results may vary and fall below analysts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estimates, or credit rating agencies may change their ratings on Cohu, any of which may cause the price of our common stock to decline or make it difficult to obtain other financing.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operating results may fluctuate from quarter to quarter due to a variety of factors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0"/>
              <w:ind w:left="0" w:right="0" w:hanging="0"/>
              <w:jc w:val="left"/>
              <w:rPr/>
            </w:pPr>
            <w:r>
              <w:rPr/>
              <w:t>●</w:t>
            </w:r>
          </w:p>
        </w:tc>
        <w:tc>
          <w:tcPr>
            <w:tcW w:w="6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seasonal, volatile and unpredictable nature of the semiconductor equipment industry;</w:t>
            </w:r>
          </w:p>
        </w:tc>
      </w:tr>
    </w:tbl>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170"/>
        <w:gridCol w:w="5930"/>
      </w:tblGrid>
      <w:tr>
        <w:trPr/>
        <w:tc>
          <w:tcPr>
            <w:tcW w:w="170" w:type="dxa"/>
            <w:tcBorders/>
            <w:vAlign w:val="center"/>
          </w:tcPr>
          <w:p>
            <w:pPr>
              <w:pStyle w:val="TableContents"/>
              <w:bidi w:val="0"/>
              <w:spacing w:before="0" w:after="0"/>
              <w:ind w:left="0" w:right="0" w:hanging="0"/>
              <w:jc w:val="left"/>
              <w:rPr/>
            </w:pPr>
            <w:r>
              <w:rPr/>
              <w:t>●</w:t>
            </w:r>
          </w:p>
        </w:tc>
        <w:tc>
          <w:tcPr>
            <w:tcW w:w="59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timing and amount of orders from customers and shipments to customers;</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70"/>
        <w:gridCol w:w="4745"/>
      </w:tblGrid>
      <w:tr>
        <w:trPr/>
        <w:tc>
          <w:tcPr>
            <w:tcW w:w="170" w:type="dxa"/>
            <w:tcBorders/>
            <w:vAlign w:val="center"/>
          </w:tcPr>
          <w:p>
            <w:pPr>
              <w:pStyle w:val="TableContents"/>
              <w:bidi w:val="0"/>
              <w:spacing w:before="0" w:after="0"/>
              <w:ind w:left="0" w:right="0" w:hanging="0"/>
              <w:jc w:val="left"/>
              <w:rPr/>
            </w:pPr>
            <w:r>
              <w:rPr/>
              <w:t>●</w:t>
            </w:r>
          </w:p>
        </w:tc>
        <w:tc>
          <w:tcPr>
            <w:tcW w:w="4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decisions to cancel orders or push out deliveries;</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70"/>
        <w:gridCol w:w="5135"/>
      </w:tblGrid>
      <w:tr>
        <w:trPr/>
        <w:tc>
          <w:tcPr>
            <w:tcW w:w="170" w:type="dxa"/>
            <w:tcBorders/>
            <w:vAlign w:val="center"/>
          </w:tcPr>
          <w:p>
            <w:pPr>
              <w:pStyle w:val="TableContents"/>
              <w:bidi w:val="0"/>
              <w:spacing w:before="0" w:after="0"/>
              <w:ind w:left="0" w:right="0" w:hanging="0"/>
              <w:jc w:val="left"/>
              <w:rPr/>
            </w:pPr>
            <w:r>
              <w:rPr/>
              <w:t>●</w:t>
            </w:r>
          </w:p>
        </w:tc>
        <w:tc>
          <w:tcPr>
            <w:tcW w:w="5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inability to recognize revenue due to accounting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0"/>
              <w:ind w:left="0" w:right="0" w:hanging="0"/>
              <w:jc w:val="left"/>
              <w:rPr/>
            </w:pPr>
            <w:r>
              <w:rPr/>
              <w:t>●</w:t>
            </w:r>
          </w:p>
        </w:tc>
        <w:tc>
          <w:tcPr>
            <w:tcW w:w="1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write-downs;</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170"/>
        <w:gridCol w:w="6680"/>
      </w:tblGrid>
      <w:tr>
        <w:trPr/>
        <w:tc>
          <w:tcPr>
            <w:tcW w:w="170" w:type="dxa"/>
            <w:tcBorders/>
            <w:vAlign w:val="center"/>
          </w:tcPr>
          <w:p>
            <w:pPr>
              <w:pStyle w:val="TableContents"/>
              <w:bidi w:val="0"/>
              <w:spacing w:before="0" w:after="0"/>
              <w:ind w:left="0" w:right="0" w:hanging="0"/>
              <w:jc w:val="left"/>
              <w:rPr/>
            </w:pPr>
            <w:r>
              <w:rPr/>
              <w:t>●</w:t>
            </w:r>
          </w:p>
        </w:tc>
        <w:tc>
          <w:tcPr>
            <w:tcW w:w="66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unexpected expenses or cost overruns in the introduction and support of products;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70"/>
        <w:gridCol w:w="4820"/>
      </w:tblGrid>
      <w:tr>
        <w:trPr/>
        <w:tc>
          <w:tcPr>
            <w:tcW w:w="170" w:type="dxa"/>
            <w:tcBorders/>
            <w:vAlign w:val="center"/>
          </w:tcPr>
          <w:p>
            <w:pPr>
              <w:pStyle w:val="TableContents"/>
              <w:bidi w:val="0"/>
              <w:spacing w:before="0" w:after="0"/>
              <w:ind w:left="0" w:right="0" w:hanging="0"/>
              <w:jc w:val="left"/>
              <w:rPr/>
            </w:pPr>
            <w:r>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inability to deliver solutions as expected by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170"/>
        <w:gridCol w:w="7340"/>
      </w:tblGrid>
      <w:tr>
        <w:trPr/>
        <w:tc>
          <w:tcPr>
            <w:tcW w:w="170" w:type="dxa"/>
            <w:tcBorders/>
            <w:vAlign w:val="center"/>
          </w:tcPr>
          <w:p>
            <w:pPr>
              <w:pStyle w:val="TableContents"/>
              <w:bidi w:val="0"/>
              <w:spacing w:before="0" w:after="0"/>
              <w:ind w:left="0" w:right="0" w:hanging="0"/>
              <w:jc w:val="left"/>
              <w:rPr/>
            </w:pPr>
            <w:r>
              <w:rPr/>
              <w:t>●</w:t>
            </w:r>
          </w:p>
        </w:tc>
        <w:tc>
          <w:tcPr>
            <w:tcW w:w="7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geopolitical changes impacting our business, including with respect to China and Taiwan;</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70"/>
        <w:gridCol w:w="4085"/>
      </w:tblGrid>
      <w:tr>
        <w:trPr/>
        <w:tc>
          <w:tcPr>
            <w:tcW w:w="170" w:type="dxa"/>
            <w:tcBorders/>
            <w:vAlign w:val="center"/>
          </w:tcPr>
          <w:p>
            <w:pPr>
              <w:pStyle w:val="TableContents"/>
              <w:bidi w:val="0"/>
              <w:spacing w:before="0" w:after="0"/>
              <w:ind w:left="0" w:right="0" w:hanging="0"/>
              <w:jc w:val="left"/>
              <w:rPr/>
            </w:pPr>
            <w:r>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and deferred tax asset write-downs;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economic and market conditions, including impacts from sanctions against Russia and the military conflict in Ukraine, increased inflationary pressures, interest rate changes, and any resurgence of the COVID-19 pandemic.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to these factors or other unanticipated events, quarter-to-quarter comparisons of our operating results may not be reliable indicators of our future performance. In addition, from time-to-time our quarterly financial results may fall below the expectations of the securities and industry analysts who publish reports on our company or of investors in general. This could cause the market price of our stock to decline, perhaps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as a result of the Term Loan Credit Facility, which was recently paid in February 2024, we maintain credit ratings with Moody’s Investors Service, Inc. (“Moody’s”) and S&amp;P Global Ratings (“S&amp;P”). Any downgrades of Cohu’s credit ratings or rating outlooks, if and when they were to occur, may materially and adversely affect the market price of our equity and the availability, cost or interest rate of other credit or financing. Cohu’s current credit ratings are considered non-investment grade and make it more costly (as compared to investment grade borrowers) for Cohu or its subsidiaries to borrow money or enter into new credit facilities and to raise certain other types of capital and/or complete additional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fail to maintain an effective system of internal control over financial reporting, we may not be able to accurately report our financial results, and current and potential stockholders may lose confidence in our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required by the SEC to establish and maintain adequate internal control over financial reporting that provides reasonable assurance regarding the reliability of our financial reporting and the preparation of financial statements in accordance with generally accepted accounting principles. We are likewise required, on a quarterly basis, to evaluate the effectiveness of our internal controls and to disclose any changes and material weaknesses in those internal controls. Although we believe that we have adequate internal controls in place at this time, we cannot be certain that, with significantly greater global complexity, we will be able to maintain adequate internal control over our financial reporting in future periods. Any failure to maintain such internal controls could adversely impact our ability to report our financial results on a timely and accurate basis. If our financial statements are not accurate, investors may not have a complete understanding of our operations. Inferior internal controls could also cause investors to lose confidence in our reported financial information, which could have a negative effect on the trading price of our stock. Likewise, if our financial statements are not filed on a timely basis as required by the SEC and Nasdaq Global Select Market, we could face severe consequences from those authorities. In either case, there could be a material adverse effect on our business and/or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experienced significant volatility in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variety of factors may cause the price of our stock to be volatile. The stock market in general, and the market for shares of high-technology companies in particular, including ours, have experienced extreme price fluctuations, which have often been unrelated to the operating performance of affected companies. During the three-year period ended December 30, 2023, the price of our common stock has ranged from $51.86 to $24.06. The price of our stock may be more volatile than the stock of other companies due to, among other factors, the unpredictable, volatile and seasonal nature of the semiconductor industry, our significant customer concentration, intense competition in the test contactor, test handler, automated test equipment industry, our limited backlog, our debt levels, and our relatively low daily stock trading volume. The market price of our common stock is likely to continue to fluctuate significantly in the future, including fluctuations related and unrelated to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underperform relative to our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and financial performance are subject to certain risks and uncertainties, as described in these risk factors. We may not achieve our forecasted growth rates, levels of revenue, earnings, or operating efficiency that we expect and may incur losses in the business at any time. Any underperformance from our expectations or forecasts could have a material adverse effect on our financial condition, results of operations, and cause abrupt, significant stock price declines. We may become subject to campaigns by shareholders advocating corporate actions such as financial restructuring, increased borrowing, special dividends, stock repurchases or divestitures. Such activities could interfere with our ability to execute our business plans, be costly and time-consuming, disrupt our operations, divert the attention of management or result in other short-term focused corporate actions, any of which could have an adverse effect on our business or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Provisions of our certificate of incorporation and bylaws and Delaware law may make a takeover of Cohu more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provisions in our basic corporate documents and under Delaware law that could discourage, delay or prevent a change in control, even if a change in control may be regarded as beneficial to some or all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issuance of shares of our common stock in connection with any future offerings of securities by us, will dilute our shareholders</w:t>
      </w:r>
      <w:r>
        <w:rPr>
          <w:rFonts w:ascii="Times New Roman" w:hAnsi="Times New Roman"/>
          <w:caps w:val="false"/>
          <w:smallCaps w:val="false"/>
          <w:sz w:val="20"/>
        </w:rPr>
        <w:t xml:space="preserve">’ </w:t>
      </w:r>
      <w:r>
        <w:rPr>
          <w:rFonts w:ascii="Times New Roman" w:hAnsi="Times New Roman"/>
          <w:b/>
          <w:i/>
          <w:caps w:val="false"/>
          <w:smallCaps w:val="false"/>
          <w:sz w:val="20"/>
        </w:rPr>
        <w:t>ownership interest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seek additional financing in the future to meet our capital needs or to meet our strategic initiatives or operating activities. We have in the past issued common stock as acquisition consideration and for general corporate purposes. For example, in March 2021, we issued 5,692,500 additional shares of our common stock in an underwritten follow-on public offering, which represented an increase of 13.4% of outstanding shares of common stock at the time. We may determine to utilize common stock as acquisition consideration, issue convertible debt, or pursue another follow-on equity offering to raise capital for debt reduction or for other general corporate purposes, at any time in the future. Any issuances of additional shares of our common stock would dilute shareholders’ ownership interest in our company, and shareholders would have a proportionately reduced ownership and voting interest in our company as a result of equity issuance. If we raise additional funds by issuing debt, we may be subject to limitations on our operations due to restrictive covenants. Additionally, our ability to make scheduled payments or refinance our obligations will depend on our operating and financial performance, which in turn is subject to prevailing economic conditions and financial, business and other factors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Cohu</w:t>
      </w:r>
      <w:r>
        <w:rPr>
          <w:rFonts w:ascii="Times New Roman" w:hAnsi="Times New Roman"/>
          <w:caps w:val="false"/>
          <w:smallCaps w:val="false"/>
          <w:sz w:val="20"/>
        </w:rPr>
        <w:t>’</w:t>
      </w:r>
      <w:r>
        <w:rPr>
          <w:rFonts w:ascii="Times New Roman" w:hAnsi="Times New Roman"/>
          <w:b/>
          <w:i/>
          <w:caps w:val="false"/>
          <w:smallCaps w:val="false"/>
          <w:sz w:val="20"/>
        </w:rPr>
        <w:t>s stock repurchase program may not have an impact that is fully reflected in the current stock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November 2, 2021, a $70 million share repurchase program was authorized by our Board of Directors. On October 25, 2022, our Board of Directors authorized an additional $70 million under the share repurchase program. The stock repurchase program was authorized to potentially offset dilution from equity issuances under Cohu’s equity incentive plans and because the Board believes that, for reasons unrelated to the company’s performance, the trading price of Cohu’s common stock from time to time may not be reflective of the true value of the Company. Any repurchases have been and may be made in the future using our existing cash resources. The Company gives no assurances as to when, how much and for what duration stock repurchases may be made. However, stock repurchases may adversely affect the Company if the economy turns downward, as it could leave the Company limited in its ability to obtain cash necessary for ongoing operations or strategic initiatives. In addition, any repurchase of stock may have no positive impact on our stock price. Further, as stock may be repurchased, given the volatility of our stock price, we may repurchase stock at prices which, in hindsight, are materially higher than the subsequent price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Relating to Regulatory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There may be changes in, and uncertainty with respect to, legislation, regulation and governmental policy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Specific legislative and regulatory proposals that could have a material impact on us include, but are not limited to, infrastructure renewal programs, modifications to international trade policy, increased duties, tariffs or other export restrictions, public company reporting requirements, climate change and environmental regulation, corporate tax legislation, new employment and privacy laws, and antitrust enforcement.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Trade regulations and restrictions impact our ability to manufacture certain products and to sell to certain customers, specifically in China, which may materially harm and limit Cohu</w:t>
      </w:r>
      <w:r>
        <w:rPr>
          <w:rFonts w:ascii="Times New Roman" w:hAnsi="Times New Roman"/>
          <w:caps w:val="false"/>
          <w:smallCaps w:val="false"/>
          <w:sz w:val="20"/>
        </w:rPr>
        <w:t>’</w:t>
      </w:r>
      <w:r>
        <w:rPr>
          <w:rFonts w:ascii="Times New Roman" w:hAnsi="Times New Roman"/>
          <w:b/>
          <w:i/>
          <w:caps w:val="false"/>
          <w:smallCaps w:val="false"/>
          <w:sz w:val="20"/>
        </w:rPr>
        <w: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U.S. laws and regulations that limit and restrict the export of some of our products and services and may restrict our transactions with certain customers, business partners and other persons. In certain circumstances, export control and economic sanctions regulations prohibit the export of certain products, services and technologies, and in other circumstances are required to obtain an export license before exporting the controlled item. We must also comply with export restrictions and laws imposed by other countries affecting trade and investments. We maintain an export compliance program but there are risks that the compliance controls could be circumvented, exposing us to legal liabilities. There have been several significant changes in U.S. export regulations relating to China since 2019. More recently, in 2022, export controls were issued relating to the Chinese semiconductor manufacturing, advanced computing, and supercomputer industries, where these additional controls may impact our ability, and/or that of our customers, to sell and ship products to semiconductor fabrication facilities located in China. These export controls include restrictions on certain semiconductor integrated circuits, commodities containing such integrated circuits, and semiconductor manufacturing equipment. Furthermore, the export controls restrict the ability of U.S. persons to support the development or production of integrated circuits at certain semiconductor fabrication facilities in China. In addition to the specific restrictions impacting our business, the regulations may have an adverse impact on certain actual or potential customers and on the global semiconductor industry. To the extent the regulations impact actual and potential customers or disrupt the global semiconductor industry, our business and revenues will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these collective export restrictions and the ongoing unpredictability of U.S.-China trade relations have encouraged China-based companies to actively seek to obtain a greater supply of similar or substitute products from our foreign competitors that are not subject to these restrictions, thereby decreasing our long-term competitiveness as a supplier to China-based companies. These ongoing actions indicate that the U.S. government may impose other new export restrictions. If implemented with no prior notice, even controls that ultimately have minimal long-term impact to Cohu, may create short-term limitations on Cohu’s business as it evaluates the full impact of such new and any subsequent controls. The prospect of future export controls that are implemented in a similar manner may continue to have an ongoing impact on Cohu’s business, results of operations, or financial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Unanticipated changes in our tax provisions, enactment of new tax laws, or exposure to additional income tax liabilities could affect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income and other taxes in the U.S. and numerous foreign jurisdictions. Our tax liabilities are affected by, among other things, the amounts our affiliated entities charge each other for intercompany transactions. Our German, Singaporean, Philippines, and Thailand subsidiaries have income tax returns currently under routine examination by tax authorities for different periods between 2017 and 2021. We may be subject to ongoing tax examinations in various jurisdictions. Tax authorities may disagree with our intercompany charges or other matters and assess additional taxes. While we regularly assess the likely outcomes of these examinations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adversely impact the timing and/or amount of our refund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in the future could be adversely affected by changes in the mix of earnings in countries with differing statutory tax rates, changes in the valuation of our deferred tax assets and liabilities, changes in tax laws and the discovery of new information during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example, beginning in 2022, the Tax Cuts and Jobs Act, or the Tax Act, eliminated the option to deduct research and development expenditures currently and requires taxpayers to capitalize and amortize them over five or fifteen years pursuant to Internal Revenue Code Section 174. This increased our effective tax rate and our cash tax payable in 2022 and 2023. If the requirement to capitalize Section 174 expenditures is not modified, it may also continue to adversely impact our effective tax rate and our cash tax liability in future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OECD/G20 Inclusive Framework on Base Erosion &amp; Profit Shifting (“BEPS”) reached agreement on the Pillar Two global minimum tax rules in October 2021 to address the challenges arising from the digitalization of the economy. These new Global Anti-Base Erosion (“GloBE”) rules are now being implemented by jurisdictions around the world and will apply to many companies from 2024. Pillar Two introduces a global minimum Effective Tax Rate (“ETR”) where multinational groups with consolidated revenue over €750m are subject to a minimum ETR of 15% on income arising in low-tax jurisdictions. These specific actions did not impact our consolidated financial statements in 2023. However, it is likely that these new rules will have an impact in some form on our operations and financial results and may adversely impact our operational decisions and/or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tax incentives or tax holiday arrangements in the Philippines and Malaysia which may change or cease to be in effect or applicable, in part or in whole, for reasons within or beyond our control. In addition, if our assumptions and interpretations regarding tax laws, incentives or holiday arrangements prove to be incorrect or are otherwise modified, our corporate income tax burden may significantly increase. Also, some of our various tax incentives in Malaysia are expiring and if we are unable to secure renewal of the expiring tax incentives, our effective tax rate may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Compliance with regulations may impact sales to foreign customers and impose costs and any failure to comply with such laws may result in severe sanctions and liabilities, which may negatively affect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Some of our distribution partners are located in parts of the world that have experienced governmental corruption to some degree and, in certain circumstances, strict compliance with anti-bribery laws may conflict with local customs and practices. The policies and procedures we have implemented to discourage these practices by our employees, our existing safeguards and any future improvements may prove to be ineffective, and our employees, consultants, sales agents or distributors may engage in conduct for which we might be held responsible. Although we have implemented policies and procedures designed to ensure compliance with these laws, there can be no assurances that our employees, contractors or agents will not violate our policies, or that our policies will be effective in preventing all potential violations. In addition, the U.S. government may seek to hold us liable for successor liability FCPA violations committed by companies in which we invest or that we acquire.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government regulations regarding sale and export, we are subject to other regulations regarding our products. For example, the U.S. SEC has adopted disclosure rules for companies that use conflict minerals in their products, with substantial supply chain verification requirements if the materials come from, or could have come from, the Democratic Republic of the Congo or adjoining countries. These rules and verification requirements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failure to comply with environmental laws and regulations could subject us to significant fines and liabilities, and new laws and regulations (such as involving climate change) or changes in regulatory interpretation or enforcement could make compliance more difficult and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various U.S. federal, state and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could incur substantial costs, including cleanup costs, civil or criminal fines or sanctions and third-party claims for property damage or personal injury, as a result of violations of or liabilities under environmental laws and regulations or non-compliance with the environmental permits required at our facilities. In addition, new regulations or shareholder or other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Relating to Cybersecurity, Intellectual Property, Privacy and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and operations could suffer in the event of cybersecurity breaches within our operational systems or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cybersecurity incidents and to prevent their recurrence, but in some cases, we might be unaware of an incident or its magnitude and effects. We have been impacted by immaterial “phishing” schemes and we are continuing our efforts to train employees on such risks but may still incur damages from such schemes in the future. We believe that the implementation of extensive employee telework practices has increased our cybersecurity risks.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See Item 1C entitled “</w:t>
      </w:r>
      <w:r>
        <w:rPr>
          <w:rFonts w:ascii="Times New Roman" w:hAnsi="Times New Roman"/>
          <w:i/>
          <w:caps w:val="false"/>
          <w:smallCaps w:val="false"/>
          <w:sz w:val="20"/>
        </w:rPr>
        <w:t>Cybersecurity</w:t>
      </w:r>
      <w:r>
        <w:rPr>
          <w:rFonts w:ascii="Times New Roman" w:hAnsi="Times New Roman"/>
          <w:caps w:val="false"/>
          <w:smallCaps w:val="false"/>
          <w:sz w:val="20"/>
        </w:rPr>
        <w:t>” for additional information about our cybersecurity processes, oversight, risk mitigation and governance. To the extent that any security breach results in inappropriate disclosure of our customers’ or licensees’ confidential information, we may incur liability as a result. In response to these risks, we expect to continue to devote additional resources to the security of our information technology systems. Any future attacks which may disrupt our IT systems, or those of our suppliers, could impact our sales, financial results and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fail to adequately protect our intellectual property and, therefore, lose our competitive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future success and competitive position depend in part upon our ability to obtain and maintain proprietary technology for our principal product families. If we fail to adequately protect our intellectual property, it will give our competitors a significant advantage. We own or have licensed a number of patents relating to our products, and have filed applications for additional patents. Any of our pending patent applications may be rejected, however, and we may be unable to develop additional proprietary technology that is patentable in the future. In addition, the patents that we do own or that have been issued or licensed to us may not provide us with competitive advantages and/or may be challenged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parties may also design around our patents or copy our patented inventions without our knowledge. In addition to patent protection, we rely upon copyrights for protection of our proprietary software and documentation, trademarks for protection of our brand and source of goods, and trade secret law and confidentiality and exclusivity agreements for protection of our confidential and proprietary information and technology. These measures do not guarantee protection of our intellectual property, however. We can give no assurance that our copyrights will be upheld or will successfully deter infringement by third parties. Even though we routinely enter into confidentiality agreements with our employees and other third parties there can be no assurances that trade secrets and proprietary information will not be disclosed, that others will not independently develop substantially equivalent proprietary information and techniques or otherwise gain access to our trade secrets, or that we can fully protect our trade secrets and proprietary information. Violations by others of our confidentiality agreements and the loss of employees who have specialized knowledge and expertise could harm our competitive position and cause our sales and operating results to decline as a result of increased competition. It is also possible that third parties will misappropriate our trade secrets or other confidential information. We may be subject to cybersecurity breaches in which a third party obtains our confidential information. Third parties may also reverse engineer our products to copy our technology. Any of these circumstances could result in harm to our competitive position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Failure to protect our trademarks can lead to other companies selling products using confusing similar names, thereby damaging our brand. In some countries, it can be difficult to register trademarks because of the strict examination process or blocking trademarks for other goods. Costly and time-consuming litigation might be necessary to enforce and determine the scope of our intellectual property rights, and failure to obtain or maintain trade secret protection might adversely affect our ability to continue our research or bring products to market. From time to time, we may find it necessary to initiate litigation against other persons or entities to protect and/or enforce our intellectual property or contractual rights. However, litigation is costly and time consuming and there is no assurance that any lawsuit we bring will yield the result that we seek, as (i) the lawsuit may be dismissed or there could be an adverse finding, (ii) we may not be able to pursue the lawsuit due to the laws of the applicable country or (iii) there may be a subsequent unfavorable change in law that limits our ability to pursue the lawsuit. For example, litigation discovery practice in China, Japan, South Korea, continental Europe and Taiwan is not as robust as the United States, so it can be more difficult to determine if a company is infringing on our patents and more challenging to bring a lawsuit.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Monitoring and preventing unauthorized use are also difficult and the measures we take to protect our intellectual property rights may not be adequate. Accordingly, infringement of our intellectual property rights poses a serious risk of doing business. There is a risk that we may be unable to adequately protect our intellectual property rights in certain foreign countries. For example, our competitors may independently develop similar technology or duplicate our products. If this occurs, it would be easier for our competitors to develop and sell competing products in these countries resulting in a loss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not be able to adequately protect or defend ourselves against intellectual property infringement claims, which may be time-consuming and expensive, or affect the freedom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competitors or other third parties may hold or obtain patents, copyrights, trademarks or other proprietary rights that could prevent, limit or interfere with our ability to make, use, develop, sell or market our products and services, which could make it more difficult for us to operate our business. From time to time, the holders of such intellectual property rights may assert their rights and urge us to take licenses and/or may bring suits alleging infringement or misappropriation of such rights, which could result in substantial costs, negative publicity and management attention, regardless of merit.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we endeavor to obtain and protect the intellectual property rights that we expect will allow us to retain or advance our strategic initiatives in these circumstances, there can be no assurance that we will be able to adequately identify and protect the portions of intellectual property that are strategic to our business or mitigate the risk of potential suits or other legal demands by third parties. Accordingly, we may consider the entering into licensing agreements with respect to such rights, although no assurance can be given that such licenses can be obtained on acceptable terms or that litigation will not occur, and such licenses and associated litigation could significantly increase our operating expenses. Further, if we are determined to have or believe there is a high likelihood that we have infringed upon a third party’s intellectual property rights, we may be required to cease making, selling or incorporating certain components or intellectual property into the goods and services we offer, to pay substantial damages and/or license royalties, to redesign our products and services and/or to establish and maintain alternative branding for our products and services. In the event that we are required to take one or more such actions, our brand, business, financial condition and operating results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Data privacy, identity protection and information security compliance may require significant resources and presents certain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collect, store, have access to and otherwise process certain confidential or sensitive data, including proprietary business information, customer data, personal data or other information that is subject to privacy and security laws, regulations and/or customer-imposed controls. We continue to monitor global privacy laws and legislation to determine its impact on our business. We do not process individual credit card information, but we do maintain certain personally identifiable information on our employees. Such employee information may be subject to the EU General Data Protection Regulation and/or the California Consumer Protection Act. We believe that we have implemented reasonable procedures and internal controls in compliance with these laws, but should such actions be insufficient, we may be subject to regulatory investigations, fines and legal costs. In addition, we operate in an environment in which there are different and potentially conflicting data privacy laws in effect in the various U.S. states and foreign jurisdictions in which we operate and we must understand and comply with each law and standard in each of these jurisdictions while ensuring the data is secure. Government enforcement actions can be costly and interrupt the regular operation of our business, and violations of data privacy laws can result in fines, reputational damage and civil lawsuits, any of which may adversely affect our business, reputation and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could face negative consequences in the future if we, our suppliers, channel partners, customers or other third parties experience the actual or perceived risk of theft, loss, fraudulent use or misuse of data. Such an event could lead customers to select the products and services of our competitors. An incident could harm our reputation, cause unfavorable publicity or otherwise adversely affect certain potential customers’ perception of the security and reliability of our services as well as our credibility and reputation, which could result in the loss of sales or curtailed growth. While we maintain general liability and cybersecurity insurance coverage, such coverage might not be adequate or otherwise protect us from liabilities or damages with respect to claims alleging compromises of customer data, that such coverage will continue to be available to us on acceptable terms or at all, or that such coverage will pay future claims.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currently are, and in the future may be, subject to litigation or regulatory proceedings that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may be subject to litigation or other administrative, regulatory or governmental proceedings, including tax audits and resulting claims that could require significant management time and resources and cause us to incur expenses and, in the event of an adverse decision, pay damages or incur costs in an amount that could have a material adverse effect on our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6" w:name="item1b"/>
      <w:bookmarkEnd w:id="6"/>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7" w:name="item1c"/>
      <w:bookmarkEnd w:id="7"/>
      <w:r>
        <w:rPr>
          <w:rFonts w:ascii="Times New Roman" w:hAnsi="Times New Roman"/>
          <w:b/>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recognize the critical importance of developing, implementing, and maintaining robust cybersecurity measures to safeguard our information systems and protect the confidentiality, integrity, and availability of our intellectual property and data. We maintain policies and procedures designed to allow management to assess, identify, and manage material risks from cybersecurity threats. We integrate our cybersecurity policies and procedures into our overall enterprise risk management program, which is implemented by management and overseen by the Board of Directors through its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utilize the Center for Internet Security (“CIS”) Critical Security Controls as a framework for managing our cybersecurity program. The CIS framework outlines 18 critical control areas relating to organizational security and provides effective methodologies, guidelines, and industry standard best practices to develop and manage a comprehensive cybersecurity program. Additionally, we align our controls to various international security certifications and standards and have adopted best practices from industry leading frameworks. Our cybersecurity program includes policies and procedures relating to encryption, data loss prevention technology, authentication technology, access control, anti-malware software, third-party risk monitoring, insider risk management and identity management. We engage third-party services to conduct evaluations of our security controls, whether through penetration testing, independent audits, or consulting on best practices to address new challenges. These evaluations include testing both the design and operational effectiveness of security controls. We also regularly obtain system and organization control (“SOC”) reports from our service providers (“SOC 2”). Members of our corporate information security organization receive information exchanges from their professional networks and attend training, webinars, and conferences to stay up to date on both trends and system-specific updates. In addition, all Cohu employees are required to complete regular security awareness training including testing, each of which are designed to promote a company-wide culture of cybersecurity risk awareness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part of the Board of Directors’ role in overseeing our enterprise risk management program, which includes our cybersecurity risk management, the Board is responsible for exercising oversight of management’s identification and management of, and planning for, material cybersecurity risks that may reasonably be expected to have an adverse effect on us. While the full Board has overall responsibility for risk oversight, the Board has delegated oversight responsibility related to risks from cybersecurity threats to the Audit Committee. The Audit Committee conducts reviews of the effectiveness of our risk management strategies. This review helps in identifying areas for improvement and in aligning cybersecurity efforts with the overall risk management framework and promotion of our business objective and operational needs. In addition to our scheduled meetings, the Audit Committee maintains an ongoing dialogue with management, including emerging or potential cybersecurity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corporate information security organization, led by our Chief Information Security Officer (“CISO”), is responsible for our overall information security strategy, policy, security engineering, operations and cyber threat detection and response. Our CISO has over 35 years of experience in various roles in information technology and information security, including serving as SVP and CIO or VP and CIO at various defense, aerospace and semiconductor supplier companies. He holds a bachelor’s degree in Computer Science, an MBA, and holds several relevant certifications, including ITIL Certification. The corporate information security organization manages and regularly enhances our enterprise security structure with the goal of preventing cybersecurity incidents to the extent feasible, while simultaneously increasing our system resilience in an effort to minimize the business impact should an incident occur. Central to this organization is our cybersecurity incident response team (“CIRT”), which is responsible for the protection, detection and response capabilities used in the defense of Cohu’s data and enterprise computing networks. In the event of an incident, we intend to follow our incident response plan, which outlines the steps to be followed from incident detection to mitigation, mitigation or eradication, recovery and notification, including notifying key functional areas, as well as the CEO, Chairperson and Chairperson of the Audit Committee and other members of the Board,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last three fiscal years, we have not experienced any material cybersecurity incidents and the expenses we have incurred from security incidents were immaterial. As a result, we do not believe that risks from cybersecurity threats, including as a result of any previous cybersecurity incidents, have materially affected us, our results of operations or financial condition. Notwithstanding the measures we take to assess, identify, and manage cybersecurity risks, we may not be successful in preventing or mitigating a cybersecurity incident that could have a material adverse effect on us. For a discussion of how risks from identified cybersecurity threats, including as a result of any previous cybersecurity incidents, may materially affect or are reasonably likely to materially affect us, see the risk factor entitled “</w:t>
      </w:r>
      <w:r>
        <w:rPr>
          <w:rFonts w:ascii="Times New Roman" w:hAnsi="Times New Roman"/>
          <w:i/>
          <w:caps w:val="false"/>
          <w:smallCaps w:val="false"/>
          <w:sz w:val="20"/>
        </w:rPr>
        <w:t>Our business and operations could suffer in the event of cybersecurity breaches within our operational systems or products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8" w:name="item2"/>
      <w:bookmarkEnd w:id="8"/>
      <w:r>
        <w:rPr>
          <w:rFonts w:ascii="Times New Roman" w:hAnsi="Times New Roman"/>
          <w:b/>
          <w:caps w:val="false"/>
          <w:smallCaps w:val="false"/>
          <w:sz w:val="20"/>
        </w:rPr>
        <w:t xml:space="preserve">Item 2. Properties.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information concerning our principal properties at December 30, 2023, is set forth below:</w:t>
      </w:r>
    </w:p>
    <w:p>
      <w:pPr>
        <w:pStyle w:val="TextBody"/>
        <w:bidi w:val="0"/>
        <w:spacing w:before="0" w:after="0"/>
        <w:ind w:left="0" w:right="0" w:hanging="0"/>
        <w:jc w:val="left"/>
        <w:rPr>
          <w:caps w:val="false"/>
          <w:smallCaps w:val="false"/>
        </w:rPr>
      </w:pPr>
      <w:r>
        <w:rPr>
          <w:caps w:val="false"/>
          <w:smallCaps w:val="false"/>
        </w:rPr>
        <w:t> </w:t>
      </w:r>
    </w:p>
    <w:tbl>
      <w:tblPr>
        <w:tblW w:w="5765" w:type="dxa"/>
        <w:jc w:val="left"/>
        <w:tblInd w:w="0" w:type="dxa"/>
        <w:tblLayout w:type="fixed"/>
        <w:tblCellMar>
          <w:top w:w="0" w:type="dxa"/>
          <w:left w:w="0" w:type="dxa"/>
          <w:bottom w:w="0" w:type="dxa"/>
          <w:right w:w="0" w:type="dxa"/>
        </w:tblCellMar>
      </w:tblPr>
      <w:tblGrid>
        <w:gridCol w:w="2870"/>
        <w:gridCol w:w="60"/>
        <w:gridCol w:w="60"/>
        <w:gridCol w:w="905"/>
        <w:gridCol w:w="60"/>
        <w:gridCol w:w="60"/>
        <w:gridCol w:w="60"/>
        <w:gridCol w:w="695"/>
        <w:gridCol w:w="60"/>
        <w:gridCol w:w="93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Major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28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Location</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Sq. Ft.</w:t>
            </w:r>
          </w:p>
        </w:tc>
        <w:tc>
          <w:tcPr>
            <w:tcW w:w="60" w:type="dxa"/>
            <w:tcBorders/>
            <w:vAlign w:val="center"/>
          </w:tcPr>
          <w:p>
            <w:pPr>
              <w:pStyle w:val="TableContents"/>
              <w:bidi w:val="0"/>
              <w:spacing w:before="0" w:after="283"/>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Ownership</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Poway, California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1, 2, 3, 4, 5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147,000</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Leased</w:t>
            </w:r>
          </w:p>
        </w:tc>
      </w:tr>
      <w:tr>
        <w:trPr/>
        <w:tc>
          <w:tcPr>
            <w:tcW w:w="287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Melaka, Malaysia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2, 3, 4, 5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96,000</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Leased</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Kolbermoor, Germany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2, 3, 4, 5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83,000</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Owned</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Osaka, Japan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2, 3, 4, 5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67,000</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Owned</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Calamba City, Laguna, Philippines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2, 3, 4, 5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64,000</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Owned</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Norwood, Massachusetts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2, 4, 5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56,000</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Leased</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Calamba City, Laguna, Philippines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3, 4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37,000</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Leased</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 Chaux-de-Fonds, Switzerland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2, 4, 5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33,000</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Leased</w:t>
            </w:r>
          </w:p>
        </w:tc>
      </w:tr>
      <w:tr>
        <w:trPr/>
        <w:tc>
          <w:tcPr>
            <w:tcW w:w="287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 (2)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2, 3, 4, 5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32,000</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Leased</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Milpitas, California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2, 4, 5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31,000</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Leased</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Lincoln, Rhode Island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2, 3, 4, 5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22,000</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Leased</w:t>
            </w:r>
          </w:p>
        </w:tc>
      </w:tr>
      <w:tr>
        <w:trPr/>
        <w:tc>
          <w:tcPr>
            <w:tcW w:w="28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 Paul, Minnesota</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2, 3, 4, 5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17,000</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Leased</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On January 10, 2024 we entered into a purchase agreement to acquire our facility in Melaka, Malaysia.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Increase in square footage from the prior year is a result of our acquisition of EQT on 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 activities have been separated into the following categories: 1. Corporate Administration/Principal Executive Offices and Global Headquarters, 2. Sales, Service and Customer Support, 3. Manufacturing, 4. Engineering and Product Development, and 5. Marketing, Finance and General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locations listed above, we lease other properties primarily for manufacturing, sales, service, engineering, and general administration in various locations. We believe our facilities are suitable for their respective uses and are adequate for our present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9" w:name="item3"/>
      <w:bookmarkEnd w:id="9"/>
      <w:r>
        <w:rPr>
          <w:rFonts w:ascii="Times New Roman" w:hAnsi="Times New Roman"/>
          <w:b/>
          <w:caps w:val="false"/>
          <w:smallCaps w:val="false"/>
          <w:sz w:val="20"/>
        </w:rPr>
        <w:t xml:space="preserve">Item 3.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13, “Commitments and Contingencies” in Part IV, Item 15(a) of this Form 10-K for information regarding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0" w:name="item4"/>
      <w:bookmarkEnd w:id="10"/>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720" w:right="0" w:hanging="720"/>
        <w:jc w:val="center"/>
        <w:rPr>
          <w:rFonts w:ascii="Times New Roman" w:hAnsi="Times New Roman"/>
          <w:b/>
          <w:caps w:val="false"/>
          <w:smallCaps w:val="false"/>
          <w:sz w:val="20"/>
        </w:rPr>
      </w:pPr>
      <w:bookmarkStart w:id="11" w:name="part2"/>
      <w:bookmarkEnd w:id="11"/>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bookmarkStart w:id="12" w:name="item5"/>
      <w:bookmarkEnd w:id="12"/>
      <w:r>
        <w:rPr>
          <w:rFonts w:ascii="Times New Roman" w:hAnsi="Times New Roman"/>
          <w:b/>
          <w:caps w:val="false"/>
          <w:smallCaps w:val="false"/>
          <w:sz w:val="20"/>
        </w:rPr>
        <w:t>Item 5. 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45"/>
        <w:gridCol w:w="173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17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Inc. stock is traded on the Nasdaq Global Select Market under the symbol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February 7, 2024, Cohu had 499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proactively managing cash flow and Cohu’s Board of Directors authorized suspending our quarterly cash dividend indefinitely, as of May 5, 2020. The dividend suspension has resulted in approximately $10 million of annualized cash savings, which we are utilizing to deleverage and strengthen our balance sheet. Future reinstatement of our dividend policy may be affected by, among other items, our views on potential future capital requirements, including those related to debt service requirements, research and development, investments and acquisitions, legal risks and stock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Recent Sales of Unregistered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2023, we did not issue any securities that were not registered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On October 25, 2022, our Board of Directors authorized an additional $70 million under the share repurchase program. This share repurchase program was effective as of November 2, 2021 and has no expiration date.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The total number of shares of common stock we purchased during the fiscal year ended December 30, 2023 was 700,270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 repurchase activity during the fourth quarter of 2023 was as follows:</w:t>
      </w:r>
    </w:p>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3035"/>
        <w:gridCol w:w="60"/>
        <w:gridCol w:w="435"/>
        <w:gridCol w:w="438"/>
        <w:gridCol w:w="60"/>
        <w:gridCol w:w="60"/>
        <w:gridCol w:w="204"/>
        <w:gridCol w:w="790"/>
        <w:gridCol w:w="60"/>
        <w:gridCol w:w="60"/>
        <w:gridCol w:w="129"/>
        <w:gridCol w:w="611"/>
        <w:gridCol w:w="60"/>
        <w:gridCol w:w="60"/>
        <w:gridCol w:w="225"/>
        <w:gridCol w:w="1264"/>
        <w:gridCol w:w="60"/>
        <w:gridCol w:w="60"/>
        <w:gridCol w:w="246"/>
        <w:gridCol w:w="1168"/>
        <w:gridCol w:w="60"/>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Maximum $</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 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Shares</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Publicly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That May Yet Be</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Purchase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Announced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 Under</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 Share(1)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Programs(3)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Programs(3)</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54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price per share)</w:t>
            </w:r>
          </w:p>
        </w:tc>
        <w:tc>
          <w:tcPr>
            <w:tcW w:w="6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 1, 2023 - Oct 28, 2023</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2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67,387</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 29, 2023 - Nov 25, 2023</w:t>
            </w:r>
          </w:p>
        </w:tc>
        <w:tc>
          <w:tcPr>
            <w:tcW w:w="60"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ind w:left="0" w:right="0" w:hanging="0"/>
              <w:jc w:val="left"/>
              <w:rPr/>
            </w:pPr>
            <w:r>
              <w:rPr/>
              <w:t> </w:t>
            </w:r>
          </w:p>
        </w:tc>
        <w:tc>
          <w:tcPr>
            <w:tcW w:w="4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2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62,192</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 26, 2023 - Dec 30, 2023</w:t>
            </w:r>
          </w:p>
        </w:tc>
        <w:tc>
          <w:tcPr>
            <w:tcW w:w="60" w:type="dxa"/>
            <w:tcBorders/>
            <w:shd w:fill="CCEEFF" w:val="clear"/>
            <w:vAlign w:val="center"/>
          </w:tcPr>
          <w:p>
            <w:pPr>
              <w:pStyle w:val="TableContents"/>
              <w:bidi w:val="0"/>
              <w:spacing w:before="0" w:after="283"/>
              <w:jc w:val="left"/>
              <w:rPr/>
            </w:pPr>
            <w:r>
              <w:rPr/>
              <w:t> </w:t>
            </w:r>
          </w:p>
        </w:tc>
        <w:tc>
          <w:tcPr>
            <w:tcW w:w="4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58,316</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weighted average price paid per share of common stock does not include the cost of commissions.</w:t>
            </w:r>
          </w:p>
        </w:tc>
      </w:tr>
      <w:tr>
        <w:trPr/>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total purchase cost includes the cost of commissions.</w:t>
            </w:r>
          </w:p>
        </w:tc>
      </w:tr>
      <w:tr>
        <w:trPr/>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October 28, 2021, we announced that our Board of Directors authorized a $70 million share repurchase program. On October 25, 2022, our Board of Directors authorized an additional $70 million under the share repurchase program. This share repurchase program is effective as of November 2, 2021 and has no expiration date.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Equity Compensation Plan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regarding equity compensation plans is incorporated by reference to the information set forth in Part III, Item 12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Comparative Stock Performance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The information contained in this Stock Performance Graph section shall not be deemed to be </w:t>
      </w:r>
      <w:r>
        <w:rPr>
          <w:rFonts w:ascii="Times New Roman" w:hAnsi="Times New Roman"/>
          <w:caps w:val="false"/>
          <w:smallCaps w:val="false"/>
          <w:sz w:val="20"/>
        </w:rPr>
        <w:t>“</w:t>
      </w:r>
      <w:r>
        <w:rPr>
          <w:rFonts w:ascii="Times New Roman" w:hAnsi="Times New Roman"/>
          <w:i/>
          <w:caps w:val="false"/>
          <w:smallCaps w:val="false"/>
          <w:sz w:val="20"/>
        </w:rPr>
        <w:t>soliciting material</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filed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 the SEC or subject to the liabilities of Section 18 of the Exchange Act except to the extent that Cohu specifically incorporates it by reference into a document filed under the Securities Act or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graph below compares the cumulative total stockholder return on the common stock of Cohu for the last five fiscal years with the cumulative total return on custom Peer Group Indexes and a Nasdaq Global Select Market Index over the same period (assuming the investment of $100 in Cohu’s common stock, Peer Group Index and Nasdaq Global Select Market Index on December 29, 2018, and reinvestment of all dividends). The custom Peer Group Indexes are comprised of companies within our industry and are utilized in our executive compensation planning process. This peer group is revised annually to reflect acquisitions and to include comparable companies in the semiconductor equipment market to ensure a sufficient number of companies in the peer group composition to enable a meaningful comparison and benchmarking. The custom peer group in fiscal 2023 was comprised of Advanced Energy Industries, Inc., Alpha &amp; Omega Semiconductor Limited, Axcelis Technologies, Inc., Badger Meter, Inc., Cirrus Logic, Inc., FormFactor, Inc., Harmonic Inc., Ichor Holdings Ltd., Kulicke and Soffa Industries, Inc., MACOM Technology Solutions Holdings, Inc., MaxLinear, Inc., Novanta, Inc., Onto Innovation, OSI Systems, Inc., Photronics, Inc., Smart Global Holdings, Inc., Ultra Clean Holdings, Inc. and Veeco Instruments, Inc. The only change from the custom peer group used in fiscal 2022 was the removal of National Instruments Corporation, due to it being acquired by Emerson Electric Co. In selecting our peer group, the Compensation Committee of our Board of Directors considered competitive market data and an analysis prepared by Compensia and identified companies headquartered in the U.S. in the semiconductor capital equipment and electronic capital equipment and instrumentation sectors that were comparable to us based on revenue, our market capitalization, and that had similar scope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772275" cy="407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72275" cy="4076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1310"/>
        <w:gridCol w:w="60"/>
        <w:gridCol w:w="125"/>
        <w:gridCol w:w="335"/>
        <w:gridCol w:w="60"/>
        <w:gridCol w:w="60"/>
        <w:gridCol w:w="125"/>
        <w:gridCol w:w="335"/>
        <w:gridCol w:w="60"/>
        <w:gridCol w:w="60"/>
        <w:gridCol w:w="125"/>
        <w:gridCol w:w="335"/>
        <w:gridCol w:w="60"/>
        <w:gridCol w:w="60"/>
        <w:gridCol w:w="125"/>
        <w:gridCol w:w="335"/>
        <w:gridCol w:w="60"/>
        <w:gridCol w:w="60"/>
        <w:gridCol w:w="125"/>
        <w:gridCol w:w="335"/>
        <w:gridCol w:w="60"/>
        <w:gridCol w:w="60"/>
        <w:gridCol w:w="125"/>
        <w:gridCol w:w="335"/>
        <w:gridCol w:w="60"/>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Cohu,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6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Index</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Russell 2000</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6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Peer Group</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tem6"/>
      <w:bookmarkEnd w:id="13"/>
      <w:r>
        <w:rPr>
          <w:rFonts w:ascii="Times New Roman" w:hAnsi="Times New Roman"/>
          <w:b/>
          <w:caps w:val="false"/>
          <w:smallCaps w:val="false"/>
          <w:sz w:val="20"/>
        </w:rPr>
        <w:t xml:space="preserve">Item 6. Reserved.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adopted the amendments to Items 301 and 302 of Regulation S-K contained in SEC Release No. 33-10890. As a result, the disclosure previously provided in Part II, Item 6 is no longer required. There were no retrospective changes to the Consolidated Statements of Income for any quarters in the two most recent fiscal years that would require disclosure under Item 302,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item7"/>
      <w:bookmarkEnd w:id="14"/>
      <w:r>
        <w:rPr>
          <w:rFonts w:ascii="Times New Roman" w:hAnsi="Times New Roman"/>
          <w:b/>
          <w:caps w:val="false"/>
          <w:smallCaps w:val="false"/>
          <w:sz w:val="20"/>
        </w:rPr>
        <w:t>Item 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is a leading supplier of semiconductor test and inspection and metrology automation systems (handlers), MEMS test modules, test contactors, thermal subsystems, and semiconductor ATE used by global semiconductor manufacturers and test subcontractors. We offer a wide range of products and services and our revenue from capital equipment products is driven by the capital expenditure and operating budgets of our customers, who often abruptly delay or accelerate purchases in reaction to variations in their business. The level of expenditures by these companies depends on the current and anticipated market demand for semiconductor devices and the products that incorporate them. Our recurring products are driven by the number of semiconductor devices that are tested and by the continuous introduction of new products and new technologies by our customers. As a result, our recurring products provide a more stable recurring source of revenue and generally do not have the same degree of cyclicality as our capital equipment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2023, global macroeconomic and geopolitical factors impacted the semiconductor industry. In response to the higher cost of capital and slowing demand, many chip companies are cutting costs, reducing employee headcount, and pushing out capital expenditures for additional capacity. For the year ended December 30, 2023, our net sales decreased 21.7%, year-over-year, to $636.3 million due to lower demand for automotive, industrial, consumer, mobility, and 5G-related products driven by these global economic conditions. Over the past twelve months, we have seen improvements in our gross margin due to favorable revenue mix, and greater insourcing of contactor manufacturing. Despite recent weakness in the semiconductor industry based on our ongoing assessment of business conditions and the results from our operations, we have continued to take actions to reduce outstanding principal debt under our Term Loan Credit Facility through voluntary prepayments. On February 9, 2024, we made a cash payment of $29.3 million to repay the remaining outstanding principal of our Term Loan Credit Facility. During 2023 we repurchased 700,270 shares of our common stock for approximately $23.6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continue to focus on building a well-balanced and resilient business model. Our long-term market drivers and market strategy remain intact, and we are encouraged by increased use of semiconductors including the most recent developments in artificial intelligence (“AI”), along with customer traction with our new products. We continue to capture new customers and new opportunities within our current customers’ business and remain optimistic about the long-term prospects for our business due to the increasing ubiquity of semiconductors, increasing semiconductor complexity, increasing quality demands from semiconductor customers, increasing test intensity and continued proliferation of electronics in a variety of products across the automotive, mobility, industrial, computing, and consumer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Application of Critical Accounting Estimates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and require complex management judgment include:</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recognition, including the deferral of revenue on sales to customers, which impacts our results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estimation of valuation allowances and accrued liabilities, specifically inventory reserves, which impact gross margin or operating expenses;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assessment of recoverability of long-lived assets and goodwill and other intangible assets, which primarily impacts gross margin or operating expenses if we are required to record impairments of assets or accelerate their depreciation.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caps w:val="false"/>
          <w:smallCaps w:val="false"/>
          <w:sz w:val="20"/>
        </w:rPr>
        <w:t xml:space="preserve"> 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At December 30, 2023, and December 31, 2022, we had $6.2 million and $7.1 million of revenue expected to be recognized in the future related to performance obligations that are unsatisfied (or partially unsatisfied) with expected durations of over one year, respectively. As allowed under ASC Topic 606, </w:t>
      </w:r>
      <w:r>
        <w:rPr>
          <w:rFonts w:ascii="Times New Roman" w:hAnsi="Times New Roman"/>
          <w:i/>
          <w:caps w:val="false"/>
          <w:smallCaps w:val="false"/>
          <w:sz w:val="20"/>
        </w:rPr>
        <w:t xml:space="preserve">Revenue from Contracts with Customers </w:t>
      </w:r>
      <w:r>
        <w:rPr>
          <w:rFonts w:ascii="Times New Roman" w:hAnsi="Times New Roman"/>
          <w:caps w:val="false"/>
          <w:smallCaps w:val="false"/>
          <w:sz w:val="20"/>
        </w:rPr>
        <w:t xml:space="preserve">(“ASC 606”), we have opted to not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hAnsi="Times New Roman"/>
          <w:i/>
          <w:caps w:val="false"/>
          <w:smallCaps w:val="false"/>
          <w:sz w:val="20"/>
        </w:rPr>
        <w:t xml:space="preserve">Guarantees </w:t>
      </w:r>
      <w:r>
        <w:rPr>
          <w:rFonts w:ascii="Times New Roman" w:hAnsi="Times New Roman"/>
          <w:caps w:val="false"/>
          <w:smallCaps w:val="false"/>
          <w:sz w:val="20"/>
        </w:rPr>
        <w:t>(“ASC 460”),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The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 On shipments where sales are not recognized, gross profit is generally recorded as deferred profit in our consolidated balance sheet representing the difference between the receivable recorded and the inventory shipped.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We maintain an allowance for credit losses for estimated losses resulting from the inability of our customers to make required 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The valuation of inventory requires us to estimate obsolete or excess inventory as well as inventory that is not of saleable quality. The 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Income Taxes:</w:t>
      </w:r>
      <w:r>
        <w:rPr>
          <w:rFonts w:ascii="Times New Roman" w:hAnsi="Times New Roman"/>
          <w:caps w:val="false"/>
          <w:smallCaps w:val="false"/>
          <w:sz w:val="20"/>
        </w:rPr>
        <w:t xml:space="preserve"> We estimate our liability for income taxes based on the various jurisdictions where we conduct business. This requires us to estimate our (i) 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income. We must make significant judgments to determine the provision for income taxes, deferred tax assets and liabilities, unrecognized tax benefits and any valuation allowance to be recorded against deferred tax assets. Our gross deferred tax asset balance as of December 30, 2023, was approximately $124.0 million, with a valuation allowance of approximately $99.9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December 2022, the Organization for Economic Cooperation and Development (“OECD”) announced that it has reached agreement among its 136-member countries that certain multinational enterprises will be subject to a global minimum tax rate of 15%, also known as Pillar Two. South Korea became the first country to enact such global minimum tax rules, which will be effective for fiscal years beginning on or after January 1, 2024. These specific actions did not impact our consolidated financial statements in 2023, however, many more countries are expected to issue laws and regulations to conform with this guidance soon. We will continue to monitor the pertinent law changes and regulations to determine the impact they would have on our operating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Segment Information:</w:t>
      </w:r>
      <w:r>
        <w:rPr>
          <w:rFonts w:ascii="Times New Roman" w:hAnsi="Times New Roman"/>
          <w:caps w:val="false"/>
          <w:smallCaps w:val="false"/>
          <w:sz w:val="20"/>
        </w:rPr>
        <w:t xml:space="preserve"> We applied the provisions of ASC Topic 280, </w:t>
      </w:r>
      <w:r>
        <w:rPr>
          <w:rFonts w:ascii="Times New Roman" w:hAnsi="Times New Roman"/>
          <w:i/>
          <w:caps w:val="false"/>
          <w:smallCaps w:val="false"/>
          <w:sz w:val="20"/>
        </w:rPr>
        <w:t xml:space="preserve">Segment Reporting </w:t>
      </w:r>
      <w:r>
        <w:rPr>
          <w:rFonts w:ascii="Times New Roman" w:hAnsi="Times New Roman"/>
          <w:caps w:val="false"/>
          <w:smallCaps w:val="false"/>
          <w:sz w:val="20"/>
        </w:rPr>
        <w:t>(“ASC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280 due to similarities in their customers, their economic characteristics, and the nature of products and services provided. As a result, we report in one segment, Test &amp; Inspection. Prior to the sale of our PCB Test business on June 24, 2021, we reported in two segments, Semiconductor Test &amp; Inspection and PCB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Goodwill and Indefinite-Lived Intangibles, Other Intangible Assets and Long-lived Assets: </w:t>
      </w:r>
      <w:r>
        <w:rPr>
          <w:rFonts w:ascii="Times New Roman" w:hAnsi="Times New Roman"/>
          <w:caps w:val="false"/>
          <w:smallCaps w:val="false"/>
          <w:sz w:val="20"/>
        </w:rPr>
        <w:t>We evaluate goodwill and other indefinite-lived intangible assets, which are solely comprised of in-process research and development (“IPR&amp;D”), for impairment annually and when an event occurs or circumstances change that indicate that the carrying value may not be recoverable. We test goodwill for impairment by first comparing the book value of net assets to the fair value of the reporting unit or asset, in the case of in-process research and development. If the fair value is determined to be less than the book value, a second step is performed to compute the amount of impairment as the difference between the fair value of the reporting unit and it’s carrying value of goodwill. We estimated the fair values of our reporting units using a weighting of the income and market approaches. Under the income approach, we use a discounted cash flow methodology to derive an indication of value, which requires management to make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in order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our annual impairment test as of October 1st of each year, and have determined there was no impairment as of October 1, 2023, as we determined that the estimated fair values of our reporting units exceeded their carrying values on that date. Other events and changes in circumstances may also require goodwill to be tested for impairment between annual measurement dates. As of December 30, 2023,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2021, we completed and transferred to developed technology our last remaining in-process technology project which was reviewed for impairment as part of this process. Due to a change in forecasted results an impairment charge of $0.1 million was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Warranty:</w:t>
      </w:r>
      <w:r>
        <w:rPr>
          <w:rFonts w:ascii="Times New Roman" w:hAnsi="Times New Roman"/>
          <w:caps w:val="false"/>
          <w:smallCaps w:val="false"/>
          <w:sz w:val="20"/>
        </w:rPr>
        <w:t xml:space="preserve"> We provide for the estimated costs of product warranties in the period sales are recognized. Our warranty obligation estimates are affected by 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Contingencies:</w:t>
      </w:r>
      <w:r>
        <w:rPr>
          <w:rFonts w:ascii="Times New Roman" w:hAnsi="Times New Roman"/>
          <w:caps w:val="false"/>
          <w:smallCaps w:val="false"/>
          <w:sz w:val="20"/>
        </w:rPr>
        <w:t xml:space="preserve"> We are subject to certain contingencies that arise in the ordinary course of our businesses which require us to assess the likelihood that 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Share-based Compensation:</w:t>
      </w:r>
      <w:r>
        <w:rPr>
          <w:rFonts w:ascii="Times New Roman" w:hAnsi="Times New Roman"/>
          <w:caps w:val="false"/>
          <w:smallCaps w:val="false"/>
          <w:sz w:val="20"/>
        </w:rPr>
        <w:t xml:space="preserve"> Share-based compensation expense related to restricted stock unit awards is calculated based on the market price of our common 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 When granted, share-based compensation expense related to stock options is recorded based on the fair value of the award on its grant date, which we estimate using the Black-Scholes valuation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estimate of share-based compensation expense requires a number of complex and subjective assumptions and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Recent Accounting Pronouncements:</w:t>
      </w:r>
      <w:r>
        <w:rPr>
          <w:rFonts w:ascii="Times New Roman" w:hAnsi="Times New Roman"/>
          <w:caps w:val="false"/>
          <w:smallCaps w:val="false"/>
          <w:sz w:val="20"/>
        </w:rPr>
        <w:t xml:space="preserve"> For a description of accounting changes and recent accounting pronouncements, including the expected dates of adoption and estimated effects, if any, on our consolidated financial statements, see Note 1, “Recent Accounting Pronouncements” in Part IV, Item 15(a)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 Transactions Impacting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30, 2023, we completed the acquisition of MCT, a U.S. based company that provides automated solutions for the semiconductor industry and designs, manufactures, markets, services and distributes strip test handlers, film frame handlers and laser mark handlers. On October 2, 2023, we acquired EQT, a Singapore-based company that is a provider of semiconductor test contactors and other test consumables. MCT and EQT are included in Cohu’s consolidated results from operations as of the date of they were acquired by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2021, we completed the sale of our PCB Test business. Due to the timing of the divestment of this business our results for 2021 include our PCB Test business for the six months ended June 24,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certain operating data as a percentage of net sales:</w:t>
      </w:r>
    </w:p>
    <w:p>
      <w:pPr>
        <w:pStyle w:val="TextBody"/>
        <w:bidi w:val="0"/>
        <w:spacing w:before="0" w:after="0"/>
        <w:ind w:left="0" w:right="0" w:hanging="0"/>
        <w:jc w:val="left"/>
        <w:rPr>
          <w:caps w:val="false"/>
          <w:smallCaps w:val="false"/>
        </w:rPr>
      </w:pPr>
      <w:r>
        <w:rPr>
          <w:caps w:val="false"/>
          <w:smallCaps w:val="false"/>
        </w:rPr>
        <w:t> </w:t>
      </w:r>
    </w:p>
    <w:tbl>
      <w:tblPr>
        <w:tblW w:w="5945" w:type="dxa"/>
        <w:jc w:val="left"/>
        <w:tblInd w:w="0" w:type="dxa"/>
        <w:tblLayout w:type="fixed"/>
        <w:tblCellMar>
          <w:top w:w="0" w:type="dxa"/>
          <w:left w:w="0" w:type="dxa"/>
          <w:bottom w:w="0" w:type="dxa"/>
          <w:right w:w="0" w:type="dxa"/>
        </w:tblCellMar>
      </w:tblPr>
      <w:tblGrid>
        <w:gridCol w:w="3575"/>
        <w:gridCol w:w="60"/>
        <w:gridCol w:w="60"/>
        <w:gridCol w:w="485"/>
        <w:gridCol w:w="185"/>
        <w:gridCol w:w="60"/>
        <w:gridCol w:w="60"/>
        <w:gridCol w:w="485"/>
        <w:gridCol w:w="185"/>
        <w:gridCol w:w="60"/>
        <w:gridCol w:w="60"/>
        <w:gridCol w:w="485"/>
        <w:gridCol w:w="18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18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18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PCB Test business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Please refer to “Management’s Discussion and Analysis of Financial Condition and Results of Operations” in Part II, Item 7 in our 2022 Annual Report on Form 10-K, filed with the SEC on February 17, 2023, for comparative discussion of our fiscal years ended December 31, 2022 and December 25,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2023 Compared to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Cohu’s consolidated net sales decreased 21.7% from $812.8 million in 2022 to $636.3 million in 2023. The decrease was due to the current global macroeconomic environment, which is driving lower demand for automotive, industrial, and mobility products (including 5G-related products). Our consolidated net sales in 2023 also include the net sales of MCT and EQT, which Cohu acquired during 2023, and totaled $13.8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 consists of net sales less cost of sales (excluding the impact of amortization of developed technology). Cost of sales consists primarily of the materials, assembly and test labor and overhead from operations. Our gross margin can fluctuate due to a number of factors, including, but not limited to, the mix of products sold, product support costs, changes in inventory reserves, the sale of previously reserved inventory and business volume which impacts the utilization of our manufacturing capacity. Our gross margin, as a percentage of net sales, increased to 47.6% in 2023 from 47.2% in 2022. During 2023, our gross margin improved compared to 2022 due to favorable product mix and increased insourcing of contactor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compute the majority of our excess and obsolete inventory reserve requirements using inventory usage forecasts. During 2023, we recorded net charges to cost of sales of approximately $4.5 million for excess and obsolete inventory. In 2022, net charges to cost of sales for excess and obsolete inventory were $7.2 million. We believe our reserves for excess and obsolete inventory and lower of cost or net realizable value are adequate to cover known exposures at December 30, 2023. Reductions in customer forecasts, continued modifications to products, our failure to meet specifications or other customer requirements may result in additional charges to operations that could negatively impact our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Research and Development Expense (</w:t>
      </w:r>
      <w:r>
        <w:rPr>
          <w:rFonts w:ascii="Times New Roman" w:hAnsi="Times New Roman"/>
          <w:caps w:val="false"/>
          <w:smallCaps w:val="false"/>
          <w:sz w:val="20"/>
        </w:rPr>
        <w:t>“</w:t>
      </w:r>
      <w:r>
        <w:rPr>
          <w:rFonts w:ascii="Times New Roman" w:hAnsi="Times New Roman"/>
          <w:b/>
          <w:i/>
          <w:caps w:val="false"/>
          <w:smallCaps w:val="false"/>
          <w:sz w:val="20"/>
        </w:rPr>
        <w:t>R&amp;D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2023 was $88.6 million, or 13.9% of net sales, compared to $92.6 million, or 11.4% of net sales in 2022. R&amp;D expenses decreased during fiscal 2023 due to lower spending on material costs associated with product development during the current year. Our R&amp;D costs in 2023 include $0.9 million of incremental R&amp;D costs from MCT and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Selling, General and Administrative Expense (</w:t>
      </w:r>
      <w:r>
        <w:rPr>
          <w:rFonts w:ascii="Times New Roman" w:hAnsi="Times New Roman"/>
          <w:caps w:val="false"/>
          <w:smallCaps w:val="false"/>
          <w:sz w:val="20"/>
        </w:rPr>
        <w:t>“</w:t>
      </w:r>
      <w:r>
        <w:rPr>
          <w:rFonts w:ascii="Times New Roman" w:hAnsi="Times New Roman"/>
          <w:b/>
          <w:i/>
          <w:caps w:val="false"/>
          <w:smallCaps w:val="false"/>
          <w:sz w:val="20"/>
        </w:rPr>
        <w:t>SG&amp;A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consists primarily of salaries and benefit costs of employees, commission expense for independent sales representatives, product promotion and costs of professional services. SG&amp;A expense as a percentage of net sales increased to 20.8% in 2023, from 16.2% in 2022, increasing from $131.4 million in 2022 to $132.2 million in 2023. The increase in SG&amp;A expense during 2023 resulted from $2.5 million of incremental SG&amp;A costs from the operations of MCT and EQT and $1.6 million of transaction related costs incurred specifically related to the acquisitions of MCT and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purchased intangibles is the process of expensing the cost of an intangible asset acquired through a business combination over the projected life of the asset. Amortization of acquisition-related intangible assets was $36.4 million and $33.2 million for 2023 and 2022, respectively. The increase in expenses recorded during the current year was a result of the amortization of acquired intangible assets from MCT and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 the merger with Xcerra in the fourth quarter 2018, we began a strategic restructuring program designed to reposition our organization and improve our cost structure as part of our targeted integration plan. During the first quarter of 2023, we began a strategic restructuring and integration program in connection with the acquisition of MCT. In connection with these integration plans, we recorded restructuring charges totaling $2.4 million and $0.6 million in 2023 and 2022, respectively. Restructuring costs incurred in 2023 relate to the integration of MCT and restructuring costs incurred in 2022 relate to the integration of Xcerra.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IV, Item 15(a) of this Form 10-K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$3.4 million in 2023 compared to $4.2 million in 2022. The year-over-year decrease in our interest expense resulted from a reduction in the outstanding balance of our Term Loan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$11.5 million and $4.0 million in 2023 and 2022, respectively. The increase in interest income year-over-year is a result of increased investments and higher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Foreign Transaction Gain (Loss)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operations in foreign countries and conduct business in the local currency in these countries. Starting in the fourth quarter of 2020, we began entering into foreign currency forward contracts to hedge against future movements in foreign exchange rates that affect certain U.S. Dollar denominated assets and liabilities that are held at our subsidiaries whose functional currency is the local currency. During 2023, the U.S. Dollar weakened against foreign currencies we operate in resulting in foreign currency losses. During 2023 we recognized losses of $5.2 million, net of $2.1 million of gains generated by our foreign currency forward contracts. In 2022, the U.S. Dollar strengthened against foreign currencies we operate in resulting in foreign currency gains. In 2022 we recognized gains of $1.6 million, net of $5.4 million of losses generated by our foreign currency forward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8 “Derivative Financial Instruments” in Part IV, Item 15(a) of this Form 10-K for additional information with respect to our foreign currency forward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income tax provision expressed as a percentage of pre-tax income or loss in 2023 and 2022 was 38.6% and 23.6%, respectively. The provision for income taxes decreased from $29.9 million in 2022 to $17.7 million in 2023 primarily due to the reduction in pre-tax income from continuing operations, a lower GILTI inclusion, and higher stock-based compensation deductions, offset by changes in our jurisdictional mix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the evidence available including a lack of sustainable earnings and history of expiring unused NOLs, and tax credits, we continue to maintain our judgement that a previously recorded valuation allowance against substantially of our net deferred tax assets in the United States is still required. If a change in judgement regarding this valuation allowance were to occur in the future, we will record a potentially material deferred tax benefit, which could result in a favorable impact on the effective tax rate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valuation allowance on our DTAs at December 30, 2023, and December 31, 2022, was approximately $99.9 million and $89.2 million, respectively. The remaining gross DTAs for which a valuation allowance was not recorded are realizable primarily through future reversals of existing taxable temporary differences and to a lesser extent future taxable income in certain jurisdictions exclusive of reversing temporary differences and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 full reconciliation of our effective tax rate to the U.S. federal statutory rate and further explanation of our provision for income taxes, see Note 10, “Income Taxes”, included in Part IV, Item 15(a) of this Form 10-K,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income was $28.2 million in 2023 and $96.8 million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is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December 30, 2023, $155.7 million or 46.4% of our cash, cash equivalents and short-term investments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December 30, 2023, our total indebtedness, net of discount and deferred financing costs, was $40.6 million, which included $29.1 million outstanding under the Term Loan Credit Facility, $2.1 million outstanding under Kita’s term loans, $7.6 million outstanding under Cohu GmbH’s construction loans, and $1.8 million outstanding under Kita’s 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March 2021, we closed an underwritten follow-on public offering totaling 5,692,500 shares of our common stock at $41.00 per share, raising net proceeds of approximately $223.1 million, after deducting underwriting discounts and commissions and offering expenses. We used $100.0 million of the net proceeds of this offering to repay outstanding principal on our Term Loan Credit Facility and we intend to use the rest for general corporate purposes, including to fund future growth initiatives. On June 30, 2021, we prepaid an additional $100.0 million of our Term Loan Credit Facility utilizing a portion of the net proceeds from the sale of our PCB Test business. On February 9, 2024, we made a cash payment of $29.3 million to repay the remaining outstanding principal of our Term Loan Credit Facility. In 2023 and 2022, we repurchased 700,270 shares and 1,767,070 shares of our outstanding common stock for $23.6 million and $50.7 million to be held as treasury stock,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 A discussion of cash flows for the year ended December 25, 2021 has been omitted from this Annual Report on Form 10-K, but may be found in “Item 7. Management’s Discussion and Analysis of Financial Condition and Results of Operations,” under the heading “Liquidity and Capital Resources” in our Annual Report on Form 10-K for the year ended December 31, 2022, filed with the SEC on February 17, 2023, which discussion is incorporated herein by reference and which is available free of charge on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Working Capital:</w:t>
      </w:r>
      <w:r>
        <w:rPr>
          <w:rFonts w:ascii="Times New Roman" w:hAnsi="Times New Roman"/>
          <w:caps w:val="false"/>
          <w:smallCaps w:val="false"/>
          <w:sz w:val="20"/>
        </w:rPr>
        <w:t xml:space="preserve"> The following summarizes our cash, cash equivalents, short-term investments and working capital at December 30, 2023 and December 31, 2022:</w:t>
      </w:r>
    </w:p>
    <w:p>
      <w:pPr>
        <w:pStyle w:val="TextBody"/>
        <w:bidi w:val="0"/>
        <w:spacing w:before="0" w:after="0"/>
        <w:ind w:left="0" w:right="0" w:hanging="0"/>
        <w:jc w:val="left"/>
        <w:rPr>
          <w:caps w:val="false"/>
          <w:smallCaps w:val="false"/>
        </w:rPr>
      </w:pPr>
      <w:r>
        <w:rPr>
          <w:caps w:val="false"/>
          <w:smallCaps w:val="false"/>
        </w:rPr>
        <w:t> </w:t>
      </w:r>
    </w:p>
    <w:tbl>
      <w:tblPr>
        <w:tblW w:w="8809" w:type="dxa"/>
        <w:jc w:val="left"/>
        <w:tblInd w:w="0" w:type="dxa"/>
        <w:tblLayout w:type="fixed"/>
        <w:tblCellMar>
          <w:top w:w="0" w:type="dxa"/>
          <w:left w:w="0" w:type="dxa"/>
          <w:bottom w:w="28" w:type="dxa"/>
          <w:right w:w="0" w:type="dxa"/>
        </w:tblCellMar>
      </w:tblPr>
      <w:tblGrid>
        <w:gridCol w:w="4115"/>
        <w:gridCol w:w="60"/>
        <w:gridCol w:w="125"/>
        <w:gridCol w:w="695"/>
        <w:gridCol w:w="60"/>
        <w:gridCol w:w="60"/>
        <w:gridCol w:w="125"/>
        <w:gridCol w:w="695"/>
        <w:gridCol w:w="60"/>
        <w:gridCol w:w="60"/>
        <w:gridCol w:w="125"/>
        <w:gridCol w:w="650"/>
        <w:gridCol w:w="80"/>
        <w:gridCol w:w="60"/>
        <w:gridCol w:w="188"/>
        <w:gridCol w:w="1391"/>
        <w:gridCol w:w="260"/>
      </w:tblGrid>
      <w:tr>
        <w:trPr/>
        <w:tc>
          <w:tcPr>
            <w:tcW w:w="41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Decrease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 Change</w:t>
            </w:r>
          </w:p>
        </w:tc>
        <w:tc>
          <w:tcPr>
            <w:tcW w:w="260" w:type="dxa"/>
            <w:tcBorders/>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short-term investments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385,576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(49,878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pPr>
            <w:r>
              <w:rPr/>
              <w:t> </w:t>
            </w:r>
          </w:p>
        </w:tc>
        <w:tc>
          <w:tcPr>
            <w:tcW w:w="13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535,397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603,979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(68,582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pPr>
            <w:r>
              <w:rPr/>
              <w:t> </w:t>
            </w:r>
          </w:p>
        </w:tc>
        <w:tc>
          <w:tcPr>
            <w:tcW w:w="13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Operating Activities:</w:t>
      </w:r>
      <w:r>
        <w:rPr>
          <w:rFonts w:ascii="Times New Roman" w:hAnsi="Times New Roman"/>
          <w:caps w:val="false"/>
          <w:smallCaps w:val="false"/>
          <w:sz w:val="20"/>
        </w:rPr>
        <w:t xml:space="preserve"> Cash provided by operating activities consists of our net income adjusted for non-cash expenses and changes in operating assets and liabilities. These adjustments include impairment charges, depreciation expense on property, plant and equipment, share-based compensation expense, amortization of intangible assets, deferred income taxes, amortization of cloud-based software implementation costs, loss on extinguishment of debt, interest capitalized associated with cloud computing implementation, amortization of debt discounts and issuance costs and gains from the sale of our PCB Test business and property, plant and equipment. Our net cash flows provided by operating activities in 2023 totaled $101.5 million compared to $112.9 million in 2022. The decrease in cash provided by operating activities in the current year was a result of weaker business conditions. Cash provided by operating activities was also impacted by changes in current assets and liabilities which included decreases in accounts payable and accounts receivable. The timing of payments to our suppliers resulted in the $21.4 million decrease in accounts payable, and net sales in the fourth quarter of 2023 and the timing of the resulting cash conversion cycle drove the $61.9 million decrease in accounts receivable. Deferred profit decreased $4.4 million as a result of the recognition of revenue that had been previously deferred in accordance with our revenue recognition policy, and accrued compensation, warranty and other liabilities decreased $14.9 million due to lower business volume resulting in lower rates of accrual. Cash provided by operating activities was also impacted by decreases in income taxes payable of $24.8 million a result of payments made. During 2023, inventories decreased $12.8 million due to lower business volume and strict inventory management, and other current assets increased $10.9 million due to a reduction in prepaid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Investing Activities:</w:t>
      </w:r>
      <w:r>
        <w:rPr>
          <w:rFonts w:ascii="Times New Roman" w:hAnsi="Times New Roman"/>
          <w:caps w:val="false"/>
          <w:smallCaps w:val="false"/>
          <w:sz w:val="20"/>
        </w:rPr>
        <w:t xml:space="preserve"> Investing cash flows consist primarily of cash used for capital expenditures in support of our business, purchases of investments, business acquisitions and proceeds from investment maturities, asset disposals and business divestitures. Our net cash used in investing activities in 2023 totaled $30.2 million. In 2023 we used $97.3 million in cash for purchases of short-term investments and generated $152.6 million from sales and maturities. We invest our excess cash, in an attempt to seek the highest available return while preserving capital, in short-term investments since excess cash may be required for a business-related purpose. During 2023, we used $26.3 million of cash, net of cash received, for the acquisition of MCT which was a strategic transaction for our test handler group. In 2023, we also used $43.4 million of cash, net of cash received, for the acquisition of EQT, which was a strategic transaction for our interface solutions group. Additions to property, plant and equipment in 2023 were $16.1 million and were made to support our operating and development activities. Our net cash used in investing activities in 2022 totaled $67.9 million. In 2022 we used $14.8 million for additions to property, plant and equipment and we used $208.9 million in cash for purchases of short-term investments and generated $155.4 million from sales and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Financing Activities:</w:t>
      </w:r>
      <w:r>
        <w:rPr>
          <w:rFonts w:ascii="Times New Roman" w:hAnsi="Times New Roman"/>
          <w:caps w:val="false"/>
          <w:smallCaps w:val="false"/>
          <w:sz w:val="20"/>
        </w:rPr>
        <w:t xml:space="preserve"> Financing cash flows consist primarily of net proceeds from the issuance of common stock from an underwritten public offering and under our stock option and employee stock purchase plans and repayments of debt, net of new borrowings. In fiscal 2023, our cash used in financing activities totaled $68.1 million. In fiscal 2022, our cash used in financing activities totaled $91.1 million. Repayments of short-term borrowings and long-term debt during 2023 totaled $38.8 million, which includes $34.1 million of cash prepayments of our Term Loan Credit Facility. During 2022 our repayments totaled $38.2 million and included $31.7 million of cash prepayments of our Term Loan Credit Facility. During 2023 and 2022, we made payments totaling $23.6 million and $50.7 million, respectively for shares of our common stock repurchased under our share repurchase program to be held as treasury stock. We issue restricted stock units, stock options and maintain an employee stock purchase plan as components of our overall employee compensation. In 2023, cash used to settle the minimum statutory tax withholding requirements on behalf of our employees upon vesting of restricted and performance stock awards, net of proceeds from shares issued under our employee stock purchase plan and from the exercise of employee stock options was $5.7 million. In 2022, net cash used to settle the minimum statutory tax withholding requirements on behalf of our employees totaled $2.0 million. The increase in cash used to settle tax withholding requirements between 2023 and 2022 is directly correlated to the increase in Cohu’s stock price at the end of March year over year when the majority of awards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On October 25, 2022, our Board of Directors authorized an additional $70 million under the share repurchase program. This share repurchase program was effective as of November 2, 2021, and has no expiration date.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For the year ended December 30, 2023, we repurchased 700,270 shares of our common stock for $23.6 million to be held as treasury stock. As of December 30, 2023, we may purchase up to $58.3 million of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access to credit facilitates and other borrowings provided by financial institutions to finance acquisitions, capital expenditures and our operations if needed. A summary of our borrowings and available credit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was due on or before October 1, 2025. The loans under the Term Loan Credit Facility bore interest, at Cohu’s option, at a floating annual rate equal to the London Interbank Offered Rate (“LIBOR”) plus a margin of 3.00%. On June 16, 2023, in connection with the discontinuation of LIBOR, we entered into an amendment to our Term Loan Credit Facility, which provided for the transition of the benchmark interest rate from LIBOR to the Secured Overnight Financing Rate (“SOFR” or “Term SOFR”). Effective with the interest period beginning July 1, 2023, LIBOR was replaced with Adjusted Term SOFR, a floating annual rate equal to SOFR plus a margin of 3.0%. At December 30, 2023, the outstanding loan balance, net of discount and deferred financing costs, was $29.1 million and $3.4 million of the outstanding balance is presented as current installments of long-term debt in our consolidated balance sheets. At December 31, 2022, the outstanding loan balance, net of discount and deferred financing costs, was $66.2 million and $3.2 million of the outstanding balance is presented as current installments of long-term debt in our consolidated balance sheets. As of December 30, 2023, the fair value of the debt was $29.4 million. The measurement of the fair value of debt is based on the average of the bid and ask trading quotes as of December 30, 2023 and is considered a Level 2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the terms of the Credit Agreement, the lender had the option to accelerate the payment terms upon the occurrence of certain events of default set forth therein, which included: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As of December 30, 2023, we believe no such events of default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2023, we prepaid $34.1 million in principal of our Term Loan Credit Facility in cash. We accounted for the prepayment as a debt extinguishment, which resulted in a loss of $0.4 million reflected in our consolidated statement of income and a $0.4 million reduction in debt discounts and deferred financing costs in our consolidated balance sheets. During 2022, we repurchased $31.8 million in principal of our Term Loan Credit Facility for $31.7 million in cash. We accounted for the repurchase as a debt extinguishment, which resulted in a loss of $0.3 million reflected in our consolidated statement of income, as well as a $0.4 million reduction in debt discounts and deferred financing costs in our consolidated balance sheets. Approximately $29.3 million in principal of the Term Loan Credit Facility remained outstanding as of December 30, 2023. Subsequent to our fiscal year ended December 30, 2023, on February 9, 2024, we made a cash payment of $29.3 million to repay the remaining outstanding amounts owed under our Term Loan Credit Facility. We accounted for the transaction as a debt extinguishment, and in the first quarter of fiscal 2024 we will recognize a loss of $0.2 million due to the recognition of the remaining debt discount and deferred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term loans from a series of Japanese financial institutions primarily related to the expansion of Kita’s facility in Osaka, Japan. The loans are collateralized by the facility and land, carry interest rates ranging from 0.05% to 0.45%, and expire at various dates through 2034. At December 30, 2023, the outstanding loan balance was $2.1 million and $0.2 million of the outstanding balance is presented as current installments of long-term debt in our consolidated balance sheets. At December 31, 2022, the outstanding loan balance was $2.5 million and $0.2 million of the outstanding balance is presented as current installments of long-term debt in our consolidated balance sheets. 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construction loans (“Loan Facilities”) with a German financial institution providing it with total borrowings of up to €10.1 million. The Loan Facilities are being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December 30, 2023, total outstanding borrowings under the Loan Facilities was $7.7 million with $1.0 million of the total outstanding balance being presented as current installments of long-term debt in our consolidated balance sheets. At December 31, 2022, total outstanding borrowings under the Loan Facilities was $8.4 million with $1.0 million of the total outstanding balance being presented as current installments of long-term debt in our consolidated balance sheets. The loans are denominated in Euros and, as a result, amounts disclosed herein will fluctuate because of changes in currency exchange rates. The fair value of the debt approximates the carrying value at December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960 million Japanese Yen of which 250 million Japanese Yen is drawn. At December 30, 2023, total borrowings outstanding under the revolving lines of credit were $1.8 million. As these credit facility agreements renew monthly, they have been included in short-term borrowings 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it with borrowings of up to a total of 2.0 million Swiss Francs, a portion of which is reserved for tax guarantees. At December 30, 2023 and December 31, 2022,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As of December 30, 2023, $0.3 million was outstanding under standby letters of credit and bank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we will continue to make capital expenditures to support our business and we anticipate that present working capital will be sufficient to meet our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significant contractual obligations at December 30, 2023, and the effect such obligations are expected to have on our liquidity and cash flows in future periods. Amounts excluded are our liability for unrecognized tax benefits that totaled approximately $35.9 million at December 30, 2023. We are currently unable to provide a reasonably reliable estimate of the amount or period(s) the cash settlement of this liability may occur.</w:t>
      </w:r>
    </w:p>
    <w:p>
      <w:pPr>
        <w:pStyle w:val="TextBody"/>
        <w:bidi w:val="0"/>
        <w:spacing w:before="0" w:after="0"/>
        <w:ind w:left="0" w:right="0" w:hanging="0"/>
        <w:jc w:val="left"/>
        <w:rPr>
          <w:caps w:val="false"/>
          <w:smallCaps w:val="false"/>
        </w:rPr>
      </w:pPr>
      <w:r>
        <w:rPr>
          <w:caps w:val="false"/>
          <w:smallCaps w:val="false"/>
        </w:rPr>
        <w:t> </w:t>
      </w:r>
    </w:p>
    <w:tbl>
      <w:tblPr>
        <w:tblW w:w="7103" w:type="dxa"/>
        <w:jc w:val="left"/>
        <w:tblInd w:w="0" w:type="dxa"/>
        <w:tblLayout w:type="fixed"/>
        <w:tblCellMar>
          <w:top w:w="0" w:type="dxa"/>
          <w:left w:w="0" w:type="dxa"/>
          <w:bottom w:w="0" w:type="dxa"/>
          <w:right w:w="0" w:type="dxa"/>
        </w:tblCellMar>
      </w:tblPr>
      <w:tblGrid>
        <w:gridCol w:w="2390"/>
        <w:gridCol w:w="60"/>
        <w:gridCol w:w="125"/>
        <w:gridCol w:w="590"/>
        <w:gridCol w:w="60"/>
        <w:gridCol w:w="60"/>
        <w:gridCol w:w="125"/>
        <w:gridCol w:w="590"/>
        <w:gridCol w:w="60"/>
        <w:gridCol w:w="60"/>
        <w:gridCol w:w="160"/>
        <w:gridCol w:w="759"/>
        <w:gridCol w:w="60"/>
        <w:gridCol w:w="60"/>
        <w:gridCol w:w="188"/>
        <w:gridCol w:w="731"/>
        <w:gridCol w:w="60"/>
        <w:gridCol w:w="60"/>
        <w:gridCol w:w="173"/>
        <w:gridCol w:w="672"/>
        <w:gridCol w:w="6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93" w:type="dxa"/>
            <w:gridSpan w:val="18"/>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Fiscal year-end</w:t>
            </w:r>
          </w:p>
        </w:tc>
        <w:tc>
          <w:tcPr>
            <w:tcW w:w="60" w:type="dxa"/>
            <w:tcBorders/>
            <w:vAlign w:val="center"/>
          </w:tcPr>
          <w:p>
            <w:pPr>
              <w:pStyle w:val="TableContents"/>
              <w:bidi w:val="0"/>
              <w:spacing w:before="0" w:after="283"/>
              <w:jc w:val="left"/>
              <w:rPr/>
            </w:pPr>
            <w:r>
              <w:rPr/>
              <w:t> </w:t>
            </w:r>
          </w:p>
        </w:tc>
      </w:tr>
      <w:tr>
        <w:trPr/>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(in thousands)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2027-2028</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5,547</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term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and interest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3,857</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contractual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Excludes an insignificant amount of short-term lease obligations.</w:t>
            </w:r>
          </w:p>
        </w:tc>
      </w:tr>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February 9, 2024, we made a cash payment of $29.3 million to repay the remaining outstanding amounts owed under our Term Loan Credit Facility.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14, “Guarantees” in Part IV, Item 15(a)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Commitments to contract manufacturers and suppliers. </w:t>
      </w:r>
      <w:r>
        <w:rPr>
          <w:rFonts w:ascii="Times New Roman" w:hAnsi="Times New Roman"/>
          <w:caps w:val="false"/>
          <w:smallCaps w:val="false"/>
          <w:sz w:val="20"/>
        </w:rPr>
        <w:t>From time-to-time, we enter into commitments with our vendors and outsourcing partners to 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Off-Balance Sheet Arrangements. </w:t>
      </w:r>
      <w:r>
        <w:rPr>
          <w:rFonts w:ascii="Times New Roman" w:hAnsi="Times New Roman"/>
          <w:caps w:val="false"/>
          <w:smallCaps w:val="false"/>
          <w:sz w:val="20"/>
        </w:rPr>
        <w:t>During the ordinary course of business, we provide standby letters of credit instruments to certain parties as required. As of December 30, 2023, $0.3 million was outstanding under standby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item7a"/>
      <w:bookmarkEnd w:id="15"/>
      <w:r>
        <w:rPr>
          <w:rFonts w:ascii="Times New Roman" w:hAnsi="Times New Roman"/>
          <w:b/>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and Interest Rate Risk.</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December 30, 2023, our investment portfolio included short-term, fixed-income investment securities with a fair value of approximately $90.2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30, 2023, the cost and fair value of investments with loss positions were approximately $38.5 million and $38.4 million, respectively. We evaluated the nature of these investments, credit worthiness of the issuer and the duration of these impairments and concluded that these losses were temporary and we have the ability and intent to hold these investments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long-term debt is carried at amortized cost, and fluctuations in interest rates do not impact our consolidated financial statements. However, the fair value of our debt will generally fluctuate with movements of interest rates, increasing in periods of declining rates of interest and declining in periods of increasing rates of interest. As of December 30, 2023, we had approximately $29.3 million of long-term debt due under a Term Loan Credit Facility that is subject to quarterly interest payments that are based on either a base rate plus a margin of up to 2.0% per annum, or SOFR plus a margin of up to 3.0% per annum. Prior to the discontinuation of LIBOR and the amendment of our Term Loan Credit Facility on June 30, 2023, our quarterly interest payments were based on either a base rate plus a margin of up to 2.0% per annum, or LIBOR plus a margin of up to 3.0% per annum. The selection of the interest rate formula is at our discretion. The interest rate otherwise payable under the Term Loan Credit Facility would be subject to increase by 2.0% per annum during the continuance of a payment default and may be subject to increase by 2.0% per annum with respect to the overdue principal amount of any loans outstanding and overdue interest payments and other overdue fees and amounts. At December 30, 2023, the interest rate in effect on these borrowings was 8.88%. Subsequent to our fiscal year ended December 30, 2023, on February 9, 2024, we made a cash payment of $29.3 million to repay the remaining outstanding principal of our Term Loan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Foreign Currency Exchange Risk.</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fourth quarter of 2020, we began entering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in order to mitigate the risks and volatility associated with foreign currency transaction 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December 30, 2023 compared to December 31, 2022, our stockholders’ equity increased by $6.8 million as a result of the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upon the current levels of net foreign assets, a hypothetical 10% devaluation of the U.S. dollar as compared to these currencies as of December 30, 2023 would result in an approximate $34.3 million positive translation adjustment recorded in other comprehensive income within stockholders’ equity. Conversely, a hypothetical 10% appreciation of the U.S. dollar as compared to these currencies as of December 30, 2023 would result in an approximate $34.3 million negative translation adjustment recorded in other comprehensive income within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6" w:name="item8"/>
      <w:bookmarkEnd w:id="16"/>
      <w:r>
        <w:rPr>
          <w:rFonts w:ascii="Times New Roman" w:hAnsi="Times New Roman"/>
          <w:b/>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is included in Part IV, Item 15(a).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7" w:name="item9"/>
      <w:bookmarkEnd w:id="17"/>
      <w:r>
        <w:rPr>
          <w:rFonts w:ascii="Times New Roman" w:hAnsi="Times New Roman"/>
          <w:b/>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8" w:name="item9a"/>
      <w:bookmarkEnd w:id="18"/>
      <w:r>
        <w:rPr>
          <w:rFonts w:ascii="Times New Roman" w:hAnsi="Times New Roman"/>
          <w:b/>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Conclusion Regarding the Effectiveness of Disclosure Controls and Procedures - </w:t>
      </w:r>
      <w:r>
        <w:rPr>
          <w:rFonts w:ascii="Times New Roman" w:hAnsi="Times New Roman"/>
          <w:caps w:val="false"/>
          <w:smallCaps w:val="false"/>
          <w:sz w:val="20"/>
        </w:rPr>
        <w:t>Under the supervision and with the participation of our management, 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30, 2023, the end of the period covered by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Changes in Internal Control over Financial Reporting</w:t>
      </w:r>
      <w:r>
        <w:rPr>
          <w:rFonts w:ascii="Times New Roman" w:hAnsi="Times New Roman"/>
          <w:caps w:val="false"/>
          <w:smallCaps w:val="false"/>
          <w:sz w:val="20"/>
        </w:rPr>
        <w:t xml:space="preserve"> - There was no change in our internal control over financial reporting (as defined in Rules 13a-15(f) and 15d-15(f) under the Exchange Act) during the three months ended December 30, 2023,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 xml:space="preserve">s Annual Report on Internal Control Over Financial Reporting - </w:t>
      </w:r>
      <w:r>
        <w:rPr>
          <w:rFonts w:ascii="Times New Roman" w:hAnsi="Times New Roman"/>
          <w:caps w:val="false"/>
          <w:smallCaps w:val="false"/>
          <w:sz w:val="20"/>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hAnsi="Times New Roman"/>
          <w:i/>
          <w:caps w:val="false"/>
          <w:smallCaps w:val="false"/>
          <w:sz w:val="20"/>
        </w:rPr>
        <w:t>Internal Control - Integrated Framework</w:t>
      </w:r>
      <w:r>
        <w:rPr>
          <w:rFonts w:ascii="Times New Roman" w:hAnsi="Times New Roman"/>
          <w:caps w:val="false"/>
          <w:smallCaps w:val="false"/>
          <w:sz w:val="20"/>
        </w:rPr>
        <w:t xml:space="preserve"> issued by the Committee of Sponsoring Organizations of the Treadway Commission (2013 framework). Based on our evaluation under the framework in </w:t>
      </w:r>
      <w:r>
        <w:rPr>
          <w:rFonts w:ascii="Times New Roman" w:hAnsi="Times New Roman"/>
          <w:i/>
          <w:caps w:val="false"/>
          <w:smallCaps w:val="false"/>
          <w:sz w:val="20"/>
        </w:rPr>
        <w:t>Internal Control - Integrated Framework</w:t>
      </w:r>
      <w:r>
        <w:rPr>
          <w:rFonts w:ascii="Times New Roman" w:hAnsi="Times New Roman"/>
          <w:caps w:val="false"/>
          <w:smallCaps w:val="false"/>
          <w:sz w:val="20"/>
        </w:rPr>
        <w:t>, our management concluded that our internal control over financial reporting was effective as of December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Ernst &amp; Young LLP, the independent registered public accounting firm that audited the consolidated financial statements included in this Annual Report on Form 10-K, has also audited the effectiveness of our internal control over financial reporting as of December 30, 2023, as stated in their report which is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Cohu, Inc.’s internal control over financial reporting as of December 30, 2023, based on criteria established in Internal Control – Integrated Framework issued by the Committee of Sponsoring Organizations of the Treadway Commission (2013 framework) (the COSO criteria). In our opinion, Cohu, Inc. (the Company) maintained, in all material respects, effective internal control over financial reporting as of December 30, 2023, based on the COSO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balance sheets of the Company as of December 30, 2023 and December 31, 2022, and the related consolidated statements of income, comprehensive income, stockholders’ equity, and cash flows for each of the three years in the period ended December 30, 2023, and the related notes and the financial statement schedule listed in the Index at Item 15(a) and our report dated February 16, 2024, expressed an unqualified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Diego,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item9b"/>
      <w:bookmarkEnd w:id="1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Rule </w:t>
      </w:r>
      <w:r>
        <w:rPr>
          <w:rStyle w:val="Emphasis"/>
          <w:rFonts w:ascii="Times New Roman" w:hAnsi="Times New Roman"/>
          <w:b/>
          <w:caps w:val="false"/>
          <w:smallCaps w:val="false"/>
          <w:sz w:val="20"/>
        </w:rPr>
        <w:t>10b5</w:t>
      </w:r>
      <w:r>
        <w:rPr>
          <w:rFonts w:ascii="Times New Roman" w:hAnsi="Times New Roman"/>
          <w:b/>
          <w:caps w:val="false"/>
          <w:smallCaps w:val="false"/>
          <w:sz w:val="20"/>
        </w:rPr>
        <w:t>-</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directors and executive officers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purchase or sell shares of our common stock in the market from time to time, including pursuant to equity trading plans adopted in accordance with Rule </w:t>
      </w:r>
      <w:r>
        <w:rPr>
          <w:rStyle w:val="Emphasis"/>
          <w:rFonts w:ascii="Times New Roman" w:hAnsi="Times New Roman"/>
          <w:caps w:val="false"/>
          <w:smallCaps w:val="false"/>
          <w:sz w:val="20"/>
        </w:rPr>
        <w:t>10b5</w:t>
      </w:r>
      <w:r>
        <w:rPr>
          <w:rFonts w:ascii="Times New Roman" w:hAnsi="Times New Roman"/>
          <w:caps w:val="false"/>
          <w:smallCaps w:val="false"/>
          <w:sz w:val="20"/>
        </w:rPr>
        <w:t xml:space="preserve">-1 under the Exchange Act and in compliance with guidelines specified by our insider trading policy. In accordance with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our insider trading policy, directors, officers and certain employees who, at such time,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also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buy or sell additional shares outside of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plan when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possession of material nonpublic information, subject to compliance with SEC rules, the terms of our insider trading policy and certain minimum holding requirements. The following table shows the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plans intended to satisfy the affirmative defense conditions of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adopted or terminated by our directors and executive officers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2345"/>
        <w:gridCol w:w="60"/>
        <w:gridCol w:w="800"/>
        <w:gridCol w:w="60"/>
        <w:gridCol w:w="1220"/>
        <w:gridCol w:w="60"/>
        <w:gridCol w:w="980"/>
        <w:gridCol w:w="60"/>
        <w:gridCol w:w="176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Plan</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Plan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Expiration</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 Shares</w:t>
            </w:r>
          </w:p>
        </w:tc>
      </w:tr>
      <w:tr>
        <w:trPr/>
        <w:tc>
          <w:tcPr>
            <w:tcW w:w="23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and Position</w:t>
            </w:r>
          </w:p>
        </w:tc>
        <w:tc>
          <w:tcPr>
            <w:tcW w:w="60" w:type="dxa"/>
            <w:tcBorders/>
            <w:vAlign w:val="center"/>
          </w:tcPr>
          <w:p>
            <w:pPr>
              <w:pStyle w:val="TableContents"/>
              <w:bidi w:val="0"/>
              <w:spacing w:before="0" w:after="283"/>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Action</w:t>
            </w:r>
          </w:p>
        </w:tc>
        <w:tc>
          <w:tcPr>
            <w:tcW w:w="60" w:type="dxa"/>
            <w:tcBorders/>
            <w:vAlign w:val="center"/>
          </w:tcPr>
          <w:p>
            <w:pPr>
              <w:pStyle w:val="TableContents"/>
              <w:bidi w:val="0"/>
              <w:spacing w:before="0" w:after="283"/>
              <w:jc w:val="left"/>
              <w:rPr/>
            </w:pPr>
            <w:r>
              <w:rPr/>
              <w:t> </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Adoption Date</w:t>
            </w:r>
          </w:p>
        </w:tc>
        <w:tc>
          <w:tcPr>
            <w:tcW w:w="60" w:type="dxa"/>
            <w:tcBorders/>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w:t>
            </w:r>
          </w:p>
        </w:tc>
        <w:tc>
          <w:tcPr>
            <w:tcW w:w="60" w:type="dxa"/>
            <w:tcBorders/>
            <w:vAlign w:val="center"/>
          </w:tcPr>
          <w:p>
            <w:pPr>
              <w:pStyle w:val="TableContents"/>
              <w:bidi w:val="0"/>
              <w:spacing w:before="0" w:after="283"/>
              <w:jc w:val="left"/>
              <w:rPr/>
            </w:pPr>
            <w:r>
              <w:rPr/>
              <w:t> </w:t>
            </w:r>
          </w:p>
        </w:tc>
        <w:tc>
          <w:tcPr>
            <w:tcW w:w="17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Sold under Plan</w:t>
            </w:r>
          </w:p>
        </w:tc>
      </w:tr>
      <w:tr>
        <w:trPr/>
        <w:tc>
          <w:tcPr>
            <w:tcW w:w="2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Nina L. Richardson, Director</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Adoption</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11/7/2023</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10/11/2024</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Transactions by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directors and officers will be disclosed publicly through Form </w:t>
      </w:r>
      <w:r>
        <w:rPr>
          <w:rStyle w:val="Emphasis"/>
          <w:rFonts w:ascii="Times New Roman" w:hAnsi="Times New Roman"/>
          <w:caps w:val="false"/>
          <w:smallCaps w:val="false"/>
          <w:sz w:val="20"/>
        </w:rPr>
        <w:t>144</w:t>
      </w:r>
      <w:r>
        <w:rPr>
          <w:rFonts w:ascii="Times New Roman" w:hAnsi="Times New Roman"/>
          <w:caps w:val="false"/>
          <w:smallCaps w:val="false"/>
          <w:sz w:val="20"/>
        </w:rPr>
        <w:t xml:space="preserve"> and Form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filings with the SEC to the extent required by law. No non-Rule 10b5-</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arrangements (as defined by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(a) of Regulation S-K) were entered into, adopted or terminated by any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director or officer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2023.</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0" w:name="item9c"/>
      <w:bookmarkEnd w:id="20"/>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1" w:name="part3"/>
      <w:bookmarkEnd w:id="21"/>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2" w:name="item10"/>
      <w:bookmarkEnd w:id="22"/>
      <w:r>
        <w:rPr>
          <w:rFonts w:ascii="Times New Roman" w:hAnsi="Times New Roman"/>
          <w:b/>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under the heading “Information About Our Executive Officers” in Part I, Item 1 of this Form 10-K is incorporated by reference in this section. The other information required by this item is hereby incorporated by reference to Cohu’s definitive proxy statement, which will be filed with the SEC within 120 days after the close of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Code of Business Conduct and Code of Ethics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 within four business days of such amendment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Corporate Governance Guidelines and Certain Committee Charters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has adopted Corporate Governance Guidelines as well as charters for its Audit, Compensation and Nominating and Governance Committees. These documents are available on the Investor Relations section of our website at www.cohu.com.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on our website is not incorporated by reference in or considered to be a part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3" w:name="item11"/>
      <w:bookmarkEnd w:id="23"/>
      <w:r>
        <w:rPr>
          <w:rFonts w:ascii="Times New Roman" w:hAnsi="Times New Roman"/>
          <w:b/>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regarding Executive Compensation is hereby incorporated by reference to Cohu’s definitive proxy statement, which will be filed with the SEC within 120 days after the close of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820" w:right="0" w:hanging="820"/>
        <w:jc w:val="left"/>
        <w:rPr>
          <w:rFonts w:ascii="Times New Roman" w:hAnsi="Times New Roman"/>
          <w:b/>
          <w:caps w:val="false"/>
          <w:smallCaps w:val="false"/>
          <w:sz w:val="20"/>
        </w:rPr>
      </w:pPr>
      <w:bookmarkStart w:id="24" w:name="item12"/>
      <w:bookmarkEnd w:id="24"/>
      <w:r>
        <w:rPr>
          <w:rFonts w:ascii="Times New Roman" w:hAnsi="Times New Roman"/>
          <w:b/>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regarding Security Ownership of Certain Beneficial Owners and Management and Related Stockholder Matters is hereby incorporated by reference to Cohu’s definitive proxy statement, which will be filed with the SEC within 120 days after the close of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5" w:name="item13"/>
      <w:bookmarkEnd w:id="25"/>
      <w:r>
        <w:rPr>
          <w:rFonts w:ascii="Times New Roman" w:hAnsi="Times New Roman"/>
          <w:b/>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regarding Certain Relationships and Related Transactions, and Director Independence is hereby incorporated by reference to Cohu’s definitive proxy statement, which will be filed with the SEC within 120 days after the close of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6" w:name="item14"/>
      <w:bookmarkEnd w:id="26"/>
      <w:r>
        <w:rPr>
          <w:rFonts w:ascii="Times New Roman" w:hAnsi="Times New Roman"/>
          <w:b/>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regarding the Principal Accounting Fees and Services is hereby incorporated by reference to Cohu’s definitive proxy statement, which will be filed with the SEC within 120 days after the close of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7" w:name="part4"/>
      <w:bookmarkEnd w:id="27"/>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8" w:name="item15"/>
      <w:bookmarkEnd w:id="28"/>
      <w:r>
        <w:rPr>
          <w:rFonts w:ascii="Times New Roman" w:hAnsi="Times New Roman"/>
          <w:b/>
          <w:caps w:val="false"/>
          <w:smallCaps w:val="false"/>
          <w:sz w:val="20"/>
        </w:rPr>
        <w:t>Item 15. Exhibits,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230"/>
        <w:gridCol w:w="918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1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documents are filed as part of, or incorporated by reference into, this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60"/>
        <w:gridCol w:w="245"/>
        <w:gridCol w:w="17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consolidated financial statements of Cohu, Inc., including the report thereon of Ernst &amp; Young LLP, are included in this Annual Report on Form 10-K beginning on page 51:</w:t>
      </w:r>
    </w:p>
    <w:p>
      <w:pPr>
        <w:pStyle w:val="TextBody"/>
        <w:bidi w:val="0"/>
        <w:spacing w:before="0" w:after="0"/>
        <w:ind w:left="72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14"/>
        <w:gridCol w:w="1091"/>
      </w:tblGrid>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 10-K</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pPr>
            <w:r>
              <w:rPr/>
              <w:t> </w:t>
            </w:r>
          </w:p>
        </w:tc>
      </w:tr>
      <w:tr>
        <w:trPr/>
        <w:tc>
          <w:tcPr>
            <w:tcW w:w="9114"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Description</w:t>
            </w:r>
          </w:p>
        </w:tc>
        <w:tc>
          <w:tcPr>
            <w:tcW w:w="1091"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Page Number</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pPr>
            <w:r>
              <w:rPr/>
              <w:t> </w:t>
            </w:r>
          </w:p>
        </w:tc>
      </w:tr>
      <w:tr>
        <w:trPr/>
        <w:tc>
          <w:tcPr>
            <w:tcW w:w="9114" w:type="dxa"/>
            <w:tcBorders/>
            <w:vAlign w:val="center"/>
          </w:tcPr>
          <w:p>
            <w:pPr>
              <w:pStyle w:val="TableContents"/>
              <w:bidi w:val="0"/>
              <w:spacing w:before="0" w:after="283"/>
              <w:jc w:val="left"/>
              <w:rPr/>
            </w:pPr>
            <w:hyperlink w:anchor="balsheet">
              <w:r>
                <w:rPr>
                  <w:rStyle w:val="InternetLink"/>
                  <w:rFonts w:ascii="Times New Roman;Times;serif" w:hAnsi="Times New Roman;Times;serif"/>
                  <w:sz w:val="20"/>
                </w:rPr>
                <w:t>Consolidated Balance Sheets at December 30, 2023 and December 31, 2022</w:t>
              </w:r>
            </w:hyperlink>
          </w:p>
        </w:tc>
        <w:tc>
          <w:tcPr>
            <w:tcW w:w="1091" w:type="dxa"/>
            <w:tcBorders/>
            <w:vAlign w:val="center"/>
          </w:tcPr>
          <w:p>
            <w:pPr>
              <w:pStyle w:val="TableContents"/>
              <w:bidi w:val="0"/>
              <w:spacing w:before="0" w:after="283"/>
              <w:jc w:val="center"/>
              <w:rPr/>
            </w:pPr>
            <w:hyperlink w:anchor="balsheet">
              <w:r>
                <w:rPr>
                  <w:rStyle w:val="InternetLink"/>
                  <w:rFonts w:ascii="Times New Roman;Times;serif" w:hAnsi="Times New Roman;Times;serif"/>
                  <w:sz w:val="20"/>
                </w:rPr>
                <w:t>51</w:t>
              </w:r>
            </w:hyperlink>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 </w:t>
            </w:r>
          </w:p>
        </w:tc>
      </w:tr>
      <w:tr>
        <w:trPr/>
        <w:tc>
          <w:tcPr>
            <w:tcW w:w="9114" w:type="dxa"/>
            <w:tcBorders/>
            <w:vAlign w:val="center"/>
          </w:tcPr>
          <w:p>
            <w:pPr>
              <w:pStyle w:val="TableContents"/>
              <w:bidi w:val="0"/>
              <w:spacing w:before="0" w:after="283"/>
              <w:jc w:val="left"/>
              <w:rPr/>
            </w:pPr>
            <w:hyperlink w:anchor="stateofincome">
              <w:r>
                <w:rPr>
                  <w:rStyle w:val="InternetLink"/>
                  <w:rFonts w:ascii="Times New Roman;Times;serif" w:hAnsi="Times New Roman;Times;serif"/>
                  <w:sz w:val="20"/>
                </w:rPr>
                <w:t>Consolidated Statements of Income for each of the three years in the period ended December 30, 2023</w:t>
              </w:r>
            </w:hyperlink>
          </w:p>
        </w:tc>
        <w:tc>
          <w:tcPr>
            <w:tcW w:w="1091" w:type="dxa"/>
            <w:tcBorders/>
            <w:vAlign w:val="center"/>
          </w:tcPr>
          <w:p>
            <w:pPr>
              <w:pStyle w:val="TableContents"/>
              <w:bidi w:val="0"/>
              <w:spacing w:before="0" w:after="283"/>
              <w:jc w:val="center"/>
              <w:rPr/>
            </w:pPr>
            <w:hyperlink w:anchor="stateofincome">
              <w:r>
                <w:rPr>
                  <w:rStyle w:val="InternetLink"/>
                  <w:rFonts w:ascii="Times New Roman;Times;serif" w:hAnsi="Times New Roman;Times;serif"/>
                  <w:sz w:val="20"/>
                </w:rPr>
                <w:t>52</w:t>
              </w:r>
            </w:hyperlink>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 </w:t>
            </w:r>
          </w:p>
        </w:tc>
      </w:tr>
      <w:tr>
        <w:trPr/>
        <w:tc>
          <w:tcPr>
            <w:tcW w:w="9114" w:type="dxa"/>
            <w:tcBorders/>
            <w:vAlign w:val="center"/>
          </w:tcPr>
          <w:p>
            <w:pPr>
              <w:pStyle w:val="TableContents"/>
              <w:bidi w:val="0"/>
              <w:spacing w:before="0" w:after="283"/>
              <w:jc w:val="left"/>
              <w:rPr/>
            </w:pPr>
            <w:hyperlink w:anchor="compincome">
              <w:r>
                <w:rPr>
                  <w:rStyle w:val="InternetLink"/>
                  <w:rFonts w:ascii="Times New Roman;Times;serif" w:hAnsi="Times New Roman;Times;serif"/>
                  <w:sz w:val="20"/>
                </w:rPr>
                <w:t>Consolidated Statements of Comprehensive Income for each of the three years in the period ended December 30, 2023</w:t>
              </w:r>
            </w:hyperlink>
          </w:p>
        </w:tc>
        <w:tc>
          <w:tcPr>
            <w:tcW w:w="1091" w:type="dxa"/>
            <w:tcBorders/>
            <w:vAlign w:val="center"/>
          </w:tcPr>
          <w:p>
            <w:pPr>
              <w:pStyle w:val="TableContents"/>
              <w:bidi w:val="0"/>
              <w:spacing w:before="0" w:after="283"/>
              <w:jc w:val="center"/>
              <w:rPr/>
            </w:pPr>
            <w:hyperlink w:anchor="compincome">
              <w:r>
                <w:rPr>
                  <w:rStyle w:val="InternetLink"/>
                  <w:rFonts w:ascii="Times New Roman;Times;serif" w:hAnsi="Times New Roman;Times;serif"/>
                  <w:sz w:val="20"/>
                </w:rPr>
                <w:t>53</w:t>
              </w:r>
            </w:hyperlink>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 </w:t>
            </w:r>
          </w:p>
        </w:tc>
      </w:tr>
      <w:tr>
        <w:trPr/>
        <w:tc>
          <w:tcPr>
            <w:tcW w:w="9114" w:type="dxa"/>
            <w:tcBorders/>
            <w:vAlign w:val="center"/>
          </w:tcPr>
          <w:p>
            <w:pPr>
              <w:pStyle w:val="TableContents"/>
              <w:bidi w:val="0"/>
              <w:spacing w:before="0" w:after="283"/>
              <w:jc w:val="left"/>
              <w:rPr/>
            </w:pPr>
            <w:hyperlink w:anchor="stockequity">
              <w:r>
                <w:rPr>
                  <w:rStyle w:val="InternetLink"/>
                  <w:rFonts w:ascii="Times New Roman;Times;serif" w:hAnsi="Times New Roman;Times;serif"/>
                  <w:sz w:val="20"/>
                </w:rPr>
                <w:t>Consolidated Statements of Stockholders’ Equity for each of the three years in the period ended December 30, 2023</w:t>
              </w:r>
            </w:hyperlink>
          </w:p>
        </w:tc>
        <w:tc>
          <w:tcPr>
            <w:tcW w:w="1091" w:type="dxa"/>
            <w:tcBorders/>
            <w:vAlign w:val="center"/>
          </w:tcPr>
          <w:p>
            <w:pPr>
              <w:pStyle w:val="TableContents"/>
              <w:bidi w:val="0"/>
              <w:spacing w:before="0" w:after="283"/>
              <w:jc w:val="center"/>
              <w:rPr/>
            </w:pPr>
            <w:hyperlink w:anchor="stockequity">
              <w:r>
                <w:rPr>
                  <w:rStyle w:val="InternetLink"/>
                  <w:rFonts w:ascii="Times New Roman;Times;serif" w:hAnsi="Times New Roman;Times;serif"/>
                  <w:sz w:val="20"/>
                </w:rPr>
                <w:t>54</w:t>
              </w:r>
            </w:hyperlink>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 </w:t>
            </w:r>
          </w:p>
        </w:tc>
      </w:tr>
      <w:tr>
        <w:trPr/>
        <w:tc>
          <w:tcPr>
            <w:tcW w:w="9114" w:type="dxa"/>
            <w:tcBorders/>
            <w:vAlign w:val="center"/>
          </w:tcPr>
          <w:p>
            <w:pPr>
              <w:pStyle w:val="TableContents"/>
              <w:bidi w:val="0"/>
              <w:spacing w:before="0" w:after="283"/>
              <w:jc w:val="left"/>
              <w:rPr/>
            </w:pPr>
            <w:hyperlink w:anchor="cashflows">
              <w:r>
                <w:rPr>
                  <w:rStyle w:val="InternetLink"/>
                  <w:rFonts w:ascii="Times New Roman;Times;serif" w:hAnsi="Times New Roman;Times;serif"/>
                  <w:sz w:val="20"/>
                </w:rPr>
                <w:t>Consolidated Statements of Cash Flows for each of the three years in the period ended December 30, 2023</w:t>
              </w:r>
            </w:hyperlink>
          </w:p>
        </w:tc>
        <w:tc>
          <w:tcPr>
            <w:tcW w:w="1091" w:type="dxa"/>
            <w:tcBorders/>
            <w:vAlign w:val="center"/>
          </w:tcPr>
          <w:p>
            <w:pPr>
              <w:pStyle w:val="TableContents"/>
              <w:bidi w:val="0"/>
              <w:spacing w:before="0" w:after="283"/>
              <w:jc w:val="center"/>
              <w:rPr/>
            </w:pPr>
            <w:hyperlink w:anchor="cashflows">
              <w:r>
                <w:rPr>
                  <w:rStyle w:val="InternetLink"/>
                  <w:rFonts w:ascii="Times New Roman;Times;serif" w:hAnsi="Times New Roman;Times;serif"/>
                  <w:sz w:val="20"/>
                </w:rPr>
                <w:t>55</w:t>
              </w:r>
            </w:hyperlink>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 </w:t>
            </w:r>
          </w:p>
        </w:tc>
      </w:tr>
      <w:tr>
        <w:trPr/>
        <w:tc>
          <w:tcPr>
            <w:tcW w:w="9114" w:type="dxa"/>
            <w:tcBorders/>
            <w:vAlign w:val="center"/>
          </w:tcPr>
          <w:p>
            <w:pPr>
              <w:pStyle w:val="TableContents"/>
              <w:bidi w:val="0"/>
              <w:spacing w:before="0" w:after="283"/>
              <w:jc w:val="left"/>
              <w:rPr/>
            </w:pPr>
            <w:hyperlink w:anchor="notes">
              <w:r>
                <w:rPr>
                  <w:rStyle w:val="InternetLink"/>
                  <w:rFonts w:ascii="Times New Roman;Times;serif" w:hAnsi="Times New Roman;Times;serif"/>
                  <w:sz w:val="20"/>
                </w:rPr>
                <w:t>Notes to Consolidated Financial Statements</w:t>
              </w:r>
            </w:hyperlink>
          </w:p>
        </w:tc>
        <w:tc>
          <w:tcPr>
            <w:tcW w:w="1091" w:type="dxa"/>
            <w:tcBorders/>
            <w:vAlign w:val="center"/>
          </w:tcPr>
          <w:p>
            <w:pPr>
              <w:pStyle w:val="TableContents"/>
              <w:bidi w:val="0"/>
              <w:spacing w:before="0" w:after="283"/>
              <w:jc w:val="center"/>
              <w:rPr/>
            </w:pPr>
            <w:hyperlink w:anchor="notes">
              <w:r>
                <w:rPr>
                  <w:rStyle w:val="InternetLink"/>
                  <w:rFonts w:ascii="Times New Roman;Times;serif" w:hAnsi="Times New Roman;Times;serif"/>
                  <w:sz w:val="20"/>
                </w:rPr>
                <w:t>56</w:t>
              </w:r>
            </w:hyperlink>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 </w:t>
            </w:r>
          </w:p>
        </w:tc>
      </w:tr>
      <w:tr>
        <w:trPr/>
        <w:tc>
          <w:tcPr>
            <w:tcW w:w="9114" w:type="dxa"/>
            <w:tcBorders/>
            <w:vAlign w:val="center"/>
          </w:tcPr>
          <w:p>
            <w:pPr>
              <w:pStyle w:val="TableContents"/>
              <w:bidi w:val="0"/>
              <w:spacing w:before="0" w:after="283"/>
              <w:jc w:val="left"/>
              <w:rPr/>
            </w:pPr>
            <w:hyperlink w:anchor="Audit">
              <w:r>
                <w:rPr>
                  <w:rStyle w:val="InternetLink"/>
                  <w:rFonts w:ascii="Times New Roman;Times;serif" w:hAnsi="Times New Roman;Times;serif"/>
                  <w:sz w:val="20"/>
                </w:rPr>
                <w:t>Report of Independent Registered Public Accounting Firm (PCAOB ID: 42)</w:t>
              </w:r>
            </w:hyperlink>
          </w:p>
        </w:tc>
        <w:tc>
          <w:tcPr>
            <w:tcW w:w="1091" w:type="dxa"/>
            <w:tcBorders/>
            <w:vAlign w:val="center"/>
          </w:tcPr>
          <w:p>
            <w:pPr>
              <w:pStyle w:val="TableContents"/>
              <w:bidi w:val="0"/>
              <w:spacing w:before="0" w:after="283"/>
              <w:jc w:val="center"/>
              <w:rPr/>
            </w:pPr>
            <w:hyperlink w:anchor="Audit">
              <w:r>
                <w:rPr>
                  <w:rStyle w:val="InternetLink"/>
                  <w:rFonts w:ascii="Times New Roman;Times;serif" w:hAnsi="Times New Roman;Times;serif"/>
                  <w:sz w:val="20"/>
                </w:rPr>
                <w:t>87</w:t>
              </w:r>
            </w:hyperlink>
          </w:p>
        </w:tc>
      </w:tr>
    </w:tbl>
    <w:p>
      <w:pPr>
        <w:pStyle w:val="TextBody"/>
        <w:bidi w:val="0"/>
        <w:spacing w:before="0" w:after="0"/>
        <w:ind w:left="0" w:right="0" w:hanging="0"/>
        <w:jc w:val="left"/>
        <w:rPr/>
      </w:pPr>
      <w:r>
        <w:rPr/>
        <w:t> </w:t>
      </w:r>
    </w:p>
    <w:tbl>
      <w:tblPr>
        <w:tblW w:w="2740" w:type="dxa"/>
        <w:jc w:val="left"/>
        <w:tblInd w:w="0" w:type="dxa"/>
        <w:tblLayout w:type="fixed"/>
        <w:tblCellMar>
          <w:top w:w="0" w:type="dxa"/>
          <w:left w:w="0" w:type="dxa"/>
          <w:bottom w:w="0" w:type="dxa"/>
          <w:right w:w="0" w:type="dxa"/>
        </w:tblCellMar>
      </w:tblPr>
      <w:tblGrid>
        <w:gridCol w:w="60"/>
        <w:gridCol w:w="245"/>
        <w:gridCol w:w="24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w:t>
            </w:r>
          </w:p>
        </w:tc>
      </w:tr>
    </w:tbl>
    <w:p>
      <w:pPr>
        <w:pStyle w:val="TextBody"/>
        <w:bidi w:val="0"/>
        <w:spacing w:before="0" w:after="0"/>
        <w:ind w:left="0" w:right="0" w:hanging="0"/>
        <w:jc w:val="left"/>
        <w:rPr/>
      </w:pPr>
      <w:r>
        <w:rPr/>
        <w:t> </w:t>
      </w:r>
    </w:p>
    <w:tbl>
      <w:tblPr>
        <w:tblW w:w="4285" w:type="dxa"/>
        <w:jc w:val="left"/>
        <w:tblInd w:w="0" w:type="dxa"/>
        <w:tblLayout w:type="fixed"/>
        <w:tblCellMar>
          <w:top w:w="0" w:type="dxa"/>
          <w:left w:w="0" w:type="dxa"/>
          <w:bottom w:w="0" w:type="dxa"/>
          <w:right w:w="0" w:type="dxa"/>
        </w:tblCellMar>
      </w:tblPr>
      <w:tblGrid>
        <w:gridCol w:w="4040"/>
        <w:gridCol w:w="245"/>
      </w:tblGrid>
      <w:tr>
        <w:trPr/>
        <w:tc>
          <w:tcPr>
            <w:tcW w:w="4040" w:type="dxa"/>
            <w:tcBorders/>
            <w:vAlign w:val="center"/>
          </w:tcPr>
          <w:p>
            <w:pPr>
              <w:pStyle w:val="TableContents"/>
              <w:bidi w:val="0"/>
              <w:spacing w:before="0" w:after="283"/>
              <w:jc w:val="left"/>
              <w:rPr/>
            </w:pPr>
            <w:hyperlink w:anchor="schedule2">
              <w:r>
                <w:rPr>
                  <w:rStyle w:val="InternetLink"/>
                  <w:rFonts w:ascii="Times New Roman;Times;serif" w:hAnsi="Times New Roman;Times;serif"/>
                  <w:sz w:val="20"/>
                </w:rPr>
                <w:t>Schedule II – Valuation and Qualifying Accounts</w:t>
              </w:r>
            </w:hyperlink>
          </w:p>
        </w:tc>
        <w:tc>
          <w:tcPr>
            <w:tcW w:w="245" w:type="dxa"/>
            <w:tcBorders/>
            <w:vAlign w:val="center"/>
          </w:tcPr>
          <w:p>
            <w:pPr>
              <w:pStyle w:val="TableContents"/>
              <w:bidi w:val="0"/>
              <w:spacing w:before="0" w:after="283"/>
              <w:jc w:val="center"/>
              <w:rPr/>
            </w:pPr>
            <w:hyperlink w:anchor="schedule2">
              <w:r>
                <w:rPr>
                  <w:rStyle w:val="InternetLink"/>
                  <w:rFonts w:ascii="Times New Roman;Times;serif" w:hAnsi="Times New Roman;Times;serif"/>
                  <w:sz w:val="20"/>
                </w:rPr>
                <w:t>94</w:t>
              </w:r>
            </w:hyperlink>
          </w:p>
        </w:tc>
      </w:tr>
    </w:tbl>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 w:hAnsi="Times New Roman"/>
          <w:caps w:val="false"/>
          <w:smallCaps w:val="false"/>
          <w:sz w:val="20"/>
        </w:rPr>
      </w:pPr>
      <w:r>
        <w:rPr>
          <w:rFonts w:ascii="Times New Roman" w:hAnsi="Times New Roman"/>
          <w:caps w:val="false"/>
          <w:smallCaps w:val="false"/>
          <w:sz w:val="20"/>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245"/>
        <w:gridCol w:w="7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 w:hAnsi="Times New Roman"/>
          <w:caps w:val="false"/>
          <w:smallCaps w:val="false"/>
          <w:sz w:val="20"/>
        </w:rPr>
      </w:pPr>
      <w:r>
        <w:rPr>
          <w:rFonts w:ascii="Times New Roman" w:hAnsi="Times New Roman"/>
          <w:caps w:val="false"/>
          <w:smallCaps w:val="false"/>
          <w:sz w:val="20"/>
        </w:rPr>
        <w:t>The exhibits listed under Item 15(b) hereof are filed with, or incorporated by reference into, this Annual Report on Form 10-K.</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764"/>
        <w:gridCol w:w="60"/>
        <w:gridCol w:w="138"/>
        <w:gridCol w:w="941"/>
        <w:gridCol w:w="80"/>
        <w:gridCol w:w="60"/>
        <w:gridCol w:w="138"/>
        <w:gridCol w:w="941"/>
        <w:gridCol w:w="83"/>
      </w:tblGrid>
      <w:tr>
        <w:trPr/>
        <w:tc>
          <w:tcPr>
            <w:tcW w:w="10122" w:type="dxa"/>
            <w:gridSpan w:val="8"/>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29" w:name="balsheet"/>
            <w:bookmarkEnd w:id="29"/>
            <w:r>
              <w:rPr>
                <w:rFonts w:ascii="Times New Roman;Times;serif" w:hAnsi="Times New Roman;Times;serif"/>
                <w:b/>
                <w:caps w:val="false"/>
                <w:smallCaps w:val="false"/>
                <w:sz w:val="20"/>
              </w:rPr>
              <w:t>COHU, INC.</w:t>
            </w:r>
          </w:p>
        </w:tc>
        <w:tc>
          <w:tcPr>
            <w:tcW w:w="83" w:type="dxa"/>
            <w:tcBorders/>
            <w:vAlign w:val="center"/>
          </w:tcPr>
          <w:p>
            <w:pPr>
              <w:pStyle w:val="TableContents"/>
              <w:bidi w:val="0"/>
              <w:spacing w:before="0" w:after="283"/>
              <w:ind w:left="0" w:right="0" w:hanging="0"/>
              <w:jc w:val="left"/>
              <w:rPr/>
            </w:pPr>
            <w:r>
              <w:rPr/>
              <w:t> </w:t>
            </w:r>
          </w:p>
        </w:tc>
      </w:tr>
      <w:tr>
        <w:trPr/>
        <w:tc>
          <w:tcPr>
            <w:tcW w:w="10122" w:type="dxa"/>
            <w:gridSpan w:val="8"/>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BALANCE SHEETS</w:t>
            </w:r>
          </w:p>
        </w:tc>
        <w:tc>
          <w:tcPr>
            <w:tcW w:w="83" w:type="dxa"/>
            <w:tcBorders/>
            <w:vAlign w:val="center"/>
          </w:tcPr>
          <w:p>
            <w:pPr>
              <w:pStyle w:val="TableContents"/>
              <w:bidi w:val="0"/>
              <w:spacing w:before="0" w:after="283"/>
              <w:ind w:left="0" w:right="0" w:hanging="0"/>
              <w:jc w:val="left"/>
              <w:rPr/>
            </w:pPr>
            <w:r>
              <w:rPr/>
              <w:t> </w:t>
            </w:r>
          </w:p>
        </w:tc>
      </w:tr>
      <w:tr>
        <w:trPr/>
        <w:tc>
          <w:tcPr>
            <w:tcW w:w="10122" w:type="dxa"/>
            <w:gridSpan w:val="8"/>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par value)</w:t>
            </w:r>
          </w:p>
        </w:tc>
        <w:tc>
          <w:tcPr>
            <w:tcW w:w="83" w:type="dxa"/>
            <w:tcBorders/>
            <w:vAlign w:val="center"/>
          </w:tcPr>
          <w:p>
            <w:pPr>
              <w:pStyle w:val="TableContents"/>
              <w:bidi w:val="0"/>
              <w:spacing w:before="0" w:after="283"/>
              <w:jc w:val="left"/>
              <w:rPr/>
            </w:pPr>
            <w:r>
              <w:rPr/>
              <w:t> </w:t>
            </w:r>
          </w:p>
        </w:tc>
      </w:tr>
      <w:tr>
        <w:trPr/>
        <w:tc>
          <w:tcPr>
            <w:tcW w:w="77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83" w:type="dxa"/>
            <w:tcBorders/>
            <w:vAlign w:val="center"/>
          </w:tcPr>
          <w:p>
            <w:pPr>
              <w:pStyle w:val="TableContents"/>
              <w:bidi w:val="0"/>
              <w:spacing w:before="0" w:after="283"/>
              <w:ind w:left="0" w:right="0" w:hanging="0"/>
              <w:jc w:val="left"/>
              <w:rPr/>
            </w:pPr>
            <w:r>
              <w:rPr/>
              <w:t> </w:t>
            </w:r>
          </w:p>
        </w:tc>
      </w:tr>
      <w:tr>
        <w:trPr/>
        <w:tc>
          <w:tcPr>
            <w:tcW w:w="776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3" w:type="dxa"/>
            <w:tcBorders/>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242,341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143,235</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176,148</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170,141</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24,017</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764,851</w:t>
            </w:r>
          </w:p>
        </w:tc>
        <w:tc>
          <w:tcPr>
            <w:tcW w:w="83"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65,011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213,539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140,104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21,105</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22,804</w:t>
            </w:r>
          </w:p>
        </w:tc>
        <w:tc>
          <w:tcPr>
            <w:tcW w:w="83"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1,227,414</w:t>
            </w:r>
          </w:p>
        </w:tc>
        <w:tc>
          <w:tcPr>
            <w:tcW w:w="83"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51,763</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6,886</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38,348</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8,022</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26,648</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17,280</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160,872</w:t>
            </w:r>
          </w:p>
        </w:tc>
        <w:tc>
          <w:tcPr>
            <w:tcW w:w="83"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7,620</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income tax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6,486</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10,363</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72,664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19,209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1,000 shares authorized, none issued</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 par value; 90,000 shares authorized, 49,429 shares issued and outstanding in 2023 and 49,276 shares in 2022</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49,276</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Paid-in capital</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686,146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687,218</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2,253 shares in 2023 and 1,767 shares in 2022</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(58,043</w:t>
            </w:r>
          </w:p>
        </w:tc>
        <w:tc>
          <w:tcPr>
            <w:tcW w:w="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7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290,402</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(40,012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64"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928,841</w:t>
            </w:r>
          </w:p>
        </w:tc>
        <w:tc>
          <w:tcPr>
            <w:tcW w:w="83"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1,227,414</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8867" w:type="dxa"/>
        <w:jc w:val="left"/>
        <w:tblInd w:w="0" w:type="dxa"/>
        <w:tblLayout w:type="fixed"/>
        <w:tblCellMar>
          <w:top w:w="0" w:type="dxa"/>
          <w:left w:w="0" w:type="dxa"/>
          <w:bottom w:w="0" w:type="dxa"/>
          <w:right w:w="0" w:type="dxa"/>
        </w:tblCellMar>
      </w:tblPr>
      <w:tblGrid>
        <w:gridCol w:w="5060"/>
        <w:gridCol w:w="60"/>
        <w:gridCol w:w="171"/>
        <w:gridCol w:w="958"/>
        <w:gridCol w:w="80"/>
        <w:gridCol w:w="60"/>
        <w:gridCol w:w="171"/>
        <w:gridCol w:w="958"/>
        <w:gridCol w:w="80"/>
        <w:gridCol w:w="60"/>
        <w:gridCol w:w="171"/>
        <w:gridCol w:w="958"/>
        <w:gridCol w:w="80"/>
      </w:tblGrid>
      <w:tr>
        <w:trPr/>
        <w:tc>
          <w:tcPr>
            <w:tcW w:w="8787" w:type="dxa"/>
            <w:gridSpan w:val="1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30" w:name="stateofincome"/>
            <w:bookmarkEnd w:id="30"/>
            <w:r>
              <w:rPr>
                <w:rFonts w:ascii="Times New Roman;Times;serif" w:hAnsi="Times New Roman;Times;serif"/>
                <w:b/>
                <w:caps w:val="false"/>
                <w:smallCaps w:val="false"/>
                <w:sz w:val="20"/>
              </w:rPr>
              <w:t>COHU, INC.</w:t>
            </w:r>
          </w:p>
        </w:tc>
        <w:tc>
          <w:tcPr>
            <w:tcW w:w="80" w:type="dxa"/>
            <w:tcBorders/>
            <w:vAlign w:val="center"/>
          </w:tcPr>
          <w:p>
            <w:pPr>
              <w:pStyle w:val="TableContents"/>
              <w:bidi w:val="0"/>
              <w:spacing w:before="0" w:after="283"/>
              <w:jc w:val="left"/>
              <w:rPr/>
            </w:pPr>
            <w:r>
              <w:rPr/>
              <w:t> </w:t>
            </w:r>
          </w:p>
        </w:tc>
      </w:tr>
      <w:tr>
        <w:trPr/>
        <w:tc>
          <w:tcPr>
            <w:tcW w:w="8787" w:type="dxa"/>
            <w:gridSpan w:val="1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STATEMENTS OF INCOME</w:t>
            </w:r>
          </w:p>
        </w:tc>
        <w:tc>
          <w:tcPr>
            <w:tcW w:w="80" w:type="dxa"/>
            <w:tcBorders/>
            <w:vAlign w:val="center"/>
          </w:tcPr>
          <w:p>
            <w:pPr>
              <w:pStyle w:val="TableContents"/>
              <w:bidi w:val="0"/>
              <w:spacing w:before="0" w:after="283"/>
              <w:jc w:val="left"/>
              <w:rPr/>
            </w:pPr>
            <w:r>
              <w:rPr/>
              <w:t> </w:t>
            </w:r>
          </w:p>
        </w:tc>
      </w:tr>
      <w:tr>
        <w:trPr/>
        <w:tc>
          <w:tcPr>
            <w:tcW w:w="8787" w:type="dxa"/>
            <w:gridSpan w:val="12"/>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per share amounts)</w:t>
            </w:r>
          </w:p>
        </w:tc>
        <w:tc>
          <w:tcPr>
            <w:tcW w:w="8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6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 ended</w:t>
            </w:r>
          </w:p>
        </w:tc>
        <w:tc>
          <w:tcPr>
            <w:tcW w:w="8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25,</w:t>
            </w:r>
          </w:p>
        </w:tc>
        <w:tc>
          <w:tcPr>
            <w:tcW w:w="8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812,775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887,214</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(1)</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500,253</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91,963</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126,958</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35,414</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PCB Test business (2)</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(Note 4)</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685,696</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201,518</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gain (loss)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taxes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192,344</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25,019</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167,325</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per share: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income per share: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47,409</w:t>
            </w:r>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48,460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Excludes amortization of $28,418, $26,023, and $27,508 for the years ended December 30, 2023, December 31, 2022, and December 25, 2021, respectively.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June 24, 2021 we completed the divestment of our PCB Test business. The divestment of this business did not qualify for presentation as discontinued operations and the results of the PCB Test business are included in continuing operations for all periods presented. See Note 14, “Business Divestitures and Discontinued Operations” for additional information on this transaction and financial statement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7973" w:type="dxa"/>
        <w:jc w:val="left"/>
        <w:tblInd w:w="0" w:type="dxa"/>
        <w:tblLayout w:type="fixed"/>
        <w:tblCellMar>
          <w:top w:w="0" w:type="dxa"/>
          <w:left w:w="0" w:type="dxa"/>
          <w:bottom w:w="0" w:type="dxa"/>
          <w:right w:w="0" w:type="dxa"/>
        </w:tblCellMar>
      </w:tblPr>
      <w:tblGrid>
        <w:gridCol w:w="3995"/>
        <w:gridCol w:w="60"/>
        <w:gridCol w:w="125"/>
        <w:gridCol w:w="1175"/>
        <w:gridCol w:w="80"/>
        <w:gridCol w:w="60"/>
        <w:gridCol w:w="181"/>
        <w:gridCol w:w="948"/>
        <w:gridCol w:w="80"/>
        <w:gridCol w:w="60"/>
        <w:gridCol w:w="171"/>
        <w:gridCol w:w="958"/>
        <w:gridCol w:w="80"/>
      </w:tblGrid>
      <w:tr>
        <w:trPr/>
        <w:tc>
          <w:tcPr>
            <w:tcW w:w="7893" w:type="dxa"/>
            <w:gridSpan w:val="1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31" w:name="compincome"/>
            <w:bookmarkEnd w:id="31"/>
            <w:r>
              <w:rPr>
                <w:rFonts w:ascii="Times New Roman;Times;serif" w:hAnsi="Times New Roman;Times;serif"/>
                <w:b/>
                <w:caps w:val="false"/>
                <w:smallCaps w:val="false"/>
                <w:sz w:val="20"/>
              </w:rPr>
              <w:t>COHU, INC.</w:t>
            </w:r>
          </w:p>
        </w:tc>
        <w:tc>
          <w:tcPr>
            <w:tcW w:w="80" w:type="dxa"/>
            <w:tcBorders/>
            <w:vAlign w:val="center"/>
          </w:tcPr>
          <w:p>
            <w:pPr>
              <w:pStyle w:val="TableContents"/>
              <w:bidi w:val="0"/>
              <w:spacing w:before="0" w:after="283"/>
              <w:ind w:left="0" w:right="0" w:hanging="0"/>
              <w:jc w:val="left"/>
              <w:rPr/>
            </w:pPr>
            <w:r>
              <w:rPr/>
              <w:t> </w:t>
            </w:r>
          </w:p>
        </w:tc>
      </w:tr>
      <w:tr>
        <w:trPr/>
        <w:tc>
          <w:tcPr>
            <w:tcW w:w="7893" w:type="dxa"/>
            <w:gridSpan w:val="1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STATEMENTS OF COMPREHENSIVE INCOME</w:t>
            </w:r>
          </w:p>
        </w:tc>
        <w:tc>
          <w:tcPr>
            <w:tcW w:w="80" w:type="dxa"/>
            <w:tcBorders/>
            <w:vAlign w:val="center"/>
          </w:tcPr>
          <w:p>
            <w:pPr>
              <w:pStyle w:val="TableContents"/>
              <w:bidi w:val="0"/>
              <w:spacing w:before="0" w:after="283"/>
              <w:ind w:left="0" w:right="0" w:hanging="0"/>
              <w:jc w:val="left"/>
              <w:rPr/>
            </w:pPr>
            <w:r>
              <w:rPr/>
              <w:t> </w:t>
            </w:r>
          </w:p>
        </w:tc>
      </w:tr>
      <w:tr>
        <w:trPr/>
        <w:tc>
          <w:tcPr>
            <w:tcW w:w="7893" w:type="dxa"/>
            <w:gridSpan w:val="12"/>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8" w:type="dxa"/>
            <w:gridSpan w:val="10"/>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Years ended</w:t>
            </w:r>
          </w:p>
        </w:tc>
        <w:tc>
          <w:tcPr>
            <w:tcW w:w="8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25,</w:t>
            </w:r>
          </w:p>
        </w:tc>
        <w:tc>
          <w:tcPr>
            <w:tcW w:w="8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vAlign w:val="center"/>
          </w:tcPr>
          <w:p>
            <w:pPr>
              <w:pStyle w:val="TableContents"/>
              <w:bidi w:val="0"/>
              <w:spacing w:before="0" w:after="283"/>
              <w:ind w:left="0" w:right="0" w:hanging="0"/>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167,325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2,602</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gain/loss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Reclassification due to sale of PCB Test business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(22,936</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144,389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959"/>
        <w:gridCol w:w="60"/>
        <w:gridCol w:w="166"/>
        <w:gridCol w:w="789"/>
        <w:gridCol w:w="80"/>
        <w:gridCol w:w="60"/>
        <w:gridCol w:w="125"/>
        <w:gridCol w:w="695"/>
        <w:gridCol w:w="80"/>
        <w:gridCol w:w="60"/>
        <w:gridCol w:w="125"/>
        <w:gridCol w:w="695"/>
        <w:gridCol w:w="60"/>
        <w:gridCol w:w="60"/>
        <w:gridCol w:w="199"/>
        <w:gridCol w:w="1036"/>
        <w:gridCol w:w="80"/>
        <w:gridCol w:w="60"/>
        <w:gridCol w:w="125"/>
        <w:gridCol w:w="650"/>
        <w:gridCol w:w="80"/>
        <w:gridCol w:w="60"/>
        <w:gridCol w:w="125"/>
        <w:gridCol w:w="695"/>
        <w:gridCol w:w="81"/>
      </w:tblGrid>
      <w:tr>
        <w:trPr/>
        <w:tc>
          <w:tcPr>
            <w:tcW w:w="10124" w:type="dxa"/>
            <w:gridSpan w:val="24"/>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32" w:name="stockequity"/>
            <w:bookmarkEnd w:id="32"/>
            <w:r>
              <w:rPr>
                <w:rFonts w:ascii="Times New Roman;Times;serif" w:hAnsi="Times New Roman;Times;serif"/>
                <w:b/>
                <w:caps w:val="false"/>
                <w:smallCaps w:val="false"/>
                <w:sz w:val="20"/>
              </w:rPr>
              <w:t>COHU, INC.</w:t>
            </w:r>
          </w:p>
        </w:tc>
        <w:tc>
          <w:tcPr>
            <w:tcW w:w="81" w:type="dxa"/>
            <w:tcBorders/>
            <w:vAlign w:val="center"/>
          </w:tcPr>
          <w:p>
            <w:pPr>
              <w:pStyle w:val="TableContents"/>
              <w:bidi w:val="0"/>
              <w:spacing w:before="0" w:after="283"/>
              <w:ind w:left="0" w:right="0" w:hanging="0"/>
              <w:jc w:val="left"/>
              <w:rPr/>
            </w:pPr>
            <w:r>
              <w:rPr/>
              <w:t> </w:t>
            </w:r>
          </w:p>
        </w:tc>
      </w:tr>
      <w:tr>
        <w:trPr/>
        <w:tc>
          <w:tcPr>
            <w:tcW w:w="10124" w:type="dxa"/>
            <w:gridSpan w:val="24"/>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CONSOLIDATED STATEMENTS OF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81" w:type="dxa"/>
            <w:tcBorders/>
            <w:vAlign w:val="center"/>
          </w:tcPr>
          <w:p>
            <w:pPr>
              <w:pStyle w:val="TableContents"/>
              <w:bidi w:val="0"/>
              <w:spacing w:before="0" w:after="283"/>
              <w:ind w:left="0" w:right="0" w:hanging="0"/>
              <w:jc w:val="left"/>
              <w:rPr/>
            </w:pPr>
            <w:r>
              <w:rPr/>
              <w:t> </w:t>
            </w:r>
          </w:p>
        </w:tc>
      </w:tr>
      <w:tr>
        <w:trPr/>
        <w:tc>
          <w:tcPr>
            <w:tcW w:w="10124" w:type="dxa"/>
            <w:gridSpan w:val="24"/>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par value and per share amounts)</w:t>
            </w:r>
          </w:p>
        </w:tc>
        <w:tc>
          <w:tcPr>
            <w:tcW w:w="81" w:type="dxa"/>
            <w:tcBorders/>
            <w:vAlign w:val="center"/>
          </w:tcPr>
          <w:p>
            <w:pPr>
              <w:pStyle w:val="TableContents"/>
              <w:bidi w:val="0"/>
              <w:spacing w:before="0" w:after="283"/>
              <w:jc w:val="left"/>
              <w:rPr/>
            </w:pPr>
            <w:r>
              <w:rPr/>
              <w:t> </w:t>
            </w:r>
          </w:p>
        </w:tc>
      </w:tr>
      <w:tr>
        <w:trPr/>
        <w:tc>
          <w:tcPr>
            <w:tcW w:w="39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39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81" w:type="dxa"/>
            <w:tcBorders/>
            <w:vAlign w:val="center"/>
          </w:tcPr>
          <w:p>
            <w:pPr>
              <w:pStyle w:val="TableContents"/>
              <w:bidi w:val="0"/>
              <w:spacing w:before="0" w:after="283"/>
              <w:jc w:val="left"/>
              <w:rPr/>
            </w:pPr>
            <w:r>
              <w:rPr/>
              <w:t> </w:t>
            </w:r>
          </w:p>
        </w:tc>
      </w:tr>
      <w:tr>
        <w:trPr/>
        <w:tc>
          <w:tcPr>
            <w:tcW w:w="39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81" w:type="dxa"/>
            <w:tcBorders/>
            <w:vAlign w:val="center"/>
          </w:tcPr>
          <w:p>
            <w:pPr>
              <w:pStyle w:val="TableContents"/>
              <w:bidi w:val="0"/>
              <w:spacing w:before="0" w:after="283"/>
              <w:jc w:val="left"/>
              <w:rPr/>
            </w:pPr>
            <w:r>
              <w:rPr/>
              <w:t> </w:t>
            </w:r>
          </w:p>
        </w:tc>
      </w:tr>
      <w:tr>
        <w:trPr/>
        <w:tc>
          <w:tcPr>
            <w:tcW w:w="39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81" w:type="dxa"/>
            <w:tcBorders/>
            <w:vAlign w:val="center"/>
          </w:tcPr>
          <w:p>
            <w:pPr>
              <w:pStyle w:val="TableContents"/>
              <w:bidi w:val="0"/>
              <w:spacing w:before="0" w:after="283"/>
              <w:jc w:val="left"/>
              <w:rPr/>
            </w:pPr>
            <w:r>
              <w:rPr/>
              <w:t> </w:t>
            </w:r>
          </w:p>
        </w:tc>
      </w:tr>
      <w:tr>
        <w:trPr/>
        <w:tc>
          <w:tcPr>
            <w:tcW w:w="39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$1 par value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earnings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1" w:type="dxa"/>
            <w:tcBorders/>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26, 2020</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512,288</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(7,324</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167,325</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cumulative translation adjustment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(22,956</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 net of tax</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2,602</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unrealized gains and losses on investments, net of tax</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stock options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2,510</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ESPP</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3,564</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restricted stock units vested</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and retirement of stock</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(10,464</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sale of PCB Test business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14,420</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of common stock, net of issuance costs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223,119</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9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25, 2021</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882,502</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(50,719</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96,847</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cumulative translation adjustment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(17,950</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 net of tax</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unrealized gains and losses on investments, net of tax</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stock options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ESPP</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(5,705</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14,918</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928,841</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(23,641</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28,156</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cumulative translation adjustment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6,815</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 net of tax</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unrealized gains and losses on investments, net of tax</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ESPP</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3,932</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(9,588</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17,237</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9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686,146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318,558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950,170</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426"/>
        <w:gridCol w:w="60"/>
        <w:gridCol w:w="169"/>
        <w:gridCol w:w="948"/>
        <w:gridCol w:w="80"/>
        <w:gridCol w:w="60"/>
        <w:gridCol w:w="158"/>
        <w:gridCol w:w="961"/>
        <w:gridCol w:w="80"/>
        <w:gridCol w:w="60"/>
        <w:gridCol w:w="158"/>
        <w:gridCol w:w="961"/>
        <w:gridCol w:w="84"/>
      </w:tblGrid>
      <w:tr>
        <w:trPr/>
        <w:tc>
          <w:tcPr>
            <w:tcW w:w="10121" w:type="dxa"/>
            <w:gridSpan w:val="1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33" w:name="cashflows"/>
            <w:bookmarkEnd w:id="33"/>
            <w:r>
              <w:rPr>
                <w:rFonts w:ascii="Times New Roman;Times;serif" w:hAnsi="Times New Roman;Times;serif"/>
                <w:b/>
                <w:caps w:val="false"/>
                <w:smallCaps w:val="false"/>
                <w:sz w:val="20"/>
              </w:rPr>
              <w:t>COHU, INC.</w:t>
            </w:r>
          </w:p>
        </w:tc>
        <w:tc>
          <w:tcPr>
            <w:tcW w:w="84" w:type="dxa"/>
            <w:tcBorders/>
            <w:vAlign w:val="center"/>
          </w:tcPr>
          <w:p>
            <w:pPr>
              <w:pStyle w:val="TableContents"/>
              <w:bidi w:val="0"/>
              <w:spacing w:before="0" w:after="283"/>
              <w:ind w:left="0" w:right="0" w:hanging="0"/>
              <w:jc w:val="left"/>
              <w:rPr/>
            </w:pPr>
            <w:r>
              <w:rPr/>
              <w:t> </w:t>
            </w:r>
          </w:p>
        </w:tc>
      </w:tr>
      <w:tr>
        <w:trPr/>
        <w:tc>
          <w:tcPr>
            <w:tcW w:w="10121" w:type="dxa"/>
            <w:gridSpan w:val="1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STATEMENTS OF CASH FLOWS</w:t>
            </w:r>
          </w:p>
        </w:tc>
        <w:tc>
          <w:tcPr>
            <w:tcW w:w="84" w:type="dxa"/>
            <w:tcBorders/>
            <w:vAlign w:val="center"/>
          </w:tcPr>
          <w:p>
            <w:pPr>
              <w:pStyle w:val="TableContents"/>
              <w:bidi w:val="0"/>
              <w:spacing w:before="0" w:after="283"/>
              <w:ind w:left="0" w:right="0" w:hanging="0"/>
              <w:jc w:val="left"/>
              <w:rPr/>
            </w:pPr>
            <w:r>
              <w:rPr/>
              <w:t> </w:t>
            </w:r>
          </w:p>
        </w:tc>
      </w:tr>
      <w:tr>
        <w:trPr/>
        <w:tc>
          <w:tcPr>
            <w:tcW w:w="10121" w:type="dxa"/>
            <w:gridSpan w:val="12"/>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84" w:type="dxa"/>
            <w:tcBorders/>
            <w:vAlign w:val="center"/>
          </w:tcPr>
          <w:p>
            <w:pPr>
              <w:pStyle w:val="TableContents"/>
              <w:bidi w:val="0"/>
              <w:spacing w:before="0" w:after="283"/>
              <w:jc w:val="left"/>
              <w:rPr/>
            </w:pPr>
            <w:r>
              <w:rPr/>
              <w:t> </w:t>
            </w:r>
          </w:p>
        </w:tc>
      </w:tr>
      <w:tr>
        <w:trPr/>
        <w:tc>
          <w:tcPr>
            <w:tcW w:w="64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35"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 ended</w:t>
            </w:r>
          </w:p>
        </w:tc>
        <w:tc>
          <w:tcPr>
            <w:tcW w:w="84" w:type="dxa"/>
            <w:tcBorders/>
            <w:vAlign w:val="center"/>
          </w:tcPr>
          <w:p>
            <w:pPr>
              <w:pStyle w:val="TableContents"/>
              <w:bidi w:val="0"/>
              <w:spacing w:before="0" w:after="283"/>
              <w:jc w:val="left"/>
              <w:rPr/>
            </w:pPr>
            <w:r>
              <w:rPr/>
              <w:t> </w:t>
            </w:r>
          </w:p>
        </w:tc>
      </w:tr>
      <w:tr>
        <w:trPr/>
        <w:tc>
          <w:tcPr>
            <w:tcW w:w="64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25,</w:t>
            </w:r>
          </w:p>
        </w:tc>
        <w:tc>
          <w:tcPr>
            <w:tcW w:w="84" w:type="dxa"/>
            <w:tcBorders/>
            <w:vAlign w:val="center"/>
          </w:tcPr>
          <w:p>
            <w:pPr>
              <w:pStyle w:val="TableContents"/>
              <w:bidi w:val="0"/>
              <w:spacing w:before="0" w:after="283"/>
              <w:jc w:val="left"/>
              <w:rPr/>
            </w:pPr>
            <w:r>
              <w:rPr/>
              <w:t> </w:t>
            </w:r>
          </w:p>
        </w:tc>
      </w:tr>
      <w:tr>
        <w:trPr/>
        <w:tc>
          <w:tcPr>
            <w:tcW w:w="64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4" w:type="dxa"/>
            <w:tcBorders/>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167,325</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business divestitures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(70,815</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capitalized associated with cloud computing implementation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accretion on investments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charges related to indefinite lived intangibles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48,568</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13,792</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related charges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6,523</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discounts and issuance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retiree benefits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accrued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6,746</w:t>
            </w:r>
          </w:p>
        </w:tc>
        <w:tc>
          <w:tcPr>
            <w:tcW w:w="84" w:type="dxa"/>
            <w:tcBorders/>
            <w:shd w:fill="CCEEFF" w:val="clear"/>
            <w:vAlign w:val="center"/>
          </w:tcPr>
          <w:p>
            <w:pPr>
              <w:pStyle w:val="TableContents"/>
              <w:bidi w:val="0"/>
              <w:spacing w:before="0" w:after="283"/>
              <w:jc w:val="left"/>
              <w:rPr/>
            </w:pPr>
            <w:r>
              <w:rPr/>
              <w:t> </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current assets and liabilities, excluding effects from divestitures: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(59,123</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(35,864</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warranty and other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17,316</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3,444</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and 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(6,666</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97,915</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received from sale of land, facility and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short-term investments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(208,856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(204,699</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maturities of short-term investments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135,549</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disposition of business, net of cash paid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120,886</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purchase of MCT, net of cash received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purchase of EQT, net of cash received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r>
      <w:tr>
        <w:trPr/>
        <w:tc>
          <w:tcPr>
            <w:tcW w:w="642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39,893</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revolving line of credit and construction loans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1,376</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long-term debt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(206,069</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issuance (repurchases) of stock, including awards settled in cash</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current and long-term finance lease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treasury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(7,324</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received from issuance of common stock, net of fees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223,119</w:t>
            </w:r>
          </w:p>
        </w:tc>
        <w:tc>
          <w:tcPr>
            <w:tcW w:w="84" w:type="dxa"/>
            <w:tcBorders/>
            <w:shd w:fill="FFFFFF" w:val="clear"/>
            <w:vAlign w:val="center"/>
          </w:tcPr>
          <w:p>
            <w:pPr>
              <w:pStyle w:val="TableContents"/>
              <w:bidi w:val="0"/>
              <w:spacing w:before="0" w:after="283"/>
              <w:jc w:val="left"/>
              <w:rPr/>
            </w:pPr>
            <w:r>
              <w:rPr/>
              <w:t> </w:t>
            </w:r>
          </w:p>
        </w:tc>
      </w:tr>
      <w:tr>
        <w:trPr/>
        <w:tc>
          <w:tcPr>
            <w:tcW w:w="642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6,526</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(3,491</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140,843</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year</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149,358</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290,201</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22,717</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6,253</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64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purchases included in 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6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capitalized as capital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34" w:name="notes"/>
      <w:bookmarkEnd w:id="34"/>
      <w:r>
        <w:rPr>
          <w:rFonts w:ascii="Times New Roman" w:hAnsi="Times New Roman"/>
          <w:b/>
          <w:caps w:val="false"/>
          <w:smallCaps w:val="false"/>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w:t>
            </w:r>
          </w:p>
        </w:tc>
        <w:tc>
          <w:tcPr>
            <w:tcW w:w="3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 xml:space="preserve">Basis of Presentation </w:t>
      </w:r>
      <w:r>
        <w:rPr>
          <w:rFonts w:ascii="Times New Roman" w:hAnsi="Times New Roman"/>
          <w:caps w:val="false"/>
          <w:smallCaps w:val="false"/>
          <w:sz w:val="20"/>
        </w:rPr>
        <w:t xml:space="preserve">– Cohu, Inc. (“Cohu”, “we”, “our”, “us” and the “Company”), through our wholly owned subsidiaries, is a provider of semiconductor test equipment and services. Our consolidated financial statements include the accounts of Cohu and our wholly owned subsidiaries. All intercompany balances and transactions have been eliminated in consolidation. We evaluate the need to consolidate affiliates based on standards set forth in ASC Topic </w:t>
      </w:r>
      <w:r>
        <w:rPr>
          <w:rStyle w:val="Emphasis"/>
          <w:rFonts w:ascii="Times New Roman" w:hAnsi="Times New Roman"/>
          <w:caps w:val="false"/>
          <w:smallCaps w:val="false"/>
          <w:sz w:val="20"/>
        </w:rPr>
        <w:t>810,</w:t>
      </w:r>
      <w:r>
        <w:rPr>
          <w:rFonts w:ascii="Times New Roman" w:hAnsi="Times New Roman"/>
          <w:caps w:val="false"/>
          <w:smallCaps w:val="false"/>
          <w:sz w:val="20"/>
        </w:rPr>
        <w:t xml:space="preserve"> </w:t>
      </w:r>
      <w:r>
        <w:rPr>
          <w:rFonts w:ascii="Times New Roman" w:hAnsi="Times New Roman"/>
          <w:i/>
          <w:caps w:val="false"/>
          <w:smallCaps w:val="false"/>
          <w:sz w:val="20"/>
        </w:rPr>
        <w:t>Consolidation</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810”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Our fiscal years are based on a </w:t>
      </w:r>
      <w:r>
        <w:rPr>
          <w:rStyle w:val="Emphasis"/>
          <w:rFonts w:ascii="Times New Roman" w:hAnsi="Times New Roman"/>
          <w:caps w:val="false"/>
          <w:smallCaps w:val="false"/>
          <w:sz w:val="20"/>
        </w:rPr>
        <w:t>52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53</w:t>
      </w:r>
      <w:r>
        <w:rPr>
          <w:rFonts w:ascii="Times New Roman" w:hAnsi="Times New Roman"/>
          <w:caps w:val="false"/>
          <w:smallCaps w:val="false"/>
          <w:sz w:val="20"/>
        </w:rPr>
        <w:t xml:space="preserve">-week period ending on the last Saturday in </w:t>
      </w:r>
      <w:r>
        <w:rPr>
          <w:rStyle w:val="Emphasis"/>
          <w:rFonts w:ascii="Times New Roman" w:hAnsi="Times New Roman"/>
          <w:caps w:val="false"/>
          <w:smallCaps w:val="false"/>
          <w:sz w:val="20"/>
        </w:rPr>
        <w:t xml:space="preserve">December. </w:t>
      </w:r>
      <w:r>
        <w:rPr>
          <w:rFonts w:ascii="Times New Roman" w:hAnsi="Times New Roman"/>
          <w:caps w:val="false"/>
          <w:smallCaps w:val="false"/>
          <w:sz w:val="20"/>
        </w:rPr>
        <w:t xml:space="preserve">Our fiscal years ended on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25, 2021, </w:t>
      </w:r>
      <w:r>
        <w:rPr>
          <w:rFonts w:ascii="Times New Roman" w:hAnsi="Times New Roman"/>
          <w:caps w:val="false"/>
          <w:smallCaps w:val="false"/>
          <w:sz w:val="20"/>
        </w:rPr>
        <w:t xml:space="preserve">each consisted of </w:t>
      </w:r>
      <w:r>
        <w:rPr>
          <w:rStyle w:val="Emphasis"/>
          <w:rFonts w:ascii="Times New Roman" w:hAnsi="Times New Roman"/>
          <w:caps w:val="false"/>
          <w:smallCaps w:val="false"/>
          <w:sz w:val="20"/>
        </w:rPr>
        <w:t>52</w:t>
      </w:r>
      <w:r>
        <w:rPr>
          <w:rFonts w:ascii="Times New Roman" w:hAnsi="Times New Roman"/>
          <w:caps w:val="false"/>
          <w:smallCaps w:val="false"/>
          <w:sz w:val="20"/>
        </w:rPr>
        <w:t xml:space="preserve"> weeks. Our fiscal year ended on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consisted of </w:t>
      </w:r>
      <w:r>
        <w:rPr>
          <w:rStyle w:val="Emphasis"/>
          <w:rFonts w:ascii="Times New Roman" w:hAnsi="Times New Roman"/>
          <w:caps w:val="false"/>
          <w:smallCaps w:val="false"/>
          <w:sz w:val="20"/>
        </w:rPr>
        <w:t>53</w:t>
      </w:r>
      <w:r>
        <w:rPr>
          <w:rFonts w:ascii="Times New Roman" w:hAnsi="Times New Roman"/>
          <w:caps w:val="false"/>
          <w:smallCaps w:val="false"/>
          <w:sz w:val="20"/>
        </w:rPr>
        <w:t xml:space="preserve">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 xml:space="preserve">Business Divestitures </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June 24, 2021, </w:t>
      </w:r>
      <w:r>
        <w:rPr>
          <w:rFonts w:ascii="Times New Roman" w:hAnsi="Times New Roman"/>
          <w:caps w:val="false"/>
          <w:smallCaps w:val="false"/>
          <w:sz w:val="20"/>
        </w:rPr>
        <w:t xml:space="preserve">we completed the sale of our PCB Test business, which represented our PCB Test segment. As part of the transaction we also sold certain intellectual property held by our Semiconductor Test &amp; Inspection segment that is utilized by the PCB Test business. Our decision to sell this non-core business and assets resulted from management’s determination that that it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fit within the core business of our organization which is delivering leading-edge solutions for the manufacturing of semiconductors through back-end semiconductor equipment and services. See Note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w:t>
      </w:r>
      <w:r>
        <w:rPr>
          <w:rFonts w:ascii="Times New Roman" w:hAnsi="Times New Roman"/>
          <w:i/>
          <w:caps w:val="false"/>
          <w:smallCaps w:val="false"/>
          <w:sz w:val="20"/>
        </w:rPr>
        <w:t>Business Divestitures</w:t>
      </w:r>
      <w:r>
        <w:rPr>
          <w:rFonts w:ascii="Times New Roman" w:hAnsi="Times New Roman"/>
          <w:caps w:val="false"/>
          <w:smallCaps w:val="false"/>
          <w:sz w:val="20"/>
        </w:rPr>
        <w: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 xml:space="preserve">Income Per Share </w:t>
      </w:r>
      <w:r>
        <w:rPr>
          <w:rFonts w:ascii="Times New Roman" w:hAnsi="Times New Roman"/>
          <w:caps w:val="false"/>
          <w:smallCaps w:val="false"/>
          <w:sz w:val="20"/>
        </w:rPr>
        <w:t xml:space="preserve">– Basic income per common share is computed by dividing net income by the weighted-average number of common shares outstanding during the reporting period. Diluted income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stock options with exercise prices that exceed the average fair market value of our common stock for the period are excluded. For the years ended </w:t>
      </w:r>
      <w:r>
        <w:rPr>
          <w:rStyle w:val="Emphasis"/>
          <w:rFonts w:ascii="Times New Roman" w:hAnsi="Times New Roman"/>
          <w:caps w:val="false"/>
          <w:smallCaps w:val="false"/>
          <w:sz w:val="20"/>
        </w:rPr>
        <w:t xml:space="preserve">December 30, 2023,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25, 2021, </w:t>
      </w:r>
      <w:r>
        <w:rPr>
          <w:rFonts w:ascii="Times New Roman" w:hAnsi="Times New Roman"/>
          <w:caps w:val="false"/>
          <w:smallCaps w:val="false"/>
          <w:sz w:val="20"/>
        </w:rPr>
        <w:t>approximately 193,000, 261,000, and 180,000 shares, respectively, of potentially issuable shares of our common stock were excluded from the computation.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reconciles the denominators used in computing basic and diluted income per share:</w:t>
      </w:r>
    </w:p>
    <w:p>
      <w:pPr>
        <w:pStyle w:val="TextBody"/>
        <w:bidi w:val="0"/>
        <w:spacing w:before="0" w:after="0"/>
        <w:ind w:left="0" w:right="0" w:hanging="0"/>
        <w:jc w:val="left"/>
        <w:rPr>
          <w:caps w:val="false"/>
          <w:smallCaps w:val="false"/>
        </w:rPr>
      </w:pPr>
      <w:r>
        <w:rPr>
          <w:caps w:val="false"/>
          <w:smallCaps w:val="false"/>
        </w:rPr>
        <w:t> </w:t>
      </w:r>
    </w:p>
    <w:tbl>
      <w:tblPr>
        <w:tblW w:w="6920" w:type="dxa"/>
        <w:jc w:val="left"/>
        <w:tblInd w:w="0" w:type="dxa"/>
        <w:tblLayout w:type="fixed"/>
        <w:tblCellMar>
          <w:top w:w="0" w:type="dxa"/>
          <w:left w:w="0" w:type="dxa"/>
          <w:bottom w:w="28" w:type="dxa"/>
          <w:right w:w="0" w:type="dxa"/>
        </w:tblCellMar>
      </w:tblPr>
      <w:tblGrid>
        <w:gridCol w:w="4610"/>
        <w:gridCol w:w="60"/>
        <w:gridCol w:w="60"/>
        <w:gridCol w:w="590"/>
        <w:gridCol w:w="60"/>
        <w:gridCol w:w="60"/>
        <w:gridCol w:w="60"/>
        <w:gridCol w:w="590"/>
        <w:gridCol w:w="60"/>
        <w:gridCol w:w="60"/>
        <w:gridCol w:w="60"/>
        <w:gridCol w:w="590"/>
        <w:gridCol w:w="60"/>
      </w:tblGrid>
      <w:tr>
        <w:trPr/>
        <w:tc>
          <w:tcPr>
            <w:tcW w:w="46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47,409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stock options and restricted stock units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48,460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Cash, Cash Equivalents and Short-term Investments</w:t>
      </w:r>
      <w:r>
        <w:rPr>
          <w:rFonts w:ascii="Times New Roman" w:hAnsi="Times New Roman"/>
          <w:caps w:val="false"/>
          <w:smallCaps w:val="false"/>
          <w:sz w:val="20"/>
        </w:rPr>
        <w:t xml:space="preserve"> – Highly liquid investments with insignificant interest rate risk and original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are classified as cash and cash equivalents. Investments with maturities greater than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are classified as short-term investments. All of our short-term investments in debt securities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Accordingly, investments with contractual maturities greater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have been classified as current assets in the accompanying consolidated balance sheets.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 xml:space="preserve"> – The carrying amounts of our financial instruments, including cash and cash equivalents, accounts receivable, accounts payable and accrued expenses, approximate fair value due to the short maturities of these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b/>
          <w:caps w:val="false"/>
          <w:smallCaps w:val="false"/>
          <w:sz w:val="20"/>
        </w:rPr>
        <w:t>Concentration of Credit Risk</w:t>
      </w:r>
      <w:r>
        <w:rPr>
          <w:rFonts w:ascii="Times New Roman" w:hAnsi="Times New Roman"/>
          <w:caps w:val="false"/>
          <w:smallCaps w:val="false"/>
          <w:sz w:val="20"/>
        </w:rPr>
        <w:t xml:space="preserve"> – Financial instruments that potentially subject us to significant credit risk consist principally of cash equivalents, short-term investments and trade accounts receivable. We invest in a variety of financial instruments and, by policy, limit the amount of credit exposure with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Our trade accounts receivable are presented net of an allowance for credit losses, which is determined in accordance with the guidance provided by ASC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Financial Instruments-Credit Losses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Our customers include semiconductor manufacturers and semiconductor test subcontractors throughout many areas of the world. While we believe that our allowance for credit losses is adequate and represents our best estimate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will continue to monitor customer liquidity and other economic conditions,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changes to our estimates regarding expected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Inventories</w:t>
      </w:r>
      <w:r>
        <w:rPr>
          <w:rFonts w:ascii="Times New Roman" w:hAnsi="Times New Roman"/>
          <w:caps w:val="false"/>
          <w:smallCaps w:val="false"/>
          <w:sz w:val="20"/>
        </w:rPr>
        <w:t xml:space="preserve"> – Inventories are stated at the lower of cost, determined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or net realizable value. Cost includes labor, material and overhead costs. Determining the net realizable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 Charges to cost of sales for excess and obsolete inventories totaled $4.5 million, $7.2 million and $7.1 million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Inventories by category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08" w:type="dxa"/>
        <w:jc w:val="left"/>
        <w:tblInd w:w="0" w:type="dxa"/>
        <w:tblLayout w:type="fixed"/>
        <w:tblCellMar>
          <w:top w:w="0" w:type="dxa"/>
          <w:left w:w="0" w:type="dxa"/>
          <w:bottom w:w="0" w:type="dxa"/>
          <w:right w:w="0" w:type="dxa"/>
        </w:tblCellMar>
      </w:tblPr>
      <w:tblGrid>
        <w:gridCol w:w="2810"/>
        <w:gridCol w:w="60"/>
        <w:gridCol w:w="171"/>
        <w:gridCol w:w="958"/>
        <w:gridCol w:w="60"/>
        <w:gridCol w:w="60"/>
        <w:gridCol w:w="171"/>
        <w:gridCol w:w="958"/>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 and purchased parts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106,041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36,024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28,076</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170,141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Property, Plant and Equipment</w:t>
      </w:r>
      <w:r>
        <w:rPr>
          <w:rFonts w:ascii="Times New Roman" w:hAnsi="Times New Roman"/>
          <w:caps w:val="false"/>
          <w:smallCaps w:val="false"/>
          <w:sz w:val="20"/>
        </w:rPr>
        <w:t xml:space="preserve"> – Depreciation and amortization of property, plant and equipment, both owned and under financing lease, is calculated principally on the straight</w:t>
        <w:noBreakHyphen/>
        <w:t xml:space="preserve">line method based on estimated useful lives of thirty to forty years for buildings, five to fifteen years for building improvements, three to ten years for machinery, equipment and software and the lease life for financing leases. Land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depreciated.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Property, plant and equipment, at cost, consisted of the following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488" w:type="dxa"/>
        <w:jc w:val="left"/>
        <w:tblInd w:w="0" w:type="dxa"/>
        <w:tblLayout w:type="fixed"/>
        <w:tblCellMar>
          <w:top w:w="0" w:type="dxa"/>
          <w:left w:w="0" w:type="dxa"/>
          <w:bottom w:w="0" w:type="dxa"/>
          <w:right w:w="0" w:type="dxa"/>
        </w:tblCellMar>
      </w:tblPr>
      <w:tblGrid>
        <w:gridCol w:w="3950"/>
        <w:gridCol w:w="60"/>
        <w:gridCol w:w="171"/>
        <w:gridCol w:w="958"/>
        <w:gridCol w:w="80"/>
        <w:gridCol w:w="60"/>
        <w:gridCol w:w="171"/>
        <w:gridCol w:w="958"/>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and 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building improvements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31,161</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105,109</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143,336</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65,011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Depreciation expense was $13.4 million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$12.8 million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$13.2 million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decrease in depreciation expense between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recognized is a result of assets becoming fully depreciated.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Cloud Computing Implementation Costs</w:t>
      </w:r>
      <w:r>
        <w:rPr>
          <w:rFonts w:ascii="Times New Roman" w:hAnsi="Times New Roman"/>
          <w:caps w:val="false"/>
          <w:smallCaps w:val="false"/>
          <w:sz w:val="20"/>
        </w:rPr>
        <w:t xml:space="preserve"> – We have capitalized certain costs associated with the implementation of our new cloud-based Enterprise Resource Planning (“ERP”) system in accordance with ASC Topic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 xml:space="preserve">Goodwill and Other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350”</w:t>
      </w:r>
      <w:r>
        <w:rPr>
          <w:rFonts w:ascii="Times New Roman" w:hAnsi="Times New Roman"/>
          <w:caps w:val="false"/>
          <w:smallCaps w:val="false"/>
          <w:sz w:val="20"/>
        </w:rPr>
        <w:t>). Capitalized costs include only external direct costs of materials and services consumed in developing the system and interest costs incurred, when material, while developing the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Total unamortized capitalized cloud computing implementation costs totaled $12.2 million and $14.7 million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respectively. These amounts are recorded within other assets in our consolidated balance sheets. Implementation costs are amortized using the straight-line method over seven years and we recorded $2.8 million and $2.1 million in amortization expense during the years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b/>
          <w:caps w:val="false"/>
          <w:smallCaps w:val="false"/>
          <w:sz w:val="20"/>
        </w:rPr>
        <w:t>Segment Information</w:t>
      </w:r>
      <w:r>
        <w:rPr>
          <w:rFonts w:ascii="Times New Roman" w:hAnsi="Times New Roman"/>
          <w:caps w:val="false"/>
          <w:smallCaps w:val="false"/>
          <w:sz w:val="20"/>
        </w:rPr>
        <w:t xml:space="preserve"> – We applied the provisions of ASC Topic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w:t>
      </w:r>
      <w:r>
        <w:rPr>
          <w:rFonts w:ascii="Times New Roman" w:hAnsi="Times New Roman"/>
          <w:i/>
          <w:caps w:val="false"/>
          <w:smallCaps w:val="false"/>
          <w:sz w:val="20"/>
        </w:rPr>
        <w:t>Segment Reporting</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due to similarities in their customers, their economic characteristics, and the nature of products and services provided. As a result, we report in one segment, Semiconductor Test &amp; Inspection. Prior to the sale of our PCB Test business on </w:t>
      </w:r>
      <w:r>
        <w:rPr>
          <w:rStyle w:val="Emphasis"/>
          <w:rFonts w:ascii="Times New Roman" w:hAnsi="Times New Roman"/>
          <w:caps w:val="false"/>
          <w:smallCaps w:val="false"/>
          <w:sz w:val="20"/>
        </w:rPr>
        <w:t xml:space="preserve">June 24, 2021, </w:t>
      </w:r>
      <w:r>
        <w:rPr>
          <w:rFonts w:ascii="Times New Roman" w:hAnsi="Times New Roman"/>
          <w:caps w:val="false"/>
          <w:smallCaps w:val="false"/>
          <w:sz w:val="20"/>
        </w:rPr>
        <w:t>we reported in two segments, Semiconductor Test &amp; Inspection and PCB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Goodwill, Purchased Intangible Assets and Other Long-lived Assets</w:t>
      </w:r>
      <w:r>
        <w:rPr>
          <w:rFonts w:ascii="Times New Roman" w:hAnsi="Times New Roman"/>
          <w:caps w:val="false"/>
          <w:smallCaps w:val="false"/>
          <w:sz w:val="20"/>
        </w:rPr>
        <w:t xml:space="preserve"> – We evaluate goodwill and other indefinite-lived intangible assets, which are solely comprised of in-process research and development (“IPR&amp;D”), for impairment annually and when an event occurs or circumstances change that indicate that the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We test goodwill for impairment by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comparing the book value of net assets to the fair value of the reporting unit or, in the case of in-process research and development, to the fair value of the asset. If the fair value is determined to be less than the book value,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step is performed to compute the amount of impairment as the difference between the fair value of the reporting unit and its carrying value,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the carrying value of goodwill. We estimated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in order to obtain an indication of value. We then apply a </w:t>
      </w:r>
      <w:r>
        <w:rPr>
          <w:rStyle w:val="Emphasis"/>
          <w:rFonts w:ascii="Times New Roman" w:hAnsi="Times New Roman"/>
          <w:caps w:val="false"/>
          <w:smallCaps w:val="false"/>
          <w:sz w:val="20"/>
        </w:rPr>
        <w:t>50/50</w:t>
      </w:r>
      <w:r>
        <w:rPr>
          <w:rFonts w:ascii="Times New Roman" w:hAnsi="Times New Roman"/>
          <w:caps w:val="false"/>
          <w:smallCaps w:val="false"/>
          <w:sz w:val="20"/>
        </w:rPr>
        <w:t xml:space="preserve">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conduct our annual impairment test as of </w:t>
      </w:r>
      <w:r>
        <w:rPr>
          <w:rStyle w:val="Emphasis"/>
          <w:rFonts w:ascii="Times New Roman" w:hAnsi="Times New Roman"/>
          <w:caps w:val="false"/>
          <w:smallCaps w:val="false"/>
          <w:sz w:val="20"/>
        </w:rPr>
        <w:t>October 1st</w:t>
      </w:r>
      <w:r>
        <w:rPr>
          <w:rFonts w:ascii="Times New Roman" w:hAnsi="Times New Roman"/>
          <w:caps w:val="false"/>
          <w:smallCaps w:val="false"/>
          <w:sz w:val="20"/>
        </w:rPr>
        <w:t xml:space="preserve"> of each year, and have determined there was no impairment as of </w:t>
      </w:r>
      <w:r>
        <w:rPr>
          <w:rStyle w:val="Emphasis"/>
          <w:rFonts w:ascii="Times New Roman" w:hAnsi="Times New Roman"/>
          <w:caps w:val="false"/>
          <w:smallCaps w:val="false"/>
          <w:sz w:val="20"/>
        </w:rPr>
        <w:t>October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as we determined that the estimated fair values of our reporting units exceeded their carrying values on that date. Other events and changes in circumstances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require goodwill to be tested for impairment between annual measurement dates.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circumstances have occurred that indicate impairment of our goodwill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the event we determine that an interim goodwill impairment review is required, in a future period, the review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an impairment charge, which would have a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Long-lived assets are reviewed for impairment whenever events or changes in circumstances indicate that the carrying amount of the assets might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For long-lived assets, impairment losses are only recorded if the asset’s carrying amount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through its undiscounted, probability-weighted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rPr>
        <w:t>Product Warranty</w:t>
      </w:r>
      <w:r>
        <w:rPr>
          <w:rFonts w:ascii="Times New Roman" w:hAnsi="Times New Roman"/>
          <w:caps w:val="false"/>
          <w:smallCaps w:val="false"/>
          <w:sz w:val="20"/>
        </w:rPr>
        <w:t xml:space="preserve"> – Product warranty costs are accrued in the period sales are recognized. Our products are generally sold with standard warranty periods, which differ by product, ranging from 12 to 36 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b/>
          <w:caps w:val="false"/>
          <w:smallCaps w:val="false"/>
          <w:sz w:val="20"/>
        </w:rPr>
        <w:t>Income Taxes</w:t>
      </w:r>
      <w:r>
        <w:rPr>
          <w:rFonts w:ascii="Times New Roman" w:hAnsi="Times New Roman"/>
          <w:caps w:val="false"/>
          <w:smallCaps w:val="false"/>
          <w:sz w:val="20"/>
        </w:rPr>
        <w:t xml:space="preserve"> – We assess our income tax positions and record tax benefits for all years subject to examination based upon management’s evaluation of the facts, circumstances and information available at the reporting dates. For those tax positions where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 tax benefit will be sustained, we have recorded the largest amount of tax benefit with a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percent likelihood of being realized upon ultimate settlement with a taxing authority that has full knowledge of all relevant information. For those income tax positions where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 tax benefit will be sustained,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tax benefit has been recognized in the financial statements. Where applicable, associated interest and penalties have also been recognized and recorded, net of federal and state tax benefits,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recognized deferred tax assets and liabilities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for those jurisdictions when necessary to reduce deferred tax assets to the amounts that are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realized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rPr>
        <w:t>Contingencies and Litigation</w:t>
      </w:r>
      <w:r>
        <w:rPr>
          <w:rFonts w:ascii="Times New Roman" w:hAnsi="Times New Roman"/>
          <w:caps w:val="false"/>
          <w:smallCaps w:val="false"/>
          <w:sz w:val="20"/>
        </w:rPr>
        <w:t xml:space="preserve"> – We assess the probability of adverse judgments in connection with current and threatened litigation. We would accrue the cost of an adverse judgment if, in our estimation, the adverse outcome is probable, and we can reasonably estimate the ultimate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rPr>
        <w:t>Leases</w:t>
      </w:r>
      <w:r>
        <w:rPr>
          <w:rFonts w:ascii="Times New Roman" w:hAnsi="Times New Roman"/>
          <w:caps w:val="false"/>
          <w:smallCaps w:val="false"/>
          <w:sz w:val="20"/>
        </w:rPr>
        <w:t xml:space="preserve"> – We determine if a contract contains a lease at inception. Operating leases are included in operating lease right of use (“ROU”) assets, current other accrued liabilities, and long-term lease liabilities on our consolidated balance sheets. Finance leases are included in property, plant and equipment, other current accrued liabilities, and long-term lease liabilities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Operating lease ROU assets and operating lease liabilities are recognized based on the present value of the future minimum lease payments over the lease term at the adoption date of </w:t>
      </w:r>
      <w:r>
        <w:rPr>
          <w:rStyle w:val="Emphasis"/>
          <w:rFonts w:ascii="Times New Roman" w:hAnsi="Times New Roman"/>
          <w:caps w:val="false"/>
          <w:smallCaps w:val="false"/>
          <w:sz w:val="20"/>
        </w:rPr>
        <w:t xml:space="preserve">January 1, 2019, </w:t>
      </w:r>
      <w:r>
        <w:rPr>
          <w:rFonts w:ascii="Times New Roman" w:hAnsi="Times New Roman"/>
          <w:caps w:val="false"/>
          <w:smallCaps w:val="false"/>
          <w:sz w:val="20"/>
        </w:rPr>
        <w:t xml:space="preserve">or the commencement date for leases entered into after the adoption date. As most of our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 implicit rate, we use our incremental borrowing rates for the remaining lease terms based on the information available at the adoption date or commencement date in determining the present value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Leases with an initial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sublease certain leased assets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mainly as a result of unused space in our facilities.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our subleases contain extension options. Variable lease payments in our subleases include tax payments that are based on prevailing rates. We account for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Revenue Recognition</w:t>
      </w:r>
      <w:r>
        <w:rPr>
          <w:rFonts w:ascii="Times New Roman" w:hAnsi="Times New Roman"/>
          <w:caps w:val="false"/>
          <w:smallCaps w:val="false"/>
          <w:sz w:val="20"/>
        </w:rPr>
        <w:t xml:space="preserve"> – 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non-system products or the completion of services. In circumstances where control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transferred until destination or acceptance, we defer revenue recognition until such events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caps w:val="false"/>
          <w:smallCaps w:val="false"/>
          <w:sz w:val="20"/>
        </w:rPr>
        <w:t xml:space="preserve">Revenue for established products that have previously satisfied a customer’s acceptance requirements is generally recognized upon shipment. In cases where a prior history of customer acceptance cannot be demonstrated or from sales where customer payment dates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determinable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Certain of our equipment sales have multiple performance obligations. These arrangements involve the delivery or performance of multiple performance obligations, and transfer of control of performance obligations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Unsatisfied performance obligations primarily represent contracts for products with future delivery dates.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we had $6.2 million and $7.1 million of revenue expected to be recognized in the future related to performance obligations that are unsatisfied (or partially unsatisfied) for contracts with original expected durations of over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respectively. As allowed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we have opted to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disclose unsatisfied performance obligations for contracts with original expected durations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w:t>
      </w:r>
      <w:r>
        <w:rPr>
          <w:rStyle w:val="Emphasis"/>
          <w:rFonts w:ascii="Times New Roman" w:hAnsi="Times New Roman"/>
          <w:caps w:val="false"/>
          <w:smallCaps w:val="false"/>
          <w:sz w:val="20"/>
        </w:rPr>
        <w:t>460,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Guarantees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460”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 a separate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transaction price reflects our expectations about the consideration we will be entitled to receive from the customer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when the uncertainty associated with the variable consideration is subsequently resolved. Variable consideration that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revenue recognition criteria is deferred.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Our contracts are typically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in duration and we have elected to use the practical expedient available in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to expense cost to obtain contracts as they are incurred because they would be amortized over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Accounts receivable represent our unconditional right to receive consideration from our customers. Payments terms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invoice date and therefore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 significant financing component. To date, there have been no material impairment losses on accounts receivable. There were no material contract assets recorded on the consolidated balance sheet in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On shipments where sales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had deferred revenue totaling approximately $8.8 million, current deferred profit of $3.6 million and deferred profit expected to be recognized after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included in noncurrent other accrued liabilities of $4.9 million.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we had deferred revenue totaling approximately $16.1 million, current deferred profit of $8.0 million and deferred profit expected to be recognized after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included in noncurrent other accrued liabilities of $5.5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Disaggregated net sales by segment are as follows:</w:t>
      </w:r>
    </w:p>
    <w:p>
      <w:pPr>
        <w:pStyle w:val="TextBody"/>
        <w:bidi w:val="0"/>
        <w:spacing w:before="0" w:after="0"/>
        <w:ind w:left="0" w:right="0" w:hanging="0"/>
        <w:jc w:val="left"/>
        <w:rPr>
          <w:caps w:val="false"/>
          <w:smallCaps w:val="false"/>
        </w:rPr>
      </w:pPr>
      <w:r>
        <w:rPr>
          <w:caps w:val="false"/>
          <w:smallCaps w:val="false"/>
        </w:rPr>
        <w:t> </w:t>
      </w:r>
    </w:p>
    <w:tbl>
      <w:tblPr>
        <w:tblW w:w="6650" w:type="dxa"/>
        <w:jc w:val="left"/>
        <w:tblInd w:w="0" w:type="dxa"/>
        <w:tblLayout w:type="fixed"/>
        <w:tblCellMar>
          <w:top w:w="0" w:type="dxa"/>
          <w:left w:w="0" w:type="dxa"/>
          <w:bottom w:w="28" w:type="dxa"/>
          <w:right w:w="0" w:type="dxa"/>
        </w:tblCellMar>
      </w:tblPr>
      <w:tblGrid>
        <w:gridCol w:w="3830"/>
        <w:gridCol w:w="60"/>
        <w:gridCol w:w="125"/>
        <w:gridCol w:w="695"/>
        <w:gridCol w:w="60"/>
        <w:gridCol w:w="60"/>
        <w:gridCol w:w="125"/>
        <w:gridCol w:w="695"/>
        <w:gridCol w:w="60"/>
        <w:gridCol w:w="60"/>
        <w:gridCol w:w="125"/>
        <w:gridCol w:w="695"/>
        <w:gridCol w:w="60"/>
      </w:tblGrid>
      <w:tr>
        <w:trPr/>
        <w:tc>
          <w:tcPr>
            <w:tcW w:w="38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Systems-Semiconductor Test &amp; Inspection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326,448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474,655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541,589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Non-systems-Semiconductor Test &amp; Inspection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309,874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318,865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Systems-PCB Test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Non-systems-PCB Test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887,214</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Advertising Costs</w:t>
      </w:r>
      <w:r>
        <w:rPr>
          <w:rFonts w:ascii="Times New Roman" w:hAnsi="Times New Roman"/>
          <w:caps w:val="false"/>
          <w:smallCaps w:val="false"/>
          <w:sz w:val="20"/>
        </w:rPr>
        <w:t xml:space="preserve"> – Advertising costs are expensed as incurred and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Restructuring Costs</w:t>
      </w:r>
      <w:r>
        <w:rPr>
          <w:rFonts w:ascii="Times New Roman" w:hAnsi="Times New Roman"/>
          <w:caps w:val="false"/>
          <w:smallCaps w:val="false"/>
          <w:sz w:val="20"/>
        </w:rPr>
        <w:t xml:space="preserve"> – We record restructuring activities including costs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termination benefits in accordance with ASC Topic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Exit or Disposal Cost Obligations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420”</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The timing of recognition for severance costs accounted for under ASC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w:t>
      </w:r>
      <w:r>
        <w:rPr>
          <w:rStyle w:val="Emphasis"/>
          <w:rFonts w:ascii="Times New Roman" w:hAnsi="Times New Roman"/>
          <w:caps w:val="false"/>
          <w:smallCaps w:val="false"/>
          <w:sz w:val="20"/>
        </w:rPr>
        <w:t>712,</w:t>
      </w:r>
      <w:r>
        <w:rPr>
          <w:rFonts w:ascii="Times New Roman" w:hAnsi="Times New Roman"/>
          <w:caps w:val="false"/>
          <w:smallCaps w:val="false"/>
          <w:sz w:val="20"/>
        </w:rPr>
        <w:t xml:space="preserve"> </w:t>
      </w:r>
      <w:r>
        <w:rPr>
          <w:rFonts w:ascii="Times New Roman" w:hAnsi="Times New Roman"/>
          <w:i/>
          <w:caps w:val="false"/>
          <w:smallCaps w:val="false"/>
          <w:sz w:val="20"/>
        </w:rPr>
        <w:t>Nonretirement Postemployment Benefits.</w:t>
      </w:r>
      <w:r>
        <w:rPr>
          <w:rFonts w:ascii="Times New Roman" w:hAnsi="Times New Roman"/>
          <w:caps w:val="false"/>
          <w:smallCaps w:val="false"/>
          <w:sz w:val="20"/>
        </w:rPr>
        <w:t xml:space="preserve"> These costs are recognized when management has committed to a restructuring plan and the severance costs are probable and estimable.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Debt Issuance Costs</w:t>
      </w:r>
      <w:r>
        <w:rPr>
          <w:rFonts w:ascii="Times New Roman" w:hAnsi="Times New Roman"/>
          <w:caps w:val="false"/>
          <w:smallCaps w:val="false"/>
          <w:sz w:val="20"/>
        </w:rPr>
        <w:t xml:space="preserve"> – We defer costs related to the issuance of debt. Debt issuance costs directly related to our Term Loan Credit Facility are presented within noncurrent liabilities as a reduction of long-term debt in our consolidated balance sheets. The amortization of such costs is recognized as interest expense using the effective interest method over the term of the respective debt issue. Amortization related to deferred debt issuance costs and original discount costs was $0.1 million, $0.3 million and $0.6 million for the years ended </w:t>
      </w:r>
      <w:r>
        <w:rPr>
          <w:rStyle w:val="Emphasis"/>
          <w:rFonts w:ascii="Times New Roman" w:hAnsi="Times New Roman"/>
          <w:caps w:val="false"/>
          <w:smallCaps w:val="false"/>
          <w:sz w:val="20"/>
        </w:rPr>
        <w:t xml:space="preserve">December 30, 2023,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25, 2021,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rPr>
        <w:t>Share-based Compensation</w:t>
      </w:r>
      <w:r>
        <w:rPr>
          <w:rFonts w:ascii="Times New Roman" w:hAnsi="Times New Roman"/>
          <w:caps w:val="false"/>
          <w:smallCaps w:val="false"/>
          <w:sz w:val="20"/>
        </w:rPr>
        <w:t xml:space="preserve"> – We measure and recognize all share-based compensation under the fair value method. Our estimate of share-based compensation expense requires a number of assumptions including our stock price volatility, employee exercise patterns (expected life of the options)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Foreign Remeasurement and Currency Translation</w:t>
      </w:r>
      <w:r>
        <w:rPr>
          <w:rFonts w:ascii="Times New Roman" w:hAnsi="Times New Roman"/>
          <w:caps w:val="false"/>
          <w:smallCaps w:val="false"/>
          <w:sz w:val="20"/>
        </w:rPr>
        <w:t xml:space="preserve"> – 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year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in our consolidated statement of income we recognized a foreign exchange loss of $5.2 million. During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25, 2021, </w:t>
      </w:r>
      <w:r>
        <w:rPr>
          <w:rFonts w:ascii="Times New Roman" w:hAnsi="Times New Roman"/>
          <w:caps w:val="false"/>
          <w:smallCaps w:val="false"/>
          <w:sz w:val="20"/>
        </w:rPr>
        <w:t xml:space="preserve">we recognized foreign exchange gains totaling $1.6 million and </w:t>
      </w:r>
      <w:r>
        <w:rPr>
          <w:rStyle w:val="Emphasis"/>
          <w:rFonts w:ascii="Times New Roman" w:hAnsi="Times New Roman"/>
          <w:caps w:val="false"/>
          <w:smallCaps w:val="false"/>
          <w:sz w:val="20"/>
        </w:rPr>
        <w:t>$0.4</w:t>
      </w:r>
      <w:r>
        <w:rPr>
          <w:rFonts w:ascii="Times New Roman" w:hAnsi="Times New Roman"/>
          <w:caps w:val="false"/>
          <w:smallCaps w:val="false"/>
          <w:sz w:val="20"/>
        </w:rPr>
        <w:t>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Foreign Exchange Derivative Contracts</w:t>
      </w:r>
      <w:r>
        <w:rPr>
          <w:rFonts w:ascii="Times New Roman" w:hAnsi="Times New Roman"/>
          <w:caps w:val="false"/>
          <w:smallCaps w:val="false"/>
          <w:sz w:val="20"/>
        </w:rPr>
        <w:t xml:space="preserve"> – We operate and sell our products in various global markets. As a result, we are exposed to changes in foreign currency exchange rates. To minimize foreign exchange volatility we enter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in order to mitigate the risks and volatility associated with foreign currency transaction gains or losses. Additional information related to our foreign exchange derivative contracts is included in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w:t>
      </w:r>
      <w:r>
        <w:rPr>
          <w:rFonts w:ascii="Times New Roman" w:hAnsi="Times New Roman"/>
          <w:i/>
          <w:caps w:val="false"/>
          <w:smallCaps w:val="false"/>
          <w:sz w:val="20"/>
        </w:rPr>
        <w:t>Derivative Financial Instruments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b/>
          <w:caps w:val="false"/>
          <w:smallCaps w:val="false"/>
          <w:sz w:val="20"/>
        </w:rPr>
        <w:t>Accumulated Other Comprehensive Loss</w:t>
      </w:r>
      <w:r>
        <w:rPr>
          <w:rFonts w:ascii="Times New Roman" w:hAnsi="Times New Roman"/>
          <w:caps w:val="false"/>
          <w:smallCaps w:val="false"/>
          <w:sz w:val="20"/>
        </w:rPr>
        <w:t xml:space="preserve"> – Our accumulated other comprehensive loss totaled approximately $34.8 million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$40.0 million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was attributed to, net of income taxes where applicable, foreign currency adjustments resulting from the translation of certain accounts into U.S. Dollars, changes in unrealized gains and losses on investments and adjustments to accumulated postretirement benefit obligations. The U.S. Dollar strengthened relative to certain foreign currencies in countries where we have operations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then weakened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consequently, our accumulated other comprehensive loss attributed to foreign currency translation adjustments increased by $18.0 million and decreased by $6.8 million during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respectively. Reclassification adjustments from accumulated other comprehensive loss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 Additional information related to accumulated other comprehensive loss, on an after-tax basis is included in Note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w:t>
      </w:r>
      <w:r>
        <w:rPr>
          <w:rFonts w:ascii="Times New Roman" w:hAnsi="Times New Roman"/>
          <w:i/>
          <w:caps w:val="false"/>
          <w:smallCaps w:val="false"/>
          <w:sz w:val="20"/>
        </w:rPr>
        <w:t>Accumulated Other Comprehensive Income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 xml:space="preserve">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Recently Adopted Accounting Pronouncements</w:t>
      </w:r>
      <w:r>
        <w:rPr>
          <w:rFonts w:ascii="Times New Roman" w:hAnsi="Times New Roman"/>
          <w:caps w:val="false"/>
          <w:smallCaps w:val="false"/>
          <w:sz w:val="20"/>
        </w:rPr>
        <w:t xml:space="preserve"> – In </w:t>
      </w:r>
      <w:r>
        <w:rPr>
          <w:rStyle w:val="Emphasis"/>
          <w:rFonts w:ascii="Times New Roman" w:hAnsi="Times New Roman"/>
          <w:caps w:val="false"/>
          <w:smallCaps w:val="false"/>
          <w:sz w:val="20"/>
        </w:rPr>
        <w:t xml:space="preserve">March 2020, </w:t>
      </w:r>
      <w:r>
        <w:rPr>
          <w:rFonts w:ascii="Times New Roman" w:hAnsi="Times New Roman"/>
          <w:caps w:val="false"/>
          <w:smallCaps w:val="false"/>
          <w:sz w:val="20"/>
        </w:rPr>
        <w:t xml:space="preserve">the Financial Accounting Standards Board (“FASB”) issued Accounting Standard Update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Reference Rate Reform (Topic </w:t>
      </w:r>
      <w:r>
        <w:rPr>
          <w:rStyle w:val="Emphasis"/>
          <w:rFonts w:ascii="Times New Roman" w:hAnsi="Times New Roman"/>
          <w:i/>
          <w:caps w:val="false"/>
          <w:smallCaps w:val="false"/>
          <w:sz w:val="20"/>
        </w:rPr>
        <w:t>848</w:t>
      </w:r>
      <w:r>
        <w:rPr>
          <w:rFonts w:ascii="Times New Roman" w:hAnsi="Times New Roman"/>
          <w:i/>
          <w:caps w:val="false"/>
          <w:smallCaps w:val="false"/>
          <w:sz w:val="20"/>
        </w:rPr>
        <w:t>) Facilitation of the Effects of Reference Rate Reform on Financial Reporting (</w:t>
      </w:r>
      <w:r>
        <w:rPr>
          <w:rFonts w:ascii="Times New Roman" w:hAnsi="Times New Roman"/>
          <w:caps w:val="false"/>
          <w:smallCaps w:val="false"/>
          <w:sz w:val="20"/>
        </w:rPr>
        <w:t>“</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848</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848</w:t>
      </w:r>
      <w:r>
        <w:rPr>
          <w:rFonts w:ascii="Times New Roman" w:hAnsi="Times New Roman"/>
          <w:caps w:val="false"/>
          <w:smallCaps w:val="false"/>
          <w:sz w:val="20"/>
        </w:rPr>
        <w:t xml:space="preserve"> provides temporary optional expedients and exceptions to certain U.S. GAAP contract modification requirements for contracts affected by reference rate reform as entities transition away from the London Interbank Offered Rate (“LIBOR”) to alternative reference rates.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2022</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Reference Rate Reform (Topic </w:t>
      </w:r>
      <w:r>
        <w:rPr>
          <w:rStyle w:val="Emphasis"/>
          <w:rFonts w:ascii="Times New Roman" w:hAnsi="Times New Roman"/>
          <w:i/>
          <w:caps w:val="false"/>
          <w:smallCaps w:val="false"/>
          <w:sz w:val="20"/>
        </w:rPr>
        <w:t>848</w:t>
      </w:r>
      <w:r>
        <w:rPr>
          <w:rFonts w:ascii="Times New Roman" w:hAnsi="Times New Roman"/>
          <w:i/>
          <w:caps w:val="false"/>
          <w:smallCaps w:val="false"/>
          <w:sz w:val="20"/>
        </w:rPr>
        <w:t xml:space="preserve">): Deferral of the Sunset Date of Topic </w:t>
      </w:r>
      <w:r>
        <w:rPr>
          <w:rStyle w:val="Emphasis"/>
          <w:rFonts w:ascii="Times New Roman" w:hAnsi="Times New Roman"/>
          <w:i/>
          <w:caps w:val="false"/>
          <w:smallCaps w:val="false"/>
          <w:sz w:val="20"/>
        </w:rPr>
        <w:t>848</w:t>
      </w:r>
      <w:r>
        <w:rPr>
          <w:rFonts w:ascii="Times New Roman" w:hAnsi="Times New Roman"/>
          <w:caps w:val="false"/>
          <w:smallCaps w:val="false"/>
          <w:sz w:val="20"/>
        </w:rPr>
        <w:t xml:space="preserve"> to defer the sunset date of ASC </w:t>
      </w:r>
      <w:r>
        <w:rPr>
          <w:rStyle w:val="Emphasis"/>
          <w:rFonts w:ascii="Times New Roman" w:hAnsi="Times New Roman"/>
          <w:caps w:val="false"/>
          <w:smallCaps w:val="false"/>
          <w:sz w:val="20"/>
        </w:rPr>
        <w:t>848</w:t>
      </w:r>
      <w:r>
        <w:rPr>
          <w:rFonts w:ascii="Times New Roman" w:hAnsi="Times New Roman"/>
          <w:caps w:val="false"/>
          <w:smallCaps w:val="false"/>
          <w:sz w:val="20"/>
        </w:rPr>
        <w:t xml:space="preserve"> from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after which entities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permitted to apply the optional expedients in ASC </w:t>
      </w:r>
      <w:r>
        <w:rPr>
          <w:rStyle w:val="Emphasis"/>
          <w:rFonts w:ascii="Times New Roman" w:hAnsi="Times New Roman"/>
          <w:caps w:val="false"/>
          <w:smallCaps w:val="false"/>
          <w:sz w:val="20"/>
        </w:rPr>
        <w:t>848.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June 16, 2023, </w:t>
      </w:r>
      <w:r>
        <w:rPr>
          <w:rFonts w:ascii="Times New Roman" w:hAnsi="Times New Roman"/>
          <w:caps w:val="false"/>
          <w:smallCaps w:val="false"/>
          <w:sz w:val="20"/>
        </w:rPr>
        <w:t xml:space="preserve">we adopted ASC </w:t>
      </w:r>
      <w:r>
        <w:rPr>
          <w:rStyle w:val="Emphasis"/>
          <w:rFonts w:ascii="Times New Roman" w:hAnsi="Times New Roman"/>
          <w:caps w:val="false"/>
          <w:smallCaps w:val="false"/>
          <w:sz w:val="20"/>
        </w:rPr>
        <w:t>848.</w:t>
      </w:r>
      <w:r>
        <w:rPr>
          <w:rFonts w:ascii="Times New Roman" w:hAnsi="Times New Roman"/>
          <w:caps w:val="false"/>
          <w:smallCaps w:val="false"/>
          <w:sz w:val="20"/>
        </w:rPr>
        <w:t xml:space="preserve"> Our Term Loan B Credit and Guaranty Agreement is our only contract where interest expense is based on LIBOR. The ICE Benchmark Administration Limited, LIBOR’s administrator, has ceased publishing certain LIBOR settings and stopped publishing the Overnight,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-month,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-month,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USD LIBOR U.S. dollar settings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As a result, we commenced the transition of our LIBOR-based contract to SOFR. The optional expedients under ASC </w:t>
      </w:r>
      <w:r>
        <w:rPr>
          <w:rStyle w:val="Emphasis"/>
          <w:rFonts w:ascii="Times New Roman" w:hAnsi="Times New Roman"/>
          <w:caps w:val="false"/>
          <w:smallCaps w:val="false"/>
          <w:sz w:val="20"/>
        </w:rPr>
        <w:t>848</w:t>
      </w:r>
      <w:r>
        <w:rPr>
          <w:rFonts w:ascii="Times New Roman" w:hAnsi="Times New Roman"/>
          <w:caps w:val="false"/>
          <w:smallCaps w:val="false"/>
          <w:sz w:val="20"/>
        </w:rPr>
        <w:t xml:space="preserve"> have allowed and will allow us to account for contract modifications as continuations of the existing contract without further reassessments or remeasurements that would otherwise be required under the applicable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Subsequent to our fiscal year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9, 2024, </w:t>
      </w:r>
      <w:r>
        <w:rPr>
          <w:rFonts w:ascii="Times New Roman" w:hAnsi="Times New Roman"/>
          <w:caps w:val="false"/>
          <w:smallCaps w:val="false"/>
          <w:sz w:val="20"/>
        </w:rPr>
        <w:t>we made a cash payment of $29.3 million to repay the remaining outstanding principal of our Term Loan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Recently Issued Accounting Pronouncements</w:t>
      </w:r>
      <w:r>
        <w:rPr>
          <w:rFonts w:ascii="Times New Roman" w:hAnsi="Times New Roman"/>
          <w:caps w:val="false"/>
          <w:smallCaps w:val="false"/>
          <w:sz w:val="20"/>
        </w:rPr>
        <w:t xml:space="preserve"> – 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xml:space="preserve">, which requires enhancements and further transparency to certain income tax disclosures, most notably the tax rate reconciliation and income taxes paid. This ASU is effective for fiscal years beginning after </w:t>
      </w:r>
      <w:r>
        <w:rPr>
          <w:rStyle w:val="Emphasis"/>
          <w:rFonts w:ascii="Times New Roman" w:hAnsi="Times New Roman"/>
          <w:caps w:val="false"/>
          <w:smallCaps w:val="false"/>
          <w:sz w:val="20"/>
        </w:rPr>
        <w:t xml:space="preserve">December 15, 2024, may </w:t>
      </w:r>
      <w:r>
        <w:rPr>
          <w:rFonts w:ascii="Times New Roman" w:hAnsi="Times New Roman"/>
          <w:caps w:val="false"/>
          <w:smallCaps w:val="false"/>
          <w:sz w:val="20"/>
        </w:rPr>
        <w:t>be applied prospectively or retrospectively, and allows for early adoption. We are currently evaluating the impact of the adoption of this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Segment Reporting (Topic </w:t>
      </w:r>
      <w:r>
        <w:rPr>
          <w:rStyle w:val="Emphasis"/>
          <w:rFonts w:ascii="Times New Roman" w:hAnsi="Times New Roman"/>
          <w:i/>
          <w:caps w:val="false"/>
          <w:smallCaps w:val="false"/>
          <w:sz w:val="20"/>
        </w:rPr>
        <w:t>280</w:t>
      </w:r>
      <w:r>
        <w:rPr>
          <w:rFonts w:ascii="Times New Roman" w:hAnsi="Times New Roman"/>
          <w:i/>
          <w:caps w:val="false"/>
          <w:smallCaps w:val="false"/>
          <w:sz w:val="20"/>
        </w:rPr>
        <w:t>): Improvements to Reportable Segment Disclosures</w:t>
      </w:r>
      <w:r>
        <w:rPr>
          <w:rFonts w:ascii="Times New Roman" w:hAnsi="Times New Roman"/>
          <w:caps w:val="false"/>
          <w:smallCaps w:val="false"/>
          <w:sz w:val="20"/>
        </w:rPr>
        <w:t xml:space="preserve">,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This ASU is effective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and interim disclosures are required for periods within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Retrospective application is required, and early adoption is permitted. We are currently evaluating the impact of the adoption of this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caps w:val="false"/>
          <w:smallCaps w:val="false"/>
          <w:sz w:val="20"/>
        </w:rPr>
        <w:t xml:space="preserve">All other newly issued accounting pronouncements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effective have been deemed either immaterial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820" w:type="dxa"/>
        <w:jc w:val="left"/>
        <w:tblInd w:w="0" w:type="dxa"/>
        <w:tblLayout w:type="fixed"/>
        <w:tblCellMar>
          <w:top w:w="0" w:type="dxa"/>
          <w:left w:w="0" w:type="dxa"/>
          <w:bottom w:w="0" w:type="dxa"/>
          <w:right w:w="0" w:type="dxa"/>
        </w:tblCellMar>
      </w:tblPr>
      <w:tblGrid>
        <w:gridCol w:w="215"/>
        <w:gridCol w:w="3605"/>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w:t>
            </w:r>
            <w:r>
              <w:rPr>
                <w:rFonts w:ascii="Times New Roman;Times;serif" w:hAnsi="Times New Roman;Times;serif"/>
                <w:b/>
                <w:sz w:val="20"/>
              </w:rPr>
              <w:t xml:space="preserve"> </w:t>
            </w:r>
          </w:p>
        </w:tc>
        <w:tc>
          <w:tcPr>
            <w:tcW w:w="3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Goodwill and Purchased Intangible Assets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Changes in the carrying value of our goodwill during the years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764" w:type="dxa"/>
        <w:jc w:val="left"/>
        <w:tblInd w:w="0" w:type="dxa"/>
        <w:tblLayout w:type="fixed"/>
        <w:tblCellMar>
          <w:top w:w="0" w:type="dxa"/>
          <w:left w:w="0" w:type="dxa"/>
          <w:bottom w:w="0" w:type="dxa"/>
          <w:right w:w="0" w:type="dxa"/>
        </w:tblCellMar>
      </w:tblPr>
      <w:tblGrid>
        <w:gridCol w:w="2360"/>
        <w:gridCol w:w="60"/>
        <w:gridCol w:w="192"/>
        <w:gridCol w:w="1072"/>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Goodwill</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25, 2021</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219,791</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2022</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213,539</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24,132</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241,658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Purchased intangible assets, subject to amortization,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360" w:right="0" w:hanging="0"/>
        <w:jc w:val="left"/>
        <w:rPr>
          <w:caps w:val="false"/>
          <w:smallCaps w:val="false"/>
        </w:rPr>
      </w:pPr>
      <w:r>
        <w:rPr>
          <w:caps w:val="false"/>
          <w:smallCaps w:val="false"/>
        </w:rPr>
        <w:t> </w:t>
      </w:r>
    </w:p>
    <w:tbl>
      <w:tblPr>
        <w:tblW w:w="8353" w:type="dxa"/>
        <w:jc w:val="left"/>
        <w:tblInd w:w="0" w:type="dxa"/>
        <w:tblLayout w:type="fixed"/>
        <w:tblCellMar>
          <w:top w:w="0" w:type="dxa"/>
          <w:left w:w="0" w:type="dxa"/>
          <w:bottom w:w="0" w:type="dxa"/>
          <w:right w:w="0" w:type="dxa"/>
        </w:tblCellMar>
      </w:tblPr>
      <w:tblGrid>
        <w:gridCol w:w="2105"/>
        <w:gridCol w:w="60"/>
        <w:gridCol w:w="195"/>
        <w:gridCol w:w="1084"/>
        <w:gridCol w:w="60"/>
        <w:gridCol w:w="60"/>
        <w:gridCol w:w="165"/>
        <w:gridCol w:w="920"/>
        <w:gridCol w:w="60"/>
        <w:gridCol w:w="60"/>
        <w:gridCol w:w="164"/>
        <w:gridCol w:w="756"/>
        <w:gridCol w:w="60"/>
        <w:gridCol w:w="60"/>
        <w:gridCol w:w="195"/>
        <w:gridCol w:w="1084"/>
        <w:gridCol w:w="60"/>
        <w:gridCol w:w="60"/>
        <w:gridCol w:w="165"/>
        <w:gridCol w:w="920"/>
        <w:gridCol w:w="60"/>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2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 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Useful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 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Accumulated</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Amortization</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Amortization</w:t>
            </w:r>
          </w:p>
        </w:tc>
        <w:tc>
          <w:tcPr>
            <w:tcW w:w="6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128,938</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31,015</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9,397</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 not-to-compete</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169,511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values of purchased intangible assets presented above are a result of the impact of fluctuation in currency exchange rates, the sale of our PCB Test business and the acquisitions of MCT and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evaluate goodwill and other indefinite-lived intangible assets for impairment annually and when an event occurs, or circumstances change that indicate that the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We completed our required annual goodwill impairment testing as of </w:t>
      </w:r>
      <w:r>
        <w:rPr>
          <w:rStyle w:val="Emphasis"/>
          <w:rFonts w:ascii="Times New Roman" w:hAnsi="Times New Roman"/>
          <w:caps w:val="false"/>
          <w:smallCaps w:val="false"/>
          <w:sz w:val="20"/>
        </w:rPr>
        <w:t xml:space="preserve">October 1,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our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and concluded there were no impairments of goodwill within our reporting units or our indefinite-lived intangible assets at that time. Other events and changes in circumstances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require goodwill and our indefinite-lived intangible assets to be tested for impairment between annual measurement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 completed and transferred to developed technology an in-process technology project which was reviewed for impairment as part of this process. Due to a change in forecasted results an impairment charge of $0.1 million was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Amortization expense related to purchased intangible assets was approximately $36.4 million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$33.2 million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$35.4 million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expect amortization expense in future periods to be as follows: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 $39.3 million;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 $30.6 million;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 $24.4 million;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 $20.8 million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 $18.2 million; and thereafter $18.5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  </w:t>
      </w:r>
    </w:p>
    <w:tbl>
      <w:tblPr>
        <w:tblW w:w="3190" w:type="dxa"/>
        <w:jc w:val="left"/>
        <w:tblInd w:w="0" w:type="dxa"/>
        <w:tblLayout w:type="fixed"/>
        <w:tblCellMar>
          <w:top w:w="0" w:type="dxa"/>
          <w:left w:w="0" w:type="dxa"/>
          <w:bottom w:w="0" w:type="dxa"/>
          <w:right w:w="0" w:type="dxa"/>
        </w:tblCellMar>
      </w:tblPr>
      <w:tblGrid>
        <w:gridCol w:w="170"/>
        <w:gridCol w:w="302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3.</w:t>
            </w:r>
          </w:p>
        </w:tc>
        <w:tc>
          <w:tcPr>
            <w:tcW w:w="30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Borrowings and Credit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following table is a summary of our borrowings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tbl>
      <w:tblPr>
        <w:tblW w:w="6638" w:type="dxa"/>
        <w:jc w:val="left"/>
        <w:tblInd w:w="0" w:type="dxa"/>
        <w:tblLayout w:type="fixed"/>
        <w:tblCellMar>
          <w:top w:w="0" w:type="dxa"/>
          <w:left w:w="0" w:type="dxa"/>
          <w:bottom w:w="0" w:type="dxa"/>
          <w:right w:w="0" w:type="dxa"/>
        </w:tblCellMar>
      </w:tblPr>
      <w:tblGrid>
        <w:gridCol w:w="3170"/>
        <w:gridCol w:w="60"/>
        <w:gridCol w:w="278"/>
        <w:gridCol w:w="1316"/>
        <w:gridCol w:w="80"/>
        <w:gridCol w:w="60"/>
        <w:gridCol w:w="278"/>
        <w:gridCol w:w="1316"/>
        <w:gridCol w:w="8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ended</w:t>
            </w:r>
          </w:p>
        </w:tc>
        <w:tc>
          <w:tcPr>
            <w:tcW w:w="80" w:type="dxa"/>
            <w:tcBorders/>
            <w:vAlign w:val="center"/>
          </w:tcPr>
          <w:p>
            <w:pPr>
              <w:pStyle w:val="TableContents"/>
              <w:bidi w:val="0"/>
              <w:spacing w:before="0" w:after="283"/>
              <w:ind w:left="0" w:right="0" w:hanging="0"/>
              <w:jc w:val="left"/>
              <w:rPr/>
            </w:pPr>
            <w:r>
              <w:rPr/>
              <w:t> </w:t>
            </w:r>
          </w:p>
        </w:tc>
      </w:tr>
      <w:tr>
        <w:trPr/>
        <w:tc>
          <w:tcPr>
            <w:tcW w:w="31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(in thousands)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 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80" w:type="dxa"/>
            <w:tcBorders/>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term loan under credit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66,952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term loans-Kita</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loan-Cohu GmbH</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Lines of credit</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79,739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financing fees and discount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72,664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debt principal payments, excluding financing lease obligations, for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and thereafter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10" w:type="dxa"/>
        <w:jc w:val="left"/>
        <w:tblInd w:w="0" w:type="dxa"/>
        <w:tblLayout w:type="fixed"/>
        <w:tblCellMar>
          <w:top w:w="0" w:type="dxa"/>
          <w:left w:w="0" w:type="dxa"/>
          <w:bottom w:w="0" w:type="dxa"/>
          <w:right w:w="0" w:type="dxa"/>
        </w:tblCellMar>
      </w:tblPr>
      <w:tblGrid>
        <w:gridCol w:w="860"/>
        <w:gridCol w:w="60"/>
        <w:gridCol w:w="125"/>
        <w:gridCol w:w="590"/>
        <w:gridCol w:w="75"/>
      </w:tblGrid>
      <w:tr>
        <w:trPr/>
        <w:tc>
          <w:tcPr>
            <w:tcW w:w="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6,459</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27,018</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3,741</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 2018, </w:t>
      </w:r>
      <w:r>
        <w:rPr>
          <w:rFonts w:ascii="Times New Roman" w:hAnsi="Times New Roman"/>
          <w:caps w:val="false"/>
          <w:smallCaps w:val="false"/>
          <w:sz w:val="20"/>
        </w:rPr>
        <w:t xml:space="preserve">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was due on or before </w:t>
      </w:r>
      <w:r>
        <w:rPr>
          <w:rStyle w:val="Emphasis"/>
          <w:rFonts w:ascii="Times New Roman" w:hAnsi="Times New Roman"/>
          <w:caps w:val="false"/>
          <w:smallCaps w:val="false"/>
          <w:sz w:val="20"/>
        </w:rPr>
        <w:t xml:space="preserve">October 1, 2025. </w:t>
      </w:r>
      <w:r>
        <w:rPr>
          <w:rFonts w:ascii="Times New Roman" w:hAnsi="Times New Roman"/>
          <w:caps w:val="false"/>
          <w:smallCaps w:val="false"/>
          <w:sz w:val="20"/>
        </w:rPr>
        <w:t xml:space="preserve">The loans under the Term Loan Credit Facility bore interest, at Cohu’s option, at a floating annual rate equal to LIBOR plus a margin of 3.00%. On </w:t>
      </w:r>
      <w:r>
        <w:rPr>
          <w:rStyle w:val="Emphasis"/>
          <w:rFonts w:ascii="Times New Roman" w:hAnsi="Times New Roman"/>
          <w:caps w:val="false"/>
          <w:smallCaps w:val="false"/>
          <w:sz w:val="20"/>
        </w:rPr>
        <w:t xml:space="preserve">June 16, 2023, </w:t>
      </w:r>
      <w:r>
        <w:rPr>
          <w:rFonts w:ascii="Times New Roman" w:hAnsi="Times New Roman"/>
          <w:caps w:val="false"/>
          <w:smallCaps w:val="false"/>
          <w:sz w:val="20"/>
        </w:rPr>
        <w:t xml:space="preserve">in connection with the discontinuation of LIBOR, we entered into an amendment to our Term Loan Credit Facility, which provided for the transition of the benchmark interest rate from LIBOR to SOFR. Effective with the interest period beginning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LIBOR was replaced with Adjusted Term SOFR, a floating annual rate equal to SOFR plus a margin of 3.0%.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the outstanding loan balance, net of discount and deferred financing costs, was $29.1 million and $3.4 million of the outstanding balance is presented as current installments of long-term debt in our consolidated balance sheets.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outstanding loan balance, net of discount and deferred financing costs, was $66.2 million and $3.2 million of the outstanding balance is presented as current installments of long-term debt in our consolidated balance sheets.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the fair value of the debt was $29.4 million. The measurement of the fair value of debt is based on the average of the bid and ask trading quotes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is considered a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Under the terms of the Credit Agreement, the lender had the option to accelerate the payment terms upon the occurrence of certain events of default set forth therein, which included: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believe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events of default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prepaid $34.1 million in principal of our Term Loan Credit Facility in cash. We accounted for the prepayment as a debt extinguishment, which resulted in a loss of $0.4 million reflected in our consolidated statement of income and a $0.4 million reduction in debt discounts and deferred financing costs in our consolidated balance sheets.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repurchased $31.8 million in principal of our Term Loan Credit Facility for $31.7 million in cash. We accounted for the repurchase as a debt extinguishment, which resulted in a loss of $0.3 million reflected in our consolidated statement of income, as well as a $0.4 million reduction in debt discounts and deferred financing costs in our consolidated balance sheets. Approximately $29.3 million in principal of the Term Loan Credit Facility remained outstanding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Subsequent to our fiscal year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9, 2024, </w:t>
      </w:r>
      <w:r>
        <w:rPr>
          <w:rFonts w:ascii="Times New Roman" w:hAnsi="Times New Roman"/>
          <w:caps w:val="false"/>
          <w:smallCaps w:val="false"/>
          <w:sz w:val="20"/>
        </w:rPr>
        <w:t xml:space="preserve">we made a cash payment of $29.3 million to repay the remaining outstanding amounts owed under our Term Loan Credit Facility. We accounted for the transaction as a debt extinguishment, and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 will recognize a loss of $0.2 million due to the recognition of the remaining debt discount and deferred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have a series of term loans with Japanese financial institutions primarily related to the expansion of our facility in Osaka, Japan. The loans are collateralized by the facility and land, carry interest rates ranging from 0.05% to 0.45%, and expire at various dates through </w:t>
      </w:r>
      <w:r>
        <w:rPr>
          <w:rStyle w:val="Emphasis"/>
          <w:rFonts w:ascii="Times New Roman" w:hAnsi="Times New Roman"/>
          <w:caps w:val="false"/>
          <w:smallCaps w:val="false"/>
          <w:sz w:val="20"/>
        </w:rPr>
        <w:t>2034.</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the outstanding loan balance was $2.1 million and $0.2 million of the outstanding balance is presented as current installments of long-term debt in our consolidated balance sheets.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outstanding loan balance was $2.5 million and $0.2 million of the outstanding balance is presented as current installments of long-term debt in our consolidated balance sheets. The fair value of the debt approximates the carrying value at </w:t>
      </w:r>
      <w:r>
        <w:rPr>
          <w:rStyle w:val="Emphasis"/>
          <w:rFonts w:ascii="Times New Roman" w:hAnsi="Times New Roman"/>
          <w:caps w:val="false"/>
          <w:smallCaps w:val="false"/>
          <w:sz w:val="20"/>
        </w:rPr>
        <w:t>December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2019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2020, one</w:t>
      </w:r>
      <w:r>
        <w:rPr>
          <w:rFonts w:ascii="Times New Roman" w:hAnsi="Times New Roman"/>
          <w:caps w:val="false"/>
          <w:smallCaps w:val="false"/>
          <w:sz w:val="20"/>
        </w:rPr>
        <w:t xml:space="preserve"> of our wholly owned subsidiaries located in Germany entered into a series of Loan Facilities with a German financial institution providing it with total borrowings of up to €10.1 million. The Loan Facilities are being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facility totaling €3.4 million has been fully drawn and is payable over 10 years at a fixed annual interest rate of 0.8%. Principal and interest payments are due each quarter over the duration of the facility ending in </w:t>
      </w:r>
      <w:r>
        <w:rPr>
          <w:rStyle w:val="Emphasis"/>
          <w:rFonts w:ascii="Times New Roman" w:hAnsi="Times New Roman"/>
          <w:caps w:val="false"/>
          <w:smallCaps w:val="false"/>
          <w:sz w:val="20"/>
        </w:rPr>
        <w:t xml:space="preserve">September 2029.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facility totaling €5.2 million has been fully drawn and is payable over 15 years at an annual interest rate of 1.05%, which is fixed until </w:t>
      </w:r>
      <w:r>
        <w:rPr>
          <w:rStyle w:val="Emphasis"/>
          <w:rFonts w:ascii="Times New Roman" w:hAnsi="Times New Roman"/>
          <w:caps w:val="false"/>
          <w:smallCaps w:val="false"/>
          <w:sz w:val="20"/>
        </w:rPr>
        <w:t xml:space="preserve">April 2027. </w:t>
      </w:r>
      <w:r>
        <w:rPr>
          <w:rFonts w:ascii="Times New Roman" w:hAnsi="Times New Roman"/>
          <w:caps w:val="false"/>
          <w:smallCaps w:val="false"/>
          <w:sz w:val="20"/>
        </w:rPr>
        <w:t xml:space="preserve">Principal and interest payments are due each month over the duration of the facility ending in </w:t>
      </w:r>
      <w:r>
        <w:rPr>
          <w:rStyle w:val="Emphasis"/>
          <w:rFonts w:ascii="Times New Roman" w:hAnsi="Times New Roman"/>
          <w:caps w:val="false"/>
          <w:smallCaps w:val="false"/>
          <w:sz w:val="20"/>
        </w:rPr>
        <w:t xml:space="preserve">January 2034.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facility totaling €0.9 million has been fully drawn and is payable over 10 years at an annual interest rate of 1.2%. Principal and interest payments are due each month over the duration of the facility ending in </w:t>
      </w:r>
      <w:r>
        <w:rPr>
          <w:rStyle w:val="Emphasis"/>
          <w:rFonts w:ascii="Times New Roman" w:hAnsi="Times New Roman"/>
          <w:caps w:val="false"/>
          <w:smallCaps w:val="false"/>
          <w:sz w:val="20"/>
        </w:rPr>
        <w:t>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total outstanding borrowings under the Loan Facilities was $7.7 million with $1.0 million of the total outstanding balance being presented as current installments of long-term debt in our consolidated balance sheets.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total outstanding borrowings under the Loan Facilities was $8.4 million with $1.0 million of the total outstanding balance being presented as current installments of long-term debt in our consolidated balance sheets. The loans are denominated in Euros and, as a result, amounts disclosed herein will fluctuate because of changes in currency exchange rates. The fair value of the debt approximates the carrying value at </w:t>
      </w:r>
      <w:r>
        <w:rPr>
          <w:rStyle w:val="Emphasis"/>
          <w:rFonts w:ascii="Times New Roman" w:hAnsi="Times New Roman"/>
          <w:caps w:val="false"/>
          <w:smallCaps w:val="false"/>
          <w:sz w:val="20"/>
        </w:rPr>
        <w:t>December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As a result of our acquisition of Kita, we assumed a series of revolving credit facilities with various financial institutions in Japan. The credit facilities renew monthly and provide Kita with access to working capital totaling up to 960 million Japanese Yen of which 250 million Japanese Yen is drawn.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total borrowings outstanding under the revolving lines of credit were $1.8 million. As these credit facility agreements renew monthly, they have been included in short-term borrowings 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Our wholly owned subsidiary in Switzerland has one available line of credit which provides borrowings of up to a total of 2.0 million Swiss Francs, a portion of which is reserved for tax guarantees.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  </w:t>
      </w:r>
    </w:p>
    <w:tbl>
      <w:tblPr>
        <w:tblW w:w="2110" w:type="dxa"/>
        <w:jc w:val="left"/>
        <w:tblInd w:w="0" w:type="dxa"/>
        <w:tblLayout w:type="fixed"/>
        <w:tblCellMar>
          <w:top w:w="0" w:type="dxa"/>
          <w:left w:w="0" w:type="dxa"/>
          <w:bottom w:w="0" w:type="dxa"/>
          <w:right w:w="0" w:type="dxa"/>
        </w:tblCellMar>
      </w:tblPr>
      <w:tblGrid>
        <w:gridCol w:w="170"/>
        <w:gridCol w:w="194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4.</w:t>
            </w:r>
          </w:p>
        </w:tc>
        <w:tc>
          <w:tcPr>
            <w:tcW w:w="19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MCT Integration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began a strategic restructuring and integration program in connection with the acquisition of MCT (“MCT Integration Program”). As part of the MCT Integration Program, we consolidated MCT’s Penang, Malaysia manufacturing operations into Cohu’s Melaka, Malaysia manufacturing operations by the end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Relating to the facility consolidation actions, we notified certain impacted employees of a reduction in force program and the facility consolidation and reduction in force programs are being implemented as part of a comprehensive review of our operations and are intended to reduce our operating cost structure and capitalize on acquisition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As a result of the activities described above, we recognized total pretax charges of $2.4 million during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that are within the scope of ASC </w:t>
      </w:r>
      <w:r>
        <w:rPr>
          <w:rStyle w:val="Emphasis"/>
          <w:rFonts w:ascii="Times New Roman" w:hAnsi="Times New Roman"/>
          <w:caps w:val="false"/>
          <w:smallCaps w:val="false"/>
          <w:sz w:val="20"/>
        </w:rPr>
        <w:t>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Charges related to the MCT Integration Program for the year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2865" w:type="dxa"/>
        <w:jc w:val="left"/>
        <w:tblInd w:w="0" w:type="dxa"/>
        <w:tblLayout w:type="fixed"/>
        <w:tblCellMar>
          <w:top w:w="0" w:type="dxa"/>
          <w:left w:w="0" w:type="dxa"/>
          <w:bottom w:w="28" w:type="dxa"/>
          <w:right w:w="0" w:type="dxa"/>
        </w:tblCellMar>
      </w:tblPr>
      <w:tblGrid>
        <w:gridCol w:w="2135"/>
        <w:gridCol w:w="60"/>
        <w:gridCol w:w="125"/>
        <w:gridCol w:w="485"/>
        <w:gridCol w:w="60"/>
      </w:tblGrid>
      <w:tr>
        <w:trPr/>
        <w:tc>
          <w:tcPr>
            <w:tcW w:w="21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tcMar>
              <w:bottom w:w="0" w:type="dxa"/>
            </w:tcMar>
            <w:vAlign w:val="center"/>
          </w:tcPr>
          <w:p>
            <w:pPr>
              <w:pStyle w:val="TableContents"/>
              <w:bidi w:val="0"/>
              <w:spacing w:before="0" w:after="283"/>
              <w:ind w:left="0" w:right="0" w:hanging="0"/>
              <w:jc w:val="left"/>
              <w:rPr/>
            </w:pPr>
            <w:r>
              <w:rPr/>
              <w:t> </w:t>
            </w:r>
          </w:p>
        </w:tc>
      </w:tr>
      <w:tr>
        <w:trPr/>
        <w:tc>
          <w:tcPr>
            <w:tcW w:w="21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severance costs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1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restructuring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Costs associated with restructuring activities are presented in our consolidated statements of income as restructuring charges. Other restructuring costs include facility closure and manufacturing software integration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following table summarizes the activity within the restructuring related accounts for the MCT Integration Program during the year ended </w:t>
      </w:r>
      <w:r>
        <w:rPr>
          <w:rStyle w:val="Emphasis"/>
          <w:rFonts w:ascii="Times New Roman" w:hAnsi="Times New Roman"/>
          <w:caps w:val="false"/>
          <w:smallCaps w:val="false"/>
          <w:sz w:val="20"/>
        </w:rPr>
        <w:t xml:space="preserve">December 30, 2023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518" w:type="dxa"/>
        <w:jc w:val="left"/>
        <w:tblInd w:w="0" w:type="dxa"/>
        <w:tblLayout w:type="fixed"/>
        <w:tblCellMar>
          <w:top w:w="0" w:type="dxa"/>
          <w:left w:w="0" w:type="dxa"/>
          <w:bottom w:w="0" w:type="dxa"/>
          <w:right w:w="0" w:type="dxa"/>
        </w:tblCellMar>
      </w:tblPr>
      <w:tblGrid>
        <w:gridCol w:w="2360"/>
        <w:gridCol w:w="60"/>
        <w:gridCol w:w="318"/>
        <w:gridCol w:w="1396"/>
        <w:gridCol w:w="80"/>
        <w:gridCol w:w="60"/>
        <w:gridCol w:w="325"/>
        <w:gridCol w:w="1029"/>
        <w:gridCol w:w="80"/>
        <w:gridCol w:w="60"/>
        <w:gridCol w:w="125"/>
        <w:gridCol w:w="54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Severance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 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2022</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Xcerra Integration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Subsequent to the acquisition of Xcerra,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we began a strategic restructuring program designed to reposition our organization and improve our cost structure as part of our targeted integration plan regarding the recently acquired Xcerra (“Xcerra Integration Program”). As part of the Xcerra Integration Program we consolidated our global handler and contactor manufacturing operations and closed our manufacturing operations in Penang, Malaysia and Fontana, California in </w:t>
      </w:r>
      <w:r>
        <w:rPr>
          <w:rStyle w:val="Emphasis"/>
          <w:rFonts w:ascii="Times New Roman" w:hAnsi="Times New Roman"/>
          <w:caps w:val="false"/>
          <w:smallCaps w:val="false"/>
          <w:sz w:val="20"/>
        </w:rPr>
        <w:t>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we began the Xcerra Integration Program of our German operations and entered a social plan with the German labor organization representing certain of the employees of our wholly owned subsidiary, Multitest elektronische Systeme GmbH.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we implemented a voluntary program and termination agreements with certain employees of our wholly owned subsidiary, Cohu GmbH. These programs collectively reduced headcount, enabled us to consolidate the facilities of our multiple operations located near Kolbermoor and Rosenheim, Germany, as well as transitioned certain manufacturing to other lower cost regions. The facility consolidations and reduction in force programs were implemented as part of a comprehensive review of our operations and are intended to streamline and reduce our operating cost structure and capitalize on acquisition synergies.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restructuring activities associated with the Xcerra Integration Program were materially complete. Certain end of life inventory adjustment continued during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caps w:val="false"/>
          <w:smallCaps w:val="false"/>
          <w:sz w:val="20"/>
        </w:rPr>
        <w:t xml:space="preserve">As a result of the activities described above, we recognized total pretax (credits)/charges of $(0.1) million, $0.2 million and $1.3 million for the years ended </w:t>
      </w:r>
      <w:r>
        <w:rPr>
          <w:rStyle w:val="Emphasis"/>
          <w:rFonts w:ascii="Times New Roman" w:hAnsi="Times New Roman"/>
          <w:caps w:val="false"/>
          <w:smallCaps w:val="false"/>
          <w:sz w:val="20"/>
        </w:rPr>
        <w:t xml:space="preserve">December 30, 2023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25, 2021, </w:t>
      </w:r>
      <w:r>
        <w:rPr>
          <w:rFonts w:ascii="Times New Roman" w:hAnsi="Times New Roman"/>
          <w:caps w:val="false"/>
          <w:smallCaps w:val="false"/>
          <w:sz w:val="20"/>
        </w:rPr>
        <w:t xml:space="preserve">respectively, that are within the scope of ASC </w:t>
      </w:r>
      <w:r>
        <w:rPr>
          <w:rStyle w:val="Emphasis"/>
          <w:rFonts w:ascii="Times New Roman" w:hAnsi="Times New Roman"/>
          <w:caps w:val="false"/>
          <w:smallCaps w:val="false"/>
          <w:sz w:val="20"/>
        </w:rPr>
        <w:t>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All costs of the Xcerra Integration Program were incurred by our Semiconductor Test &amp; Inspection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Charges related to the Xcerra Integration Program for the years ended </w:t>
      </w:r>
      <w:r>
        <w:rPr>
          <w:rStyle w:val="Emphasis"/>
          <w:rFonts w:ascii="Times New Roman" w:hAnsi="Times New Roman"/>
          <w:caps w:val="false"/>
          <w:smallCaps w:val="false"/>
          <w:sz w:val="20"/>
        </w:rPr>
        <w:t xml:space="preserve">December 30, 2023,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25, 2021, </w:t>
      </w:r>
      <w:r>
        <w:rPr>
          <w:rFonts w:ascii="Times New Roman" w:hAnsi="Times New Roman"/>
          <w:caps w:val="false"/>
          <w:smallCaps w:val="false"/>
          <w:sz w:val="20"/>
        </w:rPr>
        <w:t xml:space="preserve">were as follows </w:t>
      </w:r>
      <w:r>
        <w:rPr>
          <w:rFonts w:ascii="Times New Roman" w:hAnsi="Times New Roman"/>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5205" w:type="dxa"/>
        <w:jc w:val="left"/>
        <w:tblInd w:w="0" w:type="dxa"/>
        <w:tblLayout w:type="fixed"/>
        <w:tblCellMar>
          <w:top w:w="0" w:type="dxa"/>
          <w:left w:w="0" w:type="dxa"/>
          <w:bottom w:w="28" w:type="dxa"/>
          <w:right w:w="0" w:type="dxa"/>
        </w:tblCellMar>
      </w:tblPr>
      <w:tblGrid>
        <w:gridCol w:w="3215"/>
        <w:gridCol w:w="60"/>
        <w:gridCol w:w="132"/>
        <w:gridCol w:w="308"/>
        <w:gridCol w:w="80"/>
        <w:gridCol w:w="60"/>
        <w:gridCol w:w="125"/>
        <w:gridCol w:w="395"/>
        <w:gridCol w:w="80"/>
        <w:gridCol w:w="60"/>
        <w:gridCol w:w="125"/>
        <w:gridCol w:w="485"/>
        <w:gridCol w:w="80"/>
      </w:tblGrid>
      <w:tr>
        <w:trPr/>
        <w:tc>
          <w:tcPr>
            <w:tcW w:w="32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32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severance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2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related charges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restructuring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jc w:val="left"/>
              <w:rPr/>
            </w:pPr>
            <w:r>
              <w:rPr/>
              <w:t> </w:t>
            </w:r>
          </w:p>
        </w:tc>
        <w:tc>
          <w:tcPr>
            <w:tcW w:w="308" w:type="dxa"/>
            <w:tcBorders>
              <w:bottom w:val="single" w:sz="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Costs associated with restructuring activities were presented in our consolidated statements of income as restructuring charges, except for certain costs associated with inventory charges related to the decision to end manufacturing of certain of Xcerra’s semiconductor test handler products, which were classified within cost of sales. Other restructuring costs include expenses for professional fees associated with employee severance, impairments of fixed assets and facility closure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following table summarizes the activity within the restructuring related accounts for the Xcerra Integration Program during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25, 2021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518" w:type="dxa"/>
        <w:jc w:val="left"/>
        <w:tblInd w:w="0" w:type="dxa"/>
        <w:tblLayout w:type="fixed"/>
        <w:tblCellMar>
          <w:top w:w="0" w:type="dxa"/>
          <w:left w:w="0" w:type="dxa"/>
          <w:bottom w:w="0" w:type="dxa"/>
          <w:right w:w="0" w:type="dxa"/>
        </w:tblCellMar>
      </w:tblPr>
      <w:tblGrid>
        <w:gridCol w:w="2360"/>
        <w:gridCol w:w="60"/>
        <w:gridCol w:w="318"/>
        <w:gridCol w:w="1396"/>
        <w:gridCol w:w="80"/>
        <w:gridCol w:w="60"/>
        <w:gridCol w:w="325"/>
        <w:gridCol w:w="1029"/>
        <w:gridCol w:w="80"/>
        <w:gridCol w:w="60"/>
        <w:gridCol w:w="125"/>
        <w:gridCol w:w="54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Severance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 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26, 2020</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5,826</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25, 2021</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our total accrual for restructuring related items for both the MCT and Xcerra Integration Programs is reflected within current liabilities in our consolidated balance sheets as these amounts are expected to be paid out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estimated costs associated with the employee severance and facility consolidation actions will be paid predominantly in cash. All amounts accrued related to inventory will remain in our consolidated balance sheet until it is scrapped.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4105" w:type="dxa"/>
        <w:jc w:val="left"/>
        <w:tblInd w:w="0" w:type="dxa"/>
        <w:tblLayout w:type="fixed"/>
        <w:tblCellMar>
          <w:top w:w="0" w:type="dxa"/>
          <w:left w:w="0" w:type="dxa"/>
          <w:bottom w:w="0" w:type="dxa"/>
          <w:right w:w="0" w:type="dxa"/>
        </w:tblCellMar>
      </w:tblPr>
      <w:tblGrid>
        <w:gridCol w:w="170"/>
        <w:gridCol w:w="393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5.</w:t>
            </w:r>
          </w:p>
        </w:tc>
        <w:tc>
          <w:tcPr>
            <w:tcW w:w="39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Instruments Measured at Fair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Our cash, cash equivalents, and short-term investments consisted primarily of cash and other investment grade securities.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Investments that we have classified as short-term, by security type,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36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360"/>
        <w:gridCol w:w="60"/>
        <w:gridCol w:w="147"/>
        <w:gridCol w:w="698"/>
        <w:gridCol w:w="60"/>
        <w:gridCol w:w="60"/>
        <w:gridCol w:w="248"/>
        <w:gridCol w:w="672"/>
        <w:gridCol w:w="60"/>
        <w:gridCol w:w="60"/>
        <w:gridCol w:w="248"/>
        <w:gridCol w:w="672"/>
        <w:gridCol w:w="60"/>
        <w:gridCol w:w="60"/>
        <w:gridCol w:w="145"/>
        <w:gridCol w:w="685"/>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December 30, 2023</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45,237</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U.S. treasury securities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20,349</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Bank certificates of deposit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15,488</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Asset-backed securities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8,024</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Municipal securities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355" w:type="dxa"/>
        <w:jc w:val="left"/>
        <w:tblInd w:w="0" w:type="dxa"/>
        <w:tblLayout w:type="fixed"/>
        <w:tblCellMar>
          <w:top w:w="0" w:type="dxa"/>
          <w:left w:w="0" w:type="dxa"/>
          <w:bottom w:w="0" w:type="dxa"/>
          <w:right w:w="0" w:type="dxa"/>
        </w:tblCellMar>
      </w:tblPr>
      <w:tblGrid>
        <w:gridCol w:w="2360"/>
        <w:gridCol w:w="60"/>
        <w:gridCol w:w="128"/>
        <w:gridCol w:w="717"/>
        <w:gridCol w:w="60"/>
        <w:gridCol w:w="60"/>
        <w:gridCol w:w="322"/>
        <w:gridCol w:w="598"/>
        <w:gridCol w:w="60"/>
        <w:gridCol w:w="60"/>
        <w:gridCol w:w="248"/>
        <w:gridCol w:w="672"/>
        <w:gridCol w:w="60"/>
        <w:gridCol w:w="60"/>
        <w:gridCol w:w="126"/>
        <w:gridCol w:w="704"/>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December 31, 2022</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59,073</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36,479</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34,197</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12,658</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143,235</w:t>
            </w:r>
          </w:p>
        </w:tc>
        <w:tc>
          <w:tcPr>
            <w:tcW w:w="60"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1000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the cost and fair value of investments with loss positions were approximately $38.5 million and $38.4 million, respectively.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cost and fair value of investments with loss positions was approximately $86.3 million and $85.5 million, respectively.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w:t>
            </w:r>
          </w:p>
        </w:tc>
        <w:tc>
          <w:tcPr>
            <w:tcW w:w="994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Corporate debt securities include investments in financial and other corporate institutions.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single issuer represents a significant portion of the total corporate debt securities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Effective maturities of short-term investments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4754" w:type="dxa"/>
        <w:jc w:val="left"/>
        <w:tblInd w:w="0" w:type="dxa"/>
        <w:tblLayout w:type="fixed"/>
        <w:tblCellMar>
          <w:top w:w="0" w:type="dxa"/>
          <w:left w:w="0" w:type="dxa"/>
          <w:bottom w:w="0" w:type="dxa"/>
          <w:right w:w="0" w:type="dxa"/>
        </w:tblCellMar>
      </w:tblPr>
      <w:tblGrid>
        <w:gridCol w:w="2780"/>
        <w:gridCol w:w="60"/>
        <w:gridCol w:w="152"/>
        <w:gridCol w:w="723"/>
        <w:gridCol w:w="60"/>
        <w:gridCol w:w="60"/>
        <w:gridCol w:w="150"/>
        <w:gridCol w:w="709"/>
        <w:gridCol w:w="6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7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in 1 year or less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57,887</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1 year through 5 years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31,546</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5 years through 10 years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90,174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Accounting standards pertaining to fair value measurements establish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-tier fair value hierarchy, which prioritizes the inputs used in measuring fair value. These tiers include: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defined as observable inputs such as quoted prices in active markets;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defined as inputs other than quoted prices in active markets that are either directly or indirectly observable;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defined as unobservable inputs in which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exists, therefore requiring an entity to develop its own assumptions. When available, we use quoted market prices to determine the fair value of our investments, and they are included 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When quoted market prices are unobservable, we use quotes from independent pricing vendors based on recent trading activity and other relevant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summarizes, by major security type, our financial instruments that are measured at fair value on a recurring basis and are categorized using the fair value hierarchy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36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2360"/>
        <w:gridCol w:w="60"/>
        <w:gridCol w:w="181"/>
        <w:gridCol w:w="1007"/>
        <w:gridCol w:w="86"/>
        <w:gridCol w:w="86"/>
        <w:gridCol w:w="181"/>
        <w:gridCol w:w="1007"/>
        <w:gridCol w:w="86"/>
        <w:gridCol w:w="86"/>
        <w:gridCol w:w="386"/>
        <w:gridCol w:w="248"/>
        <w:gridCol w:w="86"/>
        <w:gridCol w:w="86"/>
        <w:gridCol w:w="195"/>
        <w:gridCol w:w="1084"/>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0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December 30, 2023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157,697</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81,115</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81,115</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51,949</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51,949</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20,349</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20,349</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15,488</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15,488</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8,024</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178,001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335,698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285" w:type="dxa"/>
        <w:jc w:val="left"/>
        <w:tblInd w:w="0" w:type="dxa"/>
        <w:tblLayout w:type="fixed"/>
        <w:tblCellMar>
          <w:top w:w="0" w:type="dxa"/>
          <w:left w:w="0" w:type="dxa"/>
          <w:bottom w:w="0" w:type="dxa"/>
          <w:right w:w="0" w:type="dxa"/>
        </w:tblCellMar>
      </w:tblPr>
      <w:tblGrid>
        <w:gridCol w:w="2360"/>
        <w:gridCol w:w="60"/>
        <w:gridCol w:w="181"/>
        <w:gridCol w:w="1007"/>
        <w:gridCol w:w="86"/>
        <w:gridCol w:w="86"/>
        <w:gridCol w:w="181"/>
        <w:gridCol w:w="1007"/>
        <w:gridCol w:w="86"/>
        <w:gridCol w:w="86"/>
        <w:gridCol w:w="386"/>
        <w:gridCol w:w="248"/>
        <w:gridCol w:w="86"/>
        <w:gridCol w:w="86"/>
        <w:gridCol w:w="195"/>
        <w:gridCol w:w="1084"/>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0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December 31, 2022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190,371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190,371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69,753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69,753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40,290</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40,290</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37,480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37,480</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34,196</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12,658</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12,658</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190,371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195,205</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385,576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200" w:type="dxa"/>
        <w:jc w:val="left"/>
        <w:tblInd w:w="0" w:type="dxa"/>
        <w:tblLayout w:type="fixed"/>
        <w:tblCellMar>
          <w:top w:w="0" w:type="dxa"/>
          <w:left w:w="0" w:type="dxa"/>
          <w:bottom w:w="0" w:type="dxa"/>
          <w:right w:w="0" w:type="dxa"/>
        </w:tblCellMar>
      </w:tblPr>
      <w:tblGrid>
        <w:gridCol w:w="170"/>
        <w:gridCol w:w="203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6.</w:t>
            </w:r>
          </w:p>
        </w:tc>
        <w:tc>
          <w:tcPr>
            <w:tcW w:w="20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Defined Contribution Retirement Plans</w:t>
      </w:r>
      <w:r>
        <w:rPr>
          <w:rFonts w:ascii="Times New Roman" w:hAnsi="Times New Roman"/>
          <w:caps w:val="false"/>
          <w:smallCaps w:val="false"/>
          <w:sz w:val="20"/>
        </w:rPr>
        <w:t xml:space="preserve"> – Cohu maintains a defined contribution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retirement savings plan covering all salaried and hourly U.S. employees. Participation is voluntary and participants’ contributions are based on their eligible compensation. Participants in the Cohu plan receive matching contributions of 50% up to 8% of salary contributed, subject to various statutory limits.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 made matching contributions to the plan of $2.5 million, $2.4 million and $2.4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rPr>
        <w:t>Defined Benefit Retirement Plans</w:t>
      </w:r>
      <w:r>
        <w:rPr>
          <w:rFonts w:ascii="Times New Roman" w:hAnsi="Times New Roman"/>
          <w:caps w:val="false"/>
          <w:smallCaps w:val="false"/>
          <w:sz w:val="20"/>
        </w:rPr>
        <w:t xml:space="preserve"> – Some of our employees located in Europe and Asia participate in defined benefit retirement plans. Our largest defined benefit retirement plan is the Ismeca Europe Semiconductor BVG Pension Plan which covers our employees in Switzerland (“the Swiss Plan”) and the following discussion relates solely to the Swiss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periodic benefit cost of the Swiss Plan was as follows:</w:t>
      </w:r>
    </w:p>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2075"/>
        <w:gridCol w:w="60"/>
        <w:gridCol w:w="125"/>
        <w:gridCol w:w="395"/>
        <w:gridCol w:w="80"/>
        <w:gridCol w:w="60"/>
        <w:gridCol w:w="125"/>
        <w:gridCol w:w="395"/>
        <w:gridCol w:w="80"/>
        <w:gridCol w:w="60"/>
        <w:gridCol w:w="125"/>
        <w:gridCol w:w="485"/>
        <w:gridCol w:w="80"/>
      </w:tblGrid>
      <w:tr>
        <w:trPr/>
        <w:tc>
          <w:tcPr>
            <w:tcW w:w="20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20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0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0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return on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costs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projected benefit obligation, the fair value of plan assets, the funded status and the liability we have recorded in our consolidated balance sheets related to the Swiss Plan:</w:t>
      </w:r>
    </w:p>
    <w:p>
      <w:pPr>
        <w:pStyle w:val="TextBody"/>
        <w:bidi w:val="0"/>
        <w:spacing w:before="0" w:after="0"/>
        <w:ind w:left="0" w:right="0" w:hanging="0"/>
        <w:jc w:val="left"/>
        <w:rPr>
          <w:caps w:val="false"/>
          <w:smallCaps w:val="false"/>
        </w:rPr>
      </w:pPr>
      <w:r>
        <w:rPr>
          <w:caps w:val="false"/>
          <w:smallCaps w:val="false"/>
        </w:rPr>
        <w:t> </w:t>
      </w:r>
    </w:p>
    <w:tbl>
      <w:tblPr>
        <w:tblW w:w="5465" w:type="dxa"/>
        <w:jc w:val="left"/>
        <w:tblInd w:w="0" w:type="dxa"/>
        <w:tblLayout w:type="fixed"/>
        <w:tblCellMar>
          <w:top w:w="0" w:type="dxa"/>
          <w:left w:w="0" w:type="dxa"/>
          <w:bottom w:w="28" w:type="dxa"/>
          <w:right w:w="0" w:type="dxa"/>
        </w:tblCellMar>
      </w:tblPr>
      <w:tblGrid>
        <w:gridCol w:w="3635"/>
        <w:gridCol w:w="60"/>
        <w:gridCol w:w="125"/>
        <w:gridCol w:w="650"/>
        <w:gridCol w:w="80"/>
        <w:gridCol w:w="60"/>
        <w:gridCol w:w="125"/>
        <w:gridCol w:w="650"/>
        <w:gridCol w:w="80"/>
      </w:tblGrid>
      <w:tr>
        <w:trPr/>
        <w:tc>
          <w:tcPr>
            <w:tcW w:w="36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3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projected benefit obligation: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6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obligation at beginning of year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Actuarial gain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Participant contributions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Benefits paid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change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obligation at end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(21,628</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plan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plan assets at beginning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assets, net of actuarial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Employer contributions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Participant contributions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Benefits paid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plan assets at end of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18,411</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liability at end of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Swiss Plan’s net liability is included in noncurrent accrued retirement benefits. Amounts recognized in accumulated other comprehensive loss net of tax related to the Swiss Plan consisted of an unrecognized net actuarial gains totaling $4.2 million and $6.8 million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actuarial loss of $1.4 million and the actuarial gain of $6.0 million for the years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 were due to assumption changes as well as plan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Weighted-average actuarial assumptions used to determine the projected benefit obligation under the Swiss Plan are as follows:</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28" w:type="dxa"/>
          <w:right w:w="0" w:type="dxa"/>
        </w:tblCellMar>
      </w:tblPr>
      <w:tblGrid>
        <w:gridCol w:w="1910"/>
        <w:gridCol w:w="60"/>
        <w:gridCol w:w="78"/>
        <w:gridCol w:w="362"/>
        <w:gridCol w:w="185"/>
        <w:gridCol w:w="60"/>
        <w:gridCol w:w="78"/>
        <w:gridCol w:w="362"/>
        <w:gridCol w:w="185"/>
      </w:tblGrid>
      <w:tr>
        <w:trPr/>
        <w:tc>
          <w:tcPr>
            <w:tcW w:w="19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18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3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3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Weighted-average assumptions used to determine net periodic benefit cost of the Swiss Plan are as follows:</w:t>
      </w:r>
    </w:p>
    <w:p>
      <w:pPr>
        <w:pStyle w:val="TextBody"/>
        <w:bidi w:val="0"/>
        <w:spacing w:before="0" w:after="0"/>
        <w:ind w:left="0" w:right="0" w:hanging="0"/>
        <w:jc w:val="left"/>
        <w:rPr>
          <w:caps w:val="false"/>
          <w:smallCaps w:val="false"/>
        </w:rPr>
      </w:pPr>
      <w:r>
        <w:rPr>
          <w:caps w:val="false"/>
          <w:smallCaps w:val="false"/>
        </w:rPr>
        <w:t> </w:t>
      </w:r>
    </w:p>
    <w:tbl>
      <w:tblPr>
        <w:tblW w:w="3965" w:type="dxa"/>
        <w:jc w:val="left"/>
        <w:tblInd w:w="0" w:type="dxa"/>
        <w:tblLayout w:type="fixed"/>
        <w:tblCellMar>
          <w:top w:w="0" w:type="dxa"/>
          <w:left w:w="0" w:type="dxa"/>
          <w:bottom w:w="28" w:type="dxa"/>
          <w:right w:w="0" w:type="dxa"/>
        </w:tblCellMar>
      </w:tblPr>
      <w:tblGrid>
        <w:gridCol w:w="1910"/>
        <w:gridCol w:w="60"/>
        <w:gridCol w:w="78"/>
        <w:gridCol w:w="362"/>
        <w:gridCol w:w="185"/>
        <w:gridCol w:w="60"/>
        <w:gridCol w:w="78"/>
        <w:gridCol w:w="362"/>
        <w:gridCol w:w="185"/>
        <w:gridCol w:w="60"/>
        <w:gridCol w:w="78"/>
        <w:gridCol w:w="362"/>
        <w:gridCol w:w="185"/>
      </w:tblGrid>
      <w:tr>
        <w:trPr/>
        <w:tc>
          <w:tcPr>
            <w:tcW w:w="19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18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Rate of return on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3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3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3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increase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During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employer and employee contributions to the Swiss Plan are expected to total $0.9 million. Estimated benefit payments are expected to be as follows: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 $1.2 million;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 $1.1 million;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 $1.2 million;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 $1.4 million;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 $1.3 million; and $7.3 million thereafter through </w:t>
      </w:r>
      <w:r>
        <w:rPr>
          <w:rStyle w:val="Emphasis"/>
          <w:rFonts w:ascii="Times New Roman" w:hAnsi="Times New Roman"/>
          <w:caps w:val="false"/>
          <w:smallCaps w:val="false"/>
          <w:sz w:val="20"/>
        </w:rPr>
        <w:t>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As is customary with Swiss pension plans, the assets of the plan are invested in a collective fund with multiple employers. 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investment authority over the assets of the plan that are held and invested by a Swiss insurance company. Investment holdings are made with respect to Swiss laws and target allocations for plan assets are 50% debt securities and cash, 24% real estate investments, 16% alternative investments and 10% equity securities. The valuation of the collective fund assets as a whole is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 however, the individual investments of the fund are generally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(equity securities),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(fixed income)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(real estate and alternative) investments. We determine the fair value of the plan assets based on information provided by the collective fund, through review of the collective fund’s annual financial statements. See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 Measured at Fair Value</w:t>
      </w:r>
      <w:r>
        <w:rPr>
          <w:rFonts w:ascii="Times New Roman" w:hAnsi="Times New Roman"/>
          <w:caps w:val="false"/>
          <w:smallCaps w:val="false"/>
          <w:sz w:val="20"/>
        </w:rPr>
        <w:t xml:space="preserve">” for additional information on the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We maintain other defined benefit plans for employees located outside the U.S. for which the majority of the obligations and net periodic benefit cost were determined to be immaterial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Retiree Medical Benefits</w:t>
      </w:r>
      <w:r>
        <w:rPr>
          <w:rFonts w:ascii="Times New Roman" w:hAnsi="Times New Roman"/>
          <w:caps w:val="false"/>
          <w:smallCaps w:val="false"/>
          <w:sz w:val="20"/>
        </w:rPr>
        <w:t xml:space="preserve"> – We provide post-retirement health benefits to certain executives and directors under a noncontributory plan. The net periodic benefit cost was $0.1 million in both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was insignificant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 fund benefits as costs are incurred and as a result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plan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weighted average discount rate used in determining the accumulated post-retirement benefit obligation was 4.7%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4.9%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2.5%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annual rates of increase of the cost of health benefits was assumed to be 7.9% and 8.7%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for pre-</w:t>
      </w:r>
      <w:r>
        <w:rPr>
          <w:rStyle w:val="Emphasis"/>
          <w:rFonts w:ascii="Times New Roman" w:hAnsi="Times New Roman"/>
          <w:caps w:val="false"/>
          <w:smallCaps w:val="false"/>
          <w:sz w:val="20"/>
        </w:rPr>
        <w:t>65</w:t>
      </w:r>
      <w:r>
        <w:rPr>
          <w:rFonts w:ascii="Times New Roman" w:hAnsi="Times New Roman"/>
          <w:caps w:val="false"/>
          <w:smallCaps w:val="false"/>
          <w:sz w:val="20"/>
        </w:rPr>
        <w:t xml:space="preserve"> participants and post-</w:t>
      </w:r>
      <w:r>
        <w:rPr>
          <w:rStyle w:val="Emphasis"/>
          <w:rFonts w:ascii="Times New Roman" w:hAnsi="Times New Roman"/>
          <w:caps w:val="false"/>
          <w:smallCaps w:val="false"/>
          <w:sz w:val="20"/>
        </w:rPr>
        <w:t>65</w:t>
      </w:r>
      <w:r>
        <w:rPr>
          <w:rFonts w:ascii="Times New Roman" w:hAnsi="Times New Roman"/>
          <w:caps w:val="false"/>
          <w:smallCaps w:val="false"/>
          <w:sz w:val="20"/>
        </w:rPr>
        <w:t xml:space="preserve"> participants, respectively. This rate was then assumed to decrease 0.39% per year and 0.48% per year for pre-</w:t>
      </w:r>
      <w:r>
        <w:rPr>
          <w:rStyle w:val="Emphasis"/>
          <w:rFonts w:ascii="Times New Roman" w:hAnsi="Times New Roman"/>
          <w:caps w:val="false"/>
          <w:smallCaps w:val="false"/>
          <w:sz w:val="20"/>
        </w:rPr>
        <w:t>65</w:t>
      </w:r>
      <w:r>
        <w:rPr>
          <w:rFonts w:ascii="Times New Roman" w:hAnsi="Times New Roman"/>
          <w:caps w:val="false"/>
          <w:smallCaps w:val="false"/>
          <w:sz w:val="20"/>
        </w:rPr>
        <w:t xml:space="preserve"> participants and post-</w:t>
      </w:r>
      <w:r>
        <w:rPr>
          <w:rStyle w:val="Emphasis"/>
          <w:rFonts w:ascii="Times New Roman" w:hAnsi="Times New Roman"/>
          <w:caps w:val="false"/>
          <w:smallCaps w:val="false"/>
          <w:sz w:val="20"/>
        </w:rPr>
        <w:t>65</w:t>
      </w:r>
      <w:r>
        <w:rPr>
          <w:rFonts w:ascii="Times New Roman" w:hAnsi="Times New Roman"/>
          <w:caps w:val="false"/>
          <w:smallCaps w:val="false"/>
          <w:sz w:val="20"/>
        </w:rPr>
        <w:t xml:space="preserve"> participants, respectively, to 4.4% in </w:t>
      </w:r>
      <w:r>
        <w:rPr>
          <w:rStyle w:val="Emphasis"/>
          <w:rFonts w:ascii="Times New Roman" w:hAnsi="Times New Roman"/>
          <w:caps w:val="false"/>
          <w:smallCaps w:val="false"/>
          <w:sz w:val="20"/>
        </w:rPr>
        <w:t>2033</w:t>
      </w:r>
      <w:r>
        <w:rPr>
          <w:rFonts w:ascii="Times New Roman" w:hAnsi="Times New Roman"/>
          <w:caps w:val="false"/>
          <w:smallCaps w:val="false"/>
          <w:sz w:val="20"/>
        </w:rPr>
        <w:t xml:space="preserve"> and remain level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Contributions to the post-retirement health benefit plan are expected to total $0.1 million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Estimated benefit payments are expected to be as follows: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 $0.1 million;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 $0.1 million;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 $0.1 million;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 $0.1 million;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 $0.1 million and $0.6 million thereafter through </w:t>
      </w:r>
      <w:r>
        <w:rPr>
          <w:rStyle w:val="Emphasis"/>
          <w:rFonts w:ascii="Times New Roman" w:hAnsi="Times New Roman"/>
          <w:caps w:val="false"/>
          <w:smallCaps w:val="false"/>
          <w:sz w:val="20"/>
        </w:rPr>
        <w:t>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post-retirement benefit obligation, funded status and the liability we have recorded in our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5915" w:type="dxa"/>
        <w:jc w:val="left"/>
        <w:tblInd w:w="0" w:type="dxa"/>
        <w:tblLayout w:type="fixed"/>
        <w:tblCellMar>
          <w:top w:w="0" w:type="dxa"/>
          <w:left w:w="0" w:type="dxa"/>
          <w:bottom w:w="28" w:type="dxa"/>
          <w:right w:w="0" w:type="dxa"/>
        </w:tblCellMar>
      </w:tblPr>
      <w:tblGrid>
        <w:gridCol w:w="4295"/>
        <w:gridCol w:w="60"/>
        <w:gridCol w:w="125"/>
        <w:gridCol w:w="545"/>
        <w:gridCol w:w="80"/>
        <w:gridCol w:w="60"/>
        <w:gridCol w:w="125"/>
        <w:gridCol w:w="545"/>
        <w:gridCol w:w="80"/>
      </w:tblGrid>
      <w:tr>
        <w:trPr/>
        <w:tc>
          <w:tcPr>
            <w:tcW w:w="42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42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benefit obligation at beginning of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Actuarial (gain)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Benefits paid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2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benefit obligation at end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assets at end of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2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Funded status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Deferred Compensation</w:t>
      </w:r>
      <w:r>
        <w:rPr>
          <w:rFonts w:ascii="Times New Roman" w:hAnsi="Times New Roman"/>
          <w:caps w:val="false"/>
          <w:smallCaps w:val="false"/>
          <w:sz w:val="20"/>
        </w:rPr>
        <w:t xml:space="preserve"> – The Cohu, Inc. Deferred Compensation Plan allows certain of our officers to defer a portion of their current compensation. We have purchased life insurance policies on the participants with Cohu as the named beneficiary. Participant contributions, distributions and investment earnings and losses are accumulated in a separate account for each participant.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the payroll liability to participants, included in accrued compensation and benefits in the consolidated balance sheet, was approximately $0.9 million and the cash surrender value of the related life insurance policies included in other current assets was approximately $1.4 million.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liability totaled $1.1 million and the corresponding assets were $1.4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Employee Stock Purchase Plan</w:t>
      </w:r>
      <w:r>
        <w:rPr>
          <w:rFonts w:ascii="Times New Roman" w:hAnsi="Times New Roman"/>
          <w:caps w:val="false"/>
          <w:smallCaps w:val="false"/>
          <w:sz w:val="20"/>
        </w:rPr>
        <w:t xml:space="preserve"> – The Cohu, Inc. </w:t>
      </w:r>
      <w:r>
        <w:rPr>
          <w:rStyle w:val="Emphasis"/>
          <w:rFonts w:ascii="Times New Roman" w:hAnsi="Times New Roman"/>
          <w:caps w:val="false"/>
          <w:smallCaps w:val="false"/>
          <w:sz w:val="20"/>
        </w:rPr>
        <w:t>1997</w:t>
      </w:r>
      <w:r>
        <w:rPr>
          <w:rFonts w:ascii="Times New Roman" w:hAnsi="Times New Roman"/>
          <w:caps w:val="false"/>
          <w:smallCaps w:val="false"/>
          <w:sz w:val="20"/>
        </w:rPr>
        <w:t xml:space="preserve"> Employee Stock Purchase Plan (“the Plan”) provides for the issuance of a maximum of 3,750,000 shares of our common stock. Under the Plan, eligible employees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purchase shares of common stock through payroll deductions. The price paid for the common stock is equal to 85% of the fair market value of our common stock on specified dates. During the last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we issued shares under the Plan as follows: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- 146,829;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- 160,855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- 161,351.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there were 799,669 shares available for issuance under the Plan. On </w:t>
      </w:r>
      <w:r>
        <w:rPr>
          <w:rStyle w:val="Emphasis"/>
          <w:rFonts w:ascii="Times New Roman" w:hAnsi="Times New Roman"/>
          <w:caps w:val="false"/>
          <w:smallCaps w:val="false"/>
          <w:sz w:val="20"/>
        </w:rPr>
        <w:t xml:space="preserve">May 10, 2023, </w:t>
      </w:r>
      <w:r>
        <w:rPr>
          <w:rFonts w:ascii="Times New Roman" w:hAnsi="Times New Roman"/>
          <w:caps w:val="false"/>
          <w:smallCaps w:val="false"/>
          <w:sz w:val="20"/>
        </w:rPr>
        <w:t xml:space="preserve">our stockholders approved an amendment to the ESPP which increased the number of ESPP shares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by 600,000 and eliminated the requirement that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participant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purchase shares for any offering period with a value exceeding $12,500 divided by the share value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date of the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Employee Stock Benefit Plans</w:t>
      </w:r>
      <w:r>
        <w:rPr>
          <w:rFonts w:ascii="Times New Roman" w:hAnsi="Times New Roman"/>
          <w:caps w:val="false"/>
          <w:smallCaps w:val="false"/>
          <w:sz w:val="20"/>
        </w:rPr>
        <w:t xml:space="preserve"> – Our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Plan”) is a broad-based, long-term retention program intended to attract, motivate, and retain talented employees as well as align stockholder and employee interests. Awards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under the program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there were 3,509,023 shares available for future equity grants under the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Plan. On </w:t>
      </w:r>
      <w:r>
        <w:rPr>
          <w:rStyle w:val="Emphasis"/>
          <w:rFonts w:ascii="Times New Roman" w:hAnsi="Times New Roman"/>
          <w:caps w:val="false"/>
          <w:smallCaps w:val="false"/>
          <w:sz w:val="20"/>
        </w:rPr>
        <w:t xml:space="preserve">May 10, 2023, </w:t>
      </w:r>
      <w:r>
        <w:rPr>
          <w:rFonts w:ascii="Times New Roman" w:hAnsi="Times New Roman"/>
          <w:caps w:val="false"/>
          <w:smallCaps w:val="false"/>
          <w:sz w:val="20"/>
        </w:rPr>
        <w:t xml:space="preserve">our stockholders approved amendments to the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Plan which increased the shares of stock available for issuance by 3,200,000, specified an annual limit of $750,000 on our non-employee director compensation, increased the amounts permitted for cash payouts of performance awards from current limit of $2,000,000 to $4,000,000 per each fiscal year and provided updated criteria for performance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Plan 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to employees, consultants and outside directors to purchase a fixed number of shares of our common stock at prices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100% of the fair market value at the date of grant. Options generally vest and become exercisable after one year or in four annual increments beginning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grant date and expire ten years from the grant date. We have historically issued new shares of Cohu common stock upon share option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no stock options were granted and the activity under our share-based compensation plans was as follows:</w:t>
      </w:r>
    </w:p>
    <w:p>
      <w:pPr>
        <w:pStyle w:val="TextBody"/>
        <w:bidi w:val="0"/>
        <w:spacing w:before="0" w:after="0"/>
        <w:ind w:left="0" w:right="0" w:hanging="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60"/>
        <w:gridCol w:w="60"/>
        <w:gridCol w:w="93"/>
        <w:gridCol w:w="452"/>
        <w:gridCol w:w="80"/>
        <w:gridCol w:w="60"/>
        <w:gridCol w:w="183"/>
        <w:gridCol w:w="556"/>
        <w:gridCol w:w="60"/>
        <w:gridCol w:w="60"/>
        <w:gridCol w:w="71"/>
        <w:gridCol w:w="474"/>
        <w:gridCol w:w="80"/>
        <w:gridCol w:w="60"/>
        <w:gridCol w:w="151"/>
        <w:gridCol w:w="588"/>
        <w:gridCol w:w="6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Avg.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Avg.</w:t>
            </w:r>
          </w:p>
        </w:tc>
        <w:tc>
          <w:tcPr>
            <w:tcW w:w="60" w:type="dxa"/>
            <w:tcBorders/>
            <w:vAlign w:val="center"/>
          </w:tcPr>
          <w:p>
            <w:pPr>
              <w:pStyle w:val="TableContents"/>
              <w:bidi w:val="0"/>
              <w:spacing w:before="0" w:after="283"/>
              <w:jc w:val="left"/>
              <w:rPr/>
            </w:pPr>
            <w:r>
              <w:rPr/>
              <w:t> </w:t>
            </w:r>
          </w:p>
        </w:tc>
      </w:tr>
      <w:tr>
        <w:trPr/>
        <w:tc>
          <w:tcPr>
            <w:tcW w:w="38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per share data)</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 Price</w:t>
            </w:r>
          </w:p>
        </w:tc>
        <w:tc>
          <w:tcPr>
            <w:tcW w:w="6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beginning of year</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end of year</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aggregate intrinsic value of options exercised was $0.2 million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$8.4 million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we had no stock options exercisable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Under our equity incentive plans, restricted stock units (“RSUs”)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to employees, consultants and outside directors. Restricted stock units vest over a one-year, two-year or a four-year period from the date of grant. Prior to vesting, restricted stock units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dividend equivalent rights,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voting rights and the shares underlying the restricted stock units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issued and outstanding. New shares of our common stock will be issued on the date the restricted stock units vest net of the statutory tax withholding requirements to be paid by us on behalf of our employees. As a result, the actual number of shares issued will be fewer than the actual number of RSUs outstanding at </w:t>
      </w:r>
      <w:r>
        <w:rPr>
          <w:rStyle w:val="Emphasis"/>
          <w:rFonts w:ascii="Times New Roman" w:hAnsi="Times New Roman"/>
          <w:caps w:val="false"/>
          <w:smallCaps w:val="false"/>
          <w:sz w:val="20"/>
        </w:rPr>
        <w:t>December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Restricted stock unit activity under our share-based compensation plans was as follows:</w:t>
      </w:r>
    </w:p>
    <w:p>
      <w:pPr>
        <w:pStyle w:val="TextBody"/>
        <w:bidi w:val="0"/>
        <w:spacing w:before="0" w:after="0"/>
        <w:ind w:left="0" w:right="0" w:hanging="0"/>
        <w:jc w:val="left"/>
        <w:rPr>
          <w:caps w:val="false"/>
          <w:smallCaps w:val="false"/>
        </w:rPr>
      </w:pPr>
      <w:r>
        <w:rPr>
          <w:caps w:val="false"/>
          <w:smallCaps w:val="false"/>
        </w:rPr>
        <w:t> </w:t>
      </w:r>
    </w:p>
    <w:tbl>
      <w:tblPr>
        <w:tblW w:w="7937" w:type="dxa"/>
        <w:jc w:val="left"/>
        <w:tblInd w:w="0" w:type="dxa"/>
        <w:tblLayout w:type="fixed"/>
        <w:tblCellMar>
          <w:top w:w="0" w:type="dxa"/>
          <w:left w:w="0" w:type="dxa"/>
          <w:bottom w:w="0" w:type="dxa"/>
          <w:right w:w="0" w:type="dxa"/>
        </w:tblCellMar>
      </w:tblPr>
      <w:tblGrid>
        <w:gridCol w:w="3035"/>
        <w:gridCol w:w="60"/>
        <w:gridCol w:w="60"/>
        <w:gridCol w:w="395"/>
        <w:gridCol w:w="80"/>
        <w:gridCol w:w="60"/>
        <w:gridCol w:w="175"/>
        <w:gridCol w:w="684"/>
        <w:gridCol w:w="60"/>
        <w:gridCol w:w="60"/>
        <w:gridCol w:w="60"/>
        <w:gridCol w:w="485"/>
        <w:gridCol w:w="80"/>
        <w:gridCol w:w="60"/>
        <w:gridCol w:w="175"/>
        <w:gridCol w:w="684"/>
        <w:gridCol w:w="60"/>
        <w:gridCol w:w="60"/>
        <w:gridCol w:w="60"/>
        <w:gridCol w:w="485"/>
        <w:gridCol w:w="80"/>
        <w:gridCol w:w="60"/>
        <w:gridCol w:w="175"/>
        <w:gridCol w:w="684"/>
        <w:gridCol w:w="60"/>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Avg.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Avg.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Avg.</w:t>
            </w:r>
          </w:p>
        </w:tc>
        <w:tc>
          <w:tcPr>
            <w:tcW w:w="60" w:type="dxa"/>
            <w:tcBorders/>
            <w:vAlign w:val="center"/>
          </w:tcPr>
          <w:p>
            <w:pPr>
              <w:pStyle w:val="TableContents"/>
              <w:bidi w:val="0"/>
              <w:spacing w:before="0" w:after="283"/>
              <w:jc w:val="left"/>
              <w:rPr/>
            </w:pPr>
            <w:r>
              <w:rPr/>
              <w:t> </w:t>
            </w:r>
          </w:p>
        </w:tc>
      </w:tr>
      <w:tr>
        <w:trPr/>
        <w:tc>
          <w:tcPr>
            <w:tcW w:w="30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per share data)</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41.66</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end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Equity-Based Performance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measurement period. The performance criteria for the majority of PSUs are based on a combination of our annualized Total Shareholder Return (“TSR”) for the performance period and the relative performance of our TSR compared with the annualized TSR of certain peer companies for the performance period. PSUs granted vest 100% on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their grant, assuming achievement of the applicable 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We estimated the fair value of the PSUs using a Monte Carlo simulation model on the date of grant. Compensation expense is recognized over the requisite service period. New shares of our common stock will be issued on the date the PSUs vest net of the minimum statutory tax withholding requirements to be paid by us on behalf of our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PSU activity under our share-based compensation plans was as follows:</w:t>
      </w:r>
    </w:p>
    <w:p>
      <w:pPr>
        <w:pStyle w:val="TextBody"/>
        <w:bidi w:val="0"/>
        <w:spacing w:before="0" w:after="0"/>
        <w:ind w:left="0" w:right="0" w:hanging="0"/>
        <w:jc w:val="left"/>
        <w:rPr>
          <w:caps w:val="false"/>
          <w:smallCaps w:val="false"/>
        </w:rPr>
      </w:pPr>
      <w:r>
        <w:rPr>
          <w:caps w:val="false"/>
          <w:smallCaps w:val="false"/>
        </w:rPr>
        <w:t> </w:t>
      </w:r>
    </w:p>
    <w:tbl>
      <w:tblPr>
        <w:tblW w:w="7757" w:type="dxa"/>
        <w:jc w:val="left"/>
        <w:tblInd w:w="0" w:type="dxa"/>
        <w:tblLayout w:type="fixed"/>
        <w:tblCellMar>
          <w:top w:w="0" w:type="dxa"/>
          <w:left w:w="0" w:type="dxa"/>
          <w:bottom w:w="0" w:type="dxa"/>
          <w:right w:w="0" w:type="dxa"/>
        </w:tblCellMar>
      </w:tblPr>
      <w:tblGrid>
        <w:gridCol w:w="3035"/>
        <w:gridCol w:w="60"/>
        <w:gridCol w:w="60"/>
        <w:gridCol w:w="395"/>
        <w:gridCol w:w="80"/>
        <w:gridCol w:w="60"/>
        <w:gridCol w:w="175"/>
        <w:gridCol w:w="684"/>
        <w:gridCol w:w="60"/>
        <w:gridCol w:w="60"/>
        <w:gridCol w:w="69"/>
        <w:gridCol w:w="386"/>
        <w:gridCol w:w="80"/>
        <w:gridCol w:w="60"/>
        <w:gridCol w:w="175"/>
        <w:gridCol w:w="684"/>
        <w:gridCol w:w="60"/>
        <w:gridCol w:w="60"/>
        <w:gridCol w:w="60"/>
        <w:gridCol w:w="395"/>
        <w:gridCol w:w="80"/>
        <w:gridCol w:w="60"/>
        <w:gridCol w:w="175"/>
        <w:gridCol w:w="684"/>
        <w:gridCol w:w="60"/>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Avg.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Avg.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Avg.</w:t>
            </w:r>
          </w:p>
        </w:tc>
        <w:tc>
          <w:tcPr>
            <w:tcW w:w="60" w:type="dxa"/>
            <w:tcBorders/>
            <w:vAlign w:val="center"/>
          </w:tcPr>
          <w:p>
            <w:pPr>
              <w:pStyle w:val="TableContents"/>
              <w:bidi w:val="0"/>
              <w:spacing w:before="0" w:after="283"/>
              <w:jc w:val="left"/>
              <w:rPr/>
            </w:pPr>
            <w:r>
              <w:rPr/>
              <w:t> </w:t>
            </w:r>
          </w:p>
        </w:tc>
      </w:tr>
      <w:tr>
        <w:trPr/>
        <w:tc>
          <w:tcPr>
            <w:tcW w:w="30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per share data)</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3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14.04</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end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rPr>
        <w:t xml:space="preserve">Share-based Compensation </w:t>
      </w:r>
      <w:r>
        <w:rPr>
          <w:rFonts w:ascii="Times New Roman" w:hAnsi="Times New Roman"/>
          <w:caps w:val="false"/>
          <w:smallCaps w:val="false"/>
          <w:sz w:val="20"/>
        </w:rPr>
        <w:t xml:space="preserve">– We estimate the fair value of our employee stock purchase plan using the Black-Scholes valuation model. The assumptions for the Black-Scholes model include the risk-free rate of interest, expected dividend yield, expected volatility, and the expected life of the award. The estimated fair value of PSUs is determined on the grant date using the Monte Carlo simulation valuation model. The Monte Carlo simulation model incorporates assumptions for the risk-free interest rate, Cohu and the selected peer group price volatility, the correlation between Cohu and the selected index, and dividend yields. 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Cohu’s Board of Directors authorized suspending our quarterly cash dividend indefinitely, as of </w:t>
      </w:r>
      <w:r>
        <w:rPr>
          <w:rStyle w:val="Emphasis"/>
          <w:rFonts w:ascii="Times New Roman" w:hAnsi="Times New Roman"/>
          <w:caps w:val="false"/>
          <w:smallCaps w:val="false"/>
          <w:sz w:val="20"/>
        </w:rPr>
        <w:t xml:space="preserve">May 5, 2020. </w:t>
      </w:r>
      <w:r>
        <w:rPr>
          <w:rFonts w:ascii="Times New Roman" w:hAnsi="Times New Roman"/>
          <w:caps w:val="false"/>
          <w:smallCaps w:val="false"/>
          <w:sz w:val="20"/>
        </w:rPr>
        <w:t xml:space="preserve">All awards granted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exclude the assumption of dividend payments and the estimated fair value awards granted in prior years, when dividends were paid, are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following weighted average assumptions were used to value share-based awards granted:</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28" w:type="dxa"/>
          <w:right w:w="0" w:type="dxa"/>
        </w:tblCellMar>
      </w:tblPr>
      <w:tblGrid>
        <w:gridCol w:w="2675"/>
        <w:gridCol w:w="60"/>
        <w:gridCol w:w="125"/>
        <w:gridCol w:w="380"/>
        <w:gridCol w:w="185"/>
        <w:gridCol w:w="60"/>
        <w:gridCol w:w="125"/>
        <w:gridCol w:w="380"/>
        <w:gridCol w:w="185"/>
        <w:gridCol w:w="60"/>
        <w:gridCol w:w="125"/>
        <w:gridCol w:w="380"/>
        <w:gridCol w:w="185"/>
      </w:tblGrid>
      <w:tr>
        <w:trPr/>
        <w:tc>
          <w:tcPr>
            <w:tcW w:w="26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Employee Stock Purchase Plan</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185" w:type="dxa"/>
            <w:tcBorders/>
            <w:tcMar>
              <w:bottom w:w="0" w:type="dxa"/>
            </w:tcMar>
            <w:vAlign w:val="center"/>
          </w:tcPr>
          <w:p>
            <w:pPr>
              <w:pStyle w:val="TableContents"/>
              <w:bidi w:val="0"/>
              <w:spacing w:before="0" w:after="283"/>
              <w:ind w:left="0" w:right="0" w:hanging="0"/>
              <w:jc w:val="left"/>
              <w:rPr/>
            </w:pPr>
            <w:r>
              <w:rPr/>
              <w:t> </w:t>
            </w:r>
          </w:p>
        </w:tc>
      </w:tr>
      <w:tr>
        <w:trPr/>
        <w:tc>
          <w:tcPr>
            <w:tcW w:w="26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1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6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grant date fair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w:t>
            </w:r>
          </w:p>
        </w:tc>
        <w:tc>
          <w:tcPr>
            <w:tcW w:w="18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875" w:type="dxa"/>
        <w:jc w:val="left"/>
        <w:tblInd w:w="0" w:type="dxa"/>
        <w:tblLayout w:type="fixed"/>
        <w:tblCellMar>
          <w:top w:w="0" w:type="dxa"/>
          <w:left w:w="0" w:type="dxa"/>
          <w:bottom w:w="28" w:type="dxa"/>
          <w:right w:w="0" w:type="dxa"/>
        </w:tblCellMar>
      </w:tblPr>
      <w:tblGrid>
        <w:gridCol w:w="1820"/>
        <w:gridCol w:w="60"/>
        <w:gridCol w:w="78"/>
        <w:gridCol w:w="362"/>
        <w:gridCol w:w="185"/>
        <w:gridCol w:w="60"/>
        <w:gridCol w:w="78"/>
        <w:gridCol w:w="362"/>
        <w:gridCol w:w="185"/>
        <w:gridCol w:w="60"/>
        <w:gridCol w:w="78"/>
        <w:gridCol w:w="362"/>
        <w:gridCol w:w="185"/>
      </w:tblGrid>
      <w:tr>
        <w:trPr/>
        <w:tc>
          <w:tcPr>
            <w:tcW w:w="18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Restricted Stock Units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2021</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8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Reported share-based compensation is classified in the consolidated financial statements as follows:</w:t>
      </w:r>
    </w:p>
    <w:p>
      <w:pPr>
        <w:pStyle w:val="TextBody"/>
        <w:bidi w:val="0"/>
        <w:spacing w:before="0" w:after="0"/>
        <w:ind w:left="0" w:right="0" w:hanging="0"/>
        <w:jc w:val="left"/>
        <w:rPr>
          <w:caps w:val="false"/>
          <w:smallCaps w:val="false"/>
        </w:rPr>
      </w:pPr>
      <w:r>
        <w:rPr>
          <w:caps w:val="false"/>
          <w:smallCaps w:val="false"/>
        </w:rPr>
        <w:t> </w:t>
      </w:r>
    </w:p>
    <w:tbl>
      <w:tblPr>
        <w:tblW w:w="6800" w:type="dxa"/>
        <w:jc w:val="left"/>
        <w:tblInd w:w="0" w:type="dxa"/>
        <w:tblLayout w:type="fixed"/>
        <w:tblCellMar>
          <w:top w:w="0" w:type="dxa"/>
          <w:left w:w="0" w:type="dxa"/>
          <w:bottom w:w="28" w:type="dxa"/>
          <w:right w:w="0" w:type="dxa"/>
        </w:tblCellMar>
      </w:tblPr>
      <w:tblGrid>
        <w:gridCol w:w="4235"/>
        <w:gridCol w:w="60"/>
        <w:gridCol w:w="125"/>
        <w:gridCol w:w="590"/>
        <w:gridCol w:w="80"/>
        <w:gridCol w:w="60"/>
        <w:gridCol w:w="125"/>
        <w:gridCol w:w="590"/>
        <w:gridCol w:w="80"/>
        <w:gridCol w:w="60"/>
        <w:gridCol w:w="125"/>
        <w:gridCol w:w="590"/>
        <w:gridCol w:w="80"/>
      </w:tblGrid>
      <w:tr>
        <w:trPr/>
        <w:tc>
          <w:tcPr>
            <w:tcW w:w="42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tcMar>
              <w:bottom w:w="0" w:type="dxa"/>
            </w:tcM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of continuing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net of tax</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13,070</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account for forfeitures of plan-based awards as they occur.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we had approximately $27.9 million of pre-tax unrecognized compensation cost related to unvested restricted stock units and performance stock units which is expected to be recognized over a weighted-average period of approximately 2.2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990" w:type="dxa"/>
        <w:jc w:val="left"/>
        <w:tblInd w:w="0" w:type="dxa"/>
        <w:tblLayout w:type="fixed"/>
        <w:tblCellMar>
          <w:top w:w="0" w:type="dxa"/>
          <w:left w:w="0" w:type="dxa"/>
          <w:bottom w:w="0" w:type="dxa"/>
          <w:right w:w="0" w:type="dxa"/>
        </w:tblCellMar>
      </w:tblPr>
      <w:tblGrid>
        <w:gridCol w:w="170"/>
        <w:gridCol w:w="182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7.</w:t>
            </w:r>
          </w:p>
        </w:tc>
        <w:tc>
          <w:tcPr>
            <w:tcW w:w="1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MCT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30, 2023, </w:t>
      </w:r>
      <w:r>
        <w:rPr>
          <w:rFonts w:ascii="Times New Roman" w:hAnsi="Times New Roman"/>
          <w:caps w:val="false"/>
          <w:smallCaps w:val="false"/>
          <w:sz w:val="20"/>
        </w:rPr>
        <w:t xml:space="preserve">we completed the acquisition of all the outstanding membership units of MCT Worldwide, LLC (“MCT”), pursuant to a membership unit purchase agreement dated </w:t>
      </w:r>
      <w:r>
        <w:rPr>
          <w:rStyle w:val="Emphasis"/>
          <w:rFonts w:ascii="Times New Roman" w:hAnsi="Times New Roman"/>
          <w:caps w:val="false"/>
          <w:smallCaps w:val="false"/>
          <w:sz w:val="20"/>
        </w:rPr>
        <w:t xml:space="preserve">January 30, 2023, </w:t>
      </w:r>
      <w:r>
        <w:rPr>
          <w:rFonts w:ascii="Times New Roman" w:hAnsi="Times New Roman"/>
          <w:caps w:val="false"/>
          <w:smallCaps w:val="false"/>
          <w:sz w:val="20"/>
        </w:rPr>
        <w:t xml:space="preserve">by and among MCT Worldwide, LLC, Arise Acquisition Co., LLC, The Seaport Group LLC Profit Sharing Plan, and Delta Design, Inc., a wholly owned subsidiary of Cohu (“the MCT Acquisition”). MCT is a U.S. based company with a principal manufacturing site in Penang, Malaysia. MCT provides automated solutions for the semiconductor industry and designs, manufactures, markets, services and distributes strip test handlers, film frame handlers and laser mark handlers. On </w:t>
      </w:r>
      <w:r>
        <w:rPr>
          <w:rStyle w:val="Emphasis"/>
          <w:rFonts w:ascii="Times New Roman" w:hAnsi="Times New Roman"/>
          <w:caps w:val="false"/>
          <w:smallCaps w:val="false"/>
          <w:sz w:val="20"/>
        </w:rPr>
        <w:t xml:space="preserve">January 30, 2023, </w:t>
      </w:r>
      <w:r>
        <w:rPr>
          <w:rFonts w:ascii="Times New Roman" w:hAnsi="Times New Roman"/>
          <w:caps w:val="false"/>
          <w:smallCaps w:val="false"/>
          <w:sz w:val="20"/>
        </w:rPr>
        <w:t xml:space="preserve">we made a cash payment totaling $28.0 million for MCT of which $0.6 million was used to pay former MCT CFO and CEO and expensed as restructuring severance expense. Taking into consideration the amount expensed as severance and the working capital adjustment receivable resulted in a final net purchase price of approximately $26.8 million. The MCT Acquisition was a cash free debt free transaction and was subject to a working capital adjustment for the difference between the actual and estimated net working capital. The MCT Acquisition has been accounted for in conformity with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Business Combinations, (“ASC </w:t>
      </w:r>
      <w:r>
        <w:rPr>
          <w:rStyle w:val="Emphasis"/>
          <w:rFonts w:ascii="Times New Roman" w:hAnsi="Times New Roman"/>
          <w:caps w:val="false"/>
          <w:smallCaps w:val="false"/>
          <w:sz w:val="20"/>
        </w:rPr>
        <w:t>805”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acquired assets and liabilities of MCT were recorded at their respective fair values including an amount for goodwill representing the difference between the consideration paid and the fair value of the identifiable net assets. The purchase price allocation was finalized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table below summarizes the assets acquired and liabilities assumed as of </w:t>
      </w:r>
      <w:r>
        <w:rPr>
          <w:rStyle w:val="Emphasis"/>
          <w:rFonts w:ascii="Times New Roman" w:hAnsi="Times New Roman"/>
          <w:caps w:val="false"/>
          <w:smallCaps w:val="false"/>
          <w:sz w:val="20"/>
        </w:rPr>
        <w:t>January 30, 2023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3185"/>
        <w:gridCol w:w="60"/>
        <w:gridCol w:w="125"/>
        <w:gridCol w:w="590"/>
        <w:gridCol w:w="95"/>
      </w:tblGrid>
      <w:tr>
        <w:trPr/>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including cash received</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9,505</w:t>
            </w:r>
          </w:p>
        </w:tc>
        <w:tc>
          <w:tcPr>
            <w:tcW w:w="9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9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9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9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8,755</w:t>
            </w:r>
          </w:p>
        </w:tc>
        <w:tc>
          <w:tcPr>
            <w:tcW w:w="9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30,813</w:t>
            </w:r>
          </w:p>
        </w:tc>
        <w:tc>
          <w:tcPr>
            <w:tcW w:w="9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26,789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allocation of the intangible assets subject to amortization is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13" w:type="dxa"/>
        <w:jc w:val="left"/>
        <w:tblInd w:w="0" w:type="dxa"/>
        <w:tblLayout w:type="fixed"/>
        <w:tblCellMar>
          <w:top w:w="0" w:type="dxa"/>
          <w:left w:w="0" w:type="dxa"/>
          <w:bottom w:w="0" w:type="dxa"/>
          <w:right w:w="0" w:type="dxa"/>
        </w:tblCellMar>
      </w:tblPr>
      <w:tblGrid>
        <w:gridCol w:w="1895"/>
        <w:gridCol w:w="60"/>
        <w:gridCol w:w="150"/>
        <w:gridCol w:w="709"/>
        <w:gridCol w:w="60"/>
        <w:gridCol w:w="60"/>
        <w:gridCol w:w="125"/>
        <w:gridCol w:w="794"/>
        <w:gridCol w:w="60"/>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Useful Life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w:t>
            </w:r>
          </w:p>
        </w:tc>
        <w:tc>
          <w:tcPr>
            <w:tcW w:w="60" w:type="dxa"/>
            <w:tcBorders/>
            <w:vAlign w:val="center"/>
          </w:tcPr>
          <w:p>
            <w:pPr>
              <w:pStyle w:val="TableContents"/>
              <w:bidi w:val="0"/>
              <w:spacing w:before="0" w:after="283"/>
              <w:ind w:left="0" w:right="0" w:hanging="0"/>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backlog</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MCT’s product line. The revenue estimates used to value the developed technology were based on estimates of relevant market sizes and growth factors, expected trends in technology and the nature and expected timing of new product introductions by MCT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customer relationships was determined by using the multi-period excess earnings method under the income approach. The estimated cash flows were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value assigned to backlog acquired was estimated based upon the contractual nature of the backlog as of </w:t>
      </w:r>
      <w:r>
        <w:rPr>
          <w:rStyle w:val="Emphasis"/>
          <w:rFonts w:ascii="Times New Roman" w:hAnsi="Times New Roman"/>
          <w:caps w:val="false"/>
          <w:smallCaps w:val="false"/>
          <w:sz w:val="20"/>
        </w:rPr>
        <w:t xml:space="preserve">January 30, 2023, </w:t>
      </w:r>
      <w:r>
        <w:rPr>
          <w:rFonts w:ascii="Times New Roman" w:hAnsi="Times New Roman"/>
          <w:caps w:val="false"/>
          <w:smallCaps w:val="false"/>
          <w:sz w:val="20"/>
        </w:rPr>
        <w:t>using the multi-period excess earnings method under the income approach to discount back to present value the cash flows attributable to the backlog at a discount rate commensurate with the expected risks of the backlog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MCT’s results of operations have been included starting </w:t>
      </w:r>
      <w:r>
        <w:rPr>
          <w:rStyle w:val="Emphasis"/>
          <w:rFonts w:ascii="Times New Roman" w:hAnsi="Times New Roman"/>
          <w:caps w:val="false"/>
          <w:smallCaps w:val="false"/>
          <w:sz w:val="20"/>
        </w:rPr>
        <w:t xml:space="preserve">January 30, 2023. </w:t>
      </w:r>
      <w:r>
        <w:rPr>
          <w:rFonts w:ascii="Times New Roman" w:hAnsi="Times New Roman"/>
          <w:caps w:val="false"/>
          <w:smallCaps w:val="false"/>
          <w:sz w:val="20"/>
        </w:rPr>
        <w:t xml:space="preserve">The impact of MCT on our consolidated statements of income and comprehensive income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In connection with the MCT Acquisition, during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we incurred acquisition-related costs, which were expensed as selling, general and administrative costs totaling $0.5 million. During the prior year period no acquisition-related costs were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 2023, </w:t>
      </w:r>
      <w:r>
        <w:rPr>
          <w:rFonts w:ascii="Times New Roman" w:hAnsi="Times New Roman"/>
          <w:caps w:val="false"/>
          <w:smallCaps w:val="false"/>
          <w:sz w:val="20"/>
        </w:rPr>
        <w:t xml:space="preserve">we completed the acquisition of Equiptest Engineering Pte. Ltd. (“EQT”), a provider of semiconductor test contactors and other consumables. (“the EQT Acquisition”). EQT is a Singapore based company with a principal manufacturing site located there. EQT provides test interface products including, high performance thermal, MEMS, Infrared, Coaxial and Kelvin Contactors that expands our interface products in mid- to high-power contactors. The EQT Acquisition was a cash free debt free transaction and was subject to a working capital adjustment for the difference between the actual and estimated net working capital. We made a cash payment of SGD 66.0 million ($48.3 million) on </w:t>
      </w:r>
      <w:r>
        <w:rPr>
          <w:rStyle w:val="Emphasis"/>
          <w:rFonts w:ascii="Times New Roman" w:hAnsi="Times New Roman"/>
          <w:caps w:val="false"/>
          <w:smallCaps w:val="false"/>
          <w:sz w:val="20"/>
        </w:rPr>
        <w:t xml:space="preserve">October 2, 2023, </w:t>
      </w:r>
      <w:r>
        <w:rPr>
          <w:rFonts w:ascii="Times New Roman" w:hAnsi="Times New Roman"/>
          <w:caps w:val="false"/>
          <w:smallCaps w:val="false"/>
          <w:sz w:val="20"/>
        </w:rPr>
        <w:t xml:space="preserve">and set up a retention sum liability for potential adjustments to working capital, future tax or insurance claims in the amount of SGD 2.2 million ($1.6 million) resulting in an initial purchase price of SGD 68.3 million ($49.9 million). The working capital adjustment was finalized 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 xml:space="preserve">and an additional cash payment was made to EQT owners of SGD 0.8 million (approximately $0.6 million).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accrued this additional payment due to the sellers in resulting in an adjusted purchase price of SGD 68.8 million ($50.3 million) and the additional SGD 0.5 million ($0.4 million) is accrued in the short term other liabilities. The retention liability for net working capital, remaining tax, insurance and other claims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was SGD 2.2 million ($1.6 million) and $0.3 million and $1.3 million is accrued in short term and long term other liabilities, respectively, on our consolidated balance sheet. The EQT Acquisition has been accounted for in conformity with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Business Combinations, (“ASC </w:t>
      </w:r>
      <w:r>
        <w:rPr>
          <w:rStyle w:val="Emphasis"/>
          <w:rFonts w:ascii="Times New Roman" w:hAnsi="Times New Roman"/>
          <w:caps w:val="false"/>
          <w:smallCaps w:val="false"/>
          <w:sz w:val="20"/>
        </w:rPr>
        <w:t>805”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finalized the purchase price allocation. Accordingly, the preliminary purchase price allocation shown below could change as we are still in the process of finalizing the fair values of the tangible and intangible assets acquired and liabilities assumed, and the related income tax effects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still be adjusted as they are finalized during the remainder of the measurement period (which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from the acquisition closing date). The EQT Acquisition was nontaxable and certain of the assets acquired, including goodwill and intangibles,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deductible for tax purposes. The acquired assets and liabilities of EQT were recorded at their respective fair values including an amount for goodwill representing the difference between the consideration paid and the fair value of the identifiable net assets. The table below summarizes the assets acquired and liabilities assumed as of </w:t>
      </w:r>
      <w:r>
        <w:rPr>
          <w:rStyle w:val="Emphasis"/>
          <w:rFonts w:ascii="Times New Roman" w:hAnsi="Times New Roman"/>
          <w:caps w:val="false"/>
          <w:smallCaps w:val="false"/>
          <w:sz w:val="20"/>
        </w:rPr>
        <w:t>October 2, 2023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15" w:type="dxa"/>
        <w:jc w:val="left"/>
        <w:tblInd w:w="0" w:type="dxa"/>
        <w:tblLayout w:type="fixed"/>
        <w:tblCellMar>
          <w:top w:w="0" w:type="dxa"/>
          <w:left w:w="0" w:type="dxa"/>
          <w:bottom w:w="0" w:type="dxa"/>
          <w:right w:w="0" w:type="dxa"/>
        </w:tblCellMar>
      </w:tblPr>
      <w:tblGrid>
        <w:gridCol w:w="3185"/>
        <w:gridCol w:w="60"/>
        <w:gridCol w:w="125"/>
        <w:gridCol w:w="650"/>
        <w:gridCol w:w="95"/>
      </w:tblGrid>
      <w:tr>
        <w:trPr/>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including cash received</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10,135</w:t>
            </w:r>
          </w:p>
        </w:tc>
        <w:tc>
          <w:tcPr>
            <w:tcW w:w="9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9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34,500</w:t>
            </w:r>
          </w:p>
        </w:tc>
        <w:tc>
          <w:tcPr>
            <w:tcW w:w="9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15,377</w:t>
            </w:r>
          </w:p>
        </w:tc>
        <w:tc>
          <w:tcPr>
            <w:tcW w:w="9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60,550</w:t>
            </w:r>
          </w:p>
        </w:tc>
        <w:tc>
          <w:tcPr>
            <w:tcW w:w="9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preliminary allocation of the intangible assets subject to amortization is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258" w:type="dxa"/>
        <w:jc w:val="left"/>
        <w:tblInd w:w="0" w:type="dxa"/>
        <w:tblLayout w:type="fixed"/>
        <w:tblCellMar>
          <w:top w:w="0" w:type="dxa"/>
          <w:left w:w="0" w:type="dxa"/>
          <w:bottom w:w="0" w:type="dxa"/>
          <w:right w:w="0" w:type="dxa"/>
        </w:tblCellMar>
      </w:tblPr>
      <w:tblGrid>
        <w:gridCol w:w="2240"/>
        <w:gridCol w:w="60"/>
        <w:gridCol w:w="150"/>
        <w:gridCol w:w="709"/>
        <w:gridCol w:w="60"/>
        <w:gridCol w:w="60"/>
        <w:gridCol w:w="125"/>
        <w:gridCol w:w="794"/>
        <w:gridCol w:w="60"/>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Useful Life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w:t>
            </w:r>
          </w:p>
        </w:tc>
        <w:tc>
          <w:tcPr>
            <w:tcW w:w="60" w:type="dxa"/>
            <w:tcBorders/>
            <w:vAlign w:val="center"/>
          </w:tcPr>
          <w:p>
            <w:pPr>
              <w:pStyle w:val="TableContents"/>
              <w:bidi w:val="0"/>
              <w:spacing w:before="0" w:after="283"/>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backlog</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 and trade name</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preliminary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EQT’s product line. The revenue estimates used to value the developed technology were based on estimates of relevant market sizes and growth factors, expected trends in technology and the nature and expected timing of new product introductions by EQT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preliminary value assigned to customer relationships was determined by using the multi-period excess earnings method under the income approach. The estimated cash flows were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preliminary value assigned to backlog acquired was estimated based upon the contractual nature of the backlog as of </w:t>
      </w:r>
      <w:r>
        <w:rPr>
          <w:rStyle w:val="Emphasis"/>
          <w:rFonts w:ascii="Times New Roman" w:hAnsi="Times New Roman"/>
          <w:caps w:val="false"/>
          <w:smallCaps w:val="false"/>
          <w:sz w:val="20"/>
        </w:rPr>
        <w:t xml:space="preserve">October 2, 2023, </w:t>
      </w:r>
      <w:r>
        <w:rPr>
          <w:rFonts w:ascii="Times New Roman" w:hAnsi="Times New Roman"/>
          <w:caps w:val="false"/>
          <w:smallCaps w:val="false"/>
          <w:sz w:val="20"/>
        </w:rPr>
        <w:t>using the multi-period excess earnings method under the income approach to discount back to present value the cash flows attributable to the backlog at a discount rate commensurate with the expected risks of the backlog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preliminary value assigned to trademarks and trade names acquired was determined by using the using the relief from royalty method under the income approach, which included assumptions related to revenue growth rates, royalty rates, and discount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EQT’s results of operations have been included starting </w:t>
      </w:r>
      <w:r>
        <w:rPr>
          <w:rStyle w:val="Emphasis"/>
          <w:rFonts w:ascii="Times New Roman" w:hAnsi="Times New Roman"/>
          <w:caps w:val="false"/>
          <w:smallCaps w:val="false"/>
          <w:sz w:val="20"/>
        </w:rPr>
        <w:t xml:space="preserve">October 2, 2023. </w:t>
      </w:r>
      <w:r>
        <w:rPr>
          <w:rFonts w:ascii="Times New Roman" w:hAnsi="Times New Roman"/>
          <w:caps w:val="false"/>
          <w:smallCaps w:val="false"/>
          <w:sz w:val="20"/>
        </w:rPr>
        <w:t xml:space="preserve">The impact of EQT on Cohu’s condensed consolidated statements of income and comprehensive income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In connection with the acquisition of EQT, during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we incurred acquisition-related costs, which were expensed as selling, general and administrative costs totaling $1.1 million. During the prior year period no acquisition-related costs were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8.</w:t>
            </w:r>
          </w:p>
        </w:tc>
        <w:tc>
          <w:tcPr>
            <w:tcW w:w="28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i/>
          <w:caps w:val="false"/>
          <w:smallCaps w:val="false"/>
          <w:sz w:val="20"/>
        </w:rPr>
      </w:pPr>
      <w:r>
        <w:rPr>
          <w:rFonts w:ascii="Times New Roman" w:hAnsi="Times New Roman"/>
          <w:b/>
          <w:i/>
          <w:caps w:val="false"/>
          <w:smallCaps w:val="false"/>
          <w:sz w:val="20"/>
        </w:rPr>
        <w:t>Foreign Exchange 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We operate and sell our products in various global markets and, as a result, we are exposed to changes in foreign currency exchange rates. To minimize foreign exchange volatility we utilize foreign currency forward contracts to offset against future movements in foreign exchange rates that affect certain existing foreign currency denominated assets and liabilities.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derivative financial instruments for speculative or trading purposes. For accounting purposes, our foreign currency forward contracts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hedging instruments and, accordingly, we record the fair value of these contracts as of the end of our reporting period in our consolidated balance sheets with changes in fair value recorded within foreign transaction gain (loss) in our consolidated statements of income for both realized and unrealized gains and losses. The cash flows associated with the foreign currency forward contracts are reported in net cash provided by operating activities in our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fair value of our foreign exchange derivative contracts was determined based on current foreign currency exchange rates and forward points. All our foreign exchange derivative contracts outstanding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will mature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following table provides information about our foreign currency forward contracts outstanding as of </w:t>
      </w:r>
      <w:r>
        <w:rPr>
          <w:rStyle w:val="Emphasis"/>
          <w:rFonts w:ascii="Times New Roman" w:hAnsi="Times New Roman"/>
          <w:caps w:val="false"/>
          <w:smallCaps w:val="false"/>
          <w:sz w:val="20"/>
        </w:rPr>
        <w:t xml:space="preserve">December 30, 2023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68" w:type="dxa"/>
        <w:jc w:val="left"/>
        <w:tblInd w:w="0" w:type="dxa"/>
        <w:tblLayout w:type="fixed"/>
        <w:tblCellMar>
          <w:top w:w="0" w:type="dxa"/>
          <w:left w:w="0" w:type="dxa"/>
          <w:bottom w:w="28" w:type="dxa"/>
          <w:right w:w="0" w:type="dxa"/>
        </w:tblCellMar>
      </w:tblPr>
      <w:tblGrid>
        <w:gridCol w:w="1565"/>
        <w:gridCol w:w="60"/>
        <w:gridCol w:w="1445"/>
        <w:gridCol w:w="60"/>
        <w:gridCol w:w="94"/>
        <w:gridCol w:w="1335"/>
        <w:gridCol w:w="60"/>
        <w:gridCol w:w="60"/>
        <w:gridCol w:w="217"/>
        <w:gridCol w:w="1212"/>
        <w:gridCol w:w="60"/>
      </w:tblGrid>
      <w:tr>
        <w:trPr/>
        <w:tc>
          <w:tcPr>
            <w:tcW w:w="15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14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Position</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(Local Currency)</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 Dollars)</w:t>
            </w:r>
          </w:p>
        </w:tc>
        <w:tc>
          <w:tcPr>
            <w:tcW w:w="6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4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Buy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13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Buy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13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ind w:left="0" w:right="0" w:hanging="0"/>
              <w:jc w:val="left"/>
              <w:rPr/>
            </w:pPr>
            <w:r>
              <w:rPr/>
              <w:t> </w:t>
            </w:r>
          </w:p>
        </w:tc>
        <w:tc>
          <w:tcPr>
            <w:tcW w:w="12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Korean Won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13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ind w:left="0" w:right="0" w:hanging="0"/>
              <w:jc w:val="left"/>
              <w:rPr/>
            </w:pPr>
            <w:r>
              <w:rPr/>
              <w:t> </w:t>
            </w:r>
          </w:p>
        </w:tc>
        <w:tc>
          <w:tcPr>
            <w:tcW w:w="12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Malaysian Ringgit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13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1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Our foreign currency contracts are classified within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fair value hierarchy as they are valued using pricing models that utilize observable market inputs. The fair value of our foreign currency contracts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was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location and amount of losses related to non-designated derivative instruments in the consolidated statements of income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2915"/>
        <w:gridCol w:w="60"/>
        <w:gridCol w:w="2570"/>
        <w:gridCol w:w="60"/>
        <w:gridCol w:w="125"/>
        <w:gridCol w:w="545"/>
        <w:gridCol w:w="80"/>
        <w:gridCol w:w="60"/>
        <w:gridCol w:w="125"/>
        <w:gridCol w:w="545"/>
        <w:gridCol w:w="80"/>
        <w:gridCol w:w="60"/>
        <w:gridCol w:w="125"/>
        <w:gridCol w:w="545"/>
        <w:gridCol w:w="80"/>
      </w:tblGrid>
      <w:tr>
        <w:trPr/>
        <w:tc>
          <w:tcPr>
            <w:tcW w:w="29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Not Designated</w:t>
            </w:r>
          </w:p>
        </w:tc>
        <w:tc>
          <w:tcPr>
            <w:tcW w:w="60" w:type="dxa"/>
            <w:tcBorders/>
            <w:vAlign w:val="center"/>
          </w:tcPr>
          <w:p>
            <w:pPr>
              <w:pStyle w:val="TableContents"/>
              <w:bidi w:val="0"/>
              <w:spacing w:before="0" w:after="283"/>
              <w:ind w:left="0" w:right="0" w:hanging="0"/>
              <w:jc w:val="center"/>
              <w:rPr/>
            </w:pPr>
            <w:r>
              <w:rPr/>
              <w:t> </w:t>
            </w:r>
          </w:p>
        </w:tc>
        <w:tc>
          <w:tcPr>
            <w:tcW w:w="257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2290"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w:t>
            </w:r>
          </w:p>
        </w:tc>
        <w:tc>
          <w:tcPr>
            <w:tcW w:w="8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25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257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Foreign transaction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9.</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Common Stock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8, 2021, </w:t>
      </w:r>
      <w:r>
        <w:rPr>
          <w:rFonts w:ascii="Times New Roman" w:hAnsi="Times New Roman"/>
          <w:caps w:val="false"/>
          <w:smallCaps w:val="false"/>
          <w:sz w:val="20"/>
        </w:rPr>
        <w:t xml:space="preserve">we closed an underwritten follow-on public offering of 4,950,000 shares of our common stock at $41.00 per share. As part of the transaction, the underwriters were also granted a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option to purchase up to an aggregate of 742,500 additional shares of common stock to cover over-allotments which was exercised in full on </w:t>
      </w:r>
      <w:r>
        <w:rPr>
          <w:rStyle w:val="Emphasis"/>
          <w:rFonts w:ascii="Times New Roman" w:hAnsi="Times New Roman"/>
          <w:caps w:val="false"/>
          <w:smallCaps w:val="false"/>
          <w:sz w:val="20"/>
        </w:rPr>
        <w:t xml:space="preserve">March 11, 2021. </w:t>
      </w:r>
      <w:r>
        <w:rPr>
          <w:rFonts w:ascii="Times New Roman" w:hAnsi="Times New Roman"/>
          <w:caps w:val="false"/>
          <w:smallCaps w:val="false"/>
          <w:sz w:val="20"/>
        </w:rPr>
        <w:t>The offering, and the follow-on option to sell additional shares, resulted in net proceeds, after deducting underwriting discounts and commissions and offering expenses, of approximately $223.1 million. All of the shares were sold pursuant to an effective shelf registration statement previously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28, 2021, </w:t>
      </w:r>
      <w:r>
        <w:rPr>
          <w:rFonts w:ascii="Times New Roman" w:hAnsi="Times New Roman"/>
          <w:caps w:val="false"/>
          <w:smallCaps w:val="false"/>
          <w:sz w:val="20"/>
        </w:rPr>
        <w:t xml:space="preserve">we announced that our Board of Directors authorized a $70 million share repurchase program. On </w:t>
      </w:r>
      <w:r>
        <w:rPr>
          <w:rStyle w:val="Emphasis"/>
          <w:rFonts w:ascii="Times New Roman" w:hAnsi="Times New Roman"/>
          <w:caps w:val="false"/>
          <w:smallCaps w:val="false"/>
          <w:sz w:val="20"/>
        </w:rPr>
        <w:t xml:space="preserve">October 25, 2022, </w:t>
      </w:r>
      <w:r>
        <w:rPr>
          <w:rFonts w:ascii="Times New Roman" w:hAnsi="Times New Roman"/>
          <w:caps w:val="false"/>
          <w:smallCaps w:val="false"/>
          <w:sz w:val="20"/>
        </w:rPr>
        <w:t xml:space="preserve">our Board of Directors authorized an additional $70 million under the share repurchase program. This share repurchase program was effective as of </w:t>
      </w:r>
      <w:r>
        <w:rPr>
          <w:rStyle w:val="Emphasis"/>
          <w:rFonts w:ascii="Times New Roman" w:hAnsi="Times New Roman"/>
          <w:caps w:val="false"/>
          <w:smallCaps w:val="false"/>
          <w:sz w:val="20"/>
        </w:rPr>
        <w:t xml:space="preserve">November 2, 2021 </w:t>
      </w:r>
      <w:r>
        <w:rPr>
          <w:rFonts w:ascii="Times New Roman" w:hAnsi="Times New Roman"/>
          <w:caps w:val="false"/>
          <w:smallCaps w:val="false"/>
          <w:sz w:val="20"/>
        </w:rPr>
        <w:t xml:space="preserve">and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expiration date, and the timing of share repurchases and the number of shares of common stock to be repurchased will depend upon prevailing market conditions and other factors. Repurchases under this program will be made using our existing cash resources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commenced or suspended from time-to-time at our discretion without prior notice. Repurchases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in the open market, through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programs, or in privately negotiated transactions at prevailing market rates in accordance with federal securities laws. For the year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repurchased 700,270 shares of our common stock for $23.6 million to be held as treasury stock.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we repurchased 1,767,070 shares of our common stock for $50.7 million.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purchase up to $58.3 million of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10.</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Significant components of the provision (benefit) for income taxes for continuing operations are as follows:</w:t>
      </w:r>
    </w:p>
    <w:p>
      <w:pPr>
        <w:pStyle w:val="TextBody"/>
        <w:bidi w:val="0"/>
        <w:spacing w:before="0" w:after="0"/>
        <w:ind w:left="0" w:right="0" w:hanging="0"/>
        <w:jc w:val="left"/>
        <w:rPr>
          <w:caps w:val="false"/>
          <w:smallCaps w:val="false"/>
        </w:rPr>
      </w:pPr>
      <w:r>
        <w:rPr>
          <w:caps w:val="false"/>
          <w:smallCaps w:val="false"/>
        </w:rPr>
        <w:t> </w:t>
      </w:r>
    </w:p>
    <w:tbl>
      <w:tblPr>
        <w:tblW w:w="3735" w:type="dxa"/>
        <w:jc w:val="left"/>
        <w:tblInd w:w="0" w:type="dxa"/>
        <w:tblLayout w:type="fixed"/>
        <w:tblCellMar>
          <w:top w:w="0" w:type="dxa"/>
          <w:left w:w="0" w:type="dxa"/>
          <w:bottom w:w="28" w:type="dxa"/>
          <w:right w:w="0" w:type="dxa"/>
        </w:tblCellMar>
      </w:tblPr>
      <w:tblGrid>
        <w:gridCol w:w="1190"/>
        <w:gridCol w:w="60"/>
        <w:gridCol w:w="125"/>
        <w:gridCol w:w="590"/>
        <w:gridCol w:w="80"/>
        <w:gridCol w:w="60"/>
        <w:gridCol w:w="125"/>
        <w:gridCol w:w="590"/>
        <w:gridCol w:w="80"/>
        <w:gridCol w:w="60"/>
        <w:gridCol w:w="125"/>
        <w:gridCol w:w="590"/>
        <w:gridCol w:w="60"/>
      </w:tblGrid>
      <w:tr>
        <w:trPr/>
        <w:tc>
          <w:tcPr>
            <w:tcW w:w="11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tcMar>
              <w:bottom w:w="0" w:type="dxa"/>
            </w:tcMar>
            <w:vAlign w:val="center"/>
          </w:tcPr>
          <w:p>
            <w:pPr>
              <w:pStyle w:val="TableContents"/>
              <w:bidi w:val="0"/>
              <w:spacing w:before="0" w:after="283"/>
              <w:ind w:left="0" w:right="0" w:hanging="0"/>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9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19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State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9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31,307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24,066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19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9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25,019</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(loss) before income taxes from continuing operations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28" w:type="dxa"/>
          <w:right w:w="0" w:type="dxa"/>
        </w:tblCellMar>
      </w:tblPr>
      <w:tblGrid>
        <w:gridCol w:w="1190"/>
        <w:gridCol w:w="60"/>
        <w:gridCol w:w="125"/>
        <w:gridCol w:w="650"/>
        <w:gridCol w:w="80"/>
        <w:gridCol w:w="60"/>
        <w:gridCol w:w="125"/>
        <w:gridCol w:w="695"/>
        <w:gridCol w:w="60"/>
        <w:gridCol w:w="60"/>
        <w:gridCol w:w="125"/>
        <w:gridCol w:w="695"/>
        <w:gridCol w:w="60"/>
      </w:tblGrid>
      <w:tr>
        <w:trPr/>
        <w:tc>
          <w:tcPr>
            <w:tcW w:w="11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(37,799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83,615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161,756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192,344</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Deferred tax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Except for working capital requirements in certain foreign jurisdictions, we provide for all taxes, including withholding and other residual taxes, related to unremitted earnings of our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 reflect the net tax effects of temporary differences between the carrying amounts of assets and liabilities for financial reporting and tax purposes. Significant components of our deferred tax assets and liabilities were as follows:</w:t>
      </w:r>
    </w:p>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0" w:type="dxa"/>
        <w:tblLayout w:type="fixed"/>
        <w:tblCellMar>
          <w:top w:w="0" w:type="dxa"/>
          <w:left w:w="0" w:type="dxa"/>
          <w:bottom w:w="28" w:type="dxa"/>
          <w:right w:w="0" w:type="dxa"/>
        </w:tblCellMar>
      </w:tblPr>
      <w:tblGrid>
        <w:gridCol w:w="4520"/>
        <w:gridCol w:w="60"/>
        <w:gridCol w:w="125"/>
        <w:gridCol w:w="695"/>
        <w:gridCol w:w="80"/>
        <w:gridCol w:w="60"/>
        <w:gridCol w:w="125"/>
        <w:gridCol w:w="695"/>
        <w:gridCol w:w="80"/>
      </w:tblGrid>
      <w:tr>
        <w:trPr/>
        <w:tc>
          <w:tcPr>
            <w:tcW w:w="45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45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receivable and warranty reserves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13,599</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39,545</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 carryforwards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29,646</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19,819</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employee benefits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4,416</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3,965</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Uniform capitalization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52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114,452</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valuation allowance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(99,888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(89,234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25,218</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and other acquisition basis differences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38,921</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3,573</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Unremitted earnings of foreign subsidiaries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5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52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2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(16,958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total net deferred tax assets (liabilities), net of valuation allowances, as shown in our consolidated balance sheets are as follows:</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28" w:type="dxa"/>
          <w:right w:w="0" w:type="dxa"/>
        </w:tblCellMar>
      </w:tblPr>
      <w:tblGrid>
        <w:gridCol w:w="3350"/>
        <w:gridCol w:w="60"/>
        <w:gridCol w:w="125"/>
        <w:gridCol w:w="650"/>
        <w:gridCol w:w="80"/>
        <w:gridCol w:w="60"/>
        <w:gridCol w:w="125"/>
        <w:gridCol w:w="650"/>
        <w:gridCol w:w="80"/>
      </w:tblGrid>
      <w:tr>
        <w:trPr/>
        <w:tc>
          <w:tcPr>
            <w:tcW w:w="33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33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(long-term)</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3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deferred income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(23,154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(16,958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Companies are required to assess whether a valuation allowance should be recorded against their deferred tax assets (“DTAs”) based on the consideration of all available evidence, using a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realization standard.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sources of taxable income that must be considered in determining whether DTAs will be realized are, (</w:t>
      </w:r>
      <w:r>
        <w:rPr>
          <w:rStyle w:val="Emphasis"/>
          <w:rFonts w:ascii="Times New Roman" w:hAnsi="Times New Roman"/>
          <w:caps w:val="false"/>
          <w:smallCaps w:val="false"/>
          <w:sz w:val="20"/>
        </w:rPr>
        <w:t>1</w:t>
      </w:r>
      <w:r>
        <w:rPr>
          <w:rFonts w:ascii="Times New Roman" w:hAnsi="Times New Roman"/>
          <w:caps w:val="false"/>
          <w:smallCaps w:val="false"/>
          <w:sz w:val="20"/>
        </w:rPr>
        <w:t>) future reversals of existing taxable temporary differences (i.e. offset of gross deferred tax assets against gross deferred tax liabilities); (</w:t>
      </w:r>
      <w:r>
        <w:rPr>
          <w:rStyle w:val="Emphasis"/>
          <w:rFonts w:ascii="Times New Roman" w:hAnsi="Times New Roman"/>
          <w:caps w:val="false"/>
          <w:smallCaps w:val="false"/>
          <w:sz w:val="20"/>
        </w:rPr>
        <w:t>2</w:t>
      </w:r>
      <w:r>
        <w:rPr>
          <w:rFonts w:ascii="Times New Roman" w:hAnsi="Times New Roman"/>
          <w:caps w:val="false"/>
          <w:smallCaps w:val="false"/>
          <w:sz w:val="20"/>
        </w:rPr>
        <w:t>) taxable income in prior carryback years, if carryback is permitted under the tax law; (</w:t>
      </w:r>
      <w:r>
        <w:rPr>
          <w:rStyle w:val="Emphasis"/>
          <w:rFonts w:ascii="Times New Roman" w:hAnsi="Times New Roman"/>
          <w:caps w:val="false"/>
          <w:smallCaps w:val="false"/>
          <w:sz w:val="20"/>
        </w:rPr>
        <w:t>3</w:t>
      </w:r>
      <w:r>
        <w:rPr>
          <w:rFonts w:ascii="Times New Roman" w:hAnsi="Times New Roman"/>
          <w:caps w:val="false"/>
          <w:smallCaps w:val="false"/>
          <w:sz w:val="20"/>
        </w:rPr>
        <w:t>) tax planning strategies and (</w:t>
      </w:r>
      <w:r>
        <w:rPr>
          <w:rStyle w:val="Emphasis"/>
          <w:rFonts w:ascii="Times New Roman" w:hAnsi="Times New Roman"/>
          <w:caps w:val="false"/>
          <w:smallCaps w:val="false"/>
          <w:sz w:val="20"/>
        </w:rPr>
        <w:t>4</w:t>
      </w:r>
      <w:r>
        <w:rPr>
          <w:rFonts w:ascii="Times New Roman" w:hAnsi="Times New Roman"/>
          <w:caps w:val="false"/>
          <w:smallCaps w:val="false"/>
          <w:sz w:val="20"/>
        </w:rPr>
        <w:t>) future taxable income exclusive of reversing temporary differences and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 assessing whether a valuation allowance is required, significant weight is to be given to evidence that can be objectively verified. We have evaluated our DTAs each reporting period, including an assessment of taxable income in prior carryback years, future reversals of existing taxable temporary differences, future taxable income exclusive of reversing temporary differences and carryforwards, and prudent and feasible tax planning strategies that we would be willing to undertake to prevent a deferred tax asset from otherwise expiring.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assessment regarding whether a valuation allowance is required or whether a change in judgement regarding the valuation allowance has occurred also considers all available positive and negative evidence,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 w:hAnsi="Times New Roman"/>
          <w:caps w:val="false"/>
          <w:smallCaps w:val="false"/>
          <w:sz w:val="20"/>
        </w:rPr>
        <w:t>Nature, frequency, and severity of cumulative losses in recent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 w:hAnsi="Times New Roman"/>
          <w:caps w:val="false"/>
          <w:smallCaps w:val="false"/>
          <w:sz w:val="20"/>
        </w:rPr>
        <w:t>Duration of statutory carryforward and carryback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 w:hAnsi="Times New Roman"/>
          <w:caps w:val="false"/>
          <w:smallCaps w:val="false"/>
          <w:sz w:val="20"/>
        </w:rPr>
        <w:t>Statutory limitations against utilization of tax attribute carryforwards against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 w:hAnsi="Times New Roman"/>
          <w:caps w:val="false"/>
          <w:smallCaps w:val="false"/>
          <w:sz w:val="20"/>
        </w:rPr>
        <w:t>Historical experience with tax attributes expiring unused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 w:hAnsi="Times New Roman"/>
          <w:caps w:val="false"/>
          <w:smallCaps w:val="false"/>
          <w:sz w:val="20"/>
        </w:rPr>
        <w:t>Near- and medium-term financial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The weight given to the positive and negative evidence is commensurate with the extent to which the evidence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objectively verified. Accordingly, it is generally difficult to conclude a valuation allowance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when there is significant objective and verifiable negative evidence, such as cumulative losses in recent years. We use the actual results for the last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and current year results as the primary measure of cumulative losses in recent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evaluation of deferred tax assets requires judgment in assessing the likely future tax consequences of events recognized in the financial statements or tax returns and future profitability. The recognition of deferred tax assets represents our best estimate of those future events. Changes in the current estimates, due to unanticipated events or otherwise, could have a material effect on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In certain tax jurisdictions, our analysis indicates that it has cumulative losses in recent years. This is considered significant negative evidence, which is objective and veritable and, therefore, difficult to overcome. However, the cumulative loss position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solely determinative and, accordingly, we consider all other available positive and negative evidence in this analysis. Based on the evidence available, including a lack of sustainable earnings and history of expiring unused net operating losses and tax credits, we continue to maintain the judgement that a previously recorded valuation allowance against substantially all net deferred tax assets in the United States is required. If a change in judgement regarding this valuation allowance were to occur in the future, we will record a potentially material deferred tax benefit, which could result in a favorable impact on the effective tax rate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Our valuation allowance on our DTAs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was approximately $99.9 million and $89.2 million, respectively. The remaining gross DTAs for which a valuation allowance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are realizable primarily through future reversals of existing taxable temporary differences and to a lesser extent future taxable income in certain jurisdictions exclusive of reversing temporary differences and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reconciliation of income tax computed at the U.S. federal statutory tax rate to the provision for income taxes is as follows:</w:t>
      </w:r>
    </w:p>
    <w:p>
      <w:pPr>
        <w:pStyle w:val="TextBody"/>
        <w:bidi w:val="0"/>
        <w:spacing w:before="0" w:after="0"/>
        <w:ind w:left="0" w:right="0" w:hanging="0"/>
        <w:jc w:val="left"/>
        <w:rPr>
          <w:caps w:val="false"/>
          <w:smallCaps w:val="false"/>
        </w:rPr>
      </w:pPr>
      <w:r>
        <w:rPr>
          <w:caps w:val="false"/>
          <w:smallCaps w:val="false"/>
        </w:rPr>
        <w:t> </w:t>
      </w:r>
    </w:p>
    <w:tbl>
      <w:tblPr>
        <w:tblW w:w="7400" w:type="dxa"/>
        <w:jc w:val="left"/>
        <w:tblInd w:w="0" w:type="dxa"/>
        <w:tblLayout w:type="fixed"/>
        <w:tblCellMar>
          <w:top w:w="0" w:type="dxa"/>
          <w:left w:w="0" w:type="dxa"/>
          <w:bottom w:w="28" w:type="dxa"/>
          <w:right w:w="0" w:type="dxa"/>
        </w:tblCellMar>
      </w:tblPr>
      <w:tblGrid>
        <w:gridCol w:w="4775"/>
        <w:gridCol w:w="60"/>
        <w:gridCol w:w="125"/>
        <w:gridCol w:w="590"/>
        <w:gridCol w:w="80"/>
        <w:gridCol w:w="60"/>
        <w:gridCol w:w="125"/>
        <w:gridCol w:w="590"/>
        <w:gridCol w:w="80"/>
        <w:gridCol w:w="60"/>
        <w:gridCol w:w="125"/>
        <w:gridCol w:w="650"/>
        <w:gridCol w:w="80"/>
      </w:tblGrid>
      <w:tr>
        <w:trPr/>
        <w:tc>
          <w:tcPr>
            <w:tcW w:w="47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provision at U.S. 21% statutory rate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40,392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tax benefit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Accruals, adjustments and releases from statute expirations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R&amp;D credits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Excess executive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Exemption of PTG gain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net of foreign tax credits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GILTI, net of foreign tax credits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rate differential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25,019</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An accounting policy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selected to either (i) treat taxes due on future U.S. inclusions in taxable income related to global intangible low-taxed income (“GILTI”) as a current-period expense when incurred or (ii) factor such amounts into a company’s measurement of its deferred taxes. We have elected to account for GILTI as a period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had federal, state and foreign net operating loss carryforwards of approximately $120.9 million, $130.1 million and $13.2 million, respectively, that expire in various tax years beginning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2042</w:t>
      </w:r>
      <w:r>
        <w:rPr>
          <w:rFonts w:ascii="Times New Roman" w:hAnsi="Times New Roman"/>
          <w:caps w:val="false"/>
          <w:smallCaps w:val="false"/>
          <w:sz w:val="20"/>
        </w:rPr>
        <w:t xml:space="preserve"> or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expiration date. We also have federal and state tax credit carryforwards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of approximately $4.0 million and $33.7 million, respectively, certain of which expire in various tax years beginning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2042,</w:t>
      </w:r>
      <w:r>
        <w:rPr>
          <w:rFonts w:ascii="Times New Roman" w:hAnsi="Times New Roman"/>
          <w:caps w:val="false"/>
          <w:smallCaps w:val="false"/>
          <w:sz w:val="20"/>
        </w:rPr>
        <w:t xml:space="preserve"> or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expiration date. The federal and state loss and credit carryforwards are subject to annual limitations under Sections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383</w:t>
      </w:r>
      <w:r>
        <w:rPr>
          <w:rFonts w:ascii="Times New Roman" w:hAnsi="Times New Roman"/>
          <w:caps w:val="false"/>
          <w:smallCaps w:val="false"/>
          <w:sz w:val="20"/>
        </w:rPr>
        <w:t xml:space="preserve"> of the Internal Revenue Code and applicable state tax laws. We analyzed and determined that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ownership changes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period ending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We will continue to assess the realizability of these carryforwards in subsequent periods. Future changes in the ownership of Cohu could further limit the utilization of these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caps w:val="false"/>
          <w:smallCaps w:val="false"/>
          <w:sz w:val="20"/>
        </w:rPr>
        <w:t xml:space="preserve">We have certain tax holidays with respect to our operations in Malaysia and the Philippines. These holidays require compliance with certain conditions and expire at various dates through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The impact of these holidays was an increase in net income of approximately $3.8 million or $0.08 per share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$4.5 million, or $0.09 per share, in both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 reconciliation of our gross unrecognized tax benefits, excluding accrued interest and penalties, is as follows:</w:t>
      </w:r>
    </w:p>
    <w:p>
      <w:pPr>
        <w:pStyle w:val="TextBody"/>
        <w:bidi w:val="0"/>
        <w:spacing w:before="0" w:after="0"/>
        <w:ind w:left="0" w:right="0" w:hanging="0"/>
        <w:jc w:val="left"/>
        <w:rPr>
          <w:caps w:val="false"/>
          <w:smallCaps w:val="false"/>
        </w:rPr>
      </w:pPr>
      <w:r>
        <w:rPr>
          <w:caps w:val="false"/>
          <w:smallCaps w:val="false"/>
        </w:rPr>
        <w:t> </w:t>
      </w:r>
    </w:p>
    <w:tbl>
      <w:tblPr>
        <w:tblW w:w="6980" w:type="dxa"/>
        <w:jc w:val="left"/>
        <w:tblInd w:w="0" w:type="dxa"/>
        <w:tblLayout w:type="fixed"/>
        <w:tblCellMar>
          <w:top w:w="0" w:type="dxa"/>
          <w:left w:w="0" w:type="dxa"/>
          <w:bottom w:w="28" w:type="dxa"/>
          <w:right w:w="0" w:type="dxa"/>
        </w:tblCellMar>
      </w:tblPr>
      <w:tblGrid>
        <w:gridCol w:w="4415"/>
        <w:gridCol w:w="60"/>
        <w:gridCol w:w="125"/>
        <w:gridCol w:w="590"/>
        <w:gridCol w:w="80"/>
        <w:gridCol w:w="60"/>
        <w:gridCol w:w="125"/>
        <w:gridCol w:w="590"/>
        <w:gridCol w:w="80"/>
        <w:gridCol w:w="60"/>
        <w:gridCol w:w="125"/>
        <w:gridCol w:w="590"/>
        <w:gridCol w:w="80"/>
      </w:tblGrid>
      <w:tr>
        <w:trPr/>
        <w:tc>
          <w:tcPr>
            <w:tcW w:w="44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tcMar>
              <w:bottom w:w="0" w:type="dxa"/>
            </w:tcMar>
            <w:vAlign w:val="center"/>
          </w:tcPr>
          <w:p>
            <w:pPr>
              <w:pStyle w:val="TableContents"/>
              <w:bidi w:val="0"/>
              <w:spacing w:before="0" w:after="283"/>
              <w:jc w:val="left"/>
              <w:rPr/>
            </w:pPr>
            <w:r>
              <w:rPr/>
              <w:t> </w:t>
            </w:r>
          </w:p>
        </w:tc>
      </w:tr>
      <w:tr>
        <w:trPr/>
        <w:tc>
          <w:tcPr>
            <w:tcW w:w="44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for tax positions of current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Additions/(Reductions) for tax positions of prior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Reductions due to lapse of the statute of limitations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rate impact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year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33,391</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If the unrecognized tax benefits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are ultimately recognized, excluding the impact of U.S. tax benefits netted against deferred taxes that are subject to a valuation allowance, approximately $7.5 million ($5.8 million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$5.3 million at </w:t>
      </w:r>
      <w:r>
        <w:rPr>
          <w:rStyle w:val="Emphasis"/>
          <w:rFonts w:ascii="Times New Roman" w:hAnsi="Times New Roman"/>
          <w:caps w:val="false"/>
          <w:smallCaps w:val="false"/>
          <w:sz w:val="20"/>
        </w:rPr>
        <w:t xml:space="preserve">December 25, 2021) </w:t>
      </w:r>
      <w:r>
        <w:rPr>
          <w:rFonts w:ascii="Times New Roman" w:hAnsi="Times New Roman"/>
          <w:caps w:val="false"/>
          <w:smallCaps w:val="false"/>
          <w:sz w:val="20"/>
        </w:rPr>
        <w:t xml:space="preserve">would result in a reduction in our income tax expense and effective tax rate. It is reasonably possible that unrecognized tax benefits related to transfer pricing will decrease by up to $1.1 million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recognize interest and penalties related to unrecognized tax benefits in income tax expense. Cohu had approximately $0.7 million and $0.6 million accrued for the payment of interest and penalties at </w:t>
      </w:r>
      <w:r>
        <w:rPr>
          <w:rStyle w:val="Emphasis"/>
          <w:rFonts w:ascii="Times New Roman" w:hAnsi="Times New Roman"/>
          <w:caps w:val="false"/>
          <w:smallCaps w:val="false"/>
          <w:sz w:val="20"/>
        </w:rPr>
        <w:t>December 30,</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respectively. Interest expense, net of accrued interest reversed, was $(0.1) million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$(0.2) million in </w:t>
      </w:r>
      <w:r>
        <w:rPr>
          <w:rStyle w:val="Emphasis"/>
          <w:rFonts w:ascii="Times New Roman" w:hAnsi="Times New Roman"/>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Our U.S. federal and state income tax returns for years after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conduct business globally and as a result, Cohu 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its subsidiaries files income tax returns in the U.S. and various state and foreign jurisdictions. In the normal course of business, we are subject to examinations by taxing authorities throughout the world and are currently under examination in Germany, Singapore, Philippines and Thailand.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Tax positions have been reflected in the consolidated financial statements in accordance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Income Taxes. Such tax positions are, based solely on their technical merits,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upon examination by taxing authorities and reflect the largest amount of benefit, determined on a cumulative probability basis, that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realized upon settlement with the applicable taxing authority with full knowledge of all relevant information. We have both intent and ability to initiate a claim pursuant to the competent authority (e.g., Mutual Agreement Procedure) for reasonable and prudent situations such as, for example, when the resulting tax benefit exceeds the costs involved to obtain such tax benefit, and the success of prevailing upon pursuing the competent authority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achievable.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  </w:t>
      </w:r>
    </w:p>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11.</w:t>
            </w:r>
          </w:p>
        </w:tc>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Geographic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applied the provisions of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identified operating segments are: THG, STG and ISG. Our THG, STG and ISG operating segments qualify for aggregation under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due to similarities in their customers, their economic characteristics, and the nature of products and services provided. As a result, we report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segment, Semiconductor Test &amp; Inspection. All amounts presented in our consolidated balance sheet as of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our consolidated statement of income 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represents the financial position and results of our remaining reportable segment. Prior to the sale of our PCB Test business on </w:t>
      </w:r>
      <w:r>
        <w:rPr>
          <w:rStyle w:val="Emphasis"/>
          <w:rFonts w:ascii="Times New Roman" w:hAnsi="Times New Roman"/>
          <w:caps w:val="false"/>
          <w:smallCaps w:val="false"/>
          <w:sz w:val="20"/>
        </w:rPr>
        <w:t xml:space="preserve">June 24, 2021, </w:t>
      </w:r>
      <w:r>
        <w:rPr>
          <w:rFonts w:ascii="Times New Roman" w:hAnsi="Times New Roman"/>
          <w:caps w:val="false"/>
          <w:smallCaps w:val="false"/>
          <w:sz w:val="20"/>
        </w:rPr>
        <w:t xml:space="preserve">we reported in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segments, Semiconductor Test &amp; Inspection and PCB Test.</w:t>
      </w:r>
    </w:p>
    <w:p>
      <w:pPr>
        <w:pStyle w:val="TextBody"/>
        <w:bidi w:val="0"/>
        <w:spacing w:before="0" w:after="0"/>
        <w:ind w:left="0" w:right="0" w:hanging="0"/>
        <w:jc w:val="left"/>
        <w:rPr>
          <w:caps w:val="false"/>
          <w:smallCaps w:val="false"/>
        </w:rPr>
      </w:pPr>
      <w:r>
        <w:rPr>
          <w:caps w:val="false"/>
          <w:smallCaps w:val="false"/>
        </w:rPr>
        <w:t> </w:t>
      </w:r>
    </w:p>
    <w:tbl>
      <w:tblPr>
        <w:tblW w:w="5195" w:type="dxa"/>
        <w:jc w:val="left"/>
        <w:tblInd w:w="0" w:type="dxa"/>
        <w:tblLayout w:type="fixed"/>
        <w:tblCellMar>
          <w:top w:w="0" w:type="dxa"/>
          <w:left w:w="0" w:type="dxa"/>
          <w:bottom w:w="28" w:type="dxa"/>
          <w:right w:w="0" w:type="dxa"/>
        </w:tblCellMar>
      </w:tblPr>
      <w:tblGrid>
        <w:gridCol w:w="4235"/>
        <w:gridCol w:w="60"/>
        <w:gridCol w:w="125"/>
        <w:gridCol w:w="695"/>
        <w:gridCol w:w="80"/>
      </w:tblGrid>
      <w:tr>
        <w:trPr/>
        <w:tc>
          <w:tcPr>
            <w:tcW w:w="42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by segment: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2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 Test &amp; Inspection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860,454</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2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PCB Test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26,760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net sales for reportable segments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887,214</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profit (loss)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2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 Test &amp; Inspection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138,026</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2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PCB Test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3,907</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235"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Profit for reportable segments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141,933</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unallocated amounts: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2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(10,819</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PCB Test business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70,815</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2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(6,413</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2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extinguishment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Profit (loss) from continuing operations before taxes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192,344</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42" w:type="dxa"/>
        <w:jc w:val="left"/>
        <w:tblInd w:w="0" w:type="dxa"/>
        <w:tblLayout w:type="fixed"/>
        <w:tblCellMar>
          <w:top w:w="0" w:type="dxa"/>
          <w:left w:w="0" w:type="dxa"/>
          <w:bottom w:w="28" w:type="dxa"/>
          <w:right w:w="0" w:type="dxa"/>
        </w:tblCellMar>
      </w:tblPr>
      <w:tblGrid>
        <w:gridCol w:w="5234"/>
        <w:gridCol w:w="96"/>
        <w:gridCol w:w="201"/>
        <w:gridCol w:w="951"/>
        <w:gridCol w:w="60"/>
      </w:tblGrid>
      <w:tr>
        <w:trPr/>
        <w:tc>
          <w:tcPr>
            <w:tcW w:w="5234"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96" w:type="dxa"/>
            <w:tcBorders>
              <w:bottom w:val="single" w:sz="2" w:space="0" w:color="000000"/>
            </w:tcBorders>
            <w:vAlign w:val="center"/>
          </w:tcPr>
          <w:p>
            <w:pPr>
              <w:pStyle w:val="TableContents"/>
              <w:bidi w:val="0"/>
              <w:spacing w:before="0" w:after="283"/>
              <w:ind w:left="0" w:right="0" w:hanging="0"/>
              <w:jc w:val="left"/>
              <w:rPr/>
            </w:pPr>
            <w:r>
              <w:rPr/>
              <w:t> </w:t>
            </w:r>
          </w:p>
        </w:tc>
        <w:tc>
          <w:tcPr>
            <w:tcW w:w="115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tcMar>
              <w:bottom w:w="0" w:type="dxa"/>
            </w:tcMar>
            <w:vAlign w:val="center"/>
          </w:tcPr>
          <w:p>
            <w:pPr>
              <w:pStyle w:val="TableContents"/>
              <w:bidi w:val="0"/>
              <w:spacing w:before="0" w:after="283"/>
              <w:ind w:left="0" w:right="0" w:hanging="0"/>
              <w:jc w:val="left"/>
              <w:rPr/>
            </w:pPr>
            <w:r>
              <w:rPr/>
              <w:t> </w:t>
            </w:r>
          </w:p>
        </w:tc>
      </w:tr>
      <w:tr>
        <w:trPr/>
        <w:tc>
          <w:tcPr>
            <w:tcW w:w="6482" w:type="dxa"/>
            <w:gridSpan w:val="4"/>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Depreciation and amortization by segment deducted in arriving at profit (loss):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234"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 Test &amp; Inspection</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48,129</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234"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PCB Test</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234"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and amortization</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2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 by segment:</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95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234"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 Test &amp; Inspection</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234"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PCB Test</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234"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capital expenditures</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pPr>
      <w:r>
        <w:rPr>
          <w:rFonts w:ascii="Times New Roman" w:hAnsi="Times New Roman"/>
          <w:caps w:val="false"/>
          <w:smallCaps w:val="false"/>
          <w:sz w:val="20"/>
        </w:rPr>
        <w:t xml:space="preserve">During the last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the following customers of our Semiconductor Test &amp; Inspection segment that comprised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greater of our consolidated net sales were as follows:</w:t>
      </w:r>
    </w:p>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1673"/>
        <w:gridCol w:w="61"/>
        <w:gridCol w:w="61"/>
        <w:gridCol w:w="391"/>
        <w:gridCol w:w="190"/>
        <w:gridCol w:w="61"/>
        <w:gridCol w:w="146"/>
        <w:gridCol w:w="306"/>
        <w:gridCol w:w="61"/>
        <w:gridCol w:w="61"/>
        <w:gridCol w:w="61"/>
        <w:gridCol w:w="391"/>
        <w:gridCol w:w="185"/>
      </w:tblGrid>
      <w:tr>
        <w:trPr/>
        <w:tc>
          <w:tcPr>
            <w:tcW w:w="167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4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19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4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4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185" w:type="dxa"/>
            <w:tcBorders/>
            <w:vAlign w:val="center"/>
          </w:tcPr>
          <w:p>
            <w:pPr>
              <w:pStyle w:val="TableContents"/>
              <w:bidi w:val="0"/>
              <w:spacing w:before="0" w:after="283"/>
              <w:ind w:left="0" w:right="0" w:hanging="0"/>
              <w:jc w:val="left"/>
              <w:rPr/>
            </w:pPr>
            <w:r>
              <w:rPr/>
              <w:t> </w:t>
            </w:r>
          </w:p>
        </w:tc>
      </w:tr>
      <w:tr>
        <w:trPr/>
        <w:tc>
          <w:tcPr>
            <w:tcW w:w="16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STMicroelectronics</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3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39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16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Analog Devices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39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3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3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463" w:type="dxa"/>
            <w:gridSpan w:val="1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 Less than 10% of consolidated net sales.</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24, 2021, </w:t>
      </w:r>
      <w:r>
        <w:rPr>
          <w:rFonts w:ascii="Times New Roman" w:hAnsi="Times New Roman"/>
          <w:caps w:val="false"/>
          <w:smallCaps w:val="false"/>
          <w:sz w:val="20"/>
        </w:rPr>
        <w:t xml:space="preserve">we completed the divestment of our PCB Test business. Prior to this,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customer of our PCB Test segment exceeded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consolidated net sales for the year ended </w:t>
      </w:r>
      <w:r>
        <w:rPr>
          <w:rStyle w:val="Emphasis"/>
          <w:rFonts w:ascii="Times New Roman" w:hAnsi="Times New Roman"/>
          <w:caps w:val="false"/>
          <w:smallCaps w:val="false"/>
          <w:sz w:val="20"/>
        </w:rPr>
        <w:t>December 25,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sales to customers, attributed to countries based on product shipment destination, were as follows:</w:t>
      </w:r>
    </w:p>
    <w:p>
      <w:pPr>
        <w:pStyle w:val="TextBody"/>
        <w:bidi w:val="0"/>
        <w:spacing w:before="0" w:after="0"/>
        <w:ind w:left="0" w:right="0" w:hanging="0"/>
        <w:jc w:val="left"/>
        <w:rPr>
          <w:caps w:val="false"/>
          <w:smallCaps w:val="false"/>
        </w:rPr>
      </w:pPr>
      <w:r>
        <w:rPr>
          <w:caps w:val="false"/>
          <w:smallCaps w:val="false"/>
        </w:rPr>
        <w:t> </w:t>
      </w:r>
    </w:p>
    <w:tbl>
      <w:tblPr>
        <w:tblW w:w="4220" w:type="dxa"/>
        <w:jc w:val="left"/>
        <w:tblInd w:w="0" w:type="dxa"/>
        <w:tblLayout w:type="fixed"/>
        <w:tblCellMar>
          <w:top w:w="0" w:type="dxa"/>
          <w:left w:w="0" w:type="dxa"/>
          <w:bottom w:w="28" w:type="dxa"/>
          <w:right w:w="0" w:type="dxa"/>
        </w:tblCellMar>
      </w:tblPr>
      <w:tblGrid>
        <w:gridCol w:w="1400"/>
        <w:gridCol w:w="60"/>
        <w:gridCol w:w="125"/>
        <w:gridCol w:w="695"/>
        <w:gridCol w:w="60"/>
        <w:gridCol w:w="60"/>
        <w:gridCol w:w="125"/>
        <w:gridCol w:w="695"/>
        <w:gridCol w:w="60"/>
        <w:gridCol w:w="60"/>
        <w:gridCol w:w="125"/>
        <w:gridCol w:w="695"/>
        <w:gridCol w:w="60"/>
      </w:tblGrid>
      <w:tr>
        <w:trPr/>
        <w:tc>
          <w:tcPr>
            <w:tcW w:w="14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tcMar>
              <w:bottom w:w="0" w:type="dxa"/>
            </w:tcMar>
            <w:vAlign w:val="center"/>
          </w:tcPr>
          <w:p>
            <w:pPr>
              <w:pStyle w:val="TableContents"/>
              <w:bidi w:val="0"/>
              <w:spacing w:before="0" w:after="283"/>
              <w:jc w:val="left"/>
              <w:rPr/>
            </w:pPr>
            <w:r>
              <w:rPr/>
              <w:t> </w:t>
            </w:r>
          </w:p>
        </w:tc>
      </w:tr>
      <w:tr>
        <w:trPr/>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Malaysia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79,777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Philippines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155,070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213,575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77,495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361,297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636,322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812,775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887,214</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Geographic location of our property, plant and equipment and other long-lived assets was as follows:</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3050"/>
        <w:gridCol w:w="60"/>
        <w:gridCol w:w="125"/>
        <w:gridCol w:w="695"/>
        <w:gridCol w:w="60"/>
        <w:gridCol w:w="60"/>
        <w:gridCol w:w="125"/>
        <w:gridCol w:w="695"/>
        <w:gridCol w:w="60"/>
      </w:tblGrid>
      <w:tr>
        <w:trPr/>
        <w:tc>
          <w:tcPr>
            <w:tcW w:w="30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Philippines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Malaysia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65,011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and other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158,401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131,068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Malaysia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Switzerland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353,643</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910" w:type="dxa"/>
        <w:jc w:val="left"/>
        <w:tblInd w:w="0" w:type="dxa"/>
        <w:tblLayout w:type="fixed"/>
        <w:tblCellMar>
          <w:top w:w="0" w:type="dxa"/>
          <w:left w:w="0" w:type="dxa"/>
          <w:bottom w:w="0" w:type="dxa"/>
          <w:right w:w="0" w:type="dxa"/>
        </w:tblCellMar>
      </w:tblPr>
      <w:tblGrid>
        <w:gridCol w:w="320"/>
        <w:gridCol w:w="59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lease certain of our facilities, equipment and vehicles under non-cancelable operating and finance leases. Leases with initial terms with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in the consolidated balance sheet, but we recognized those lease payments in the consolidated statements of operations on a straight-line basis over the lease term. Lease and non-lease components are included in the calculation of the right of use asset (“ROU”) asset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Our leases have remaining lease terms ranging from 1 year to 34 years, some of which 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options to extend the lease for up to 25 years. Our lease term includes renewal terms when we are reasonably certain that we will exercise the renewal options. We sublease certain leased assets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mainly as a result of unused space in our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3"/>
        <w:gridCol w:w="4083"/>
        <w:gridCol w:w="84"/>
        <w:gridCol w:w="270"/>
        <w:gridCol w:w="1280"/>
        <w:gridCol w:w="261"/>
        <w:gridCol w:w="84"/>
        <w:gridCol w:w="270"/>
        <w:gridCol w:w="1280"/>
        <w:gridCol w:w="190"/>
      </w:tblGrid>
      <w:tr>
        <w:trPr/>
        <w:tc>
          <w:tcPr>
            <w:tcW w:w="6486"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5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261"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5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190" w:type="dxa"/>
            <w:tcBorders/>
            <w:vAlign w:val="center"/>
          </w:tcPr>
          <w:p>
            <w:pPr>
              <w:pStyle w:val="TableContents"/>
              <w:bidi w:val="0"/>
              <w:spacing w:before="0" w:after="283"/>
              <w:ind w:left="0" w:right="0" w:hanging="0"/>
              <w:jc w:val="left"/>
              <w:rPr/>
            </w:pPr>
            <w:r>
              <w:rPr/>
              <w:t> </w:t>
            </w:r>
          </w:p>
        </w:tc>
      </w:tr>
      <w:tr>
        <w:trPr/>
        <w:tc>
          <w:tcPr>
            <w:tcW w:w="240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40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Classification</w:t>
            </w:r>
          </w:p>
        </w:tc>
        <w:tc>
          <w:tcPr>
            <w:tcW w:w="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261"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190" w:type="dxa"/>
            <w:tcBorders/>
            <w:vAlign w:val="center"/>
          </w:tcPr>
          <w:p>
            <w:pPr>
              <w:pStyle w:val="TableContents"/>
              <w:bidi w:val="0"/>
              <w:spacing w:before="0" w:after="283"/>
              <w:ind w:left="0" w:right="0" w:hanging="0"/>
              <w:jc w:val="left"/>
              <w:rPr/>
            </w:pPr>
            <w:r>
              <w:rPr/>
              <w:t> </w:t>
            </w:r>
          </w:p>
        </w:tc>
      </w:tr>
      <w:tr>
        <w:trPr/>
        <w:tc>
          <w:tcPr>
            <w:tcW w:w="6486" w:type="dxa"/>
            <w:gridSpan w:val="2"/>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Assets:</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rStyle w:val="Emphasis"/>
              </w:rPr>
              <w:t> </w:t>
            </w:r>
          </w:p>
        </w:tc>
        <w:tc>
          <w:tcPr>
            <w:tcW w:w="2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rStyle w:val="Emphasis"/>
              </w:rPr>
              <w:t> </w:t>
            </w:r>
          </w:p>
        </w:tc>
        <w:tc>
          <w:tcPr>
            <w:tcW w:w="190" w:type="dxa"/>
            <w:tcBorders/>
            <w:shd w:fill="CCEEFF" w:val="clear"/>
            <w:vAlign w:val="center"/>
          </w:tcPr>
          <w:p>
            <w:pPr>
              <w:pStyle w:val="TableContents"/>
              <w:bidi w:val="0"/>
              <w:spacing w:before="0" w:after="283"/>
              <w:jc w:val="left"/>
              <w:rPr/>
            </w:pPr>
            <w:r>
              <w:rPr/>
              <w:t> </w:t>
            </w:r>
          </w:p>
        </w:tc>
      </w:tr>
      <w:tr>
        <w:trPr/>
        <w:tc>
          <w:tcPr>
            <w:tcW w:w="24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4083"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Operating lease right-of-use assets</w:t>
            </w:r>
          </w:p>
        </w:tc>
        <w:tc>
          <w:tcPr>
            <w:tcW w:w="84" w:type="dxa"/>
            <w:tcBorders/>
            <w:shd w:fill="FFFFFF" w:val="clear"/>
            <w:vAlign w:val="center"/>
          </w:tcPr>
          <w:p>
            <w:pPr>
              <w:pStyle w:val="TableContents"/>
              <w:bidi w:val="0"/>
              <w:spacing w:before="0" w:after="283"/>
              <w:ind w:left="0" w:right="0" w:hanging="0"/>
              <w:jc w:val="left"/>
              <w:rPr/>
            </w:pPr>
            <w:r>
              <w:rPr/>
              <w:t> </w:t>
            </w:r>
          </w:p>
        </w:tc>
        <w:tc>
          <w:tcPr>
            <w:tcW w:w="2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16,778</w:t>
            </w:r>
          </w:p>
        </w:tc>
        <w:tc>
          <w:tcPr>
            <w:tcW w:w="2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2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22,804</w:t>
            </w:r>
          </w:p>
        </w:tc>
        <w:tc>
          <w:tcPr>
            <w:tcW w:w="190" w:type="dxa"/>
            <w:tcBorders/>
            <w:shd w:fill="FFFFFF" w:val="clear"/>
            <w:vAlign w:val="center"/>
          </w:tcPr>
          <w:p>
            <w:pPr>
              <w:pStyle w:val="TableContents"/>
              <w:bidi w:val="0"/>
              <w:spacing w:before="0" w:after="283"/>
              <w:jc w:val="left"/>
              <w:rPr/>
            </w:pPr>
            <w:r>
              <w:rPr/>
              <w:t> </w:t>
            </w:r>
          </w:p>
        </w:tc>
      </w:tr>
      <w:tr>
        <w:trPr/>
        <w:tc>
          <w:tcPr>
            <w:tcW w:w="24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w:t>
            </w:r>
          </w:p>
        </w:tc>
        <w:tc>
          <w:tcPr>
            <w:tcW w:w="4083"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 (1)</w:t>
            </w:r>
          </w:p>
        </w:tc>
        <w:tc>
          <w:tcPr>
            <w:tcW w:w="84" w:type="dxa"/>
            <w:tcBorders/>
            <w:shd w:fill="CCEEFF" w:val="clear"/>
            <w:vAlign w:val="center"/>
          </w:tcPr>
          <w:p>
            <w:pPr>
              <w:pStyle w:val="TableContents"/>
              <w:bidi w:val="0"/>
              <w:spacing w:before="0" w:after="283"/>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2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190" w:type="dxa"/>
            <w:tcBorders/>
            <w:shd w:fill="CCEEFF" w:val="clear"/>
            <w:vAlign w:val="center"/>
          </w:tcPr>
          <w:p>
            <w:pPr>
              <w:pStyle w:val="TableContents"/>
              <w:bidi w:val="0"/>
              <w:spacing w:before="0" w:after="283"/>
              <w:jc w:val="left"/>
              <w:rPr/>
            </w:pPr>
            <w:r>
              <w:rPr/>
              <w:t> </w:t>
            </w:r>
          </w:p>
        </w:tc>
      </w:tr>
      <w:tr>
        <w:trPr/>
        <w:tc>
          <w:tcPr>
            <w:tcW w:w="6486" w:type="dxa"/>
            <w:gridSpan w:val="2"/>
            <w:tcBorders/>
            <w:shd w:fill="FFFFFF" w:val="clear"/>
            <w:vAlign w:val="center"/>
          </w:tcPr>
          <w:p>
            <w:pPr>
              <w:pStyle w:val="TableContents"/>
              <w:bidi w:val="0"/>
              <w:spacing w:before="0" w:after="283"/>
              <w:jc w:val="left"/>
              <w:rPr/>
            </w:pPr>
            <w:r>
              <w:rPr>
                <w:rStyle w:val="Emphasis"/>
                <w:rFonts w:ascii="Times New Roman;Times;serif" w:hAnsi="Times New Roman;Times;serif"/>
                <w:sz w:val="20"/>
              </w:rPr>
              <w:t>Total lease assets</w:t>
            </w:r>
          </w:p>
        </w:tc>
        <w:tc>
          <w:tcPr>
            <w:tcW w:w="84"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17,025</w:t>
            </w:r>
          </w:p>
        </w:tc>
        <w:tc>
          <w:tcPr>
            <w:tcW w:w="2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23,127</w:t>
            </w:r>
          </w:p>
        </w:tc>
        <w:tc>
          <w:tcPr>
            <w:tcW w:w="190" w:type="dxa"/>
            <w:tcBorders/>
            <w:shd w:fill="FFFFFF" w:val="clear"/>
            <w:vAlign w:val="center"/>
          </w:tcPr>
          <w:p>
            <w:pPr>
              <w:pStyle w:val="TableContents"/>
              <w:bidi w:val="0"/>
              <w:spacing w:before="0" w:after="283"/>
              <w:ind w:left="0" w:right="0" w:hanging="0"/>
              <w:jc w:val="left"/>
              <w:rPr/>
            </w:pPr>
            <w:r>
              <w:rPr/>
              <w:t> </w:t>
            </w:r>
          </w:p>
        </w:tc>
      </w:tr>
      <w:tr>
        <w:trPr/>
        <w:tc>
          <w:tcPr>
            <w:tcW w:w="24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408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r>
      <w:tr>
        <w:trPr/>
        <w:tc>
          <w:tcPr>
            <w:tcW w:w="24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408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24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Operating</w:t>
            </w:r>
          </w:p>
        </w:tc>
        <w:tc>
          <w:tcPr>
            <w:tcW w:w="4083"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accrued liabilities</w:t>
            </w:r>
          </w:p>
        </w:tc>
        <w:tc>
          <w:tcPr>
            <w:tcW w:w="84" w:type="dxa"/>
            <w:tcBorders/>
            <w:shd w:fill="CCEEFF" w:val="clear"/>
            <w:vAlign w:val="center"/>
          </w:tcPr>
          <w:p>
            <w:pPr>
              <w:pStyle w:val="TableContents"/>
              <w:bidi w:val="0"/>
              <w:spacing w:before="0" w:after="283"/>
              <w:ind w:left="0" w:right="0" w:hanging="0"/>
              <w:jc w:val="left"/>
              <w:rPr/>
            </w:pPr>
            <w:r>
              <w:rPr/>
              <w:t> </w:t>
            </w:r>
          </w:p>
        </w:tc>
        <w:tc>
          <w:tcPr>
            <w:tcW w:w="2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5,122</w:t>
            </w:r>
          </w:p>
        </w:tc>
        <w:tc>
          <w:tcPr>
            <w:tcW w:w="2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2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w:t>
            </w:r>
          </w:p>
        </w:tc>
        <w:tc>
          <w:tcPr>
            <w:tcW w:w="190" w:type="dxa"/>
            <w:tcBorders/>
            <w:shd w:fill="CCEEFF" w:val="clear"/>
            <w:vAlign w:val="center"/>
          </w:tcPr>
          <w:p>
            <w:pPr>
              <w:pStyle w:val="TableContents"/>
              <w:bidi w:val="0"/>
              <w:spacing w:before="0" w:after="283"/>
              <w:jc w:val="left"/>
              <w:rPr/>
            </w:pPr>
            <w:r>
              <w:rPr/>
              <w:t> </w:t>
            </w:r>
          </w:p>
        </w:tc>
      </w:tr>
      <w:tr>
        <w:trPr/>
        <w:tc>
          <w:tcPr>
            <w:tcW w:w="24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Finance</w:t>
            </w:r>
          </w:p>
        </w:tc>
        <w:tc>
          <w:tcPr>
            <w:tcW w:w="4083"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accrued liabilities</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90" w:type="dxa"/>
            <w:tcBorders/>
            <w:shd w:fill="FFFFFF" w:val="clear"/>
            <w:vAlign w:val="center"/>
          </w:tcPr>
          <w:p>
            <w:pPr>
              <w:pStyle w:val="TableContents"/>
              <w:bidi w:val="0"/>
              <w:spacing w:before="0" w:after="283"/>
              <w:ind w:left="0" w:right="0" w:hanging="0"/>
              <w:jc w:val="left"/>
              <w:rPr/>
            </w:pPr>
            <w:r>
              <w:rPr/>
              <w:t> </w:t>
            </w:r>
          </w:p>
        </w:tc>
      </w:tr>
      <w:tr>
        <w:trPr/>
        <w:tc>
          <w:tcPr>
            <w:tcW w:w="24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408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r>
      <w:tr>
        <w:trPr/>
        <w:tc>
          <w:tcPr>
            <w:tcW w:w="24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Operating</w:t>
            </w:r>
          </w:p>
        </w:tc>
        <w:tc>
          <w:tcPr>
            <w:tcW w:w="4083"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Long-term lease liabilities</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13,160</w:t>
            </w:r>
          </w:p>
        </w:tc>
        <w:tc>
          <w:tcPr>
            <w:tcW w:w="2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19,185</w:t>
            </w:r>
          </w:p>
        </w:tc>
        <w:tc>
          <w:tcPr>
            <w:tcW w:w="190" w:type="dxa"/>
            <w:tcBorders/>
            <w:shd w:fill="FFFFFF" w:val="clear"/>
            <w:vAlign w:val="center"/>
          </w:tcPr>
          <w:p>
            <w:pPr>
              <w:pStyle w:val="TableContents"/>
              <w:bidi w:val="0"/>
              <w:spacing w:before="0" w:after="283"/>
              <w:jc w:val="left"/>
              <w:rPr/>
            </w:pPr>
            <w:r>
              <w:rPr/>
              <w:t> </w:t>
            </w:r>
          </w:p>
        </w:tc>
      </w:tr>
      <w:tr>
        <w:trPr/>
        <w:tc>
          <w:tcPr>
            <w:tcW w:w="24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Finance</w:t>
            </w:r>
          </w:p>
        </w:tc>
        <w:tc>
          <w:tcPr>
            <w:tcW w:w="4083"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Long-term lease liabilities</w:t>
            </w:r>
          </w:p>
        </w:tc>
        <w:tc>
          <w:tcPr>
            <w:tcW w:w="84" w:type="dxa"/>
            <w:tcBorders/>
            <w:shd w:fill="CCEEFF" w:val="clear"/>
            <w:vAlign w:val="center"/>
          </w:tcPr>
          <w:p>
            <w:pPr>
              <w:pStyle w:val="TableContents"/>
              <w:bidi w:val="0"/>
              <w:spacing w:before="0" w:after="283"/>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90" w:type="dxa"/>
            <w:tcBorders/>
            <w:shd w:fill="CCEEFF" w:val="clear"/>
            <w:vAlign w:val="center"/>
          </w:tcPr>
          <w:p>
            <w:pPr>
              <w:pStyle w:val="TableContents"/>
              <w:bidi w:val="0"/>
              <w:spacing w:before="0" w:after="283"/>
              <w:jc w:val="left"/>
              <w:rPr/>
            </w:pPr>
            <w:r>
              <w:rPr/>
              <w:t> </w:t>
            </w:r>
          </w:p>
        </w:tc>
      </w:tr>
      <w:tr>
        <w:trPr/>
        <w:tc>
          <w:tcPr>
            <w:tcW w:w="6486" w:type="dxa"/>
            <w:gridSpan w:val="2"/>
            <w:tcBorders/>
            <w:shd w:fill="FFFFFF" w:val="clear"/>
            <w:vAlign w:val="center"/>
          </w:tcPr>
          <w:p>
            <w:pPr>
              <w:pStyle w:val="TableContents"/>
              <w:bidi w:val="0"/>
              <w:spacing w:before="0" w:after="283"/>
              <w:jc w:val="left"/>
              <w:rPr/>
            </w:pPr>
            <w:r>
              <w:rPr>
                <w:rStyle w:val="Emphasis"/>
                <w:rFonts w:ascii="Times New Roman;Times;serif" w:hAnsi="Times New Roman;Times;serif"/>
                <w:sz w:val="20"/>
              </w:rPr>
              <w:t>Total lease liabilities</w:t>
            </w:r>
          </w:p>
        </w:tc>
        <w:tc>
          <w:tcPr>
            <w:tcW w:w="84"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18,308</w:t>
            </w:r>
          </w:p>
        </w:tc>
        <w:tc>
          <w:tcPr>
            <w:tcW w:w="2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24,185</w:t>
            </w:r>
          </w:p>
        </w:tc>
        <w:tc>
          <w:tcPr>
            <w:tcW w:w="190" w:type="dxa"/>
            <w:tcBorders/>
            <w:shd w:fill="FFFFFF" w:val="clear"/>
            <w:vAlign w:val="center"/>
          </w:tcPr>
          <w:p>
            <w:pPr>
              <w:pStyle w:val="TableContents"/>
              <w:bidi w:val="0"/>
              <w:spacing w:before="0" w:after="283"/>
              <w:jc w:val="left"/>
              <w:rPr/>
            </w:pPr>
            <w:r>
              <w:rPr/>
              <w:t> </w:t>
            </w:r>
          </w:p>
        </w:tc>
      </w:tr>
      <w:tr>
        <w:trPr/>
        <w:tc>
          <w:tcPr>
            <w:tcW w:w="2403" w:type="dxa"/>
            <w:tcBorders/>
            <w:shd w:fill="CCEEFF" w:val="clear"/>
            <w:vAlign w:val="center"/>
          </w:tcPr>
          <w:p>
            <w:pPr>
              <w:pStyle w:val="TableContents"/>
              <w:bidi w:val="0"/>
              <w:spacing w:before="0" w:after="283"/>
              <w:jc w:val="left"/>
              <w:rPr/>
            </w:pPr>
            <w:r>
              <w:rPr/>
              <w:t> </w:t>
            </w:r>
          </w:p>
        </w:tc>
        <w:tc>
          <w:tcPr>
            <w:tcW w:w="408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r>
      <w:tr>
        <w:trPr/>
        <w:tc>
          <w:tcPr>
            <w:tcW w:w="6486"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Weighted-average remaining lease term (years):</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rStyle w:val="Emphasis"/>
              </w:rPr>
              <w:t> </w:t>
            </w:r>
          </w:p>
        </w:tc>
        <w:tc>
          <w:tcPr>
            <w:tcW w:w="2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rStyle w:val="Emphasis"/>
              </w:rPr>
              <w:t> </w:t>
            </w:r>
          </w:p>
        </w:tc>
        <w:tc>
          <w:tcPr>
            <w:tcW w:w="190" w:type="dxa"/>
            <w:tcBorders/>
            <w:shd w:fill="FFFFFF" w:val="clear"/>
            <w:vAlign w:val="center"/>
          </w:tcPr>
          <w:p>
            <w:pPr>
              <w:pStyle w:val="TableContents"/>
              <w:bidi w:val="0"/>
              <w:spacing w:before="0" w:after="283"/>
              <w:ind w:left="0" w:right="0" w:hanging="0"/>
              <w:jc w:val="left"/>
              <w:rPr/>
            </w:pPr>
            <w:r>
              <w:rPr/>
              <w:t> </w:t>
            </w:r>
          </w:p>
        </w:tc>
      </w:tr>
      <w:tr>
        <w:trPr/>
        <w:tc>
          <w:tcPr>
            <w:tcW w:w="6486" w:type="dxa"/>
            <w:gridSpan w:val="2"/>
            <w:tcBorders/>
            <w:shd w:fill="CCEEFF" w:val="clear"/>
            <w:vAlign w:val="center"/>
          </w:tcPr>
          <w:p>
            <w:pPr>
              <w:pStyle w:val="TableContents"/>
              <w:bidi w:val="0"/>
              <w:spacing w:before="0" w:after="0"/>
              <w:ind w:left="180" w:right="0" w:hanging="0"/>
              <w:jc w:val="left"/>
              <w:rPr/>
            </w:pPr>
            <w:r>
              <w:rPr>
                <w:rStyle w:val="Emphasis"/>
                <w:rFonts w:ascii="Times New Roman;Times;serif" w:hAnsi="Times New Roman;Times;serif"/>
                <w:caps w:val="false"/>
                <w:smallCaps w:val="false"/>
                <w:sz w:val="20"/>
              </w:rPr>
              <w:t>Operating leases</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90" w:type="dxa"/>
            <w:tcBorders/>
            <w:shd w:fill="CCEEFF" w:val="clear"/>
            <w:vAlign w:val="center"/>
          </w:tcPr>
          <w:p>
            <w:pPr>
              <w:pStyle w:val="TableContents"/>
              <w:bidi w:val="0"/>
              <w:spacing w:before="0" w:after="283"/>
              <w:ind w:left="0" w:right="0" w:hanging="0"/>
              <w:jc w:val="left"/>
              <w:rPr/>
            </w:pPr>
            <w:r>
              <w:rPr/>
              <w:t> </w:t>
            </w:r>
          </w:p>
        </w:tc>
      </w:tr>
      <w:tr>
        <w:trPr/>
        <w:tc>
          <w:tcPr>
            <w:tcW w:w="6486" w:type="dxa"/>
            <w:gridSpan w:val="2"/>
            <w:tcBorders/>
            <w:shd w:fill="FFFFFF" w:val="clear"/>
            <w:vAlign w:val="center"/>
          </w:tcPr>
          <w:p>
            <w:pPr>
              <w:pStyle w:val="TableContents"/>
              <w:bidi w:val="0"/>
              <w:spacing w:before="0" w:after="0"/>
              <w:ind w:left="180" w:right="0" w:hanging="0"/>
              <w:jc w:val="left"/>
              <w:rPr/>
            </w:pPr>
            <w:r>
              <w:rPr>
                <w:rStyle w:val="Emphasis"/>
                <w:rFonts w:ascii="Times New Roman;Times;serif" w:hAnsi="Times New Roman;Times;serif"/>
                <w:caps w:val="false"/>
                <w:smallCaps w:val="false"/>
                <w:sz w:val="20"/>
              </w:rPr>
              <w:t>Finance leases</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90" w:type="dxa"/>
            <w:tcBorders/>
            <w:shd w:fill="FFFFFF" w:val="clear"/>
            <w:vAlign w:val="center"/>
          </w:tcPr>
          <w:p>
            <w:pPr>
              <w:pStyle w:val="TableContents"/>
              <w:bidi w:val="0"/>
              <w:spacing w:before="0" w:after="283"/>
              <w:jc w:val="left"/>
              <w:rPr/>
            </w:pPr>
            <w:r>
              <w:rPr/>
              <w:t> </w:t>
            </w:r>
          </w:p>
        </w:tc>
      </w:tr>
      <w:tr>
        <w:trPr/>
        <w:tc>
          <w:tcPr>
            <w:tcW w:w="2403" w:type="dxa"/>
            <w:tcBorders/>
            <w:shd w:fill="CCEEFF" w:val="clear"/>
            <w:vAlign w:val="center"/>
          </w:tcPr>
          <w:p>
            <w:pPr>
              <w:pStyle w:val="TableContents"/>
              <w:bidi w:val="0"/>
              <w:spacing w:before="0" w:after="283"/>
              <w:jc w:val="left"/>
              <w:rPr/>
            </w:pPr>
            <w:r>
              <w:rPr/>
              <w:t> </w:t>
            </w:r>
          </w:p>
        </w:tc>
        <w:tc>
          <w:tcPr>
            <w:tcW w:w="408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r>
      <w:tr>
        <w:trPr/>
        <w:tc>
          <w:tcPr>
            <w:tcW w:w="6486"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Weighted-average discount rate:</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rStyle w:val="Emphasis"/>
              </w:rPr>
              <w:t> </w:t>
            </w:r>
          </w:p>
        </w:tc>
        <w:tc>
          <w:tcPr>
            <w:tcW w:w="2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rStyle w:val="Emphasis"/>
              </w:rPr>
              <w:t> </w:t>
            </w:r>
          </w:p>
        </w:tc>
        <w:tc>
          <w:tcPr>
            <w:tcW w:w="190" w:type="dxa"/>
            <w:tcBorders/>
            <w:shd w:fill="FFFFFF" w:val="clear"/>
            <w:vAlign w:val="center"/>
          </w:tcPr>
          <w:p>
            <w:pPr>
              <w:pStyle w:val="TableContents"/>
              <w:bidi w:val="0"/>
              <w:spacing w:before="0" w:after="283"/>
              <w:ind w:left="0" w:right="0" w:hanging="0"/>
              <w:jc w:val="left"/>
              <w:rPr/>
            </w:pPr>
            <w:r>
              <w:rPr/>
              <w:t> </w:t>
            </w:r>
          </w:p>
        </w:tc>
      </w:tr>
      <w:tr>
        <w:trPr/>
        <w:tc>
          <w:tcPr>
            <w:tcW w:w="6486" w:type="dxa"/>
            <w:gridSpan w:val="2"/>
            <w:tcBorders/>
            <w:shd w:fill="CCEEFF" w:val="clear"/>
            <w:vAlign w:val="center"/>
          </w:tcPr>
          <w:p>
            <w:pPr>
              <w:pStyle w:val="TableContents"/>
              <w:bidi w:val="0"/>
              <w:spacing w:before="0" w:after="0"/>
              <w:ind w:left="180" w:right="0" w:hanging="0"/>
              <w:jc w:val="left"/>
              <w:rPr/>
            </w:pPr>
            <w:r>
              <w:rPr>
                <w:rStyle w:val="Emphasis"/>
                <w:rFonts w:ascii="Times New Roman;Times;serif" w:hAnsi="Times New Roman;Times;serif"/>
                <w:caps w:val="false"/>
                <w:smallCaps w:val="false"/>
                <w:sz w:val="20"/>
              </w:rPr>
              <w:t>Operating leases</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86" w:type="dxa"/>
            <w:gridSpan w:val="2"/>
            <w:tcBorders>
              <w:bottom w:val="single" w:sz="2" w:space="0" w:color="000000"/>
            </w:tcBorders>
            <w:shd w:fill="FFFFFF" w:val="clear"/>
            <w:tcMar>
              <w:bottom w:w="28" w:type="dxa"/>
            </w:tcMar>
            <w:vAlign w:val="center"/>
          </w:tcPr>
          <w:p>
            <w:pPr>
              <w:pStyle w:val="TableContents"/>
              <w:bidi w:val="0"/>
              <w:spacing w:before="0" w:after="0"/>
              <w:ind w:left="180" w:right="0" w:hanging="0"/>
              <w:jc w:val="left"/>
              <w:rPr/>
            </w:pPr>
            <w:r>
              <w:rPr>
                <w:rStyle w:val="Emphasis"/>
                <w:rFonts w:ascii="Times New Roman;Times;serif" w:hAnsi="Times New Roman;Times;serif"/>
                <w:caps w:val="false"/>
                <w:smallCaps w:val="false"/>
                <w:sz w:val="20"/>
              </w:rPr>
              <w:t>Finance leases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6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015" w:type="dxa"/>
            <w:gridSpan w:val="9"/>
            <w:tcBorders/>
            <w:vAlign w:val="center"/>
          </w:tcPr>
          <w:p>
            <w:pPr>
              <w:pStyle w:val="TableContents"/>
              <w:bidi w:val="0"/>
              <w:spacing w:before="0" w:after="283"/>
              <w:jc w:val="left"/>
              <w:rPr/>
            </w:pPr>
            <w:r>
              <w:rPr>
                <w:rStyle w:val="Emphasis"/>
                <w:rFonts w:ascii="Times New Roman;Times;serif" w:hAnsi="Times New Roman;Times;serif"/>
                <w:sz w:val="20"/>
              </w:rPr>
              <w:t>(1)   Finance lease assets are recorded net of accumulated amortization of $0.3 million and $0.2 million in 2023 and 2022, respectively.</w:t>
            </w:r>
          </w:p>
        </w:tc>
        <w:tc>
          <w:tcPr>
            <w:tcW w:w="1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0" w:right="0" w:hanging="0"/>
        <w:jc w:val="left"/>
        <w:rPr>
          <w:caps w:val="false"/>
          <w:smallCaps w:val="false"/>
        </w:rPr>
      </w:pPr>
      <w:r>
        <w:rPr>
          <w:caps w:val="false"/>
          <w:smallCaps w:val="false"/>
        </w:rPr>
        <w:t> </w:t>
      </w:r>
    </w:p>
    <w:tbl>
      <w:tblPr>
        <w:tblW w:w="6182" w:type="dxa"/>
        <w:jc w:val="left"/>
        <w:tblInd w:w="0" w:type="dxa"/>
        <w:tblLayout w:type="fixed"/>
        <w:tblCellMar>
          <w:top w:w="0" w:type="dxa"/>
          <w:left w:w="0" w:type="dxa"/>
          <w:bottom w:w="0" w:type="dxa"/>
          <w:right w:w="0" w:type="dxa"/>
        </w:tblCellMar>
      </w:tblPr>
      <w:tblGrid>
        <w:gridCol w:w="2375"/>
        <w:gridCol w:w="60"/>
        <w:gridCol w:w="231"/>
        <w:gridCol w:w="898"/>
        <w:gridCol w:w="80"/>
        <w:gridCol w:w="60"/>
        <w:gridCol w:w="231"/>
        <w:gridCol w:w="898"/>
        <w:gridCol w:w="80"/>
        <w:gridCol w:w="60"/>
        <w:gridCol w:w="231"/>
        <w:gridCol w:w="898"/>
        <w:gridCol w:w="8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25,</w:t>
            </w:r>
          </w:p>
        </w:tc>
        <w:tc>
          <w:tcPr>
            <w:tcW w:w="80" w:type="dxa"/>
            <w:tcBorders/>
            <w:vAlign w:val="center"/>
          </w:tcPr>
          <w:p>
            <w:pPr>
              <w:pStyle w:val="TableContents"/>
              <w:bidi w:val="0"/>
              <w:spacing w:before="0" w:after="283"/>
              <w:ind w:left="0" w:right="0" w:hanging="0"/>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expense</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leased assets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income</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Future minimum lease payments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are as follows:</w:t>
      </w:r>
    </w:p>
    <w:p>
      <w:pPr>
        <w:pStyle w:val="TextBody"/>
        <w:bidi w:val="0"/>
        <w:spacing w:before="0" w:after="0"/>
        <w:ind w:left="36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585"/>
        <w:gridCol w:w="60"/>
        <w:gridCol w:w="145"/>
        <w:gridCol w:w="685"/>
        <w:gridCol w:w="80"/>
        <w:gridCol w:w="60"/>
        <w:gridCol w:w="234"/>
        <w:gridCol w:w="431"/>
        <w:gridCol w:w="80"/>
        <w:gridCol w:w="60"/>
        <w:gridCol w:w="125"/>
        <w:gridCol w:w="59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25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4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4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5,547</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22,227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bidi w:val="0"/>
        <w:spacing w:before="0" w:after="0"/>
        <w:ind w:left="360" w:right="0" w:hanging="0"/>
        <w:jc w:val="left"/>
        <w:rPr>
          <w:caps w:val="false"/>
          <w:smallCaps w:val="false"/>
        </w:rPr>
      </w:pPr>
      <w:r>
        <w:rPr>
          <w:caps w:val="false"/>
          <w:smallCaps w:val="false"/>
        </w:rPr>
        <w:t> </w:t>
      </w:r>
    </w:p>
    <w:tbl>
      <w:tblPr>
        <w:tblW w:w="9512" w:type="dxa"/>
        <w:jc w:val="left"/>
        <w:tblInd w:w="0" w:type="dxa"/>
        <w:tblLayout w:type="fixed"/>
        <w:tblCellMar>
          <w:top w:w="0" w:type="dxa"/>
          <w:left w:w="0" w:type="dxa"/>
          <w:bottom w:w="0" w:type="dxa"/>
          <w:right w:w="0" w:type="dxa"/>
        </w:tblCellMar>
      </w:tblPr>
      <w:tblGrid>
        <w:gridCol w:w="5765"/>
        <w:gridCol w:w="60"/>
        <w:gridCol w:w="231"/>
        <w:gridCol w:w="898"/>
        <w:gridCol w:w="60"/>
        <w:gridCol w:w="60"/>
        <w:gridCol w:w="231"/>
        <w:gridCol w:w="898"/>
        <w:gridCol w:w="60"/>
        <w:gridCol w:w="60"/>
        <w:gridCol w:w="231"/>
        <w:gridCol w:w="898"/>
        <w:gridCol w:w="6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25,</w:t>
            </w:r>
          </w:p>
        </w:tc>
        <w:tc>
          <w:tcPr>
            <w:tcW w:w="60" w:type="dxa"/>
            <w:tcBorders/>
            <w:vAlign w:val="center"/>
          </w:tcPr>
          <w:p>
            <w:pPr>
              <w:pStyle w:val="TableContents"/>
              <w:bidi w:val="0"/>
              <w:spacing w:before="0" w:after="283"/>
              <w:ind w:left="0" w:right="0" w:hanging="0"/>
              <w:jc w:val="left"/>
              <w:rPr/>
            </w:pPr>
            <w:r>
              <w:rPr/>
              <w:t> </w:t>
            </w:r>
          </w:p>
        </w:tc>
      </w:tr>
      <w:tr>
        <w:trPr/>
        <w:tc>
          <w:tcPr>
            <w:tcW w:w="57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vAlign w:val="center"/>
          </w:tcPr>
          <w:p>
            <w:pPr>
              <w:pStyle w:val="TableContents"/>
              <w:bidi w:val="0"/>
              <w:spacing w:before="0" w:after="283"/>
              <w:ind w:left="0" w:right="0" w:hanging="0"/>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7,628</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Leased assets obtained in exchange for new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assets acquired in MCT acquisition</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acquired in MCT acquisition</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070" w:type="dxa"/>
        <w:jc w:val="left"/>
        <w:tblInd w:w="0" w:type="dxa"/>
        <w:tblLayout w:type="fixed"/>
        <w:tblCellMar>
          <w:top w:w="0" w:type="dxa"/>
          <w:left w:w="0" w:type="dxa"/>
          <w:bottom w:w="0" w:type="dxa"/>
          <w:right w:w="0" w:type="dxa"/>
        </w:tblCellMar>
      </w:tblPr>
      <w:tblGrid>
        <w:gridCol w:w="275"/>
        <w:gridCol w:w="27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p>
        </w:tc>
        <w:tc>
          <w:tcPr>
            <w:tcW w:w="27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From time-to-time we are involved in various legal proceedings, examinations by various tax authorities and claims that have arisen in the ordinary course of our business. The outcome of any litigation is inherently uncertain. While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at the present time that the resolution of these matters will have a material adverse effect on our assets,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270" w:type="dxa"/>
        <w:jc w:val="left"/>
        <w:tblInd w:w="0" w:type="dxa"/>
        <w:tblLayout w:type="fixed"/>
        <w:tblCellMar>
          <w:top w:w="0" w:type="dxa"/>
          <w:left w:w="0" w:type="dxa"/>
          <w:bottom w:w="0" w:type="dxa"/>
          <w:right w:w="0" w:type="dxa"/>
        </w:tblCellMar>
      </w:tblPr>
      <w:tblGrid>
        <w:gridCol w:w="275"/>
        <w:gridCol w:w="9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14.</w:t>
            </w:r>
          </w:p>
        </w:tc>
        <w:tc>
          <w:tcPr>
            <w:tcW w:w="9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Guarantees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Accrued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Changes in accrued warranty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period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was as follows:</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28" w:type="dxa"/>
          <w:right w:w="0" w:type="dxa"/>
        </w:tblCellMar>
      </w:tblPr>
      <w:tblGrid>
        <w:gridCol w:w="2375"/>
        <w:gridCol w:w="60"/>
        <w:gridCol w:w="125"/>
        <w:gridCol w:w="545"/>
        <w:gridCol w:w="80"/>
        <w:gridCol w:w="60"/>
        <w:gridCol w:w="125"/>
        <w:gridCol w:w="650"/>
        <w:gridCol w:w="80"/>
        <w:gridCol w:w="60"/>
        <w:gridCol w:w="125"/>
        <w:gridCol w:w="650"/>
        <w:gridCol w:w="80"/>
      </w:tblGrid>
      <w:tr>
        <w:trPr/>
        <w:tc>
          <w:tcPr>
            <w:tcW w:w="23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23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accruals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liability transferred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7,691</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Accrued warranty amounts expected to be incurred after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are included in noncurrent other accrued liabilities in the consolidated balance sheet. These amounts totaled $0.4 million and $0.6 million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065" w:type="dxa"/>
        <w:jc w:val="left"/>
        <w:tblInd w:w="0" w:type="dxa"/>
        <w:tblLayout w:type="fixed"/>
        <w:tblCellMar>
          <w:top w:w="0" w:type="dxa"/>
          <w:left w:w="0" w:type="dxa"/>
          <w:bottom w:w="0" w:type="dxa"/>
          <w:right w:w="0" w:type="dxa"/>
        </w:tblCellMar>
      </w:tblPr>
      <w:tblGrid>
        <w:gridCol w:w="275"/>
        <w:gridCol w:w="179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15.</w:t>
            </w:r>
          </w:p>
        </w:tc>
        <w:tc>
          <w:tcPr>
            <w:tcW w:w="17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Divestitures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PCB Test Equipment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24, 2021, </w:t>
      </w:r>
      <w:r>
        <w:rPr>
          <w:rFonts w:ascii="Times New Roman" w:hAnsi="Times New Roman"/>
          <w:caps w:val="false"/>
          <w:smallCaps w:val="false"/>
          <w:sz w:val="20"/>
        </w:rPr>
        <w:t xml:space="preserve">we completed the sale of our PCB Test business, which represented our PCB Test reportable segment. As part of the transaction we also sold certain intellectual property held by our Semiconductor Test &amp; Inspection segment that is utilized by the PCB Test business. Our decision to sell this non-core business resulted from management’s determination that that they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 fit within our organization. We received gross proceeds of $125.1 million, subject to certain closing adjustments. The sale generated a $70.8 million pre-tax gain on sale of business, which was recorded in our consolidated statements of operations 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25, 2021. </w:t>
      </w:r>
      <w:r>
        <w:rPr>
          <w:rFonts w:ascii="Times New Roman" w:hAnsi="Times New Roman"/>
          <w:caps w:val="false"/>
          <w:smallCaps w:val="false"/>
          <w:sz w:val="20"/>
        </w:rPr>
        <w:t>As a result of the closing of the transaction, we derecognized net assets of $48.2 million, including goodwill of $21.9 million and intangible assets of $14.8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evaluated the guidance in ASC Topic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Presentation of Financial Statements </w:t>
      </w:r>
      <w:r>
        <w:rPr>
          <w:rFonts w:ascii="Times New Roman" w:hAnsi="Times New Roman"/>
          <w:caps w:val="false"/>
          <w:smallCaps w:val="false"/>
          <w:sz w:val="20"/>
        </w:rPr>
        <w:t xml:space="preserve">– </w:t>
      </w:r>
      <w:r>
        <w:rPr>
          <w:rFonts w:ascii="Times New Roman" w:hAnsi="Times New Roman"/>
          <w:i/>
          <w:caps w:val="false"/>
          <w:smallCaps w:val="false"/>
          <w:sz w:val="20"/>
        </w:rPr>
        <w:t>Discontinued Operations</w:t>
      </w:r>
      <w:r>
        <w:rPr>
          <w:rFonts w:ascii="Times New Roman" w:hAnsi="Times New Roman"/>
          <w:caps w:val="false"/>
          <w:smallCaps w:val="false"/>
          <w:sz w:val="20"/>
        </w:rPr>
        <w:t xml:space="preserve">, and determined that the divestment of our PCB Test business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a strategic shift as the divestiture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major effect on Cohu’s operations and financial results and, as a result,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presented as discontinued operations in any periods presented. Subsequent to the sale of our PCB Test business, we have one reportable segment,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b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  </w:t>
      </w:r>
    </w:p>
    <w:tbl>
      <w:tblPr>
        <w:tblW w:w="4540" w:type="dxa"/>
        <w:jc w:val="left"/>
        <w:tblInd w:w="0" w:type="dxa"/>
        <w:tblLayout w:type="fixed"/>
        <w:tblCellMar>
          <w:top w:w="0" w:type="dxa"/>
          <w:left w:w="0" w:type="dxa"/>
          <w:bottom w:w="0" w:type="dxa"/>
          <w:right w:w="0" w:type="dxa"/>
        </w:tblCellMar>
      </w:tblPr>
      <w:tblGrid>
        <w:gridCol w:w="275"/>
        <w:gridCol w:w="426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16.</w:t>
            </w:r>
          </w:p>
        </w:tc>
        <w:tc>
          <w:tcPr>
            <w:tcW w:w="42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Components of other comprehensive income (loss), on an after-tax basis, were as follows:</w:t>
      </w:r>
    </w:p>
    <w:p>
      <w:pPr>
        <w:pStyle w:val="TextBody"/>
        <w:bidi w:val="0"/>
        <w:spacing w:before="0" w:after="0"/>
        <w:ind w:left="0" w:right="0" w:hanging="0"/>
        <w:jc w:val="left"/>
        <w:rPr>
          <w:caps w:val="false"/>
          <w:smallCaps w:val="false"/>
        </w:rPr>
      </w:pPr>
      <w:r>
        <w:rPr>
          <w:caps w:val="false"/>
          <w:smallCaps w:val="false"/>
        </w:rPr>
        <w:t> </w:t>
      </w:r>
    </w:p>
    <w:tbl>
      <w:tblPr>
        <w:tblW w:w="9437" w:type="dxa"/>
        <w:jc w:val="left"/>
        <w:tblInd w:w="0" w:type="dxa"/>
        <w:tblLayout w:type="fixed"/>
        <w:tblCellMar>
          <w:top w:w="0" w:type="dxa"/>
          <w:left w:w="0" w:type="dxa"/>
          <w:bottom w:w="28" w:type="dxa"/>
          <w:right w:w="0" w:type="dxa"/>
        </w:tblCellMar>
      </w:tblPr>
      <w:tblGrid>
        <w:gridCol w:w="4025"/>
        <w:gridCol w:w="60"/>
        <w:gridCol w:w="254"/>
        <w:gridCol w:w="1325"/>
        <w:gridCol w:w="80"/>
        <w:gridCol w:w="60"/>
        <w:gridCol w:w="439"/>
        <w:gridCol w:w="1395"/>
        <w:gridCol w:w="80"/>
        <w:gridCol w:w="60"/>
        <w:gridCol w:w="254"/>
        <w:gridCol w:w="1325"/>
        <w:gridCol w:w="80"/>
      </w:tblGrid>
      <w:tr>
        <w:trPr/>
        <w:tc>
          <w:tcPr>
            <w:tcW w:w="40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Before Tax amount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Tax (Expense) Benefit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of Tax Amount</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40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25,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left"/>
              <w:rPr/>
            </w:pPr>
            <w:r>
              <w:rPr/>
              <w:t> </w:t>
            </w:r>
          </w:p>
        </w:tc>
        <w:tc>
          <w:tcPr>
            <w:tcW w:w="13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02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3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(22,956</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13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left"/>
              <w:rPr/>
            </w:pPr>
            <w:r>
              <w:rPr/>
              <w:t> </w:t>
            </w:r>
          </w:p>
        </w:tc>
        <w:tc>
          <w:tcPr>
            <w:tcW w:w="13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13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2,602</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02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gain/loss on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pPr>
            <w:r>
              <w:rPr/>
              <w:t> </w:t>
            </w:r>
          </w:p>
        </w:tc>
        <w:tc>
          <w:tcPr>
            <w:tcW w:w="13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ind w:left="0" w:right="0" w:hanging="0"/>
              <w:jc w:val="left"/>
              <w:rPr/>
            </w:pPr>
            <w:r>
              <w:rPr/>
              <w:t> </w:t>
            </w:r>
          </w:p>
        </w:tc>
        <w:tc>
          <w:tcPr>
            <w:tcW w:w="13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pPr>
            <w:r>
              <w:rPr/>
              <w:t> </w:t>
            </w:r>
          </w:p>
        </w:tc>
        <w:tc>
          <w:tcPr>
            <w:tcW w:w="13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Reclassification due to sale of PBC Test Business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3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(22,936</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left"/>
              <w:rPr/>
            </w:pPr>
            <w:r>
              <w:rPr/>
              <w:t> </w:t>
            </w:r>
          </w:p>
        </w:tc>
        <w:tc>
          <w:tcPr>
            <w:tcW w:w="13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02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(17,991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3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(17,950</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13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left"/>
              <w:rPr/>
            </w:pPr>
            <w:r>
              <w:rPr/>
              <w:t> </w:t>
            </w:r>
          </w:p>
        </w:tc>
        <w:tc>
          <w:tcPr>
            <w:tcW w:w="13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13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02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gain/loss on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(12,750</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left"/>
              <w:rPr/>
            </w:pPr>
            <w:r>
              <w:rPr/>
              <w:t> </w:t>
            </w:r>
          </w:p>
        </w:tc>
        <w:tc>
          <w:tcPr>
            <w:tcW w:w="13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02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6,815</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02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pPr>
            <w:r>
              <w:rPr/>
              <w:t> </w:t>
            </w:r>
          </w:p>
        </w:tc>
        <w:tc>
          <w:tcPr>
            <w:tcW w:w="13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ind w:left="0" w:right="0" w:hanging="0"/>
              <w:jc w:val="left"/>
              <w:rPr/>
            </w:pPr>
            <w:r>
              <w:rPr/>
              <w:t> </w:t>
            </w:r>
          </w:p>
        </w:tc>
        <w:tc>
          <w:tcPr>
            <w:tcW w:w="13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pPr>
            <w:r>
              <w:rPr/>
              <w:t> </w:t>
            </w:r>
          </w:p>
        </w:tc>
        <w:tc>
          <w:tcPr>
            <w:tcW w:w="13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gain/loss on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25"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3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5,233</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Components of accumulated other comprehensive income (loss), net of tax, at the end of each period are as follows:</w:t>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28" w:type="dxa"/>
          <w:right w:w="0" w:type="dxa"/>
        </w:tblCellMar>
      </w:tblPr>
      <w:tblGrid>
        <w:gridCol w:w="5135"/>
        <w:gridCol w:w="60"/>
        <w:gridCol w:w="125"/>
        <w:gridCol w:w="650"/>
        <w:gridCol w:w="80"/>
        <w:gridCol w:w="60"/>
        <w:gridCol w:w="125"/>
        <w:gridCol w:w="650"/>
        <w:gridCol w:w="80"/>
      </w:tblGrid>
      <w:tr>
        <w:trPr/>
        <w:tc>
          <w:tcPr>
            <w:tcW w:w="51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51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net currency translation adjustments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(39,493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(46,308</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net adjustments related to postretirement benefits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7,031</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1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net unrealized gain/loss on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accumulated other comprehensive loss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(40,012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620" w:type="dxa"/>
        <w:jc w:val="left"/>
        <w:tblInd w:w="0" w:type="dxa"/>
        <w:tblLayout w:type="fixed"/>
        <w:tblCellMar>
          <w:top w:w="0" w:type="dxa"/>
          <w:left w:w="0" w:type="dxa"/>
          <w:bottom w:w="0" w:type="dxa"/>
          <w:right w:w="0" w:type="dxa"/>
        </w:tblCellMar>
      </w:tblPr>
      <w:tblGrid>
        <w:gridCol w:w="275"/>
        <w:gridCol w:w="234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17.</w:t>
            </w:r>
          </w:p>
        </w:tc>
        <w:tc>
          <w:tcPr>
            <w:tcW w:w="23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certain of our cash and short-term investments were held and managed by BlackRock, Inc. which owns 15.8% of our outstanding common stock as reported in its Form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-G/A filing made with the Securities and Exchange Commission on </w:t>
      </w:r>
      <w:r>
        <w:rPr>
          <w:rStyle w:val="Emphasis"/>
          <w:rFonts w:ascii="Times New Roman" w:hAnsi="Times New Roman"/>
          <w:caps w:val="false"/>
          <w:smallCaps w:val="false"/>
          <w:sz w:val="20"/>
        </w:rPr>
        <w:t>January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have an ownership interest in Fraes-und Technologiezentrum GmbH Frasdorf (“FTZ”), a company based in Germany that provides milling services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our wholly owned subsidiaries. This investment is accounted for under the equity method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to our consolidated balance sheets.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purchases of products from FTZ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We also had an ownership interest in ETZ Elektrisches Testzentrum fuer Leiterplatten GmbH (“ETZ”) which provided our PCB Test business, atg-Luther &amp; Maelzer GmbH, with certain component parts. Our ownership interest in ETZ was transferred on </w:t>
      </w:r>
      <w:r>
        <w:rPr>
          <w:rStyle w:val="Emphasis"/>
          <w:rFonts w:ascii="Times New Roman" w:hAnsi="Times New Roman"/>
          <w:caps w:val="false"/>
          <w:smallCaps w:val="false"/>
          <w:sz w:val="20"/>
        </w:rPr>
        <w:t xml:space="preserve">June 24, 2021 </w:t>
      </w:r>
      <w:r>
        <w:rPr>
          <w:rFonts w:ascii="Times New Roman" w:hAnsi="Times New Roman"/>
          <w:caps w:val="false"/>
          <w:smallCaps w:val="false"/>
          <w:sz w:val="20"/>
        </w:rPr>
        <w:t xml:space="preserve">as part of the sale of the PCB Test business and ETZ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 related party.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purchases of products from ETZ, when it was a related party,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35" w:name="Audit"/>
      <w:bookmarkEnd w:id="35"/>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Cohu, Inc. (the Company) as of December 30, 2023 and December 31, 2022, the related consolidated statements of income, comprehensive income, stockholders’ equity and cash flows for each of the three years in the period ended December 30, 2023,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30, 2023 and December 31, 2022, and the results of its operations and its cash flows for each of the three years in the period ended December 30, 2023,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Company’s internal control over financial reporting as of December 30, 2023, based on criteria established in Internal Control-Integrated Framework issued by the Committee of Sponsoring Organizations of the Treadway Commission (2013 framework) and our report dated February 16, 2024 expressed an unqualified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60"/>
        <w:gridCol w:w="8845"/>
      </w:tblGrid>
      <w:tr>
        <w:trPr/>
        <w:tc>
          <w:tcPr>
            <w:tcW w:w="1360" w:type="dxa"/>
            <w:tcBorders/>
            <w:vAlign w:val="center"/>
          </w:tcPr>
          <w:p>
            <w:pPr>
              <w:pStyle w:val="TableContents"/>
              <w:bidi w:val="0"/>
              <w:spacing w:before="0" w:after="283"/>
              <w:jc w:val="left"/>
              <w:rPr/>
            </w:pPr>
            <w:r>
              <w:rPr/>
              <w:t> </w:t>
            </w:r>
          </w:p>
        </w:tc>
        <w:tc>
          <w:tcPr>
            <w:tcW w:w="8845" w:type="dxa"/>
            <w:tcBorders/>
            <w:vAlign w:val="center"/>
          </w:tcPr>
          <w:p>
            <w:pPr>
              <w:pStyle w:val="TableContents"/>
              <w:bidi w:val="0"/>
              <w:spacing w:before="0" w:after="283"/>
              <w:jc w:val="left"/>
              <w:rPr>
                <w:b/>
                <w:i/>
              </w:rPr>
            </w:pPr>
            <w:r>
              <w:rPr>
                <w:b/>
                <w:i/>
              </w:rPr>
              <w:t>Valuation of inventories</w:t>
            </w:r>
          </w:p>
        </w:tc>
      </w:tr>
      <w:tr>
        <w:trPr/>
        <w:tc>
          <w:tcPr>
            <w:tcW w:w="1360" w:type="dxa"/>
            <w:tcBorders/>
            <w:vAlign w:val="center"/>
          </w:tcPr>
          <w:p>
            <w:pPr>
              <w:pStyle w:val="TableContents"/>
              <w:bidi w:val="0"/>
              <w:spacing w:before="0" w:after="283"/>
              <w:jc w:val="left"/>
              <w:rPr/>
            </w:pPr>
            <w:r>
              <w:rPr/>
              <w:t> </w:t>
            </w:r>
          </w:p>
        </w:tc>
        <w:tc>
          <w:tcPr>
            <w:tcW w:w="8845" w:type="dxa"/>
            <w:tcBorders/>
            <w:vAlign w:val="center"/>
          </w:tcPr>
          <w:p>
            <w:pPr>
              <w:pStyle w:val="TableContents"/>
              <w:bidi w:val="0"/>
              <w:spacing w:before="0" w:after="283"/>
              <w:jc w:val="left"/>
              <w:rPr/>
            </w:pPr>
            <w:r>
              <w:rPr/>
              <w:t> </w:t>
            </w:r>
          </w:p>
        </w:tc>
      </w:tr>
      <w:tr>
        <w:trPr/>
        <w:tc>
          <w:tcPr>
            <w:tcW w:w="1360" w:type="dxa"/>
            <w:tcBorders/>
            <w:vAlign w:val="center"/>
          </w:tcPr>
          <w:p>
            <w:pPr>
              <w:pStyle w:val="TableContents"/>
              <w:bidi w:val="0"/>
              <w:spacing w:before="0" w:after="0"/>
              <w:ind w:left="100" w:right="0" w:hanging="0"/>
              <w:jc w:val="left"/>
              <w:rPr>
                <w:rFonts w:ascii="Times New Roman" w:hAnsi="Times New Roman"/>
                <w:i/>
                <w:caps w:val="false"/>
                <w:smallCaps w:val="false"/>
                <w:sz w:val="20"/>
              </w:rPr>
            </w:pPr>
            <w:r>
              <w:rPr>
                <w:rFonts w:ascii="Times New Roman" w:hAnsi="Times New Roman"/>
                <w:i/>
                <w:caps w:val="false"/>
                <w:smallCaps w:val="false"/>
                <w:sz w:val="20"/>
              </w:rPr>
              <w:t>Description of the Matter</w:t>
            </w:r>
          </w:p>
        </w:tc>
        <w:tc>
          <w:tcPr>
            <w:tcW w:w="8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December 30, 2023, the Company’s consolidated inventories balance was $155.8 million. As described in Note 1 to the consolidated financial statements, the Company values its inventories at lower of cost, determined on a first-in, first-out basis, or net realizable value. Obsolete inventory or inventory in excess of management's estimated usage requirement is written down to its estimated net realizable value.</w:t>
            </w:r>
          </w:p>
        </w:tc>
      </w:tr>
      <w:tr>
        <w:trPr/>
        <w:tc>
          <w:tcPr>
            <w:tcW w:w="1360" w:type="dxa"/>
            <w:tcBorders/>
            <w:vAlign w:val="center"/>
          </w:tcPr>
          <w:p>
            <w:pPr>
              <w:pStyle w:val="TableContents"/>
              <w:bidi w:val="0"/>
              <w:spacing w:before="0" w:after="283"/>
              <w:jc w:val="left"/>
              <w:rPr/>
            </w:pPr>
            <w:r>
              <w:rPr/>
              <w:t> </w:t>
            </w:r>
          </w:p>
        </w:tc>
        <w:tc>
          <w:tcPr>
            <w:tcW w:w="8845" w:type="dxa"/>
            <w:tcBorders/>
            <w:vAlign w:val="center"/>
          </w:tcPr>
          <w:p>
            <w:pPr>
              <w:pStyle w:val="TableContents"/>
              <w:bidi w:val="0"/>
              <w:spacing w:before="0" w:after="283"/>
              <w:jc w:val="left"/>
              <w:rPr/>
            </w:pPr>
            <w:r>
              <w:rPr/>
              <w:t> </w:t>
            </w:r>
          </w:p>
        </w:tc>
      </w:tr>
      <w:tr>
        <w:trPr/>
        <w:tc>
          <w:tcPr>
            <w:tcW w:w="1360" w:type="dxa"/>
            <w:tcBorders/>
            <w:vAlign w:val="center"/>
          </w:tcPr>
          <w:p>
            <w:pPr>
              <w:pStyle w:val="TableContents"/>
              <w:bidi w:val="0"/>
              <w:spacing w:before="0" w:after="283"/>
              <w:jc w:val="left"/>
              <w:rPr/>
            </w:pPr>
            <w:r>
              <w:rPr/>
              <w:t> </w:t>
            </w:r>
          </w:p>
        </w:tc>
        <w:tc>
          <w:tcPr>
            <w:tcW w:w="8845" w:type="dxa"/>
            <w:tcBorders/>
            <w:vAlign w:val="center"/>
          </w:tcPr>
          <w:p>
            <w:pPr>
              <w:pStyle w:val="TableContents"/>
              <w:bidi w:val="0"/>
              <w:spacing w:before="0" w:after="283"/>
              <w:jc w:val="left"/>
              <w:rPr/>
            </w:pPr>
            <w:r>
              <w:rPr/>
              <w:t>Auditing management's estimates for excess and obsolete inventory involved subjective auditor judgment because the estimates rely on a number of factors that are affected by market and economic conditions outside the Company's control. In particular, the excess and obsolete inventory calculations are sensitive to the determination of expected future product demand.</w:t>
            </w:r>
          </w:p>
        </w:tc>
      </w:tr>
      <w:tr>
        <w:trPr/>
        <w:tc>
          <w:tcPr>
            <w:tcW w:w="1360" w:type="dxa"/>
            <w:tcBorders/>
            <w:vAlign w:val="center"/>
          </w:tcPr>
          <w:p>
            <w:pPr>
              <w:pStyle w:val="TableContents"/>
              <w:bidi w:val="0"/>
              <w:spacing w:before="0" w:after="283"/>
              <w:jc w:val="left"/>
              <w:rPr/>
            </w:pPr>
            <w:r>
              <w:rPr/>
              <w:t> </w:t>
            </w:r>
          </w:p>
        </w:tc>
        <w:tc>
          <w:tcPr>
            <w:tcW w:w="8845" w:type="dxa"/>
            <w:tcBorders/>
            <w:vAlign w:val="center"/>
          </w:tcPr>
          <w:p>
            <w:pPr>
              <w:pStyle w:val="TableContents"/>
              <w:bidi w:val="0"/>
              <w:spacing w:before="0" w:after="283"/>
              <w:jc w:val="left"/>
              <w:rPr/>
            </w:pPr>
            <w:r>
              <w:rPr/>
              <w:t> </w:t>
            </w:r>
          </w:p>
        </w:tc>
      </w:tr>
      <w:tr>
        <w:trPr/>
        <w:tc>
          <w:tcPr>
            <w:tcW w:w="1360" w:type="dxa"/>
            <w:tcBorders/>
            <w:vAlign w:val="center"/>
          </w:tcPr>
          <w:p>
            <w:pPr>
              <w:pStyle w:val="TableContents"/>
              <w:bidi w:val="0"/>
              <w:spacing w:before="0" w:after="0"/>
              <w:ind w:left="100" w:right="0" w:hanging="0"/>
              <w:jc w:val="left"/>
              <w:rPr>
                <w:rFonts w:ascii="Times New Roman" w:hAnsi="Times New Roman"/>
                <w:i/>
                <w:caps w:val="false"/>
                <w:smallCaps w:val="false"/>
                <w:sz w:val="20"/>
              </w:rPr>
            </w:pPr>
            <w:r>
              <w:rPr>
                <w:rFonts w:ascii="Times New Roman" w:hAnsi="Times New Roman"/>
                <w:i/>
                <w:caps w:val="false"/>
                <w:smallCaps w:val="false"/>
                <w:sz w:val="20"/>
              </w:rPr>
              <w:t>How We Addressed the Matter in Our Audit</w:t>
            </w:r>
          </w:p>
        </w:tc>
        <w:tc>
          <w:tcPr>
            <w:tcW w:w="8845" w:type="dxa"/>
            <w:tcBorders/>
            <w:vAlign w:val="center"/>
          </w:tcPr>
          <w:p>
            <w:pPr>
              <w:pStyle w:val="TableContents"/>
              <w:bidi w:val="0"/>
              <w:spacing w:before="0" w:after="283"/>
              <w:jc w:val="left"/>
              <w:rPr/>
            </w:pPr>
            <w:r>
              <w:rPr/>
              <w:t>We obtained an understanding, evaluated the design and tested the operating effectiveness of internal controls over the Company's excess and obsolete inventory valuation process, including management's assessment of the expected future product demand and data underlying the excess and obsolete inventory valuation.</w:t>
            </w:r>
          </w:p>
        </w:tc>
      </w:tr>
      <w:tr>
        <w:trPr/>
        <w:tc>
          <w:tcPr>
            <w:tcW w:w="1360" w:type="dxa"/>
            <w:tcBorders/>
            <w:vAlign w:val="center"/>
          </w:tcPr>
          <w:p>
            <w:pPr>
              <w:pStyle w:val="TableContents"/>
              <w:bidi w:val="0"/>
              <w:spacing w:before="0" w:after="283"/>
              <w:jc w:val="left"/>
              <w:rPr/>
            </w:pPr>
            <w:r>
              <w:rPr/>
              <w:t> </w:t>
            </w:r>
          </w:p>
        </w:tc>
        <w:tc>
          <w:tcPr>
            <w:tcW w:w="8845" w:type="dxa"/>
            <w:tcBorders/>
            <w:vAlign w:val="center"/>
          </w:tcPr>
          <w:p>
            <w:pPr>
              <w:pStyle w:val="TableContents"/>
              <w:bidi w:val="0"/>
              <w:spacing w:before="0" w:after="283"/>
              <w:jc w:val="left"/>
              <w:rPr/>
            </w:pPr>
            <w:r>
              <w:rPr/>
              <w:t> </w:t>
            </w:r>
          </w:p>
        </w:tc>
      </w:tr>
      <w:tr>
        <w:trPr/>
        <w:tc>
          <w:tcPr>
            <w:tcW w:w="1360" w:type="dxa"/>
            <w:tcBorders/>
            <w:vAlign w:val="center"/>
          </w:tcPr>
          <w:p>
            <w:pPr>
              <w:pStyle w:val="TableContents"/>
              <w:bidi w:val="0"/>
              <w:spacing w:before="0" w:after="283"/>
              <w:jc w:val="left"/>
              <w:rPr/>
            </w:pPr>
            <w:r>
              <w:rPr/>
              <w:t> </w:t>
            </w:r>
          </w:p>
        </w:tc>
        <w:tc>
          <w:tcPr>
            <w:tcW w:w="8845" w:type="dxa"/>
            <w:tcBorders/>
            <w:vAlign w:val="center"/>
          </w:tcPr>
          <w:p>
            <w:pPr>
              <w:pStyle w:val="TableContents"/>
              <w:bidi w:val="0"/>
              <w:spacing w:before="0" w:after="283"/>
              <w:jc w:val="left"/>
              <w:rPr/>
            </w:pPr>
            <w:r>
              <w:rPr/>
              <w:t>To test the valuation of inventories, our audit procedures included, among others, evaluating expected future product demand and testing the completeness and accuracy of the underlying data used by management in the analysis of excess and obsolete inventory. We evaluated adjustments to inventory reserves for specific product expectations, compared the balance of on-hand inventories to demand assumptions, and assessed the historical accuracy of management’s estimates by comparing prior period forecasted demand to actual consumption.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1956.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Diego,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1"/>
        <w:gridCol w:w="649"/>
        <w:gridCol w:w="60"/>
        <w:gridCol w:w="9395"/>
      </w:tblGrid>
      <w:tr>
        <w:trPr/>
        <w:tc>
          <w:tcPr>
            <w:tcW w:w="10205" w:type="dxa"/>
            <w:gridSpan w:val="4"/>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Index to</w:t>
            </w:r>
            <w:r>
              <w:rPr>
                <w:rFonts w:ascii="Times New Roman" w:hAnsi="Times New Roman"/>
                <w:caps w:val="false"/>
                <w:smallCaps w:val="false"/>
                <w:sz w:val="20"/>
              </w:rPr>
              <w:t> </w:t>
            </w:r>
            <w:r>
              <w:rPr>
                <w:rFonts w:ascii="Times New Roman" w:hAnsi="Times New Roman"/>
                <w:b/>
                <w:caps w:val="false"/>
                <w:smallCaps w:val="false"/>
                <w:sz w:val="20"/>
              </w:rPr>
              <w:t>Exhibits</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 (b)</w:t>
            </w:r>
          </w:p>
        </w:tc>
        <w:tc>
          <w:tcPr>
            <w:tcW w:w="945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exhibits are filed as part of, or incorporated into, the 2023 Cohu, Inc. Annual Report on Form 10-K:</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75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Exhibit No.</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Amended and Restated Certificate of Incorporation of Cohu, Inc. incorporated herein by reference to Exhibit 3.1 from the Cohu, Inc. Current Report on Form 8-K filed with the Securities and Exchange Commission on May 5, 2022</w:t>
              </w:r>
            </w:hyperlink>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Amended and Restated Bylaws of Cohu, Inc. incorporated herein by reference to Exhibit 3.1 from the Cohu, Inc. Form 8-K filed with the Securities and Exchange Commission on May 12, 2023</w:t>
              </w:r>
            </w:hyperlink>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Description of Capital Stock incorporated herein by reference to Exhibit 4.1 from the Cohu, Inc. Annual Report on Form 10-K filed with the Securities and Exchange Commission on February 17, 2023</w:t>
              </w:r>
            </w:hyperlink>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Credit and Guaranty Agreement dated as of October 1, 2018, by and among Cohu, Inc., Certain Subsidiaries of Cohu, Inc. and Deutsche Bank AG New York Branch, incorporated herein by reference to Exhibit 10.1 from the Cohu, Inc. Form 10-Q filed with the Securities and Exchange Commission on November 7, 2018</w:t>
              </w:r>
            </w:hyperlink>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Pledge and Security Agreement dated as of October 1, 2018, by and among Cohu, Inc., Certain Subsidiaries of Cohu, Inc. and Deutsche Bank AG New York Branch, incorporated herein by reference to Exhibit 10.2 from the Cohu, Inc. Form 10-Q filed with the Securities and Exchange Commission on November 7, 2018</w:t>
              </w:r>
            </w:hyperlink>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Cohu, Inc. 2005 Equity Incentive Plan, as amended May 10, 2023, incorporated herein by reference to Appendix B from the Cohu, Inc. Form DEF 14A filed with the Securities and Exchange Commission on March 28, 2023*</w:t>
              </w:r>
            </w:hyperlink>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u w:val="single"/>
                </w:rPr>
                <w:t>Cohu, Inc. 1997 Employee Stock Purchase Plan, as amended May 10, 2023, incorporated herein by reference to Appendix C from the Cohu, Inc. Form DEF 14A filed with the Securities and Exchange Commission on March 28, 2023*</w:t>
              </w:r>
            </w:hyperlink>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u w:val="single"/>
                </w:rPr>
                <w:t>Cohu, Inc. Deferred Compensation Plan (as amended and restated) incorporated herein by reference to Exhibit 10.1 from the Cohu, Inc. Current Report on Form 8-K filed with the Securities and Exchange Commission on December 29, 2008*</w:t>
              </w:r>
            </w:hyperlink>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u w:val="single"/>
                </w:rPr>
                <w:t xml:space="preserve">Form of executive employee restricted stock unit agreement for use with restricted stock units granted pursuant to the Cohu, Inc. 2005 Equity Incentive Plan incorporated herein by reference to Exhibit 10.1 from the Cohu, Inc. Form 10-Q filed with the Securities and Exchange Commission on May 5, 2023* </w:t>
              </w:r>
            </w:hyperlink>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u w:val="single"/>
                </w:rPr>
                <w:t>Form of non-employee director restricted stock unit agreement for use with restricted stock units granted pursuant to the Cohu, Inc. 2005 Equity Incentive Plan incorporated herein by reference to Exhibit 10.2 from the Cohu, Inc. Quarterly Report on Form 10-Q filed with the Securities and Exchange Commission on August 4, 2015*</w:t>
              </w:r>
            </w:hyperlink>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10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10.8</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u w:val="single"/>
                </w:rPr>
                <w:t>Form of non-employee director restricted stock unit deferral election form for use with restricted stock units granted pursuant to the Cohu, Inc. 2005 Equity Incentive Plan incorporated herein by reference to Exhibit 10.3 from the Cohu, Inc. Quarterly Report on Form 10-Q filed with the Securities and Exchange Commission on August 4, 2015*</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85"/>
        <w:gridCol w:w="60"/>
        <w:gridCol w:w="960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u w:val="single"/>
                </w:rPr>
                <w:t>Non-employee director fee deferral election form incorporated herein by reference to Exhibit 10.4 from the Cohu, Inc. Quarterly Report on Form 10-Q filed with the Securities and Exchange Commission on August 4, 2015*</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u w:val="single"/>
                </w:rPr>
                <w:t>Form of deferred stock agreement for shares granted pursuant to the Cohu, Inc. 2005 Equity Incentive Plan incorporated herein by reference to Exhibit 10.5 from the Cohu, Inc. Quarterly Report on Form 10-Q filed with the Securities and Exchange Commission on August 4, 2015*</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u w:val="single"/>
                </w:rPr>
                <w:t>Form of stock option agreement for use with stock options granted pursuant to the Cohu, Inc. 2005 Equity Incentive Plan incorporated herein by reference to Exhibit 10.6 from the Cohu, Inc. Quarterly Report on Form 10-Q filed with the Securities and Exchange Commission on August 4, 2015*</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10.12</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u w:val="single"/>
                </w:rPr>
                <w:t>Form of Indemnification Agreement, incorporated herein by reference to Exhibit 10.1 from the Cohu, Inc. Current Report on Form 8-K filed December 13, 2018*</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10.13</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Cohu, Inc. Retiree Health Benefits Agreement (as amended) incorporated herein by reference to Exhibit 10.2 from the Cohu, Inc. Current Report on Form 8-K filed with the Securities and Exchange Commission on December 29, 2008*</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10.14</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Lease agreement dated December 4, 2015 by and between CT Crosthwaite I, LLC and Cohu, Inc. incorporated herein by reference to Exhibit 10.14 from the Cohu, Inc. Annual Report on Form 10-K filed with the Securities and Exchange Commission on February 23, 2016</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10.15</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u w:val="single"/>
                </w:rPr>
                <w:t>Severance Agreement, dated September 8, 2020, between the Company and Christopher G. Bohrson incorporated herein by reference to Exhibit 10.1 from the Cohu, Inc. Quarterly Report on Form 10-Q filed with the Securities and Exchange Commission on November 4, 2020 *</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10.16</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u w:val="single"/>
                </w:rPr>
                <w:t>Severance Agreement, dated September 8, 2020, between the Company and Jeffrey D. Jones incorporated herein by reference to Exhibit 10.2 from the Cohu, Inc. Quarterly Report on Form 10-Q filed with the Securities and Exchange Commission on November 4, 2020 *</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10.17</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u w:val="single"/>
                </w:rPr>
                <w:t>Severance Agreement, dated September 8, 2020, between the Company and Thomas D. Kampfer incorporated herein by reference to Exhibit 10.3 from the Cohu, Inc. Quarterly Report on Form 10-Q filed with the Securities and Exchange Commission on November 4, 2020 *</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10.18</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sz w:val="20"/>
                  <w:u w:val="single"/>
                </w:rPr>
                <w:t>Severance Agreement, dated September 8, 2020, between the Company and Luis A. Müller incorporated herein by reference to Exhibit 10.4 from the Cohu, Inc. Quarterly Report on Form 10-Q filed with the Securities and Exchange Commission on November 4, 2020 *</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10.19</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24">
              <w:r>
                <w:rPr>
                  <w:rStyle w:val="InternetLink"/>
                  <w:rFonts w:ascii="Times New Roman" w:hAnsi="Times New Roman"/>
                  <w:caps w:val="false"/>
                  <w:smallCaps w:val="false"/>
                  <w:sz w:val="20"/>
                  <w:u w:val="single"/>
                </w:rPr>
                <w:t>Change in Control Agreement, dated September 8, 2020, between the Company and Christopher G. Bohrson incorporated herein by reference to Exhibit 10.5 from the Cohu, Inc. Quarterly Report on Form 10-Q filed with the Securities and Exchange Commission on November 4, 2020 *</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10.20</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25">
              <w:r>
                <w:rPr>
                  <w:rStyle w:val="InternetLink"/>
                  <w:rFonts w:ascii="Times New Roman" w:hAnsi="Times New Roman"/>
                  <w:caps w:val="false"/>
                  <w:smallCaps w:val="false"/>
                  <w:sz w:val="20"/>
                  <w:u w:val="single"/>
                </w:rPr>
                <w:t>Change in Control Agreement, dated September 8, 2020, between the Company and Jeffrey D. Jones incorporated herein by reference to Exhibit 10.6 from the Cohu, Inc. Quarterly Report on Form 10-Q filed with the Securities and Exchange Commission on November 4, 2020 *</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10.21</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26">
              <w:r>
                <w:rPr>
                  <w:rStyle w:val="InternetLink"/>
                  <w:rFonts w:ascii="Times New Roman" w:hAnsi="Times New Roman"/>
                  <w:caps w:val="false"/>
                  <w:smallCaps w:val="false"/>
                  <w:sz w:val="20"/>
                  <w:u w:val="single"/>
                </w:rPr>
                <w:t>Change in Control Agreement, dated September 8, 2020, between the Company and Thomas D. Kampfer incorporated herein by reference to Exhibit 10.7 from the Cohu, Inc. Quarterly Report on Form 10-Q filed with the Securities and Exchange Commission on November 4, 2020 *</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10.22</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0"/>
              <w:ind w:left="0" w:right="0" w:hanging="0"/>
              <w:jc w:val="left"/>
              <w:rPr/>
            </w:pPr>
            <w:hyperlink r:id="rId27">
              <w:r>
                <w:rPr>
                  <w:rStyle w:val="InternetLink"/>
                  <w:rFonts w:ascii="Times New Roman" w:hAnsi="Times New Roman"/>
                  <w:caps w:val="false"/>
                  <w:smallCaps w:val="false"/>
                  <w:sz w:val="20"/>
                  <w:u w:val="single"/>
                </w:rPr>
                <w:t>Change in Control Agreement, dated September 8, 2020, between the Company and Luis A. Müller incorporated herein by reference to Exhibit 10.8 from the Cohu, Inc. Quarterly Report on Form 10-Q filed with the Securities and Exchange Commission on November 4, 2020 *</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2850" w:type="dxa"/>
        <w:jc w:val="left"/>
        <w:tblInd w:w="0" w:type="dxa"/>
        <w:tblLayout w:type="fixed"/>
        <w:tblCellMar>
          <w:top w:w="0" w:type="dxa"/>
          <w:left w:w="0" w:type="dxa"/>
          <w:bottom w:w="0" w:type="dxa"/>
          <w:right w:w="0" w:type="dxa"/>
        </w:tblCellMar>
      </w:tblPr>
      <w:tblGrid>
        <w:gridCol w:w="75"/>
        <w:gridCol w:w="920"/>
        <w:gridCol w:w="60"/>
        <w:gridCol w:w="11795"/>
      </w:tblGrid>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10.23</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caps w:val="false"/>
                  <w:smallCaps w:val="false"/>
                  <w:sz w:val="20"/>
                  <w:u w:val="single"/>
                </w:rPr>
                <w:t>Severance Agreement, dated September 8, 2020, between the Company and Ian Lawee incorporated herein by reference to Exhibit 10.1 from the Cohu, Inc. Quarterly Report on Form 10-Q filed with the Securities and Exchange Commission on April 29, 2022 *</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10.24</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caps w:val="false"/>
                  <w:smallCaps w:val="false"/>
                  <w:sz w:val="20"/>
                  <w:u w:val="single"/>
                </w:rPr>
                <w:t>Change in Control Agreement, dated September 8, 2020, between the Company and Ian Lawee incorporated herein by reference to Exhibit 10.2 from the Cohu, Inc. Quarterly Report on Form 10-Q filed with the Securities and Exchange Commission on April 29, 2022 *</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10.25</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caps w:val="false"/>
                  <w:smallCaps w:val="false"/>
                  <w:sz w:val="20"/>
                  <w:u w:val="single"/>
                </w:rPr>
                <w:t>Share and Asset Purchase Agreement, dated May 10, 2021, by and among Cohu, Inc., Cohu Semiconductor Test GmbH, Credence International Ltd. (BVI), Xcerra Corporation, Everett Charles Tech, Inc., KOGNITEC Vertrieb &amp; Service GmbH, Mycronic AB and Mycronic, Inc. incorporated herein by reference to Exhibit 10.1 from the Cohu, Inc. Current Report on Form 8-K filed with the Securities and Exchange Commission on May 13, 2021</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10.26</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caps w:val="false"/>
                  <w:smallCaps w:val="false"/>
                  <w:sz w:val="20"/>
                  <w:u w:val="single"/>
                </w:rPr>
                <w:t>First Amendment to Credit and Guaranty Agreement, dated as of June 16, 2023, between Cohu, Inc. and Deutsche Bank AG New York Branch, as administrative agent incorporated herein by reference to Exhibit 10.1 from the Cohu, Inc. Form 8-K filed with the Securities and Exchange Commission on June 23, 2023</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w:anchor="ex_625461.htm">
              <w:r>
                <w:rPr>
                  <w:rStyle w:val="InternetLink"/>
                  <w:rFonts w:ascii="Times New Roman;Times;serif" w:hAnsi="Times New Roman;Times;serif"/>
                  <w:caps w:val="false"/>
                  <w:smallCaps w:val="false"/>
                  <w:sz w:val="20"/>
                </w:rPr>
                <w:t>Subsidiaries of Cohu, Inc.</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w:anchor="ex_625462.htm">
              <w:r>
                <w:rPr>
                  <w:rStyle w:val="InternetLink"/>
                  <w:rFonts w:ascii="Times New Roman;Times;serif" w:hAnsi="Times New Roman;Times;serif"/>
                  <w:caps w:val="false"/>
                  <w:smallCaps w:val="false"/>
                  <w:sz w:val="20"/>
                </w:rPr>
                <w:t>Consent of Independent Registered Public Accounting Firm</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w:anchor="ex_625463.htm">
              <w:r>
                <w:rPr>
                  <w:rStyle w:val="InternetLink"/>
                  <w:rFonts w:ascii="Times New Roman;Times;serif" w:hAnsi="Times New Roman;Times;serif"/>
                  <w:caps w:val="false"/>
                  <w:smallCaps w:val="false"/>
                  <w:sz w:val="20"/>
                </w:rPr>
                <w:t>Certification pursuant to Section 302(a) of the Sarbanes-Oxley Act of 2002 for Luis A. Müller</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w:anchor="ex_625464.htm">
              <w:r>
                <w:rPr>
                  <w:rStyle w:val="InternetLink"/>
                  <w:rFonts w:ascii="Times New Roman;Times;serif" w:hAnsi="Times New Roman;Times;serif"/>
                  <w:caps w:val="false"/>
                  <w:smallCaps w:val="false"/>
                  <w:sz w:val="20"/>
                </w:rPr>
                <w:t>Certification pursuant to Section 302(a) of the Sarbanes-Oxley Act of 2002 for Jeffrey D. Jones</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w:anchor="ex_625465.htm">
              <w:r>
                <w:rPr>
                  <w:rStyle w:val="InternetLink"/>
                  <w:rFonts w:ascii="Times New Roman;Times;serif" w:hAnsi="Times New Roman;Times;serif"/>
                  <w:caps w:val="false"/>
                  <w:smallCaps w:val="false"/>
                  <w:sz w:val="20"/>
                </w:rPr>
                <w:t>Certification pursuant to 18 U.S.C. Section 1350, as adopted pursuant to Section 906 of the Sarbanes-Oxley Act of 2002 for Luis A. Müller</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w:anchor="ex_625466.htm">
              <w:r>
                <w:rPr>
                  <w:rStyle w:val="InternetLink"/>
                  <w:rFonts w:ascii="Times New Roman;Times;serif" w:hAnsi="Times New Roman;Times;serif"/>
                  <w:caps w:val="false"/>
                  <w:smallCaps w:val="false"/>
                  <w:sz w:val="20"/>
                </w:rPr>
                <w:t>Certification pursuant to 18 U.S.C. Section 1350, as adopted pursuant to Section 906 of the Sarbanes-Oxley Act of 2002 for Jeffrey D. Jones</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pPr>
            <w:hyperlink w:anchor="ex_626375.htm">
              <w:r>
                <w:rPr>
                  <w:rStyle w:val="InternetLink"/>
                  <w:rFonts w:ascii="Times New Roman;Times;serif" w:hAnsi="Times New Roman;Times;serif"/>
                  <w:caps w:val="false"/>
                  <w:smallCaps w:val="false"/>
                  <w:sz w:val="20"/>
                </w:rPr>
                <w:t>Cohu, Inc. Policy for Recovery of Erroneously Awarded Incentive Compensation</w:t>
              </w:r>
            </w:hyperlink>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 (the Instance Document does not appear in the Interactive Data File because its XBRL tags are embedded within the Inline XBRL document)</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11855"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6" w:name="item16"/>
      <w:bookmarkEnd w:id="36"/>
      <w:r>
        <w:rPr>
          <w:rFonts w:ascii="Times New Roman" w:hAnsi="Times New Roman"/>
          <w:b/>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37" w:name="sig"/>
      <w:bookmarkEnd w:id="37"/>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left"/>
        <w:rPr/>
      </w:pPr>
      <w:r>
        <w:rPr/>
        <w:t>  </w:t>
      </w: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5414" w:type="dxa"/>
        <w:jc w:val="left"/>
        <w:tblInd w:w="0" w:type="dxa"/>
        <w:tblLayout w:type="fixed"/>
        <w:tblCellMar>
          <w:top w:w="0" w:type="dxa"/>
          <w:left w:w="0" w:type="dxa"/>
          <w:bottom w:w="0" w:type="dxa"/>
          <w:right w:w="0" w:type="dxa"/>
        </w:tblCellMar>
      </w:tblPr>
      <w:tblGrid>
        <w:gridCol w:w="2000"/>
        <w:gridCol w:w="320"/>
        <w:gridCol w:w="2948"/>
        <w:gridCol w:w="146"/>
      </w:tblGrid>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COHU, INC.</w:t>
            </w:r>
          </w:p>
        </w:tc>
        <w:tc>
          <w:tcPr>
            <w:tcW w:w="146"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February 16, 2024</w:t>
            </w:r>
          </w:p>
        </w:tc>
        <w:tc>
          <w:tcPr>
            <w:tcW w:w="32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2948"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 Luis A. Müller</w:t>
            </w:r>
          </w:p>
        </w:tc>
        <w:tc>
          <w:tcPr>
            <w:tcW w:w="146"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Luis A. Müller</w:t>
            </w:r>
          </w:p>
        </w:tc>
        <w:tc>
          <w:tcPr>
            <w:tcW w:w="146"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w:t>
            </w:r>
          </w:p>
        </w:tc>
      </w:tr>
    </w:tbl>
    <w:p>
      <w:pPr>
        <w:pStyle w:val="TextBody"/>
        <w:bidi w:val="0"/>
        <w:spacing w:before="0" w:after="0"/>
        <w:ind w:left="0" w:right="0" w:hanging="0"/>
        <w:jc w:val="left"/>
        <w:rPr/>
      </w:pPr>
      <w:r>
        <w:rPr/>
        <w:t> </w:t>
      </w:r>
    </w:p>
    <w:p>
      <w:pPr>
        <w:pStyle w:val="TextBody"/>
        <w:bidi w:val="0"/>
        <w:spacing w:before="0" w:after="0"/>
        <w:ind w:left="0" w:right="0" w:firstLine="180"/>
        <w:jc w:val="left"/>
        <w:rPr/>
      </w:pPr>
      <w:r>
        <w:rPr/>
        <w:t>  </w:t>
      </w: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380" w:type="dxa"/>
        <w:jc w:val="left"/>
        <w:tblInd w:w="0" w:type="dxa"/>
        <w:tblLayout w:type="fixed"/>
        <w:tblCellMar>
          <w:top w:w="0" w:type="dxa"/>
          <w:left w:w="0" w:type="dxa"/>
          <w:bottom w:w="0" w:type="dxa"/>
          <w:right w:w="0" w:type="dxa"/>
        </w:tblCellMar>
      </w:tblPr>
      <w:tblGrid>
        <w:gridCol w:w="1970"/>
        <w:gridCol w:w="60"/>
        <w:gridCol w:w="3830"/>
        <w:gridCol w:w="1520"/>
      </w:tblGrid>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 xml:space="preserve">Signature </w:t>
            </w:r>
            <w:r>
              <w:rPr>
                <w:rFonts w:ascii="Times New Roman;Times;serif" w:hAnsi="Times New Roman;Times;serif"/>
                <w:caps w:val="false"/>
                <w:smallCaps w:val="false"/>
                <w:sz w:val="20"/>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 xml:space="preserve">Title </w:t>
            </w:r>
          </w:p>
        </w:tc>
        <w:tc>
          <w:tcPr>
            <w:tcW w:w="15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Date</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 James A. Donahue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Chairperson of the Board,</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16, 2024</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James A. Donahue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152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 Luis A. Müller</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 Director</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16, 2024</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Luis A. Müller</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c>
          <w:tcPr>
            <w:tcW w:w="152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 Jeffrey D. Jones</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Finance and CFO</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16, 2024</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D. Jones</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and Accounting Officer)</w:t>
            </w:r>
          </w:p>
        </w:tc>
        <w:tc>
          <w:tcPr>
            <w:tcW w:w="152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 William E. Bendush</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16, 2024</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E. Bendush</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 Steven J. Bilodeau</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16, 2024</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Steven J. Bilodeau</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 Andrew M. Caggia</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16, 2024</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Andrew M. Caggia</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 Yon Y. Jorden</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16, 2024</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Yon Y. Jorden</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 Andreas W. Mattes</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16, 2024</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Andreas W. Mattes</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 Nina L. Richardson</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16, 2024</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Nina L. Richardson</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sz w:val="20"/>
        </w:rPr>
      </w:pPr>
      <w:bookmarkStart w:id="38" w:name="schedule2"/>
      <w:bookmarkEnd w:id="38"/>
      <w:r>
        <w:rPr>
          <w:rFonts w:ascii="Times New Roman" w:hAnsi="Times New Roman"/>
          <w:b/>
          <w:sz w:val="20"/>
        </w:rPr>
        <w:t>COHU, INC.</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SCHEDULE II</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VALUATION AND QUALIFYING ACCOUNTS</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(in thousands)</w:t>
      </w:r>
    </w:p>
    <w:p>
      <w:pPr>
        <w:pStyle w:val="TextBody"/>
        <w:bidi w:val="0"/>
        <w:spacing w:before="0" w:after="0"/>
        <w:ind w:left="0" w:right="0" w:hanging="0"/>
        <w:jc w:val="left"/>
        <w:rPr/>
      </w:pPr>
      <w:r>
        <w:rPr/>
        <w:t> </w:t>
      </w:r>
    </w:p>
    <w:tbl>
      <w:tblPr>
        <w:tblW w:w="8085" w:type="dxa"/>
        <w:jc w:val="left"/>
        <w:tblInd w:w="0" w:type="dxa"/>
        <w:tblLayout w:type="fixed"/>
        <w:tblCellMar>
          <w:top w:w="0" w:type="dxa"/>
          <w:left w:w="0" w:type="dxa"/>
          <w:bottom w:w="0" w:type="dxa"/>
          <w:right w:w="0" w:type="dxa"/>
        </w:tblCellMar>
      </w:tblPr>
      <w:tblGrid>
        <w:gridCol w:w="2617"/>
        <w:gridCol w:w="61"/>
        <w:gridCol w:w="161"/>
        <w:gridCol w:w="764"/>
        <w:gridCol w:w="60"/>
        <w:gridCol w:w="60"/>
        <w:gridCol w:w="198"/>
        <w:gridCol w:w="871"/>
        <w:gridCol w:w="305"/>
        <w:gridCol w:w="60"/>
        <w:gridCol w:w="185"/>
        <w:gridCol w:w="719"/>
        <w:gridCol w:w="60"/>
        <w:gridCol w:w="60"/>
        <w:gridCol w:w="176"/>
        <w:gridCol w:w="833"/>
        <w:gridCol w:w="60"/>
        <w:gridCol w:w="60"/>
        <w:gridCol w:w="125"/>
        <w:gridCol w:w="590"/>
        <w:gridCol w:w="60"/>
      </w:tblGrid>
      <w:tr>
        <w:trPr/>
        <w:tc>
          <w:tcPr>
            <w:tcW w:w="261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61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(Reductions)</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61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92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Balance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Not</w:t>
            </w:r>
          </w:p>
        </w:tc>
        <w:tc>
          <w:tcPr>
            <w:tcW w:w="30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Balance</w:t>
            </w:r>
          </w:p>
        </w:tc>
        <w:tc>
          <w:tcPr>
            <w:tcW w:w="60" w:type="dxa"/>
            <w:tcBorders/>
            <w:vAlign w:val="center"/>
          </w:tcPr>
          <w:p>
            <w:pPr>
              <w:pStyle w:val="TableContents"/>
              <w:bidi w:val="0"/>
              <w:spacing w:before="0" w:after="283"/>
              <w:jc w:val="left"/>
              <w:rPr/>
            </w:pPr>
            <w:r>
              <w:rPr/>
              <w:t> </w:t>
            </w:r>
          </w:p>
        </w:tc>
      </w:tr>
      <w:tr>
        <w:trPr/>
        <w:tc>
          <w:tcPr>
            <w:tcW w:w="261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92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Beginning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Charged</w:t>
            </w:r>
          </w:p>
        </w:tc>
        <w:tc>
          <w:tcPr>
            <w:tcW w:w="30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Charged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Deductions/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End</w:t>
            </w:r>
          </w:p>
        </w:tc>
        <w:tc>
          <w:tcPr>
            <w:tcW w:w="60" w:type="dxa"/>
            <w:tcBorders/>
            <w:vAlign w:val="center"/>
          </w:tcPr>
          <w:p>
            <w:pPr>
              <w:pStyle w:val="TableContents"/>
              <w:bidi w:val="0"/>
              <w:spacing w:before="0" w:after="283"/>
              <w:jc w:val="left"/>
              <w:rPr/>
            </w:pPr>
            <w:r>
              <w:rPr/>
              <w:t> </w:t>
            </w:r>
          </w:p>
        </w:tc>
      </w:tr>
      <w:tr>
        <w:trPr/>
        <w:tc>
          <w:tcPr>
            <w:tcW w:w="26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w:t>
            </w:r>
          </w:p>
        </w:tc>
        <w:tc>
          <w:tcPr>
            <w:tcW w:w="6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of Year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 Expense</w:t>
            </w:r>
          </w:p>
        </w:tc>
        <w:tc>
          <w:tcPr>
            <w:tcW w:w="305" w:type="dxa"/>
            <w:tcBorders>
              <w:bottom w:val="single" w:sz="2" w:space="0" w:color="000000"/>
            </w:tcBorders>
            <w:tcMar>
              <w:bottom w:w="28" w:type="dxa"/>
            </w:tcMar>
            <w:vAlign w:val="center"/>
          </w:tcPr>
          <w:p>
            <w:pPr>
              <w:pStyle w:val="TableContents"/>
              <w:bidi w:val="0"/>
              <w:spacing w:lineRule="auto" w:line="288" w:before="0" w:after="283"/>
              <w:jc w:val="left"/>
              <w:rPr/>
            </w:pPr>
            <w:r>
              <w:rPr>
                <w:rStyle w:val="Emphasis"/>
                <w:rFonts w:ascii="Times New Roman;Times;serif" w:hAnsi="Times New Roman;Times;serif"/>
                <w:sz w:val="20"/>
              </w:rPr>
              <w:t>(1)</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 Expense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Write-offs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of Year</w:t>
            </w:r>
          </w:p>
        </w:tc>
        <w:tc>
          <w:tcPr>
            <w:tcW w:w="60" w:type="dxa"/>
            <w:tcBorders/>
            <w:vAlign w:val="center"/>
          </w:tcPr>
          <w:p>
            <w:pPr>
              <w:pStyle w:val="TableContents"/>
              <w:bidi w:val="0"/>
              <w:spacing w:before="0" w:after="283"/>
              <w:jc w:val="left"/>
              <w:rPr/>
            </w:pPr>
            <w:r>
              <w:rPr/>
              <w:t> </w:t>
            </w:r>
          </w:p>
        </w:tc>
      </w:tr>
      <w:tr>
        <w:trPr/>
        <w:tc>
          <w:tcPr>
            <w:tcW w:w="261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03" w:type="dxa"/>
            <w:gridSpan w:val="4"/>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Allowance for doubtful accounts: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rStyle w:val="Emphasis"/>
              </w:rPr>
              <w:t> </w:t>
            </w:r>
          </w:p>
        </w:tc>
        <w:tc>
          <w:tcPr>
            <w:tcW w:w="3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61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25, 2021</w:t>
            </w:r>
          </w:p>
        </w:tc>
        <w:tc>
          <w:tcPr>
            <w:tcW w:w="61"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3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60" w:type="dxa"/>
            <w:tcBorders/>
            <w:shd w:fill="CCEEFF" w:val="clear"/>
            <w:vAlign w:val="center"/>
          </w:tcPr>
          <w:p>
            <w:pPr>
              <w:pStyle w:val="TableContents"/>
              <w:bidi w:val="0"/>
              <w:spacing w:before="0" w:after="283"/>
              <w:jc w:val="left"/>
              <w:rPr/>
            </w:pPr>
            <w:r>
              <w:rPr/>
              <w:t> </w:t>
            </w:r>
          </w:p>
        </w:tc>
      </w:tr>
      <w:tr>
        <w:trPr/>
        <w:tc>
          <w:tcPr>
            <w:tcW w:w="261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31, 2022</w:t>
            </w:r>
          </w:p>
        </w:tc>
        <w:tc>
          <w:tcPr>
            <w:tcW w:w="61"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305" w:type="dxa"/>
            <w:tcBorders/>
            <w:shd w:fill="CCEEFF" w:val="clear"/>
            <w:vAlign w:val="center"/>
          </w:tcPr>
          <w:p>
            <w:pPr>
              <w:pStyle w:val="TableContents"/>
              <w:bidi w:val="0"/>
              <w:spacing w:before="0" w:after="283"/>
              <w:jc w:val="lef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vAlign w:val="center"/>
          </w:tcPr>
          <w:p>
            <w:pPr>
              <w:pStyle w:val="TableContents"/>
              <w:bidi w:val="0"/>
              <w:spacing w:before="0" w:after="283"/>
              <w:jc w:val="left"/>
              <w:rPr/>
            </w:pPr>
            <w:r>
              <w:rPr/>
              <w:t> </w:t>
            </w:r>
          </w:p>
        </w:tc>
      </w:tr>
      <w:tr>
        <w:trPr/>
        <w:tc>
          <w:tcPr>
            <w:tcW w:w="261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30, 2023</w:t>
            </w:r>
          </w:p>
        </w:tc>
        <w:tc>
          <w:tcPr>
            <w:tcW w:w="61"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3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60" w:type="dxa"/>
            <w:tcBorders/>
            <w:shd w:fill="CCEEFF" w:val="clear"/>
            <w:vAlign w:val="center"/>
          </w:tcPr>
          <w:p>
            <w:pPr>
              <w:pStyle w:val="TableContents"/>
              <w:bidi w:val="0"/>
              <w:spacing w:before="0" w:after="283"/>
              <w:jc w:val="left"/>
              <w:rPr/>
            </w:pPr>
            <w:r>
              <w:rPr/>
              <w:t> </w:t>
            </w:r>
          </w:p>
        </w:tc>
      </w:tr>
      <w:tr>
        <w:trPr/>
        <w:tc>
          <w:tcPr>
            <w:tcW w:w="261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1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03" w:type="dxa"/>
            <w:gridSpan w:val="4"/>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Reserve for excess and obsolete 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rStyle w:val="Emphasis"/>
              </w:rPr>
              <w:t> </w:t>
            </w:r>
          </w:p>
        </w:tc>
        <w:tc>
          <w:tcPr>
            <w:tcW w:w="30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1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25, 2021</w:t>
            </w:r>
          </w:p>
        </w:tc>
        <w:tc>
          <w:tcPr>
            <w:tcW w:w="61"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(2,926</w:t>
            </w:r>
          </w:p>
        </w:tc>
        <w:tc>
          <w:tcPr>
            <w:tcW w:w="305"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23,012</w:t>
            </w:r>
          </w:p>
        </w:tc>
        <w:tc>
          <w:tcPr>
            <w:tcW w:w="60" w:type="dxa"/>
            <w:tcBorders/>
            <w:shd w:fill="FFFFFF" w:val="clear"/>
            <w:vAlign w:val="center"/>
          </w:tcPr>
          <w:p>
            <w:pPr>
              <w:pStyle w:val="TableContents"/>
              <w:bidi w:val="0"/>
              <w:spacing w:before="0" w:after="283"/>
              <w:jc w:val="left"/>
              <w:rPr/>
            </w:pPr>
            <w:r>
              <w:rPr/>
              <w:t> </w:t>
            </w:r>
          </w:p>
        </w:tc>
      </w:tr>
      <w:tr>
        <w:trPr/>
        <w:tc>
          <w:tcPr>
            <w:tcW w:w="261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31, 2022</w:t>
            </w:r>
          </w:p>
        </w:tc>
        <w:tc>
          <w:tcPr>
            <w:tcW w:w="61"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30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26,871</w:t>
            </w:r>
          </w:p>
        </w:tc>
        <w:tc>
          <w:tcPr>
            <w:tcW w:w="60" w:type="dxa"/>
            <w:tcBorders/>
            <w:shd w:fill="FFFFFF" w:val="clear"/>
            <w:vAlign w:val="center"/>
          </w:tcPr>
          <w:p>
            <w:pPr>
              <w:pStyle w:val="TableContents"/>
              <w:bidi w:val="0"/>
              <w:spacing w:before="0" w:after="283"/>
              <w:jc w:val="left"/>
              <w:rPr/>
            </w:pPr>
            <w:r>
              <w:rPr/>
              <w:t> </w:t>
            </w:r>
          </w:p>
        </w:tc>
      </w:tr>
      <w:tr>
        <w:trPr/>
        <w:tc>
          <w:tcPr>
            <w:tcW w:w="261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30, 2023</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w:t>
            </w:r>
          </w:p>
        </w:tc>
        <w:tc>
          <w:tcPr>
            <w:tcW w:w="305"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All amounts presented above have been restated to exclude the impact of our discontinued operations.</w:t>
      </w:r>
    </w:p>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0" w:type="dxa"/>
          <w:right w:w="0" w:type="dxa"/>
        </w:tblCellMar>
      </w:tblPr>
      <w:tblGrid>
        <w:gridCol w:w="245"/>
        <w:gridCol w:w="878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8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reserve balances resulting from foreign currency impact and reclassifications from other reserves.</w:t>
            </w:r>
          </w:p>
        </w:tc>
      </w:tr>
    </w:tbl>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9110"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Reductions </w:t>
            </w:r>
            <w:r>
              <w:rPr>
                <w:rStyle w:val="Emphasis"/>
                <w:rFonts w:ascii="Times New Roman;Times;serif" w:hAnsi="Times New Roman;Times;serif"/>
                <w:sz w:val="20"/>
              </w:rPr>
              <w:t>not</w:t>
            </w:r>
            <w:r>
              <w:rPr>
                <w:rFonts w:ascii="Times New Roman;Times;serif" w:hAnsi="Times New Roman;Times;serif"/>
                <w:sz w:val="20"/>
              </w:rPr>
              <w:t xml:space="preserve"> charged to expense includes $2.2 million transferred as part of the sale of our PCB Test business.</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94 </w:t>
      </w:r>
    </w:p>
    <w:p>
      <w:pPr>
        <w:pStyle w:val="TextBody"/>
        <w:bidi w:val="0"/>
        <w:spacing w:before="0" w:after="0"/>
        <w:ind w:left="0" w:right="0" w:hanging="0"/>
        <w:jc w:val="right"/>
        <w:rPr>
          <w:rFonts w:ascii="Times New Roman" w:hAnsi="Times New Roman"/>
          <w:sz w:val="20"/>
        </w:rPr>
      </w:pPr>
      <w:bookmarkStart w:id="39" w:name="ex_625461.htm"/>
      <w:bookmarkStart w:id="40" w:name="ksex_625461"/>
      <w:bookmarkEnd w:id="39"/>
      <w:bookmarkEnd w:id="40"/>
      <w:r>
        <w:rPr>
          <w:rFonts w:ascii="Times New Roman" w:hAnsi="Times New Roman"/>
          <w:sz w:val="20"/>
        </w:rPr>
        <w:t>Exhibit 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 OF COHU, INC.</w:t>
      </w:r>
    </w:p>
    <w:tbl>
      <w:tblPr>
        <w:tblW w:w="8694" w:type="dxa"/>
        <w:jc w:val="left"/>
        <w:tblInd w:w="0" w:type="dxa"/>
        <w:tblLayout w:type="fixed"/>
        <w:tblCellMar>
          <w:top w:w="0" w:type="dxa"/>
          <w:left w:w="0" w:type="dxa"/>
          <w:bottom w:w="0" w:type="dxa"/>
          <w:right w:w="0" w:type="dxa"/>
        </w:tblCellMar>
      </w:tblPr>
      <w:tblGrid>
        <w:gridCol w:w="3404"/>
        <w:gridCol w:w="3410"/>
        <w:gridCol w:w="60"/>
        <w:gridCol w:w="1760"/>
        <w:gridCol w:w="60"/>
      </w:tblGrid>
      <w:tr>
        <w:trPr/>
        <w:tc>
          <w:tcPr>
            <w:tcW w:w="68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PLACE OF</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LEGAL ENTITY NAME</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INCORPORATION</w:t>
            </w:r>
          </w:p>
        </w:tc>
        <w:tc>
          <w:tcPr>
            <w:tcW w:w="60" w:type="dxa"/>
            <w:tcBorders/>
            <w:vAlign w:val="center"/>
          </w:tcPr>
          <w:p>
            <w:pPr>
              <w:pStyle w:val="TableContents"/>
              <w:bidi w:val="0"/>
              <w:spacing w:before="0" w:after="283"/>
              <w:jc w:val="left"/>
              <w:rPr/>
            </w:pPr>
            <w:r>
              <w:rPr/>
              <w:t> </w:t>
            </w:r>
          </w:p>
        </w:tc>
      </w:tr>
      <w:tr>
        <w:trPr/>
        <w:tc>
          <w:tcPr>
            <w:tcW w:w="6814" w:type="dxa"/>
            <w:gridSpan w:val="2"/>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Delta Design, Inc. (1)</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Cohu Foreign Sales Corp</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Barbados</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Xcerra Corporation (4)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Massachusetts</w:t>
            </w:r>
          </w:p>
        </w:tc>
        <w:tc>
          <w:tcPr>
            <w:tcW w:w="60" w:type="dxa"/>
            <w:tcBorders/>
            <w:vAlign w:val="center"/>
          </w:tcPr>
          <w:p>
            <w:pPr>
              <w:pStyle w:val="TableContents"/>
              <w:bidi w:val="0"/>
              <w:spacing w:before="0" w:after="283"/>
              <w:jc w:val="left"/>
              <w:rPr/>
            </w:pPr>
            <w:r>
              <w:rPr/>
              <w:t> </w:t>
            </w:r>
          </w:p>
        </w:tc>
      </w:tr>
      <w:tr>
        <w:trPr/>
        <w:tc>
          <w:tcPr>
            <w:tcW w:w="3404" w:type="dxa"/>
            <w:tcBorders>
              <w:bottom w:val="single" w:sz="2" w:space="0" w:color="000000"/>
            </w:tcBorders>
            <w:tcMar>
              <w:bottom w:w="28" w:type="dxa"/>
            </w:tcMar>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(1) Delta Design, Inc. owns the following subsidiaries: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Delta Design Singapore PTE LTD (2)</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Singapore</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Cohu S.A.</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Costa Rica</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Xcerra Corporation (Partial ownership 14.46%) (4)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Rosenheim Automation Systems Corporation</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California</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Ismeca Semiconductor Holding SA (3)</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Switzerland</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MCT Asia (Penang) SDN BHD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Malaysia</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MCT Worldwide, LLC (18)</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(2) Delta Design Singapore PTE LTD owns the following subsidiaries: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Delta Design Philippines LLC (14)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Delta Design Singapore PTE LTD, Taiwan Branch</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Taiwan</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(3) Ismeca Semiconductor Holding SA owns the following subsidiaries: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Ismeca Europe Semiconductor SA (6)</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Switzerland</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Cohu Malaysia Sdn. Bhd.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Malaysia</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Ismeca Semiconductor (Suzhou) Co Ltd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(4) Xcerra Corporation owns the following subsidiaries: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LTX-Credence France S.A.S.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France</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LTX-Credence Italia S.r.l.</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Italy</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LTX Asia International, Inc. (15)</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LTX-Credence Sdn BhD. (10)</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Malaysia</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LTX LLC</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Cohu Interface Solutions LLC (FKA: Everett Charles Technologies LLC) (9)</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Credence Capital Corporation</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California</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Xcerra International Inc. (12)</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Credence International Ltd. (13)</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British Virgin Islands</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LTX-Credence KK</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Japan</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Xcerra (Thailand) Company Limited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Thailand</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Credence Systems (UK) Limited (16)</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Kingdom</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Cohu Semiconductor Test GmbH (FKA: Delta Design Europe GmbH) (6)</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(5) Ismeca Europe Semiconductor SA owns the following subsidiaries: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Ismeca Europe Semiconductor SA, Korean Branch</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South Korea</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(6) Cohu Semiconductor Test GmbH owns the following subsidiaries: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Multitest GmbH (7)</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(7) Multitest GmbH owns the following subsidiaries: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Cohu GmbH (FKA: Rasco GmbH) (8)</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(8) Cohu GmbH owns the following subsidiaries: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Kita Manufacturing Co., LTD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Japan</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FTZ Fraes-und Techologiezentrum GmbH Frasdorf (39% Ownership)</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283"/>
              <w:jc w:val="left"/>
              <w:rPr/>
            </w:pPr>
            <w:r>
              <w:rPr/>
              <w:t>(9) Cohu Interface Solutions LLC owns the following subsidiaries: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Everett Charles Tech, Inc. (FKA: Kita USA, Inc.)</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Massachusetts</w:t>
            </w:r>
          </w:p>
        </w:tc>
        <w:tc>
          <w:tcPr>
            <w:tcW w:w="60" w:type="dxa"/>
            <w:tcBorders/>
            <w:vAlign w:val="center"/>
          </w:tcPr>
          <w:p>
            <w:pPr>
              <w:pStyle w:val="TableContents"/>
              <w:bidi w:val="0"/>
              <w:spacing w:before="0" w:after="283"/>
              <w:jc w:val="left"/>
              <w:rPr/>
            </w:pPr>
            <w:r>
              <w:rPr/>
              <w:t> </w:t>
            </w:r>
          </w:p>
        </w:tc>
      </w:tr>
      <w:tr>
        <w:trPr/>
        <w:tc>
          <w:tcPr>
            <w:tcW w:w="6814" w:type="dxa"/>
            <w:gridSpan w:val="2"/>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Equiptest Engineering Pte. Ltd.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Singapore</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625" w:type="dxa"/>
        <w:jc w:val="left"/>
        <w:tblInd w:w="0" w:type="dxa"/>
        <w:tblLayout w:type="fixed"/>
        <w:tblCellMar>
          <w:top w:w="0" w:type="dxa"/>
          <w:left w:w="0" w:type="dxa"/>
          <w:bottom w:w="0" w:type="dxa"/>
          <w:right w:w="0" w:type="dxa"/>
        </w:tblCellMar>
      </w:tblPr>
      <w:tblGrid>
        <w:gridCol w:w="8480"/>
        <w:gridCol w:w="60"/>
        <w:gridCol w:w="1025"/>
        <w:gridCol w:w="60"/>
      </w:tblGrid>
      <w:tr>
        <w:trPr/>
        <w:tc>
          <w:tcPr>
            <w:tcW w:w="8480" w:type="dxa"/>
            <w:tcBorders/>
            <w:vAlign w:val="center"/>
          </w:tcPr>
          <w:p>
            <w:pPr>
              <w:pStyle w:val="TableContents"/>
              <w:bidi w:val="0"/>
              <w:spacing w:before="0" w:after="283"/>
              <w:jc w:val="left"/>
              <w:rPr/>
            </w:pPr>
            <w:r>
              <w:rPr/>
              <w:t>(10) LTX-Credence Sdn BhD. owns the following subsidiaries: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LTX Corporation Philippine Branch (11)</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Philippines</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Multitest Electronic Systems (Penang) Sdn. Bhd.</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Malaysia</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283"/>
              <w:jc w:val="left"/>
              <w:rPr/>
            </w:pPr>
            <w:r>
              <w:rPr/>
              <w:t>(11) LTX Corporation Philippine Branch owns the following subsidiaries: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Multitest Electronic Systems (Philippines) Corporation</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Philippines</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283"/>
              <w:jc w:val="left"/>
              <w:rPr/>
            </w:pPr>
            <w:r>
              <w:rPr/>
              <w:t>(12) Xcerra International Inc. owns the following subsidiaries: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Credence Systems Korea Ltd.</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South Korea</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Xcerra International Inc., Taiwan Branch</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Taiwan</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283"/>
              <w:jc w:val="left"/>
              <w:rPr/>
            </w:pPr>
            <w:r>
              <w:rPr/>
              <w:t>(13) Credence International Ltd. owns the following subsidiaries: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Credence Malta Limited</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Malta</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LTX-Credence Singapore Pte Ltd.</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Singapore</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NPTest de Costa Rica SA.</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Costa Rica</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Cohu Semiconductor (Shenzhen) Co., Ltd (FKA: Everett Charles Technologies (Shenzhen) Limited) (17)</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283"/>
              <w:jc w:val="left"/>
              <w:rPr/>
            </w:pPr>
            <w:r>
              <w:rPr/>
              <w:t>(14) Delta Design Philippines LLC owns the following subsidiaries: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Delta Design Philippines LLC, Philippines Branch</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Philippines</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283"/>
              <w:jc w:val="left"/>
              <w:rPr/>
            </w:pPr>
            <w:r>
              <w:rPr/>
              <w:t>(15) LTX Asia International, Inc. owns the following subsidiaries: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LTX Asia International, Inc., Taiwan Branch</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Taiwan</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283"/>
              <w:jc w:val="left"/>
              <w:rPr/>
            </w:pPr>
            <w:r>
              <w:rPr/>
              <w:t>(16) Credence Systems (UK) Limited owns the following subsidiaries: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Credence Systems (UK) Limited, Belgium Branch</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Belgium</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283"/>
              <w:jc w:val="left"/>
              <w:rPr/>
            </w:pPr>
            <w:r>
              <w:rPr/>
              <w:t>(17) Cohu Semiconductor (Shenzhen) Co., Ltd owns the following subsidiaries: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Cohu Semiconductor (Shenzhen) Co., Ltd, Suzhou Branch</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Cohu Semiconductor (Shenzhen) Co., Ltd, Shanghai Branch</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283"/>
              <w:jc w:val="left"/>
              <w:rPr/>
            </w:pPr>
            <w:r>
              <w:rPr/>
              <w:t>(18) MCT Worldwide, LLC owns the following subsidiaries: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480"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MCT Worldwide, LLC Philippine Office</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Philippines</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sz w:val="20"/>
        </w:rPr>
      </w:pPr>
      <w:bookmarkStart w:id="41" w:name="ex_625462.htm"/>
      <w:bookmarkStart w:id="42" w:name="ksex_625462"/>
      <w:bookmarkEnd w:id="41"/>
      <w:bookmarkEnd w:id="42"/>
      <w:r>
        <w:rPr>
          <w:rFonts w:ascii="Times New Roman" w:hAnsi="Times New Roman"/>
          <w:sz w:val="20"/>
        </w:rPr>
        <w:t>Exhibit 23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following Registration Statements:</w:t>
      </w:r>
    </w:p>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245"/>
        <w:gridCol w:w="56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Statement (Form S-3 No. 333-270586) of Cohu, Inc,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Statements (Form S-8 Nos. 333-233080, 333-207016, 333-62803, 333-27663, 333-40610, 333-66466, 333-97449, 333-117554, 333-132605, 333-142579, 333-160760, 333-177453, 333-186973 and 333-273711) pertaining to the 1996 and 1998 Stock Option Plans, 1996 Outside Directors Stock Option Plan, 1997 Employee Stock Purchase Plan, and 2005 Equity Incentive Plan of Cohu,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of our reports dated February 16, 2024, with respect to the consolidated financial statements and schedule of Cohu, Inc., and the effectiveness of internal control over financial reporting of Cohu, Inc., included in this Annual Report (Form 10-K) of Cohu, Inc. for the year ended December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Diego, California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16,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sz w:val="20"/>
        </w:rPr>
      </w:pPr>
      <w:bookmarkStart w:id="43" w:name="ex_625463.htm"/>
      <w:bookmarkStart w:id="44" w:name="ksex_625463"/>
      <w:bookmarkEnd w:id="43"/>
      <w:bookmarkEnd w:id="44"/>
      <w:r>
        <w:rPr>
          <w:rFonts w:ascii="Times New Roman" w:hAnsi="Times New Roman"/>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CERTIFICATION PURSUANT TO SECTION 302(a)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Luis A. Müller,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 I have reviewed this Form 10-K of 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February 16, 2024</w:t>
      </w:r>
    </w:p>
    <w:p>
      <w:pPr>
        <w:pStyle w:val="TextBody"/>
        <w:bidi w:val="0"/>
        <w:spacing w:before="0" w:after="0"/>
        <w:ind w:left="0"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3620"/>
        <w:gridCol w:w="60"/>
      </w:tblGrid>
      <w:tr>
        <w:trPr/>
        <w:tc>
          <w:tcPr>
            <w:tcW w:w="3620" w:type="dxa"/>
            <w:tcBorders/>
            <w:vAlign w:val="center"/>
          </w:tcPr>
          <w:p>
            <w:pPr>
              <w:pStyle w:val="TableContents"/>
              <w:bidi w:val="0"/>
              <w:spacing w:before="0" w:after="283"/>
              <w:jc w:val="left"/>
              <w:rPr/>
            </w:pPr>
            <w:r>
              <w:rPr/>
              <w:t>/s/ Luis A. Müller</w:t>
            </w:r>
          </w:p>
        </w:tc>
        <w:tc>
          <w:tcPr>
            <w:tcW w:w="60" w:type="dxa"/>
            <w:tcBorders/>
            <w:vAlign w:val="center"/>
          </w:tcPr>
          <w:p>
            <w:pPr>
              <w:pStyle w:val="TableContents"/>
              <w:bidi w:val="0"/>
              <w:spacing w:before="0" w:after="283"/>
              <w:jc w:val="left"/>
              <w:rPr/>
            </w:pPr>
            <w:r>
              <w:rPr/>
              <w:t> </w:t>
            </w:r>
          </w:p>
        </w:tc>
      </w:tr>
      <w:tr>
        <w:trPr/>
        <w:tc>
          <w:tcPr>
            <w:tcW w:w="362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Luis A. Müller,</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President and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sz w:val="20"/>
        </w:rPr>
      </w:pPr>
      <w:bookmarkStart w:id="45" w:name="ex_625464.htm"/>
      <w:bookmarkStart w:id="46" w:name="ksex_625464"/>
      <w:bookmarkEnd w:id="45"/>
      <w:bookmarkEnd w:id="46"/>
      <w:r>
        <w:rPr>
          <w:rFonts w:ascii="Times New Roman" w:hAnsi="Times New Roman"/>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CERTIFICATION PURSUANT TO SECTION 302(a)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D. Jones,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 I have reviewed this Form 10-K of 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February 16, 2024</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4865"/>
        <w:gridCol w:w="60"/>
      </w:tblGrid>
      <w:tr>
        <w:trPr/>
        <w:tc>
          <w:tcPr>
            <w:tcW w:w="4865" w:type="dxa"/>
            <w:tcBorders/>
            <w:vAlign w:val="center"/>
          </w:tcPr>
          <w:p>
            <w:pPr>
              <w:pStyle w:val="TableContents"/>
              <w:bidi w:val="0"/>
              <w:spacing w:before="0" w:after="283"/>
              <w:jc w:val="left"/>
              <w:rPr/>
            </w:pPr>
            <w:r>
              <w:rPr/>
              <w:t>/s/ Jeffrey D. Jones</w:t>
            </w:r>
          </w:p>
        </w:tc>
        <w:tc>
          <w:tcPr>
            <w:tcW w:w="60" w:type="dxa"/>
            <w:tcBorders/>
            <w:vAlign w:val="center"/>
          </w:tcPr>
          <w:p>
            <w:pPr>
              <w:pStyle w:val="TableContents"/>
              <w:bidi w:val="0"/>
              <w:spacing w:before="0" w:after="283"/>
              <w:jc w:val="left"/>
              <w:rPr/>
            </w:pPr>
            <w:r>
              <w:rPr/>
              <w:t> </w:t>
            </w:r>
          </w:p>
        </w:tc>
      </w:tr>
      <w:tr>
        <w:trPr/>
        <w:tc>
          <w:tcPr>
            <w:tcW w:w="48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Jeffrey D. Jones,</w:t>
            </w:r>
          </w:p>
        </w:tc>
        <w:tc>
          <w:tcPr>
            <w:tcW w:w="6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Vice President Finance and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sz w:val="20"/>
        </w:rPr>
      </w:pPr>
      <w:bookmarkStart w:id="47" w:name="ex_625465.htm"/>
      <w:bookmarkStart w:id="48" w:name="ksex_625465"/>
      <w:bookmarkEnd w:id="47"/>
      <w:bookmarkEnd w:id="48"/>
      <w:r>
        <w:rPr>
          <w:rFonts w:ascii="Times New Roman" w:hAnsi="Times New Roman"/>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CERTIFICATION PURSUANT TO SECTION 906 OF THE SARBANES-OXLEY ACT OF 2002</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Annual Report of Cohu, Inc. (the "Company") on Form 10-K for the fiscal year ended December 30, 2023 (the "Report"), I, Luis A. Müller, President and Chief Executive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February 16, 2024</w:t>
      </w:r>
    </w:p>
    <w:p>
      <w:pPr>
        <w:pStyle w:val="TextBody"/>
        <w:bidi w:val="0"/>
        <w:spacing w:before="0" w:after="0"/>
        <w:ind w:left="0"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3620"/>
        <w:gridCol w:w="60"/>
      </w:tblGrid>
      <w:tr>
        <w:trPr/>
        <w:tc>
          <w:tcPr>
            <w:tcW w:w="3620" w:type="dxa"/>
            <w:tcBorders/>
            <w:vAlign w:val="center"/>
          </w:tcPr>
          <w:p>
            <w:pPr>
              <w:pStyle w:val="TableContents"/>
              <w:bidi w:val="0"/>
              <w:spacing w:before="0" w:after="283"/>
              <w:jc w:val="left"/>
              <w:rPr/>
            </w:pPr>
            <w:r>
              <w:rPr/>
              <w:t>/s/ Luis A. Müller</w:t>
            </w:r>
          </w:p>
        </w:tc>
        <w:tc>
          <w:tcPr>
            <w:tcW w:w="60" w:type="dxa"/>
            <w:tcBorders/>
            <w:vAlign w:val="center"/>
          </w:tcPr>
          <w:p>
            <w:pPr>
              <w:pStyle w:val="TableContents"/>
              <w:bidi w:val="0"/>
              <w:spacing w:before="0" w:after="283"/>
              <w:jc w:val="left"/>
              <w:rPr/>
            </w:pPr>
            <w:r>
              <w:rPr/>
              <w:t> </w:t>
            </w:r>
          </w:p>
        </w:tc>
      </w:tr>
      <w:tr>
        <w:trPr/>
        <w:tc>
          <w:tcPr>
            <w:tcW w:w="362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Luis A. Müller,</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President and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sz w:val="20"/>
        </w:rPr>
      </w:pPr>
      <w:bookmarkStart w:id="49" w:name="ex_625466.htm"/>
      <w:bookmarkStart w:id="50" w:name="ksex_625466"/>
      <w:bookmarkEnd w:id="49"/>
      <w:bookmarkEnd w:id="50"/>
      <w:r>
        <w:rPr>
          <w:rFonts w:ascii="Times New Roman" w:hAnsi="Times New Roman"/>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CERTIFICATION PURSUANT TO SECTION 906 OF THE SARBANES-OXLEY ACT OF 2002</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Annual Report of Cohu, Inc. (the "Company") on Form 10-K for the fiscal year ended December 30, 2023 (the "Report"), I, Jeffrey D. Jones, Vice President Finance and Chief Financial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February 16, 2024</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4865"/>
        <w:gridCol w:w="60"/>
      </w:tblGrid>
      <w:tr>
        <w:trPr/>
        <w:tc>
          <w:tcPr>
            <w:tcW w:w="4865" w:type="dxa"/>
            <w:tcBorders/>
            <w:vAlign w:val="center"/>
          </w:tcPr>
          <w:p>
            <w:pPr>
              <w:pStyle w:val="TableContents"/>
              <w:bidi w:val="0"/>
              <w:spacing w:before="0" w:after="283"/>
              <w:jc w:val="left"/>
              <w:rPr/>
            </w:pPr>
            <w:r>
              <w:rPr/>
              <w:t>/s/ Jeffrey D. Jones</w:t>
            </w:r>
          </w:p>
        </w:tc>
        <w:tc>
          <w:tcPr>
            <w:tcW w:w="60" w:type="dxa"/>
            <w:tcBorders/>
            <w:vAlign w:val="center"/>
          </w:tcPr>
          <w:p>
            <w:pPr>
              <w:pStyle w:val="TableContents"/>
              <w:bidi w:val="0"/>
              <w:spacing w:before="0" w:after="283"/>
              <w:jc w:val="left"/>
              <w:rPr/>
            </w:pPr>
            <w:r>
              <w:rPr/>
              <w:t> </w:t>
            </w:r>
          </w:p>
        </w:tc>
      </w:tr>
      <w:tr>
        <w:trPr/>
        <w:tc>
          <w:tcPr>
            <w:tcW w:w="48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Jeffrey D. Jones,</w:t>
            </w:r>
          </w:p>
        </w:tc>
        <w:tc>
          <w:tcPr>
            <w:tcW w:w="6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Vice President Finance and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1" w:name="ex_626375.htm"/>
      <w:bookmarkStart w:id="52" w:name="ksex_626375"/>
      <w:bookmarkEnd w:id="51"/>
      <w:bookmarkEnd w:id="52"/>
      <w:r>
        <w:rPr>
          <w:rFonts w:ascii="Times New Roman;Times;serif" w:hAnsi="Times New Roman;Times;serif"/>
          <w:b/>
          <w:sz w:val="20"/>
        </w:rPr>
        <w:t>Exhibit 97</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POLICY FOR RECOVERY OF ERRONEOUSLY AWARDED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(Adopted as of October 2, 2023)</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15"/>
        <w:gridCol w:w="155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 </w:t>
            </w:r>
          </w:p>
        </w:tc>
        <w:tc>
          <w:tcPr>
            <w:tcW w:w="15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INTRODUCTION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Cohu, Inc. (the “</w:t>
      </w:r>
      <w:r>
        <w:rPr>
          <w:rFonts w:ascii="Times New Roman" w:hAnsi="Times New Roman"/>
          <w:b/>
          <w:i/>
          <w:caps w:val="false"/>
          <w:smallCaps w:val="false"/>
          <w:sz w:val="20"/>
        </w:rPr>
        <w:t>Company</w:t>
      </w:r>
      <w:r>
        <w:rPr>
          <w:rFonts w:ascii="Times New Roman" w:hAnsi="Times New Roman"/>
          <w:caps w:val="false"/>
          <w:smallCaps w:val="false"/>
          <w:sz w:val="20"/>
        </w:rPr>
        <w:t>”) is adopting this policy (this “</w:t>
      </w:r>
      <w:r>
        <w:rPr>
          <w:rFonts w:ascii="Times New Roman" w:hAnsi="Times New Roman"/>
          <w:b/>
          <w:i/>
          <w:caps w:val="false"/>
          <w:smallCaps w:val="false"/>
          <w:sz w:val="20"/>
        </w:rPr>
        <w:t>Policy</w:t>
      </w:r>
      <w:r>
        <w:rPr>
          <w:rFonts w:ascii="Times New Roman" w:hAnsi="Times New Roman"/>
          <w:caps w:val="false"/>
          <w:smallCaps w:val="false"/>
          <w:sz w:val="20"/>
        </w:rPr>
        <w:t>”) to provide for the Company’s recovery of certain Incentive Compensation (as defined below) erroneously awarded to Affected Officers (as defined below) under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is administered by the Compensation Committee (the “</w:t>
      </w:r>
      <w:r>
        <w:rPr>
          <w:rFonts w:ascii="Times New Roman" w:hAnsi="Times New Roman"/>
          <w:b/>
          <w:i/>
          <w:caps w:val="false"/>
          <w:smallCaps w:val="false"/>
          <w:sz w:val="20"/>
        </w:rPr>
        <w:t>Committee</w:t>
      </w:r>
      <w:r>
        <w:rPr>
          <w:rFonts w:ascii="Times New Roman" w:hAnsi="Times New Roman"/>
          <w:caps w:val="false"/>
          <w:smallCaps w:val="false"/>
          <w:sz w:val="20"/>
        </w:rPr>
        <w:t>”) of the Company’s Board of Directors (the “</w:t>
      </w:r>
      <w:r>
        <w:rPr>
          <w:rFonts w:ascii="Times New Roman" w:hAnsi="Times New Roman"/>
          <w:b/>
          <w:i/>
          <w:caps w:val="false"/>
          <w:smallCaps w:val="false"/>
          <w:sz w:val="20"/>
        </w:rPr>
        <w:t>Board</w:t>
      </w:r>
      <w:r>
        <w:rPr>
          <w:rFonts w:ascii="Times New Roman" w:hAnsi="Times New Roman"/>
          <w:caps w:val="false"/>
          <w:smallCaps w:val="false"/>
          <w:sz w:val="20"/>
        </w:rPr>
        <w:t>”).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is intended to comply with Section 10D of the Securities and Exchange Act of 1934, as amended (the “</w:t>
      </w:r>
      <w:r>
        <w:rPr>
          <w:rFonts w:ascii="Times New Roman" w:hAnsi="Times New Roman"/>
          <w:b/>
          <w:i/>
          <w:caps w:val="false"/>
          <w:smallCaps w:val="false"/>
          <w:sz w:val="20"/>
        </w:rPr>
        <w:t>Exchange Act</w:t>
      </w:r>
      <w:r>
        <w:rPr>
          <w:rFonts w:ascii="Times New Roman" w:hAnsi="Times New Roman"/>
          <w:caps w:val="false"/>
          <w:smallCaps w:val="false"/>
          <w:sz w:val="20"/>
        </w:rPr>
        <w:t>”), Rule 10D-1 thereunder and the applicable rules of any national securities exchange on which the Company’s securities are listed (the “</w:t>
      </w:r>
      <w:r>
        <w:rPr>
          <w:rFonts w:ascii="Times New Roman" w:hAnsi="Times New Roman"/>
          <w:b/>
          <w:i/>
          <w:caps w:val="false"/>
          <w:smallCaps w:val="false"/>
          <w:sz w:val="20"/>
        </w:rPr>
        <w:t>Exchange</w:t>
      </w:r>
      <w:r>
        <w:rPr>
          <w:rFonts w:ascii="Times New Roman" w:hAnsi="Times New Roman"/>
          <w:caps w:val="false"/>
          <w:smallCaps w:val="false"/>
          <w:sz w:val="20"/>
        </w:rPr>
        <w:t>”) and will be interpreted and administered consistent with that intent.</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15"/>
        <w:gridCol w:w="173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 </w:t>
            </w:r>
          </w:p>
        </w:tc>
        <w:tc>
          <w:tcPr>
            <w:tcW w:w="17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shall apply to all Incentive Compensation paid or awarded on or after the date of adoption of this Policy, and to the extent permitted or required by applicable law, and in such cases shall govern and supersede the prior Cohu, Inc. Executive Incentive Compensation Recoupment Policy.</w:t>
      </w:r>
    </w:p>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15"/>
        <w:gridCol w:w="129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3. </w:t>
            </w:r>
          </w:p>
        </w:tc>
        <w:tc>
          <w:tcPr>
            <w:tcW w:w="12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Policy,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Affected Officer</w:t>
      </w:r>
      <w:r>
        <w:rPr>
          <w:rFonts w:ascii="Times New Roman" w:hAnsi="Times New Roman"/>
          <w:caps w:val="false"/>
          <w:smallCaps w:val="false"/>
          <w:sz w:val="20"/>
        </w:rPr>
        <w:t>” means any current or former “officer” as defined in Exchange Act Rule 16a-1, and any other senior executives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Erroneously Awarded Compensation</w:t>
      </w:r>
      <w:r>
        <w:rPr>
          <w:rFonts w:ascii="Times New Roman" w:hAnsi="Times New Roman"/>
          <w:caps w:val="false"/>
          <w:smallCaps w:val="false"/>
          <w:sz w:val="20"/>
        </w:rPr>
        <w:t>” 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Financial Reporting Measure</w:t>
      </w:r>
      <w:r>
        <w:rPr>
          <w:rFonts w:ascii="Times New Roman" w:hAnsi="Times New Roman"/>
          <w:caps w:val="false"/>
          <w:smallCaps w:val="false"/>
          <w:sz w:val="20"/>
        </w:rPr>
        <w:t>”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total shareholder return or another measurement metric adopted or designed by the Exchange that impacts the determination of Incentive Compensation are Financial Reporting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Incentive Compensation</w:t>
      </w:r>
      <w:r>
        <w:rPr>
          <w:rFonts w:ascii="Times New Roman" w:hAnsi="Times New Roman"/>
          <w:caps w:val="false"/>
          <w:smallCaps w:val="false"/>
          <w:sz w:val="20"/>
        </w:rPr>
        <w:t>”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Restatement</w:t>
      </w:r>
      <w:r>
        <w:rPr>
          <w:rFonts w:ascii="Times New Roman" w:hAnsi="Times New Roman"/>
          <w:caps w:val="false"/>
          <w:smallCaps w:val="false"/>
          <w:sz w:val="20"/>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170"/>
        <w:gridCol w:w="11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4</w:t>
            </w: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RECOVERY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Company is required to prepare a Restatement, the Company shall seek to recover and claw back from any Affected Officer reasonably promptly the Erroneously Awarded Compensation that is received by the Affected Officer:</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60"/>
        <w:gridCol w:w="200"/>
        <w:gridCol w:w="431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43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after the person begins service as an Affected Officer;</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60"/>
        <w:gridCol w:w="260"/>
        <w:gridCol w:w="887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8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who serves as an Affected Officer at any time during the performance period for that Incentive Compensation;</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320"/>
        <w:gridCol w:w="582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5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while the Company has a class of securities listed on the Exchange;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3"/>
        <w:gridCol w:w="9882"/>
      </w:tblGrid>
      <w:tr>
        <w:trPr/>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988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Policy: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845" w:type="dxa"/>
        <w:jc w:val="left"/>
        <w:tblInd w:w="0" w:type="dxa"/>
        <w:tblLayout w:type="fixed"/>
        <w:tblCellMar>
          <w:top w:w="0" w:type="dxa"/>
          <w:left w:w="0" w:type="dxa"/>
          <w:bottom w:w="0" w:type="dxa"/>
          <w:right w:w="0" w:type="dxa"/>
        </w:tblCellMar>
      </w:tblPr>
      <w:tblGrid>
        <w:gridCol w:w="170"/>
        <w:gridCol w:w="26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26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SOURCES OF RECOUPMENT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permitted by applicable law, the Committee may, in its discretion, seek recoupment from the Affected Officer(s) through any means it determines, which may include, but not limited to,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70"/>
        <w:gridCol w:w="36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3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LIMITED</w:t>
            </w:r>
            <w:r>
              <w:rPr>
                <w:rFonts w:ascii="Times New Roman;Times;serif" w:hAnsi="Times New Roman;Times;serif"/>
                <w:sz w:val="20"/>
              </w:rPr>
              <w:t xml:space="preserve"> </w:t>
            </w:r>
            <w:r>
              <w:rPr>
                <w:rFonts w:ascii="Times New Roman;Times;serif" w:hAnsi="Times New Roman;Times;serif"/>
                <w:b/>
                <w:sz w:val="20"/>
              </w:rPr>
              <w:t>EXCEPTIONS TO RECOVERY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w:t>
            </w:r>
          </w:p>
        </w:tc>
        <w:tc>
          <w:tcPr>
            <w:tcW w:w="99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w:t>
            </w:r>
          </w:p>
        </w:tc>
        <w:tc>
          <w:tcPr>
            <w:tcW w:w="99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Recovery would violate home country law where the law was adopted prior to November 28, 2022, and the Company provides an opinion of home country counsel to that effect to the Exchange that is acceptable to the Exchange;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05"/>
        <w:gridCol w:w="9840"/>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(iii)</w:t>
            </w:r>
          </w:p>
        </w:tc>
        <w:tc>
          <w:tcPr>
            <w:tcW w:w="98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Recovery would likely cause an otherwise tax-qualified retirement plan to fail to meet the requirements of the Internal Revenue Code of 1986, as amended.</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170"/>
        <w:gridCol w:w="368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w:t>
            </w:r>
          </w:p>
        </w:tc>
        <w:tc>
          <w:tcPr>
            <w:tcW w:w="36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 INDEMNIFICATION OR INSURANCE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will not indemnify, insure or otherwise reimburse any Affected Officer against the recovery of Erroneously Awarded Compensation.</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70"/>
        <w:gridCol w:w="38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38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 IMPAIRMENT OF OTHER REMEDIES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21535/000143774922011148/ex_370383.htm" TargetMode="External"/><Relationship Id="rId4" Type="http://schemas.openxmlformats.org/officeDocument/2006/relationships/hyperlink" Target="http://www.sec.gov/Archives/edgar/data/21535/000143774923014028/ex_518682.htm" TargetMode="External"/><Relationship Id="rId5" Type="http://schemas.openxmlformats.org/officeDocument/2006/relationships/hyperlink" Target="http://www.sec.gov/Archives/edgar/data/21535/000143774923003782/ex_474581.htm" TargetMode="External"/><Relationship Id="rId6" Type="http://schemas.openxmlformats.org/officeDocument/2006/relationships/hyperlink" Target="http://www.sec.gov/Archives/edgar/data/21535/000143774918019867/ex_127319.htm" TargetMode="External"/><Relationship Id="rId7" Type="http://schemas.openxmlformats.org/officeDocument/2006/relationships/hyperlink" Target="http://www.sec.gov/Archives/edgar/data/21535/000143774918019867/ex_128427.htm" TargetMode="External"/><Relationship Id="rId8" Type="http://schemas.openxmlformats.org/officeDocument/2006/relationships/hyperlink" Target="http://www.sec.gov/Archives/edgar/data/21535/000143774923008134/cohu20230321_def14a.htm" TargetMode="External"/><Relationship Id="rId9" Type="http://schemas.openxmlformats.org/officeDocument/2006/relationships/hyperlink" Target="http://www.sec.gov/Archives/edgar/data/21535/000143774923008134/cohu20230321_def14a.htm" TargetMode="External"/><Relationship Id="rId10" Type="http://schemas.openxmlformats.org/officeDocument/2006/relationships/hyperlink" Target="http://www.sec.gov/Archives/edgar/data/21535/000129993308006069/exhibit1.htm" TargetMode="External"/><Relationship Id="rId11" Type="http://schemas.openxmlformats.org/officeDocument/2006/relationships/hyperlink" Target="http://www.sec.gov/Archives/edgar/data/21535/000143774923012665/ex_511739.htm" TargetMode="External"/><Relationship Id="rId12" Type="http://schemas.openxmlformats.org/officeDocument/2006/relationships/hyperlink" Target="http://www.sec.gov/Archives/edgar/data/21535/000143774915014704/ex10-2.htm" TargetMode="External"/><Relationship Id="rId13" Type="http://schemas.openxmlformats.org/officeDocument/2006/relationships/hyperlink" Target="http://www.sec.gov/Archives/edgar/data/21535/000143774915014704/ex10-3.htm" TargetMode="External"/><Relationship Id="rId14" Type="http://schemas.openxmlformats.org/officeDocument/2006/relationships/hyperlink" Target="http://www.sec.gov/Archives/edgar/data/21535/000143774915014704/ex10-4.htm" TargetMode="External"/><Relationship Id="rId15" Type="http://schemas.openxmlformats.org/officeDocument/2006/relationships/hyperlink" Target="http://www.sec.gov/Archives/edgar/data/21535/000143774915014704/ex10-5.htm" TargetMode="External"/><Relationship Id="rId16" Type="http://schemas.openxmlformats.org/officeDocument/2006/relationships/hyperlink" Target="http://www.sec.gov/Archives/edgar/data/21535/000143774915014704/ex10-6.htm" TargetMode="External"/><Relationship Id="rId17" Type="http://schemas.openxmlformats.org/officeDocument/2006/relationships/hyperlink" Target="http://www.sec.gov/Archives/edgar/data/21535/000143774918021982/ex_131577.htm" TargetMode="External"/><Relationship Id="rId18" Type="http://schemas.openxmlformats.org/officeDocument/2006/relationships/hyperlink" Target="http://www.sec.gov/Archives/edgar/data/21535/000129993308006069/exhibit2.htm" TargetMode="External"/><Relationship Id="rId19" Type="http://schemas.openxmlformats.org/officeDocument/2006/relationships/hyperlink" Target="http://www.sec.gov/Archives/edgar/data/21535/000143774916025855/ex10-14.htm" TargetMode="External"/><Relationship Id="rId20" Type="http://schemas.openxmlformats.org/officeDocument/2006/relationships/hyperlink" Target="http://www.sec.gov/Archives/edgar/data/21535/000143774920022546/ex_210808.htm" TargetMode="External"/><Relationship Id="rId21" Type="http://schemas.openxmlformats.org/officeDocument/2006/relationships/hyperlink" Target="http://www.sec.gov/Archives/edgar/data/21535/000143774920022546/ex_210809.htm" TargetMode="External"/><Relationship Id="rId22" Type="http://schemas.openxmlformats.org/officeDocument/2006/relationships/hyperlink" Target="http://www.sec.gov/Archives/edgar/data/21535/000143774920022546/ex_210810.htm" TargetMode="External"/><Relationship Id="rId23" Type="http://schemas.openxmlformats.org/officeDocument/2006/relationships/hyperlink" Target="http://www.sec.gov/Archives/edgar/data/21535/000143774920022546/ex_210811.htm" TargetMode="External"/><Relationship Id="rId24" Type="http://schemas.openxmlformats.org/officeDocument/2006/relationships/hyperlink" Target="http://www.sec.gov/Archives/edgar/data/21535/000143774920022546/ex_210812.htm" TargetMode="External"/><Relationship Id="rId25" Type="http://schemas.openxmlformats.org/officeDocument/2006/relationships/hyperlink" Target="http://www.sec.gov/Archives/edgar/data/21535/000143774920022546/ex_210813.htm" TargetMode="External"/><Relationship Id="rId26" Type="http://schemas.openxmlformats.org/officeDocument/2006/relationships/hyperlink" Target="http://www.sec.gov/Archives/edgar/data/21535/000143774920022546/ex_210814.htm" TargetMode="External"/><Relationship Id="rId27" Type="http://schemas.openxmlformats.org/officeDocument/2006/relationships/hyperlink" Target="http://www.sec.gov/Archives/edgar/data/21535/000143774920022546/ex_210815.htm" TargetMode="External"/><Relationship Id="rId28" Type="http://schemas.openxmlformats.org/officeDocument/2006/relationships/hyperlink" Target="http://www.sec.gov/Archives/edgar/data/21535/000143774922010147/ex_363747.htm" TargetMode="External"/><Relationship Id="rId29" Type="http://schemas.openxmlformats.org/officeDocument/2006/relationships/hyperlink" Target="http://www.sec.gov/Archives/edgar/data/21535/000143774922010147/ex_363748.htm" TargetMode="External"/><Relationship Id="rId30" Type="http://schemas.openxmlformats.org/officeDocument/2006/relationships/hyperlink" Target="http://www.sec.gov/Archives/edgar/data/0000021535/000143774921011904/ex_249405.htm" TargetMode="External"/><Relationship Id="rId31" Type="http://schemas.openxmlformats.org/officeDocument/2006/relationships/hyperlink" Target="http://www.sec.gov/Archives/edgar/data/21535/000143774923018206/ex_537149.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60118</Words>
  <Characters>333451</Characters>
  <CharactersWithSpaces>396621</CharactersWithSpaces>
  <Paragraphs>12699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