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40629_10q.htm"/>
      <w:bookmarkStart w:id="1" w:name="kscohu20240629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10165" w:type="dxa"/>
        <w:jc w:val="left"/>
        <w:tblInd w:w="0" w:type="dxa"/>
        <w:tblLayout w:type="fixed"/>
        <w:tblCellMar>
          <w:top w:w="0" w:type="dxa"/>
          <w:left w:w="0" w:type="dxa"/>
          <w:bottom w:w="0" w:type="dxa"/>
          <w:right w:w="0" w:type="dxa"/>
        </w:tblCellMar>
      </w:tblPr>
      <w:tblGrid>
        <w:gridCol w:w="290"/>
        <w:gridCol w:w="9875"/>
      </w:tblGrid>
      <w:tr>
        <w:trPr/>
        <w:tc>
          <w:tcPr>
            <w:tcW w:w="290" w:type="dxa"/>
            <w:tcBorders/>
            <w:vAlign w:val="center"/>
          </w:tcPr>
          <w:p>
            <w:pPr>
              <w:pStyle w:val="TableContents"/>
              <w:bidi w:val="0"/>
              <w:spacing w:before="0" w:after="0"/>
              <w:ind w:left="0" w:right="0" w:hanging="0"/>
              <w:jc w:val="both"/>
              <w:rPr/>
            </w:pPr>
            <w:r>
              <w:rPr/>
              <w:t xml:space="preserve">☑ </w:t>
            </w:r>
          </w:p>
        </w:tc>
        <w:tc>
          <w:tcPr>
            <w:tcW w:w="98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290"/>
        <w:gridCol w:w="9860"/>
      </w:tblGrid>
      <w:tr>
        <w:trPr/>
        <w:tc>
          <w:tcPr>
            <w:tcW w:w="290" w:type="dxa"/>
            <w:tcBorders/>
            <w:vAlign w:val="center"/>
          </w:tcPr>
          <w:p>
            <w:pPr>
              <w:pStyle w:val="TableContents"/>
              <w:bidi w:val="0"/>
              <w:spacing w:before="0" w:after="0"/>
              <w:ind w:left="0" w:right="0" w:hanging="0"/>
              <w:jc w:val="both"/>
              <w:rPr/>
            </w:pPr>
            <w:r>
              <w:rPr/>
              <w:t xml:space="preserve">☐ </w:t>
            </w:r>
          </w:p>
        </w:tc>
        <w:tc>
          <w:tcPr>
            <w:tcW w:w="98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960" w:type="dxa"/>
        <w:jc w:val="left"/>
        <w:tblInd w:w="0" w:type="dxa"/>
        <w:tblLayout w:type="fixed"/>
        <w:tblCellMar>
          <w:top w:w="0" w:type="dxa"/>
          <w:left w:w="0" w:type="dxa"/>
          <w:bottom w:w="0" w:type="dxa"/>
          <w:right w:w="0" w:type="dxa"/>
        </w:tblCellMar>
      </w:tblPr>
      <w:tblGrid>
        <w:gridCol w:w="4565"/>
        <w:gridCol w:w="3395"/>
      </w:tblGrid>
      <w:tr>
        <w:trPr/>
        <w:tc>
          <w:tcPr>
            <w:tcW w:w="4565" w:type="dxa"/>
            <w:tcBorders/>
            <w:vAlign w:val="center"/>
          </w:tcPr>
          <w:p>
            <w:pPr>
              <w:pStyle w:val="TableContents"/>
              <w:bidi w:val="0"/>
              <w:spacing w:before="0" w:after="283"/>
              <w:jc w:val="center"/>
              <w:rPr>
                <w:b/>
              </w:rPr>
            </w:pPr>
            <w:r>
              <w:rPr>
                <w:b/>
              </w:rPr>
              <w:t>Delaware</w:t>
            </w:r>
          </w:p>
        </w:tc>
        <w:tc>
          <w:tcPr>
            <w:tcW w:w="3395" w:type="dxa"/>
            <w:tcBorders/>
            <w:vAlign w:val="center"/>
          </w:tcPr>
          <w:p>
            <w:pPr>
              <w:pStyle w:val="TableContents"/>
              <w:bidi w:val="0"/>
              <w:spacing w:before="0" w:after="283"/>
              <w:jc w:val="center"/>
              <w:rPr>
                <w:b/>
              </w:rPr>
            </w:pPr>
            <w:r>
              <w:rPr>
                <w:b/>
              </w:rPr>
              <w:t>95-1934119</w:t>
            </w:r>
          </w:p>
        </w:tc>
      </w:tr>
      <w:tr>
        <w:trPr/>
        <w:tc>
          <w:tcPr>
            <w:tcW w:w="4565" w:type="dxa"/>
            <w:tcBorders/>
            <w:vAlign w:val="center"/>
          </w:tcPr>
          <w:p>
            <w:pPr>
              <w:pStyle w:val="TableContents"/>
              <w:bidi w:val="0"/>
              <w:spacing w:before="0" w:after="283"/>
              <w:jc w:val="center"/>
              <w:rPr/>
            </w:pPr>
            <w:r>
              <w:rPr>
                <w:i/>
              </w:rPr>
              <w:t>(State or other jurisdiction of</w:t>
            </w:r>
            <w:r>
              <w:rPr/>
              <w:t> </w:t>
            </w:r>
          </w:p>
        </w:tc>
        <w:tc>
          <w:tcPr>
            <w:tcW w:w="3395" w:type="dxa"/>
            <w:tcBorders/>
            <w:vAlign w:val="center"/>
          </w:tcPr>
          <w:p>
            <w:pPr>
              <w:pStyle w:val="TableContents"/>
              <w:bidi w:val="0"/>
              <w:spacing w:before="0" w:after="283"/>
              <w:jc w:val="center"/>
              <w:rPr>
                <w:i/>
              </w:rPr>
            </w:pPr>
            <w:r>
              <w:rPr>
                <w:i/>
              </w:rPr>
              <w:t>(I.R.S. Employer Identification No.)</w:t>
            </w:r>
          </w:p>
        </w:tc>
      </w:tr>
      <w:tr>
        <w:trPr/>
        <w:tc>
          <w:tcPr>
            <w:tcW w:w="4565" w:type="dxa"/>
            <w:tcBorders/>
            <w:vAlign w:val="center"/>
          </w:tcPr>
          <w:p>
            <w:pPr>
              <w:pStyle w:val="TableContents"/>
              <w:bidi w:val="0"/>
              <w:spacing w:before="0" w:after="283"/>
              <w:jc w:val="center"/>
              <w:rPr>
                <w:i/>
              </w:rPr>
            </w:pPr>
            <w:r>
              <w:rPr>
                <w:i/>
              </w:rPr>
              <w:t>incorporation or organization)</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pPr>
            <w:r>
              <w:rPr/>
              <w:t> </w:t>
            </w:r>
          </w:p>
        </w:tc>
        <w:tc>
          <w:tcPr>
            <w:tcW w:w="3395" w:type="dxa"/>
            <w:tcBorders/>
            <w:vAlign w:val="center"/>
          </w:tcPr>
          <w:p>
            <w:pPr>
              <w:pStyle w:val="TableContents"/>
              <w:bidi w:val="0"/>
              <w:spacing w:before="0" w:after="283"/>
              <w:jc w:val="center"/>
              <w:rPr/>
            </w:pPr>
            <w:r>
              <w:rPr/>
              <w:t> </w:t>
            </w:r>
          </w:p>
        </w:tc>
      </w:tr>
      <w:tr>
        <w:trPr/>
        <w:tc>
          <w:tcPr>
            <w:tcW w:w="4565" w:type="dxa"/>
            <w:tcBorders/>
            <w:vAlign w:val="center"/>
          </w:tcPr>
          <w:p>
            <w:pPr>
              <w:pStyle w:val="TableContents"/>
              <w:bidi w:val="0"/>
              <w:spacing w:before="0" w:after="283"/>
              <w:jc w:val="center"/>
              <w:rPr>
                <w:b/>
              </w:rPr>
            </w:pPr>
            <w:r>
              <w:rPr>
                <w:b/>
              </w:rPr>
              <w:t>12367 Crosthwaite Circle, Poway, California</w:t>
            </w:r>
          </w:p>
        </w:tc>
        <w:tc>
          <w:tcPr>
            <w:tcW w:w="3395" w:type="dxa"/>
            <w:tcBorders/>
            <w:vAlign w:val="center"/>
          </w:tcPr>
          <w:p>
            <w:pPr>
              <w:pStyle w:val="TableContents"/>
              <w:bidi w:val="0"/>
              <w:spacing w:before="0" w:after="283"/>
              <w:jc w:val="center"/>
              <w:rPr>
                <w:b/>
              </w:rPr>
            </w:pPr>
            <w:r>
              <w:rPr>
                <w:b/>
              </w:rPr>
              <w:t>92064-6817</w:t>
            </w:r>
          </w:p>
        </w:tc>
      </w:tr>
      <w:tr>
        <w:trPr/>
        <w:tc>
          <w:tcPr>
            <w:tcW w:w="4565" w:type="dxa"/>
            <w:tcBorders/>
            <w:vAlign w:val="center"/>
          </w:tcPr>
          <w:p>
            <w:pPr>
              <w:pStyle w:val="TableContents"/>
              <w:bidi w:val="0"/>
              <w:spacing w:before="0" w:after="283"/>
              <w:jc w:val="center"/>
              <w:rPr>
                <w:i/>
              </w:rPr>
            </w:pPr>
            <w:r>
              <w:rPr>
                <w:i/>
              </w:rPr>
              <w:t>(Address of principal executive offices)</w:t>
            </w:r>
          </w:p>
        </w:tc>
        <w:tc>
          <w:tcPr>
            <w:tcW w:w="3395" w:type="dxa"/>
            <w:tcBorders/>
            <w:vAlign w:val="center"/>
          </w:tcPr>
          <w:p>
            <w:pPr>
              <w:pStyle w:val="TableContents"/>
              <w:bidi w:val="0"/>
              <w:spacing w:before="0" w:after="283"/>
              <w:jc w:val="center"/>
              <w:rPr>
                <w:i/>
              </w:rPr>
            </w:pPr>
            <w:r>
              <w:rPr>
                <w:i/>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0" w:type="dxa"/>
          <w:left w:w="0" w:type="dxa"/>
          <w:bottom w:w="0" w:type="dxa"/>
          <w:right w:w="0" w:type="dxa"/>
        </w:tblCellMar>
      </w:tblPr>
      <w:tblGrid>
        <w:gridCol w:w="2720"/>
        <w:gridCol w:w="1610"/>
        <w:gridCol w:w="3410"/>
      </w:tblGrid>
      <w:tr>
        <w:trPr/>
        <w:tc>
          <w:tcPr>
            <w:tcW w:w="272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Symbol(s)</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7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Common Stock, $1.00</w:t>
            </w:r>
            <w:r>
              <w:rPr>
                <w:rFonts w:ascii="Times New Roman" w:hAnsi="Times New Roman"/>
                <w:caps w:val="false"/>
                <w:smallCaps w:val="false"/>
                <w:sz w:val="20"/>
              </w:rPr>
              <w:t> </w:t>
            </w:r>
            <w:r>
              <w:rPr>
                <w:rFonts w:ascii="Times New Roman" w:hAnsi="Times New Roman"/>
                <w:b/>
                <w:caps w:val="false"/>
                <w:smallCaps w:val="false"/>
                <w:sz w:val="20"/>
              </w:rPr>
              <w:t>par value</w:t>
            </w:r>
          </w:p>
        </w:tc>
        <w:tc>
          <w:tcPr>
            <w:tcW w:w="16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w:t>
            </w:r>
          </w:p>
        </w:tc>
        <w:tc>
          <w:tcPr>
            <w:tcW w:w="34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90" w:type="dxa"/>
        <w:jc w:val="left"/>
        <w:tblInd w:w="0" w:type="dxa"/>
        <w:tblLayout w:type="fixed"/>
        <w:tblCellMar>
          <w:top w:w="0" w:type="dxa"/>
          <w:left w:w="0" w:type="dxa"/>
          <w:bottom w:w="0" w:type="dxa"/>
          <w:right w:w="0" w:type="dxa"/>
        </w:tblCellMar>
      </w:tblPr>
      <w:tblGrid>
        <w:gridCol w:w="60"/>
        <w:gridCol w:w="2450"/>
        <w:gridCol w:w="1850"/>
        <w:gridCol w:w="2270"/>
        <w:gridCol w:w="60"/>
      </w:tblGrid>
      <w:tr>
        <w:trPr/>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Large accelerated filer ☑ </w:t>
            </w:r>
          </w:p>
        </w:tc>
        <w:tc>
          <w:tcPr>
            <w:tcW w:w="1850" w:type="dxa"/>
            <w:tcBorders/>
            <w:vAlign w:val="center"/>
          </w:tcPr>
          <w:p>
            <w:pPr>
              <w:pStyle w:val="TableContents"/>
              <w:bidi w:val="0"/>
              <w:spacing w:before="0" w:after="283"/>
              <w:jc w:val="left"/>
              <w:rPr/>
            </w:pPr>
            <w:r>
              <w:rPr/>
              <w:t>Accelerated filer ☐</w:t>
            </w:r>
          </w:p>
        </w:tc>
        <w:tc>
          <w:tcPr>
            <w:tcW w:w="2270" w:type="dxa"/>
            <w:tcBorders/>
            <w:vAlign w:val="center"/>
          </w:tcPr>
          <w:p>
            <w:pPr>
              <w:pStyle w:val="TableContents"/>
              <w:bidi w:val="0"/>
              <w:spacing w:before="0" w:after="283"/>
              <w:jc w:val="left"/>
              <w:rPr/>
            </w:pPr>
            <w:r>
              <w:rPr/>
              <w:t>Non-accelerated filer ☐</w:t>
            </w:r>
          </w:p>
        </w:tc>
        <w:tc>
          <w:tcPr>
            <w:tcW w:w="60" w:type="dxa"/>
            <w:tcBorders/>
            <w:vAlign w:val="center"/>
          </w:tcPr>
          <w:p>
            <w:pPr>
              <w:pStyle w:val="TableContents"/>
              <w:bidi w:val="0"/>
              <w:spacing w:before="0" w:after="283"/>
              <w:jc w:val="left"/>
              <w:rPr/>
            </w:pPr>
            <w:r>
              <w:rPr/>
              <w:t> </w:t>
            </w:r>
          </w:p>
        </w:tc>
      </w:tr>
    </w:tbl>
    <w:tbl>
      <w:tblPr>
        <w:tblW w:w="5860" w:type="dxa"/>
        <w:jc w:val="left"/>
        <w:tblInd w:w="0" w:type="dxa"/>
        <w:tblLayout w:type="fixed"/>
        <w:tblCellMar>
          <w:top w:w="0" w:type="dxa"/>
          <w:left w:w="0" w:type="dxa"/>
          <w:bottom w:w="0" w:type="dxa"/>
          <w:right w:w="0" w:type="dxa"/>
        </w:tblCellMar>
      </w:tblPr>
      <w:tblGrid>
        <w:gridCol w:w="60"/>
        <w:gridCol w:w="2855"/>
        <w:gridCol w:w="2885"/>
        <w:gridCol w:w="60"/>
      </w:tblGrid>
      <w:tr>
        <w:trPr/>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283"/>
              <w:jc w:val="left"/>
              <w:rPr/>
            </w:pPr>
            <w:r>
              <w:rPr/>
              <w:t>Smaller reporting company ☐</w:t>
            </w:r>
          </w:p>
        </w:tc>
        <w:tc>
          <w:tcPr>
            <w:tcW w:w="2885" w:type="dxa"/>
            <w:tcBorders/>
            <w:vAlign w:val="center"/>
          </w:tcPr>
          <w:p>
            <w:pPr>
              <w:pStyle w:val="TableContents"/>
              <w:bidi w:val="0"/>
              <w:spacing w:before="0" w:after="283"/>
              <w:jc w:val="left"/>
              <w:rPr/>
            </w:pPr>
            <w:r>
              <w:rPr/>
              <w:t>Emerging growth company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July 24, 2024, the Registrant had 46,919,550 shares of its $1.00 par value common stock outstanding.</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8317"/>
        <w:gridCol w:w="1013"/>
      </w:tblGrid>
      <w:tr>
        <w:trPr/>
        <w:tc>
          <w:tcPr>
            <w:tcW w:w="87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Part I</w:t>
            </w:r>
          </w:p>
        </w:tc>
        <w:tc>
          <w:tcPr>
            <w:tcW w:w="8317"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1013" w:type="dxa"/>
            <w:tcBorders/>
            <w:vAlign w:val="center"/>
          </w:tcPr>
          <w:p>
            <w:pPr>
              <w:pStyle w:val="TableContents"/>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 Number</w:t>
            </w:r>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31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1013"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0"/>
              <w:ind w:left="0" w:right="0" w:hanging="0"/>
              <w:jc w:val="both"/>
              <w:rPr/>
            </w:pPr>
            <w:hyperlink w:anchor="bal">
              <w:r>
                <w:rPr>
                  <w:rStyle w:val="InternetLink"/>
                  <w:rFonts w:ascii="Times New Roman" w:hAnsi="Times New Roman"/>
                  <w:caps w:val="false"/>
                  <w:smallCaps w:val="false"/>
                  <w:sz w:val="20"/>
                </w:rPr>
                <w:t>Condensed Consolidated Balance Sheets June 29, 2024 (unaudited) and December 30, 2023</w:t>
              </w:r>
            </w:hyperlink>
          </w:p>
        </w:tc>
        <w:tc>
          <w:tcPr>
            <w:tcW w:w="1013" w:type="dxa"/>
            <w:tcBorders/>
            <w:vAlign w:val="center"/>
          </w:tcPr>
          <w:p>
            <w:pPr>
              <w:pStyle w:val="TableContents"/>
              <w:bidi w:val="0"/>
              <w:spacing w:before="0" w:after="283"/>
              <w:jc w:val="right"/>
              <w:rPr/>
            </w:pPr>
            <w:hyperlink w:anchor="bal">
              <w:r>
                <w:rPr>
                  <w:rStyle w:val="InternetLink"/>
                </w:rPr>
                <w:t>3</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283"/>
              <w:jc w:val="left"/>
              <w:rPr/>
            </w:pPr>
            <w:hyperlink w:anchor="ops">
              <w:r>
                <w:rPr>
                  <w:rStyle w:val="InternetLink"/>
                </w:rPr>
                <w:t>Condensed Consolidated Statements of Operations (unaudited) Three and Six Months Ended June 29, 2024 and July 1, 2023</w:t>
              </w:r>
            </w:hyperlink>
          </w:p>
        </w:tc>
        <w:tc>
          <w:tcPr>
            <w:tcW w:w="1013" w:type="dxa"/>
            <w:tcBorders/>
            <w:vAlign w:val="center"/>
          </w:tcPr>
          <w:p>
            <w:pPr>
              <w:pStyle w:val="TableContents"/>
              <w:bidi w:val="0"/>
              <w:spacing w:before="0" w:after="283"/>
              <w:jc w:val="right"/>
              <w:rPr/>
            </w:pPr>
            <w:hyperlink w:anchor="ops">
              <w:r>
                <w:rPr>
                  <w:rStyle w:val="InternetLink"/>
                </w:rPr>
                <w:t>4</w:t>
              </w:r>
            </w:hyperlink>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317" w:type="dxa"/>
            <w:tcBorders/>
            <w:vAlign w:val="center"/>
          </w:tcPr>
          <w:p>
            <w:pPr>
              <w:pStyle w:val="TableContents"/>
              <w:bidi w:val="0"/>
              <w:spacing w:before="0" w:after="0"/>
              <w:ind w:left="0" w:right="0" w:hanging="0"/>
              <w:jc w:val="left"/>
              <w:rPr/>
            </w:pPr>
            <w:hyperlink w:anchor="compinc">
              <w:r>
                <w:rPr>
                  <w:rStyle w:val="InternetLink"/>
                  <w:rFonts w:ascii="Times New Roman" w:hAnsi="Times New Roman"/>
                  <w:caps w:val="false"/>
                  <w:smallCaps w:val="false"/>
                  <w:sz w:val="20"/>
                </w:rPr>
                <w:t>Condensed Consolidated Statements of Comprehensive Income (Loss) (unaudited) Three and Six Months Ended June 29, 2024 and July 1, 2023</w:t>
              </w:r>
            </w:hyperlink>
          </w:p>
        </w:tc>
        <w:tc>
          <w:tcPr>
            <w:tcW w:w="1013" w:type="dxa"/>
            <w:tcBorders/>
            <w:vAlign w:val="center"/>
          </w:tcPr>
          <w:p>
            <w:pPr>
              <w:pStyle w:val="TableContents"/>
              <w:bidi w:val="0"/>
              <w:spacing w:before="0" w:after="283"/>
              <w:jc w:val="right"/>
              <w:rPr/>
            </w:pPr>
            <w:hyperlink w:anchor="compinc">
              <w:r>
                <w:rPr>
                  <w:rStyle w:val="InternetLink"/>
                </w:rPr>
                <w:t>5</w:t>
              </w:r>
            </w:hyperlink>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Condensed Consolidated Statements of Stockholders’ Equity (unaudited) Three and Six Months Ended June 29, 2024 and July 1, 2023</w:t>
              </w:r>
            </w:hyperlink>
          </w:p>
        </w:tc>
        <w:tc>
          <w:tcPr>
            <w:tcW w:w="1013" w:type="dxa"/>
            <w:tcBorders/>
            <w:vAlign w:val="center"/>
          </w:tcPr>
          <w:p>
            <w:pPr>
              <w:pStyle w:val="TableContents"/>
              <w:bidi w:val="0"/>
              <w:spacing w:before="0" w:after="283"/>
              <w:jc w:val="right"/>
              <w:rPr/>
            </w:pPr>
            <w:hyperlink w:anchor="equity">
              <w:r>
                <w:rPr>
                  <w:rStyle w:val="InternetLink"/>
                </w:rPr>
                <w:t>6</w:t>
              </w:r>
            </w:hyperlink>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317"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rPr>
                <w:t>Condensed Consolidated Statements of Cash Flows (unaudited) Six Months Ended June 29, 2024 and July 1, 2023</w:t>
              </w:r>
            </w:hyperlink>
          </w:p>
        </w:tc>
        <w:tc>
          <w:tcPr>
            <w:tcW w:w="1013" w:type="dxa"/>
            <w:tcBorders/>
            <w:vAlign w:val="center"/>
          </w:tcPr>
          <w:p>
            <w:pPr>
              <w:pStyle w:val="TableContents"/>
              <w:bidi w:val="0"/>
              <w:spacing w:before="0" w:after="283"/>
              <w:jc w:val="right"/>
              <w:rPr/>
            </w:pPr>
            <w:hyperlink w:anchor="cashflow">
              <w:r>
                <w:rPr>
                  <w:rStyle w:val="InternetLink"/>
                </w:rPr>
                <w:t>7</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caps w:val="false"/>
                <w:smallCaps w:val="false"/>
              </w:rPr>
            </w:pPr>
            <w:r>
              <w:rPr>
                <w:caps w:val="false"/>
                <w:smallCaps w:val="false"/>
              </w:rPr>
              <w:t> </w:t>
            </w:r>
          </w:p>
        </w:tc>
        <w:tc>
          <w:tcPr>
            <w:tcW w:w="8317"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Unaudited Condensed Consolidated Financial Statements</w:t>
              </w:r>
            </w:hyperlink>
          </w:p>
        </w:tc>
        <w:tc>
          <w:tcPr>
            <w:tcW w:w="1013" w:type="dxa"/>
            <w:tcBorders/>
            <w:vAlign w:val="center"/>
          </w:tcPr>
          <w:p>
            <w:pPr>
              <w:pStyle w:val="TableContents"/>
              <w:bidi w:val="0"/>
              <w:spacing w:before="0" w:after="283"/>
              <w:jc w:val="right"/>
              <w:rPr/>
            </w:pPr>
            <w:hyperlink w:anchor="notes">
              <w:r>
                <w:rPr>
                  <w:rStyle w:val="InternetLink"/>
                </w:rPr>
                <w:t>8</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317"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1013" w:type="dxa"/>
            <w:tcBorders/>
            <w:vAlign w:val="center"/>
          </w:tcPr>
          <w:p>
            <w:pPr>
              <w:pStyle w:val="TableContents"/>
              <w:bidi w:val="0"/>
              <w:spacing w:before="0" w:after="283"/>
              <w:jc w:val="right"/>
              <w:rPr/>
            </w:pPr>
            <w:hyperlink w:anchor="mda">
              <w:r>
                <w:rPr>
                  <w:rStyle w:val="InternetLink"/>
                </w:rPr>
                <w:t>27</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317" w:type="dxa"/>
            <w:tcBorders/>
            <w:vAlign w:val="center"/>
          </w:tcPr>
          <w:p>
            <w:pPr>
              <w:pStyle w:val="TableContents"/>
              <w:bidi w:val="0"/>
              <w:spacing w:before="0" w:after="0"/>
              <w:ind w:left="0" w:right="0" w:hanging="0"/>
              <w:jc w:val="both"/>
              <w:rPr/>
            </w:pPr>
            <w:hyperlink w:anchor="item3">
              <w:r>
                <w:rPr>
                  <w:rStyle w:val="InternetLink"/>
                  <w:rFonts w:ascii="Times New Roman" w:hAnsi="Times New Roman"/>
                  <w:caps w:val="false"/>
                  <w:smallCaps w:val="false"/>
                  <w:sz w:val="20"/>
                </w:rPr>
                <w:t>Quantitative and Qualitative Disclosures About Market Risk</w:t>
              </w:r>
            </w:hyperlink>
          </w:p>
        </w:tc>
        <w:tc>
          <w:tcPr>
            <w:tcW w:w="1013" w:type="dxa"/>
            <w:tcBorders/>
            <w:vAlign w:val="center"/>
          </w:tcPr>
          <w:p>
            <w:pPr>
              <w:pStyle w:val="TableContents"/>
              <w:bidi w:val="0"/>
              <w:spacing w:before="0" w:after="283"/>
              <w:jc w:val="right"/>
              <w:rPr/>
            </w:pPr>
            <w:hyperlink w:anchor="item3">
              <w:r>
                <w:rPr>
                  <w:rStyle w:val="InternetLink"/>
                </w:rPr>
                <w:t>37</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317" w:type="dxa"/>
            <w:tcBorders/>
            <w:vAlign w:val="center"/>
          </w:tcPr>
          <w:p>
            <w:pPr>
              <w:pStyle w:val="TableContents"/>
              <w:bidi w:val="0"/>
              <w:spacing w:before="0" w:after="0"/>
              <w:ind w:left="0" w:right="0" w:hanging="0"/>
              <w:jc w:val="both"/>
              <w:rPr/>
            </w:pPr>
            <w:hyperlink w:anchor="item4">
              <w:r>
                <w:rPr>
                  <w:rStyle w:val="InternetLink"/>
                  <w:rFonts w:ascii="Times New Roman" w:hAnsi="Times New Roman"/>
                  <w:caps w:val="false"/>
                  <w:smallCaps w:val="false"/>
                  <w:sz w:val="20"/>
                </w:rPr>
                <w:t>Controls and Procedures</w:t>
              </w:r>
            </w:hyperlink>
          </w:p>
        </w:tc>
        <w:tc>
          <w:tcPr>
            <w:tcW w:w="1013" w:type="dxa"/>
            <w:tcBorders/>
            <w:vAlign w:val="center"/>
          </w:tcPr>
          <w:p>
            <w:pPr>
              <w:pStyle w:val="TableContents"/>
              <w:bidi w:val="0"/>
              <w:spacing w:before="0" w:after="283"/>
              <w:jc w:val="right"/>
              <w:rPr/>
            </w:pPr>
            <w:hyperlink w:anchor="item4">
              <w:r>
                <w:rPr>
                  <w:rStyle w:val="InternetLink"/>
                </w:rPr>
                <w:t>38</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Part II</w:t>
            </w:r>
          </w:p>
        </w:tc>
        <w:tc>
          <w:tcPr>
            <w:tcW w:w="8317"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w:t>
            </w:r>
          </w:p>
        </w:tc>
        <w:tc>
          <w:tcPr>
            <w:tcW w:w="8317" w:type="dxa"/>
            <w:tcBorders/>
            <w:vAlign w:val="center"/>
          </w:tcPr>
          <w:p>
            <w:pPr>
              <w:pStyle w:val="TableContents"/>
              <w:bidi w:val="0"/>
              <w:spacing w:before="0" w:after="0"/>
              <w:ind w:left="0" w:right="0" w:hanging="0"/>
              <w:jc w:val="both"/>
              <w:rPr/>
            </w:pPr>
            <w:hyperlink w:anchor="legal">
              <w:r>
                <w:rPr>
                  <w:rStyle w:val="InternetLink"/>
                  <w:rFonts w:ascii="Times New Roman" w:hAnsi="Times New Roman"/>
                  <w:caps w:val="false"/>
                  <w:smallCaps w:val="false"/>
                  <w:sz w:val="20"/>
                </w:rPr>
                <w:t>Legal Proceedings</w:t>
              </w:r>
            </w:hyperlink>
          </w:p>
        </w:tc>
        <w:tc>
          <w:tcPr>
            <w:tcW w:w="1013" w:type="dxa"/>
            <w:tcBorders/>
            <w:vAlign w:val="center"/>
          </w:tcPr>
          <w:p>
            <w:pPr>
              <w:pStyle w:val="TableContents"/>
              <w:bidi w:val="0"/>
              <w:spacing w:before="0" w:after="283"/>
              <w:jc w:val="right"/>
              <w:rPr/>
            </w:pPr>
            <w:hyperlink w:anchor="legal">
              <w:r>
                <w:rPr>
                  <w:rStyle w:val="InternetLink"/>
                </w:rPr>
                <w:t>39</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1A.</w:t>
            </w:r>
          </w:p>
        </w:tc>
        <w:tc>
          <w:tcPr>
            <w:tcW w:w="8317" w:type="dxa"/>
            <w:tcBorders/>
            <w:vAlign w:val="center"/>
          </w:tcPr>
          <w:p>
            <w:pPr>
              <w:pStyle w:val="TableContents"/>
              <w:bidi w:val="0"/>
              <w:spacing w:before="0" w:after="0"/>
              <w:ind w:left="0" w:right="0" w:hanging="0"/>
              <w:jc w:val="both"/>
              <w:rPr/>
            </w:pPr>
            <w:hyperlink w:anchor="risk">
              <w:r>
                <w:rPr>
                  <w:rStyle w:val="InternetLink"/>
                  <w:rFonts w:ascii="Times New Roman" w:hAnsi="Times New Roman"/>
                  <w:caps w:val="false"/>
                  <w:smallCaps w:val="false"/>
                  <w:sz w:val="20"/>
                </w:rPr>
                <w:t>Risk Factors</w:t>
              </w:r>
            </w:hyperlink>
          </w:p>
        </w:tc>
        <w:tc>
          <w:tcPr>
            <w:tcW w:w="1013" w:type="dxa"/>
            <w:tcBorders/>
            <w:vAlign w:val="center"/>
          </w:tcPr>
          <w:p>
            <w:pPr>
              <w:pStyle w:val="TableContents"/>
              <w:bidi w:val="0"/>
              <w:spacing w:before="0" w:after="283"/>
              <w:jc w:val="right"/>
              <w:rPr/>
            </w:pPr>
            <w:hyperlink w:anchor="risk">
              <w:r>
                <w:rPr>
                  <w:rStyle w:val="InternetLink"/>
                </w:rPr>
                <w:t>39</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2.</w:t>
            </w:r>
          </w:p>
        </w:tc>
        <w:tc>
          <w:tcPr>
            <w:tcW w:w="8317" w:type="dxa"/>
            <w:tcBorders/>
            <w:vAlign w:val="center"/>
          </w:tcPr>
          <w:p>
            <w:pPr>
              <w:pStyle w:val="TableContents"/>
              <w:bidi w:val="0"/>
              <w:spacing w:before="0" w:after="0"/>
              <w:ind w:left="0" w:right="0" w:hanging="0"/>
              <w:jc w:val="both"/>
              <w:rPr/>
            </w:pPr>
            <w:hyperlink w:anchor="unreg">
              <w:r>
                <w:rPr>
                  <w:rStyle w:val="InternetLink"/>
                  <w:rFonts w:ascii="Times New Roman" w:hAnsi="Times New Roman"/>
                  <w:caps w:val="false"/>
                  <w:smallCaps w:val="false"/>
                  <w:sz w:val="20"/>
                </w:rPr>
                <w:t>Unregistered Sales of Equity Securities and Use of Proceeds</w:t>
              </w:r>
            </w:hyperlink>
          </w:p>
        </w:tc>
        <w:tc>
          <w:tcPr>
            <w:tcW w:w="1013" w:type="dxa"/>
            <w:tcBorders/>
            <w:vAlign w:val="center"/>
          </w:tcPr>
          <w:p>
            <w:pPr>
              <w:pStyle w:val="TableContents"/>
              <w:bidi w:val="0"/>
              <w:spacing w:before="0" w:after="283"/>
              <w:jc w:val="right"/>
              <w:rPr/>
            </w:pPr>
            <w:hyperlink w:anchor="unreg">
              <w:r>
                <w:rPr>
                  <w:rStyle w:val="InternetLink"/>
                </w:rPr>
                <w:t>39</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3.</w:t>
            </w:r>
          </w:p>
        </w:tc>
        <w:tc>
          <w:tcPr>
            <w:tcW w:w="8317" w:type="dxa"/>
            <w:tcBorders/>
            <w:vAlign w:val="center"/>
          </w:tcPr>
          <w:p>
            <w:pPr>
              <w:pStyle w:val="TableContents"/>
              <w:bidi w:val="0"/>
              <w:spacing w:before="0" w:after="0"/>
              <w:ind w:left="0" w:right="0" w:hanging="0"/>
              <w:jc w:val="both"/>
              <w:rPr/>
            </w:pPr>
            <w:hyperlink w:anchor="defaults">
              <w:r>
                <w:rPr>
                  <w:rStyle w:val="InternetLink"/>
                  <w:rFonts w:ascii="Times New Roman" w:hAnsi="Times New Roman"/>
                  <w:caps w:val="false"/>
                  <w:smallCaps w:val="false"/>
                  <w:sz w:val="20"/>
                </w:rPr>
                <w:t>Defaults Upon Senior Securities</w:t>
              </w:r>
            </w:hyperlink>
          </w:p>
        </w:tc>
        <w:tc>
          <w:tcPr>
            <w:tcW w:w="1013" w:type="dxa"/>
            <w:tcBorders/>
            <w:vAlign w:val="center"/>
          </w:tcPr>
          <w:p>
            <w:pPr>
              <w:pStyle w:val="TableContents"/>
              <w:bidi w:val="0"/>
              <w:spacing w:before="0" w:after="283"/>
              <w:jc w:val="right"/>
              <w:rPr/>
            </w:pPr>
            <w:hyperlink w:anchor="defaults">
              <w:r>
                <w:rPr>
                  <w:rStyle w:val="InternetLink"/>
                </w:rPr>
                <w:t>40</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4.</w:t>
            </w:r>
          </w:p>
        </w:tc>
        <w:tc>
          <w:tcPr>
            <w:tcW w:w="8317" w:type="dxa"/>
            <w:tcBorders/>
            <w:vAlign w:val="center"/>
          </w:tcPr>
          <w:p>
            <w:pPr>
              <w:pStyle w:val="TableContents"/>
              <w:bidi w:val="0"/>
              <w:spacing w:before="0" w:after="0"/>
              <w:ind w:left="0" w:right="0" w:hanging="0"/>
              <w:jc w:val="both"/>
              <w:rPr/>
            </w:pPr>
            <w:hyperlink w:anchor="mine">
              <w:r>
                <w:rPr>
                  <w:rStyle w:val="InternetLink"/>
                  <w:rFonts w:ascii="Times New Roman" w:hAnsi="Times New Roman"/>
                  <w:caps w:val="false"/>
                  <w:smallCaps w:val="false"/>
                  <w:sz w:val="20"/>
                </w:rPr>
                <w:t>Mine Safety Disclosures</w:t>
              </w:r>
            </w:hyperlink>
          </w:p>
        </w:tc>
        <w:tc>
          <w:tcPr>
            <w:tcW w:w="1013" w:type="dxa"/>
            <w:tcBorders/>
            <w:vAlign w:val="center"/>
          </w:tcPr>
          <w:p>
            <w:pPr>
              <w:pStyle w:val="TableContents"/>
              <w:bidi w:val="0"/>
              <w:spacing w:before="0" w:after="283"/>
              <w:jc w:val="right"/>
              <w:rPr/>
            </w:pPr>
            <w:hyperlink w:anchor="mine">
              <w:r>
                <w:rPr>
                  <w:rStyle w:val="InternetLink"/>
                </w:rPr>
                <w:t>40</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5.</w:t>
            </w:r>
          </w:p>
        </w:tc>
        <w:tc>
          <w:tcPr>
            <w:tcW w:w="8317" w:type="dxa"/>
            <w:tcBorders/>
            <w:vAlign w:val="center"/>
          </w:tcPr>
          <w:p>
            <w:pPr>
              <w:pStyle w:val="TableContents"/>
              <w:bidi w:val="0"/>
              <w:spacing w:before="0" w:after="0"/>
              <w:ind w:left="0" w:right="0" w:hanging="0"/>
              <w:jc w:val="both"/>
              <w:rPr/>
            </w:pPr>
            <w:hyperlink w:anchor="other">
              <w:r>
                <w:rPr>
                  <w:rStyle w:val="InternetLink"/>
                  <w:rFonts w:ascii="Times New Roman" w:hAnsi="Times New Roman"/>
                  <w:caps w:val="false"/>
                  <w:smallCaps w:val="false"/>
                  <w:sz w:val="20"/>
                </w:rPr>
                <w:t>Other Information</w:t>
              </w:r>
            </w:hyperlink>
          </w:p>
        </w:tc>
        <w:tc>
          <w:tcPr>
            <w:tcW w:w="1013" w:type="dxa"/>
            <w:tcBorders/>
            <w:vAlign w:val="center"/>
          </w:tcPr>
          <w:p>
            <w:pPr>
              <w:pStyle w:val="TableContents"/>
              <w:bidi w:val="0"/>
              <w:spacing w:before="0" w:after="283"/>
              <w:jc w:val="right"/>
              <w:rPr/>
            </w:pPr>
            <w:hyperlink w:anchor="other">
              <w:r>
                <w:rPr>
                  <w:rStyle w:val="InternetLink"/>
                </w:rPr>
                <w:t>40</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Item 6.</w:t>
            </w:r>
          </w:p>
        </w:tc>
        <w:tc>
          <w:tcPr>
            <w:tcW w:w="8317" w:type="dxa"/>
            <w:tcBorders/>
            <w:vAlign w:val="center"/>
          </w:tcPr>
          <w:p>
            <w:pPr>
              <w:pStyle w:val="TableContents"/>
              <w:bidi w:val="0"/>
              <w:spacing w:before="0" w:after="0"/>
              <w:ind w:left="0" w:right="0" w:hanging="0"/>
              <w:jc w:val="both"/>
              <w:rPr/>
            </w:pPr>
            <w:hyperlink w:anchor="exhibits">
              <w:r>
                <w:rPr>
                  <w:rStyle w:val="InternetLink"/>
                  <w:rFonts w:ascii="Times New Roman" w:hAnsi="Times New Roman"/>
                  <w:caps w:val="false"/>
                  <w:smallCaps w:val="false"/>
                  <w:sz w:val="20"/>
                </w:rPr>
                <w:t>Exhibits</w:t>
              </w:r>
            </w:hyperlink>
          </w:p>
        </w:tc>
        <w:tc>
          <w:tcPr>
            <w:tcW w:w="1013" w:type="dxa"/>
            <w:tcBorders/>
            <w:vAlign w:val="center"/>
          </w:tcPr>
          <w:p>
            <w:pPr>
              <w:pStyle w:val="TableContents"/>
              <w:bidi w:val="0"/>
              <w:spacing w:before="0" w:after="283"/>
              <w:jc w:val="right"/>
              <w:rPr/>
            </w:pPr>
            <w:hyperlink w:anchor="exhibits">
              <w:r>
                <w:rPr>
                  <w:rStyle w:val="InternetLink"/>
                </w:rPr>
                <w:t>41</w:t>
              </w:r>
            </w:hyperlink>
          </w:p>
        </w:tc>
      </w:tr>
      <w:tr>
        <w:trPr/>
        <w:tc>
          <w:tcPr>
            <w:tcW w:w="875" w:type="dxa"/>
            <w:tcBorders/>
            <w:vAlign w:val="center"/>
          </w:tcPr>
          <w:p>
            <w:pPr>
              <w:pStyle w:val="TableContents"/>
              <w:bidi w:val="0"/>
              <w:spacing w:before="0" w:after="283"/>
              <w:jc w:val="left"/>
              <w:rPr/>
            </w:pPr>
            <w:r>
              <w:rPr/>
              <w:t> </w:t>
            </w:r>
          </w:p>
        </w:tc>
        <w:tc>
          <w:tcPr>
            <w:tcW w:w="8317"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875" w:type="dxa"/>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20"/>
                </w:rPr>
                <w:t>Signatures</w:t>
              </w:r>
            </w:hyperlink>
          </w:p>
        </w:tc>
        <w:tc>
          <w:tcPr>
            <w:tcW w:w="831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3" w:type="dxa"/>
            <w:tcBorders/>
            <w:vAlign w:val="center"/>
          </w:tcPr>
          <w:p>
            <w:pPr>
              <w:pStyle w:val="TableContents"/>
              <w:bidi w:val="0"/>
              <w:spacing w:before="0" w:after="283"/>
              <w:jc w:val="right"/>
              <w:rPr/>
            </w:pPr>
            <w:hyperlink w:anchor="sigs">
              <w:r>
                <w:rPr>
                  <w:rStyle w:val="InternetLink"/>
                </w:rPr>
                <w:t>42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605" w:type="dxa"/>
        <w:jc w:val="left"/>
        <w:tblInd w:w="0" w:type="dxa"/>
        <w:tblLayout w:type="fixed"/>
        <w:tblCellMar>
          <w:top w:w="0" w:type="dxa"/>
          <w:left w:w="0" w:type="dxa"/>
          <w:bottom w:w="0" w:type="dxa"/>
          <w:right w:w="0" w:type="dxa"/>
        </w:tblCellMar>
      </w:tblPr>
      <w:tblGrid>
        <w:gridCol w:w="605"/>
      </w:tblGrid>
      <w:tr>
        <w:trPr/>
        <w:tc>
          <w:tcPr>
            <w:tcW w:w="6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w:t>
            </w:r>
          </w:p>
        </w:tc>
      </w:tr>
    </w:tbl>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3" w:name="bal"/>
            <w:bookmarkEnd w:id="3"/>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amounts)</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7856"/>
        <w:gridCol w:w="60"/>
        <w:gridCol w:w="127"/>
        <w:gridCol w:w="859"/>
        <w:gridCol w:w="80"/>
        <w:gridCol w:w="60"/>
        <w:gridCol w:w="139"/>
        <w:gridCol w:w="942"/>
        <w:gridCol w:w="82"/>
      </w:tblGrid>
      <w:tr>
        <w:trPr/>
        <w:tc>
          <w:tcPr>
            <w:tcW w:w="7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2" w:type="dxa"/>
            <w:tcBorders/>
            <w:vAlign w:val="center"/>
          </w:tcPr>
          <w:p>
            <w:pPr>
              <w:pStyle w:val="TableContents"/>
              <w:bidi w:val="0"/>
              <w:spacing w:before="0" w:after="283"/>
              <w:jc w:val="left"/>
              <w:rPr/>
            </w:pPr>
            <w:r>
              <w:rPr/>
              <w:t> </w:t>
            </w:r>
          </w:p>
        </w:tc>
      </w:tr>
      <w:tr>
        <w:trPr/>
        <w:tc>
          <w:tcPr>
            <w:tcW w:w="7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 *</w:t>
            </w:r>
          </w:p>
        </w:tc>
        <w:tc>
          <w:tcPr>
            <w:tcW w:w="82" w:type="dxa"/>
            <w:tcBorders/>
            <w:vAlign w:val="center"/>
          </w:tcPr>
          <w:p>
            <w:pPr>
              <w:pStyle w:val="TableContents"/>
              <w:bidi w:val="0"/>
              <w:spacing w:before="0" w:after="283"/>
              <w:jc w:val="left"/>
              <w:rPr/>
            </w:pPr>
            <w:r>
              <w:rPr/>
              <w:t> </w:t>
            </w:r>
          </w:p>
        </w:tc>
      </w:tr>
      <w:tr>
        <w:trPr/>
        <w:tc>
          <w:tcPr>
            <w:tcW w:w="78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6"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942"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124,624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155,793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17,696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5,007</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546,125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638,818</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151,770</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16,778</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4,551</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33,600</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31,897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14,589</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103,421</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23,154</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10,802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8,262</w:t>
            </w:r>
          </w:p>
        </w:tc>
        <w:tc>
          <w:tcPr>
            <w:tcW w:w="82" w:type="dxa"/>
            <w:tcBorders/>
            <w:shd w:fill="FFFFFF" w:val="clear"/>
            <w:vAlign w:val="center"/>
          </w:tcPr>
          <w:p>
            <w:pPr>
              <w:pStyle w:val="TableContents"/>
              <w:bidi w:val="0"/>
              <w:spacing w:before="0" w:after="283"/>
              <w:jc w:val="left"/>
              <w:rPr/>
            </w:pPr>
            <w:r>
              <w:rPr/>
              <w:t> </w:t>
            </w:r>
          </w:p>
        </w:tc>
      </w:tr>
      <w:tr>
        <w:trPr/>
        <w:tc>
          <w:tcPr>
            <w:tcW w:w="78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90,000 shares authorized, 49,507 shares issued and outstanding in 2024 and 49,429 shares in 2023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49,429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686,146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2,587 shares in 2024 and 2,253 shares in 2023</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(69,184</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318,558</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5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(34,779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950,170</w:t>
            </w:r>
          </w:p>
        </w:tc>
        <w:tc>
          <w:tcPr>
            <w:tcW w:w="82" w:type="dxa"/>
            <w:tcBorders/>
            <w:shd w:fill="CCEEFF" w:val="clear"/>
            <w:vAlign w:val="center"/>
          </w:tcPr>
          <w:p>
            <w:pPr>
              <w:pStyle w:val="TableContents"/>
              <w:bidi w:val="0"/>
              <w:spacing w:before="0" w:after="283"/>
              <w:jc w:val="left"/>
              <w:rPr/>
            </w:pPr>
            <w:r>
              <w:rPr/>
              <w:t> </w:t>
            </w:r>
          </w:p>
        </w:tc>
      </w:tr>
      <w:tr>
        <w:trPr/>
        <w:tc>
          <w:tcPr>
            <w:tcW w:w="78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1,150,352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Derived from December 30, 2023 audited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4" w:name="ops"/>
            <w:bookmarkEnd w:id="4"/>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tc>
      </w:tr>
    </w:tbl>
    <w:p>
      <w:pPr>
        <w:pStyle w:val="TextBody"/>
        <w:bidi w:val="0"/>
        <w:spacing w:before="0" w:after="0"/>
        <w:ind w:left="0" w:right="0" w:hanging="0"/>
        <w:jc w:val="left"/>
        <w:rPr/>
      </w:pPr>
      <w:r>
        <w:rPr/>
        <w:t> </w:t>
      </w:r>
    </w:p>
    <w:tbl>
      <w:tblPr>
        <w:tblW w:w="9380" w:type="dxa"/>
        <w:jc w:val="left"/>
        <w:tblInd w:w="0" w:type="dxa"/>
        <w:tblLayout w:type="fixed"/>
        <w:tblCellMar>
          <w:top w:w="0" w:type="dxa"/>
          <w:left w:w="0" w:type="dxa"/>
          <w:bottom w:w="0" w:type="dxa"/>
          <w:right w:w="0" w:type="dxa"/>
        </w:tblCellMar>
      </w:tblPr>
      <w:tblGrid>
        <w:gridCol w:w="5540"/>
        <w:gridCol w:w="60"/>
        <w:gridCol w:w="125"/>
        <w:gridCol w:w="695"/>
        <w:gridCol w:w="80"/>
        <w:gridCol w:w="60"/>
        <w:gridCol w:w="125"/>
        <w:gridCol w:w="695"/>
        <w:gridCol w:w="80"/>
        <w:gridCol w:w="60"/>
        <w:gridCol w:w="125"/>
        <w:gridCol w:w="695"/>
        <w:gridCol w:w="80"/>
        <w:gridCol w:w="60"/>
        <w:gridCol w:w="125"/>
        <w:gridCol w:w="695"/>
        <w:gridCol w:w="80"/>
      </w:tblGrid>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5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348,292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44,976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66,987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312,756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35,536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p>
        </w:tc>
        <w:tc>
          <w:tcPr>
            <w:tcW w:w="8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0.55</w:t>
            </w:r>
          </w:p>
        </w:tc>
        <w:tc>
          <w:tcPr>
            <w:tcW w:w="8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income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47,481</w:t>
            </w:r>
          </w:p>
        </w:tc>
        <w:tc>
          <w:tcPr>
            <w:tcW w:w="80" w:type="dxa"/>
            <w:tcBorders/>
            <w:shd w:fill="FFFFFF" w:val="clear"/>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48,099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(1)</w:t>
            </w:r>
          </w:p>
        </w:tc>
        <w:tc>
          <w:tcPr>
            <w:tcW w:w="999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Excludes amortization of $7,486 and $7,102 for the three months ended June 29, 2024 and July 1, 2023, respectively, and $15,008 and $13,993 for the six months ended June 29, 2024 and July 1, 2023,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7805" w:type="dxa"/>
        <w:jc w:val="left"/>
        <w:tblInd w:w="0" w:type="dxa"/>
        <w:tblLayout w:type="fixed"/>
        <w:tblCellMar>
          <w:top w:w="0" w:type="dxa"/>
          <w:left w:w="0" w:type="dxa"/>
          <w:bottom w:w="0" w:type="dxa"/>
          <w:right w:w="0" w:type="dxa"/>
        </w:tblCellMar>
      </w:tblPr>
      <w:tblGrid>
        <w:gridCol w:w="7805"/>
      </w:tblGrid>
      <w:tr>
        <w:trPr/>
        <w:tc>
          <w:tcPr>
            <w:tcW w:w="78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compinc"/>
            <w:bookmarkEnd w:id="5"/>
            <w:r>
              <w:rPr>
                <w:rFonts w:ascii="Times New Roman" w:hAnsi="Times New Roman"/>
                <w:b/>
                <w:caps w:val="false"/>
                <w:smallCaps w:val="false"/>
                <w:sz w:val="20"/>
              </w:rPr>
              <w:t>COHU, INC.</w:t>
            </w:r>
          </w:p>
        </w:tc>
      </w:tr>
      <w:tr>
        <w:trPr/>
        <w:tc>
          <w:tcPr>
            <w:tcW w:w="780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(LOSS)</w:t>
            </w:r>
          </w:p>
        </w:tc>
      </w:tr>
      <w:tr>
        <w:trPr/>
        <w:tc>
          <w:tcPr>
            <w:tcW w:w="78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78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7431" w:type="dxa"/>
        <w:jc w:val="left"/>
        <w:tblInd w:w="0" w:type="dxa"/>
        <w:tblLayout w:type="fixed"/>
        <w:tblCellMar>
          <w:top w:w="0" w:type="dxa"/>
          <w:left w:w="0" w:type="dxa"/>
          <w:bottom w:w="0" w:type="dxa"/>
          <w:right w:w="0" w:type="dxa"/>
        </w:tblCellMar>
      </w:tblPr>
      <w:tblGrid>
        <w:gridCol w:w="3815"/>
        <w:gridCol w:w="60"/>
        <w:gridCol w:w="132"/>
        <w:gridCol w:w="689"/>
        <w:gridCol w:w="84"/>
        <w:gridCol w:w="63"/>
        <w:gridCol w:w="132"/>
        <w:gridCol w:w="626"/>
        <w:gridCol w:w="80"/>
        <w:gridCol w:w="60"/>
        <w:gridCol w:w="125"/>
        <w:gridCol w:w="650"/>
        <w:gridCol w:w="80"/>
        <w:gridCol w:w="60"/>
        <w:gridCol w:w="125"/>
        <w:gridCol w:w="590"/>
        <w:gridCol w:w="6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(3,016</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w:t>
            </w:r>
          </w:p>
        </w:tc>
        <w:tc>
          <w:tcPr>
            <w:tcW w:w="6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w:t>
            </w:r>
          </w:p>
        </w:tc>
        <w:tc>
          <w:tcPr>
            <w:tcW w:w="6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(18,435</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6" w:name="equity"/>
            <w:bookmarkEnd w:id="6"/>
            <w:r>
              <w:rPr>
                <w:rFonts w:ascii="Times New Roman" w:hAnsi="Times New Roman"/>
                <w:b/>
                <w:caps w:val="false"/>
                <w:smallCaps w:val="false"/>
                <w:sz w:val="20"/>
              </w:rPr>
              <w:t>COHU, INC.</w:t>
            </w:r>
          </w:p>
        </w:tc>
      </w:tr>
      <w:tr>
        <w:trPr/>
        <w:tc>
          <w:tcPr>
            <w:tcW w:w="7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par value and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42"/>
        <w:gridCol w:w="60"/>
        <w:gridCol w:w="159"/>
        <w:gridCol w:w="753"/>
        <w:gridCol w:w="60"/>
        <w:gridCol w:w="60"/>
        <w:gridCol w:w="110"/>
        <w:gridCol w:w="605"/>
        <w:gridCol w:w="80"/>
        <w:gridCol w:w="60"/>
        <w:gridCol w:w="110"/>
        <w:gridCol w:w="605"/>
        <w:gridCol w:w="80"/>
        <w:gridCol w:w="60"/>
        <w:gridCol w:w="173"/>
        <w:gridCol w:w="912"/>
        <w:gridCol w:w="80"/>
        <w:gridCol w:w="60"/>
        <w:gridCol w:w="110"/>
        <w:gridCol w:w="575"/>
        <w:gridCol w:w="80"/>
        <w:gridCol w:w="60"/>
        <w:gridCol w:w="110"/>
        <w:gridCol w:w="605"/>
        <w:gridCol w:w="96"/>
      </w:tblGrid>
      <w:tr>
        <w:trPr/>
        <w:tc>
          <w:tcPr>
            <w:tcW w:w="4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rStyle w:val="Emphasis"/>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rStyle w:val="Emphasis"/>
              </w:rPr>
              <w:t> </w:t>
            </w:r>
          </w:p>
        </w:tc>
        <w:tc>
          <w:tcPr>
            <w:tcW w:w="96" w:type="dxa"/>
            <w:tcBorders/>
            <w:vAlign w:val="center"/>
          </w:tcPr>
          <w:p>
            <w:pPr>
              <w:pStyle w:val="TableContents"/>
              <w:bidi w:val="0"/>
              <w:spacing w:before="0" w:after="283"/>
              <w:jc w:val="left"/>
              <w:rPr/>
            </w:pPr>
            <w:r>
              <w:rPr/>
              <w:t> </w:t>
            </w:r>
          </w:p>
        </w:tc>
      </w:tr>
      <w:tr>
        <w:trPr/>
        <w:tc>
          <w:tcPr>
            <w:tcW w:w="45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rStyle w:val="Emphasis"/>
              </w:rPr>
              <w:t> </w:t>
            </w:r>
          </w:p>
        </w:tc>
        <w:tc>
          <w:tcPr>
            <w:tcW w:w="96" w:type="dxa"/>
            <w:tcBorders/>
            <w:vAlign w:val="center"/>
          </w:tcPr>
          <w:p>
            <w:pPr>
              <w:pStyle w:val="TableContents"/>
              <w:bidi w:val="0"/>
              <w:spacing w:before="0" w:after="283"/>
              <w:ind w:left="0" w:right="0" w:hanging="0"/>
              <w:jc w:val="left"/>
              <w:rPr/>
            </w:pPr>
            <w:r>
              <w:rPr/>
              <w:t> </w:t>
            </w:r>
          </w:p>
        </w:tc>
      </w:tr>
      <w:tr>
        <w:trPr/>
        <w:tc>
          <w:tcPr>
            <w:tcW w:w="454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29, 2024</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$1 par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8"/>
              </w:rPr>
              <w:t>Total</w:t>
            </w:r>
          </w:p>
        </w:tc>
        <w:tc>
          <w:tcPr>
            <w:tcW w:w="96" w:type="dxa"/>
            <w:tcBorders/>
            <w:vAlign w:val="center"/>
          </w:tcPr>
          <w:p>
            <w:pPr>
              <w:pStyle w:val="TableContents"/>
              <w:bidi w:val="0"/>
              <w:spacing w:before="0" w:after="283"/>
              <w:ind w:left="0" w:right="0" w:hanging="0"/>
              <w:jc w:val="left"/>
              <w:rPr/>
            </w:pPr>
            <w:r>
              <w:rPr/>
              <w:t> </w:t>
            </w:r>
          </w:p>
        </w:tc>
      </w:tr>
      <w:tr>
        <w:trPr/>
        <w:tc>
          <w:tcPr>
            <w:tcW w:w="454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March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679,012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303,923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(44,287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(72,720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915,357</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4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(15,769</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4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(3,016</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4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356</w:t>
            </w:r>
          </w:p>
        </w:tc>
        <w:tc>
          <w:tcPr>
            <w:tcW w:w="96" w:type="dxa"/>
            <w:tcBorders/>
            <w:shd w:fill="FFFFFF" w:val="clear"/>
            <w:vAlign w:val="center"/>
          </w:tcPr>
          <w:p>
            <w:pPr>
              <w:pStyle w:val="TableContents"/>
              <w:bidi w:val="0"/>
              <w:spacing w:before="0" w:after="283"/>
              <w:jc w:val="left"/>
              <w:rPr/>
            </w:pPr>
            <w:r>
              <w:rPr/>
              <w:t> </w:t>
            </w:r>
          </w:p>
        </w:tc>
      </w:tr>
      <w:tr>
        <w:trPr/>
        <w:tc>
          <w:tcPr>
            <w:tcW w:w="454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4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2,002</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42"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CCEEFF" w:val="clear"/>
            <w:vAlign w:val="center"/>
          </w:tcPr>
          <w:p>
            <w:pPr>
              <w:pStyle w:val="TableContents"/>
              <w:bidi w:val="0"/>
              <w:spacing w:before="0" w:after="283"/>
              <w:ind w:left="0" w:right="0" w:hanging="0"/>
              <w:jc w:val="left"/>
              <w:rPr/>
            </w:pPr>
            <w:r>
              <w:rPr/>
              <w:t> </w:t>
            </w:r>
          </w:p>
        </w:tc>
      </w:tr>
      <w:tr>
        <w:trPr/>
        <w:tc>
          <w:tcPr>
            <w:tcW w:w="4542"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75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96"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4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53"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(8,260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(8,260</w:t>
            </w:r>
          </w:p>
        </w:tc>
        <w:tc>
          <w:tcPr>
            <w:tcW w:w="96"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542"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5,583</w:t>
            </w:r>
          </w:p>
        </w:tc>
        <w:tc>
          <w:tcPr>
            <w:tcW w:w="96" w:type="dxa"/>
            <w:tcBorders/>
            <w:shd w:fill="FFFFFF" w:val="clear"/>
            <w:vAlign w:val="center"/>
          </w:tcPr>
          <w:p>
            <w:pPr>
              <w:pStyle w:val="TableContents"/>
              <w:bidi w:val="0"/>
              <w:spacing w:before="0" w:after="283"/>
              <w:ind w:left="0" w:right="0" w:hanging="0"/>
              <w:jc w:val="left"/>
              <w:rPr/>
            </w:pPr>
            <w:r>
              <w:rPr/>
              <w:t> </w:t>
            </w:r>
          </w:p>
        </w:tc>
      </w:tr>
      <w:tr>
        <w:trPr/>
        <w:tc>
          <w:tcPr>
            <w:tcW w:w="45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29, 2024</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685,522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288,154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896,210</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30" w:type="dxa"/>
        <w:jc w:val="left"/>
        <w:tblInd w:w="0" w:type="dxa"/>
        <w:tblLayout w:type="fixed"/>
        <w:tblCellMar>
          <w:top w:w="0" w:type="dxa"/>
          <w:left w:w="0" w:type="dxa"/>
          <w:bottom w:w="28" w:type="dxa"/>
          <w:right w:w="0" w:type="dxa"/>
        </w:tblCellMar>
      </w:tblPr>
      <w:tblGrid>
        <w:gridCol w:w="4655"/>
        <w:gridCol w:w="60"/>
        <w:gridCol w:w="110"/>
        <w:gridCol w:w="515"/>
        <w:gridCol w:w="60"/>
        <w:gridCol w:w="60"/>
        <w:gridCol w:w="110"/>
        <w:gridCol w:w="605"/>
        <w:gridCol w:w="80"/>
        <w:gridCol w:w="60"/>
        <w:gridCol w:w="110"/>
        <w:gridCol w:w="605"/>
        <w:gridCol w:w="80"/>
        <w:gridCol w:w="60"/>
        <w:gridCol w:w="110"/>
        <w:gridCol w:w="575"/>
        <w:gridCol w:w="80"/>
        <w:gridCol w:w="60"/>
        <w:gridCol w:w="110"/>
        <w:gridCol w:w="575"/>
        <w:gridCol w:w="80"/>
        <w:gridCol w:w="60"/>
        <w:gridCol w:w="110"/>
        <w:gridCol w:w="605"/>
        <w:gridCol w:w="95"/>
      </w:tblGrid>
      <w:tr>
        <w:trPr/>
        <w:tc>
          <w:tcPr>
            <w:tcW w:w="46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29, 2024</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30,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49,429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686,146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318,558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(34,779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(69,184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950,170</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(30,404</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(30,404</w:t>
            </w:r>
          </w:p>
        </w:tc>
        <w:tc>
          <w:tcPr>
            <w:tcW w:w="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(12,423</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351</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w:t>
            </w:r>
          </w:p>
        </w:tc>
        <w:tc>
          <w:tcPr>
            <w:tcW w:w="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2,002</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(12,676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12,676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(4,571</w:t>
            </w:r>
          </w:p>
        </w:tc>
        <w:tc>
          <w:tcPr>
            <w:tcW w:w="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(19,024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(19,024</w:t>
            </w:r>
          </w:p>
        </w:tc>
        <w:tc>
          <w:tcPr>
            <w:tcW w:w="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bottom w:val="single" w:sz="2" w:space="0" w:color="000000"/>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10,211</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10,211</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29, 2024</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49,507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685,522</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288,154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(46,953</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(80,020</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896,210</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610" w:type="dxa"/>
        <w:jc w:val="left"/>
        <w:tblInd w:w="0" w:type="dxa"/>
        <w:tblLayout w:type="fixed"/>
        <w:tblCellMar>
          <w:top w:w="0" w:type="dxa"/>
          <w:left w:w="0" w:type="dxa"/>
          <w:bottom w:w="28" w:type="dxa"/>
          <w:right w:w="0" w:type="dxa"/>
        </w:tblCellMar>
      </w:tblPr>
      <w:tblGrid>
        <w:gridCol w:w="4655"/>
        <w:gridCol w:w="60"/>
        <w:gridCol w:w="110"/>
        <w:gridCol w:w="515"/>
        <w:gridCol w:w="60"/>
        <w:gridCol w:w="60"/>
        <w:gridCol w:w="110"/>
        <w:gridCol w:w="605"/>
        <w:gridCol w:w="80"/>
        <w:gridCol w:w="60"/>
        <w:gridCol w:w="110"/>
        <w:gridCol w:w="605"/>
        <w:gridCol w:w="60"/>
        <w:gridCol w:w="60"/>
        <w:gridCol w:w="110"/>
        <w:gridCol w:w="575"/>
        <w:gridCol w:w="80"/>
        <w:gridCol w:w="60"/>
        <w:gridCol w:w="110"/>
        <w:gridCol w:w="575"/>
        <w:gridCol w:w="80"/>
        <w:gridCol w:w="60"/>
        <w:gridCol w:w="110"/>
        <w:gridCol w:w="605"/>
        <w:gridCol w:w="95"/>
      </w:tblGrid>
      <w:tr>
        <w:trPr/>
        <w:tc>
          <w:tcPr>
            <w:tcW w:w="46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July 1, 2023</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April 1,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671,204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306,087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(37,009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(50,786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938,779</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10,584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10,584</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358</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1,904</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1,158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(57</w:t>
            </w:r>
          </w:p>
        </w:tc>
        <w:tc>
          <w:tcPr>
            <w:tcW w:w="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(2,699</w:t>
            </w:r>
          </w:p>
        </w:tc>
        <w:tc>
          <w:tcPr>
            <w:tcW w:w="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bottom w:val="single" w:sz="2" w:space="0" w:color="000000"/>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4,432</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4,432</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July 1, 2023</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49,350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676,309</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316,671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(36,559</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(52,378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953,393</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0" w:type="dxa"/>
        <w:jc w:val="left"/>
        <w:tblInd w:w="0" w:type="dxa"/>
        <w:tblLayout w:type="fixed"/>
        <w:tblCellMar>
          <w:top w:w="0" w:type="dxa"/>
          <w:left w:w="0" w:type="dxa"/>
          <w:bottom w:w="28" w:type="dxa"/>
          <w:right w:w="0" w:type="dxa"/>
        </w:tblCellMar>
      </w:tblPr>
      <w:tblGrid>
        <w:gridCol w:w="4655"/>
        <w:gridCol w:w="60"/>
        <w:gridCol w:w="110"/>
        <w:gridCol w:w="515"/>
        <w:gridCol w:w="60"/>
        <w:gridCol w:w="60"/>
        <w:gridCol w:w="110"/>
        <w:gridCol w:w="605"/>
        <w:gridCol w:w="80"/>
        <w:gridCol w:w="60"/>
        <w:gridCol w:w="110"/>
        <w:gridCol w:w="605"/>
        <w:gridCol w:w="60"/>
        <w:gridCol w:w="60"/>
        <w:gridCol w:w="110"/>
        <w:gridCol w:w="575"/>
        <w:gridCol w:w="80"/>
        <w:gridCol w:w="60"/>
        <w:gridCol w:w="110"/>
        <w:gridCol w:w="575"/>
        <w:gridCol w:w="80"/>
        <w:gridCol w:w="60"/>
        <w:gridCol w:w="110"/>
        <w:gridCol w:w="605"/>
        <w:gridCol w:w="95"/>
      </w:tblGrid>
      <w:tr>
        <w:trPr/>
        <w:tc>
          <w:tcPr>
            <w:tcW w:w="46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July 1, 2023</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1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57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jc w:val="left"/>
              <w:rPr/>
            </w:pPr>
            <w:r>
              <w:rPr/>
              <w:t> </w:t>
            </w:r>
          </w:p>
        </w:tc>
        <w:tc>
          <w:tcPr>
            <w:tcW w:w="110" w:type="dxa"/>
            <w:tcBorders>
              <w:bottom w:val="single" w:sz="2" w:space="0" w:color="000000"/>
            </w:tcBorders>
            <w:vAlign w:val="center"/>
          </w:tcPr>
          <w:p>
            <w:pPr>
              <w:pStyle w:val="TableContents"/>
              <w:bidi w:val="0"/>
              <w:spacing w:before="0" w:after="283"/>
              <w:jc w:val="left"/>
              <w:rPr/>
            </w:pPr>
            <w:r>
              <w:rPr/>
              <w:t> </w:t>
            </w:r>
          </w:p>
        </w:tc>
        <w:tc>
          <w:tcPr>
            <w:tcW w:w="605" w:type="dxa"/>
            <w:tcBorders>
              <w:bottom w:val="single" w:sz="2" w:space="0" w:color="000000"/>
            </w:tcBorders>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31, 2022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49,276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687,218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290,402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(40,012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(58,043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928,841</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26,269</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3,059</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208</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1,904</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(19,225</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19,218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5"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shd w:fill="FFFF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15" w:type="dxa"/>
            <w:tcBorders/>
            <w:shd w:fill="FFFFFF" w:val="clear"/>
            <w:tcMar>
              <w:bottom w:w="0"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(1,867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57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(7,373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c>
          <w:tcPr>
            <w:tcW w:w="60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(9,240</w:t>
            </w:r>
          </w:p>
        </w:tc>
        <w:tc>
          <w:tcPr>
            <w:tcW w:w="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shd w:fill="CCEEFF" w:val="clear"/>
            <w:tcMar>
              <w:bottom w:w="0"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57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(6,180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c>
          <w:tcPr>
            <w:tcW w:w="60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(6,180</w:t>
            </w:r>
          </w:p>
        </w:tc>
        <w:tc>
          <w:tcPr>
            <w:tcW w:w="9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r>
      <w:tr>
        <w:trPr/>
        <w:tc>
          <w:tcPr>
            <w:tcW w:w="4655" w:type="dxa"/>
            <w:tcBorders>
              <w:bottom w:val="single" w:sz="2" w:space="0" w:color="000000"/>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1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8,346</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11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8,346</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655" w:type="dxa"/>
            <w:tcBorders>
              <w:bottom w:val="double" w:sz="6"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July 1, 2023</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1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49,350</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676,309</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316,671</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(36,559</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(52,378</w:t>
            </w:r>
          </w:p>
        </w:tc>
        <w:tc>
          <w:tcPr>
            <w:tcW w:w="8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953,393</w:t>
            </w:r>
          </w:p>
        </w:tc>
        <w:tc>
          <w:tcPr>
            <w:tcW w:w="9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7" w:name="cashflow"/>
            <w:bookmarkEnd w:id="7"/>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bl>
    <w:p>
      <w:pPr>
        <w:pStyle w:val="TextBody"/>
        <w:bidi w:val="0"/>
        <w:spacing w:before="0" w:after="0"/>
        <w:ind w:left="0" w:right="0" w:hanging="0"/>
        <w:jc w:val="left"/>
        <w:rPr/>
      </w:pPr>
      <w:r>
        <w:rPr/>
        <w:t> </w:t>
      </w:r>
    </w:p>
    <w:tbl>
      <w:tblPr>
        <w:tblW w:w="9770" w:type="dxa"/>
        <w:jc w:val="left"/>
        <w:tblInd w:w="0" w:type="dxa"/>
        <w:tblLayout w:type="fixed"/>
        <w:tblCellMar>
          <w:top w:w="0" w:type="dxa"/>
          <w:left w:w="0" w:type="dxa"/>
          <w:bottom w:w="0" w:type="dxa"/>
          <w:right w:w="0" w:type="dxa"/>
        </w:tblCellMar>
      </w:tblPr>
      <w:tblGrid>
        <w:gridCol w:w="7850"/>
        <w:gridCol w:w="60"/>
        <w:gridCol w:w="125"/>
        <w:gridCol w:w="695"/>
        <w:gridCol w:w="80"/>
        <w:gridCol w:w="60"/>
        <w:gridCol w:w="125"/>
        <w:gridCol w:w="695"/>
        <w:gridCol w:w="8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26,269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charge related to equity investment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38,140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(3,976</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(43,732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MCT, net of cash received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(50,012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32,949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242,341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275,290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8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8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560" w:right="0" w:hanging="560"/>
        <w:jc w:val="both"/>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jc w:val="left"/>
        <w:rPr/>
      </w:pPr>
      <w:r>
        <w:rPr/>
        <w:t xml:space="preserve">  </w:t>
      </w:r>
    </w:p>
    <w:tbl>
      <w:tblPr>
        <w:tblW w:w="3535" w:type="dxa"/>
        <w:jc w:val="left"/>
        <w:tblInd w:w="0" w:type="dxa"/>
        <w:tblLayout w:type="fixed"/>
        <w:tblCellMar>
          <w:top w:w="0" w:type="dxa"/>
          <w:left w:w="0" w:type="dxa"/>
          <w:bottom w:w="0" w:type="dxa"/>
          <w:right w:w="0" w:type="dxa"/>
        </w:tblCellMar>
      </w:tblPr>
      <w:tblGrid>
        <w:gridCol w:w="155"/>
        <w:gridCol w:w="3380"/>
      </w:tblGrid>
      <w:tr>
        <w:trPr/>
        <w:tc>
          <w:tcPr>
            <w:tcW w:w="15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18"/>
              </w:rPr>
              <w:t>1.</w:t>
            </w:r>
          </w:p>
        </w:tc>
        <w:tc>
          <w:tcPr>
            <w:tcW w:w="3380" w:type="dxa"/>
            <w:tcBorders/>
            <w:vAlign w:val="center"/>
          </w:tcPr>
          <w:p>
            <w:pPr>
              <w:pStyle w:val="TableContents"/>
              <w:bidi w:val="0"/>
              <w:spacing w:before="0" w:after="0"/>
              <w:ind w:left="0" w:right="0" w:hanging="0"/>
              <w:jc w:val="both"/>
              <w:rPr>
                <w:rFonts w:ascii="Times New Roman;Times;serif" w:hAnsi="Times New Roman;Times;serif"/>
                <w:b/>
                <w:sz w:val="18"/>
              </w:rPr>
            </w:pPr>
            <w:r>
              <w:rPr>
                <w:rFonts w:ascii="Times New Roman;Times;serif" w:hAnsi="Times New Roman;Times;serif"/>
                <w:b/>
                <w:sz w:val="18"/>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fiscal years are based on a </w:t>
      </w:r>
      <w:r>
        <w:rPr>
          <w:rStyle w:val="Emphasis"/>
          <w:rFonts w:ascii="Times New Roman" w:hAnsi="Times New Roman"/>
          <w:caps w:val="false"/>
          <w:smallCaps w:val="false"/>
          <w:sz w:val="20"/>
        </w:rPr>
        <w:t>52</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53</w:t>
      </w:r>
      <w:r>
        <w:rPr>
          <w:rFonts w:ascii="Times New Roman" w:hAnsi="Times New Roman"/>
          <w:caps w:val="false"/>
          <w:smallCaps w:val="false"/>
          <w:sz w:val="20"/>
        </w:rPr>
        <w:t xml:space="preserve">-week period ending on the last Saturday in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The condensed consolidated balance sheet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has been derived from our audited financial statements at that date. The interim condensed consolidated financial statements as of </w:t>
      </w:r>
      <w:r>
        <w:rPr>
          <w:rStyle w:val="Emphasis"/>
          <w:rFonts w:ascii="Times New Roman" w:hAnsi="Times New Roman"/>
          <w:caps w:val="false"/>
          <w:smallCaps w:val="false"/>
          <w:sz w:val="20"/>
        </w:rPr>
        <w:t>June 29, 2024, (</w:t>
      </w:r>
      <w:r>
        <w:rPr>
          <w:rFonts w:ascii="Times New Roman" w:hAnsi="Times New Roman"/>
          <w:caps w:val="false"/>
          <w:smallCaps w:val="false"/>
          <w:sz w:val="20"/>
        </w:rPr>
        <w:t xml:space="preserve">also referred to as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July 1, 2023, (</w:t>
      </w:r>
      <w:r>
        <w:rPr>
          <w:rFonts w:ascii="Times New Roman" w:hAnsi="Times New Roman"/>
          <w:caps w:val="false"/>
          <w:smallCaps w:val="false"/>
          <w:sz w:val="20"/>
        </w:rPr>
        <w:t xml:space="preserve">also referred to as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are unaudited. However, in management’s opinion, these financial statements reflect all adjustments (consisting only of normal, recurring items) necessary to provide a fair presentation of our financial position, results of operations and cash flows for the periods presented. Both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were comprised of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26</w:t>
      </w:r>
      <w:r>
        <w:rPr>
          <w:rFonts w:ascii="Times New Roman" w:hAnsi="Times New Roman"/>
          <w:caps w:val="false"/>
          <w:smallCaps w:val="false"/>
          <w:sz w:val="20"/>
        </w:rPr>
        <w:t xml:space="preserve"> weeks,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interim results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should be expected for the full year. The condensed consolidated financial statements presented herein reflect estimates and assumptions made by management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For a better understanding of Cohu, Inc. and our financial statements, we recommend reading these interim condensed consolidated financial statements in conjunction with our audited financial statements for the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which are included in our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-K, filed with the U.S. Securities and Exchange Commission (“SEC”). In the following notes to our interim condensed consolidated financial statements, Cohu, Inc., is referred to as “Cohu”, “we”, “our”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Financial instruments that potentially subject us to significant credit risk consist principally of cash equivalents, short-term investments and trade accounts receivable. We invest in a variety of financial instruments and, by policy, limit the amount of credit exposure with any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Instruments-Credit Losses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326”</w:t>
      </w:r>
      <w:r>
        <w:rPr>
          <w:rFonts w:ascii="Times New Roman" w:hAnsi="Times New Roman"/>
          <w:caps w:val="false"/>
          <w:smallCaps w:val="false"/>
          <w:sz w:val="20"/>
        </w:rPr>
        <w:t xml:space="preserve">). At both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our allowance for credit losses was $0.3 million. Our customers include semiconductor manufacturers and semiconductor test subcontractors throughout many areas of the world. While we believe that our allowance for credit losses is adequate and represents our best estimate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will continue to monitor customer liquidity and other economic conditions,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changes to our estimates regarding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Inventories are stated at the lower of cost, determined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basis, or net realizable value. Cost includes labor, material and overhead costs. Determining the net realizable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estimated market values are below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2810"/>
        <w:gridCol w:w="60"/>
        <w:gridCol w:w="125"/>
        <w:gridCol w:w="695"/>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103,118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26,820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25,855</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155,793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79" w:type="dxa"/>
        <w:jc w:val="left"/>
        <w:tblInd w:w="0" w:type="dxa"/>
        <w:tblLayout w:type="fixed"/>
        <w:tblCellMar>
          <w:top w:w="0" w:type="dxa"/>
          <w:left w:w="0" w:type="dxa"/>
          <w:bottom w:w="0" w:type="dxa"/>
          <w:right w:w="0" w:type="dxa"/>
        </w:tblCellMar>
      </w:tblPr>
      <w:tblGrid>
        <w:gridCol w:w="3950"/>
        <w:gridCol w:w="60"/>
        <w:gridCol w:w="125"/>
        <w:gridCol w:w="695"/>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108,831</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350”</w:t>
      </w:r>
      <w:r>
        <w:rPr>
          <w:rFonts w:ascii="Times New Roman" w:hAnsi="Times New Roman"/>
          <w:caps w:val="false"/>
          <w:smallCaps w:val="false"/>
          <w:sz w:val="20"/>
        </w:rPr>
        <w:t>).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Total unamortized capitalized cloud computing implementation costs totaled $10.7 million and $12.2 million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respectively. These amounts are recorded within other current assets and other assets in our condensed consolidated balance sheets. Implementation costs are amortized using the straight-line method over seven years and we recorded amortization expense of $0.7 million and $1.4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respectively, and amortization expense of $0.7 million and $1.4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apply the provisions of ASC Topic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Test Handler Group (“THG”), Semiconductor Tester Group (“STG”) and Interface Solutions Group (“ISG”). Our THG, STG and ISG operating segments qualify for aggregation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evaluate goodwill for impairment annually and when an event occurs or circumstances change that indicate that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We test goodwill for impairment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comparing the book value of net assets to the fair value of the reporting unit. If the fair value is determined to be less than the book value,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step is performed to compute the amount of impairment as the difference between the fair value of the reporting unit and its carrying value,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exceed the carrying value of goodwill. We estimated the fair values of our reporting units using a weighting of the income and market approaches. Under the income approach, we use a discounted cash flow methodology to derive an indication of value, which requires management to make significant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to obtain an indication of value. We then apply a </w:t>
      </w:r>
      <w:r>
        <w:rPr>
          <w:rStyle w:val="Emphasis"/>
          <w:rFonts w:ascii="Times New Roman" w:hAnsi="Times New Roman"/>
          <w:caps w:val="false"/>
          <w:smallCaps w:val="false"/>
          <w:sz w:val="20"/>
        </w:rPr>
        <w:t>50/50</w:t>
      </w:r>
      <w:r>
        <w:rPr>
          <w:rFonts w:ascii="Times New Roman" w:hAnsi="Times New Roman"/>
          <w:caps w:val="false"/>
          <w:smallCaps w:val="false"/>
          <w:sz w:val="20"/>
        </w:rPr>
        <w:t xml:space="preserve">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conduct our annual impairment test as of </w:t>
      </w:r>
      <w:r>
        <w:rPr>
          <w:rStyle w:val="Emphasis"/>
          <w:rFonts w:ascii="Times New Roman" w:hAnsi="Times New Roman"/>
          <w:caps w:val="false"/>
          <w:smallCaps w:val="false"/>
          <w:sz w:val="20"/>
        </w:rPr>
        <w:t>October 1</w:t>
      </w:r>
      <w:r>
        <w:rPr>
          <w:rFonts w:ascii="Times New Roman" w:hAnsi="Times New Roman"/>
          <w:caps w:val="false"/>
          <w:smallCaps w:val="false"/>
          <w:sz w:val="20"/>
        </w:rPr>
        <w:t xml:space="preserve"> each year and have determined there was no impairment as of </w:t>
      </w:r>
      <w:r>
        <w:rPr>
          <w:rStyle w:val="Emphasis"/>
          <w:rFonts w:ascii="Times New Roman" w:hAnsi="Times New Roman"/>
          <w:caps w:val="false"/>
          <w:smallCaps w:val="false"/>
          <w:sz w:val="20"/>
        </w:rPr>
        <w:t>October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as we determined that the estimated fair values of our reporting units and indefinite-lived intangible assets exceeded their carrying values on that date. Other events and changes in circumstances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require goodwill to be tested for impairment between annual measurement dates.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circumstances have occurred that indicate impairment of our goodwill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the event we determine that an interim goodwill impairment review is required, in a future period, the review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Long-lived assets are reviewed for impairment whenever events or changes in circumstances indicate that the carrying amount of the assets might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For long-lived assets, impairment losses are only recorded if the asset’s carrying amount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36-months. Parts and labor are typically covered under the terms of the warranty agreement. Our warranty expense accruals are based on historical and estimated costs by product and configuration. From time-to-time we offer customers extended warranties beyond the standard warranty period. In those situations, the revenue relating to the extended warranty is deferred at its estimated relative standalone selling price and recognized on a straight-line basis over the contract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record restructuring activities including costs for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termination benefits in accordance with ASC Topic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420”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w:t>
      </w:r>
      <w:r>
        <w:rPr>
          <w:rStyle w:val="Emphasis"/>
          <w:rFonts w:ascii="Times New Roman" w:hAnsi="Times New Roman"/>
          <w:caps w:val="false"/>
          <w:smallCaps w:val="false"/>
          <w:sz w:val="20"/>
        </w:rPr>
        <w:t>712,</w:t>
      </w:r>
      <w:r>
        <w:rPr>
          <w:rFonts w:ascii="Times New Roman" w:hAnsi="Times New Roman"/>
          <w:caps w:val="false"/>
          <w:smallCaps w:val="false"/>
          <w:sz w:val="20"/>
        </w:rPr>
        <w:t xml:space="preserve">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xml:space="preserve">. These costs are recognized when management has committed to a restructuring plan and the severance costs are probable and estimable. See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Debt Issuance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defer costs related to the issuance of debt. Debt issuance costs directly related to our Term Loan Credit Facility were presented within noncurrent liabilities as a reduction of long-term debt in our condensed consolidated balance sheets. The amortization of such costs was recognized as interest expense using the effective interest method over the term of the respective debt issue. Amortization related to deferred debt issuance costs and original discount costs was $32,000 and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respectively. On </w:t>
      </w:r>
      <w:r>
        <w:rPr>
          <w:rStyle w:val="Emphasis"/>
          <w:rFonts w:ascii="Times New Roman" w:hAnsi="Times New Roman"/>
          <w:caps w:val="false"/>
          <w:smallCaps w:val="false"/>
          <w:sz w:val="20"/>
        </w:rPr>
        <w:t xml:space="preserve">February 9, 2024, </w:t>
      </w:r>
      <w:r>
        <w:rPr>
          <w:rFonts w:ascii="Times New Roman" w:hAnsi="Times New Roman"/>
          <w:caps w:val="false"/>
          <w:smallCaps w:val="false"/>
          <w:sz w:val="20"/>
        </w:rPr>
        <w:t xml:space="preserve">we repaid the remaining outstanding amounts owed under our Term Loan Credit Facility and recognized the remaining capitalized debt issuance costs. See Note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“Borrowings and Credit Agreements”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recognized foreign exchange losses, net of the impact of foreign exchange derivative contracts, of $0.4 million and $0.9 million, respectively, in our condensed consolidated statements of income.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we recognized foreign exchange losses, net of the impact foreign exchange derivative contracts, of $0.6 million and $1.1 million, respectively, in our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that affect certain existing U.S. Dollar denominated assets and liabilities held at our subsidiaries whose functional currency is the local currency. For accounting purposes, our foreign currency forward contracts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income for both realized and unrealized gains and losses.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measure and recognize all share-based compensation under the fair value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Reported share-based compensation is classified, in our condensed consolidated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2975"/>
        <w:gridCol w:w="60"/>
        <w:gridCol w:w="161"/>
        <w:gridCol w:w="626"/>
        <w:gridCol w:w="77"/>
        <w:gridCol w:w="77"/>
        <w:gridCol w:w="161"/>
        <w:gridCol w:w="626"/>
        <w:gridCol w:w="80"/>
        <w:gridCol w:w="60"/>
        <w:gridCol w:w="127"/>
        <w:gridCol w:w="601"/>
        <w:gridCol w:w="61"/>
        <w:gridCol w:w="61"/>
        <w:gridCol w:w="127"/>
        <w:gridCol w:w="555"/>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68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1" w:type="dxa"/>
            <w:tcBorders>
              <w:bottom w:val="single" w:sz="2" w:space="0" w:color="000000"/>
            </w:tcBorders>
            <w:tcMar>
              <w:bottom w:w="28" w:type="dxa"/>
            </w:tcMar>
            <w:vAlign w:val="center"/>
          </w:tcPr>
          <w:p>
            <w:pPr>
              <w:pStyle w:val="TableContents"/>
              <w:bidi w:val="0"/>
              <w:spacing w:before="0" w:after="283"/>
              <w:jc w:val="left"/>
              <w:rPr/>
            </w:pPr>
            <w:r>
              <w:rPr/>
              <w:t> </w:t>
            </w:r>
          </w:p>
        </w:tc>
        <w:tc>
          <w:tcPr>
            <w:tcW w:w="6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6,265</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5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8,346</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5,591</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Income (Loss)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Basic income (loss) per common share is computed by dividing net income by the weighted-average number of common shares outstanding during the reporting period. Diluted income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certain restricted and performance stock units and stock options with exercise prices that exceed the average fair market value of our common stock for the period are excluded.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awards to issue approximately 319,000 and 216,000 potentially issuable shares of common stock were excluded from the computation, respectively. All shares repurchased and held as treasury stock are reflected as a reduction to our basic weighted 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reconciles the denominators used in computing basic and diluted income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2780"/>
        <w:gridCol w:w="60"/>
        <w:gridCol w:w="73"/>
        <w:gridCol w:w="718"/>
        <w:gridCol w:w="73"/>
        <w:gridCol w:w="73"/>
        <w:gridCol w:w="73"/>
        <w:gridCol w:w="718"/>
        <w:gridCol w:w="60"/>
        <w:gridCol w:w="60"/>
        <w:gridCol w:w="64"/>
        <w:gridCol w:w="637"/>
        <w:gridCol w:w="64"/>
        <w:gridCol w:w="64"/>
        <w:gridCol w:w="64"/>
        <w:gridCol w:w="637"/>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47,481</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46,965</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w:t>
      </w:r>
      <w:r>
        <w:rPr>
          <w:rStyle w:val="Emphasis"/>
          <w:rFonts w:ascii="Times New Roman" w:hAnsi="Times New Roman"/>
          <w:caps w:val="false"/>
          <w:smallCaps w:val="false"/>
          <w:sz w:val="20"/>
        </w:rPr>
        <w:t xml:space="preserve">January 1, 2019, </w:t>
      </w:r>
      <w:r>
        <w:rPr>
          <w:rFonts w:ascii="Times New Roman" w:hAnsi="Times New Roman"/>
          <w:caps w:val="false"/>
          <w:smallCaps w:val="false"/>
          <w:sz w:val="20"/>
        </w:rPr>
        <w:t xml:space="preserve">the adoption date of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02,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Leases (Topic </w:t>
      </w:r>
      <w:r>
        <w:rPr>
          <w:rStyle w:val="Emphasis"/>
          <w:rFonts w:ascii="Times New Roman" w:hAnsi="Times New Roman"/>
          <w:i/>
          <w:caps w:val="false"/>
          <w:smallCaps w:val="false"/>
          <w:sz w:val="20"/>
        </w:rPr>
        <w:t>842</w:t>
      </w:r>
      <w:r>
        <w:rPr>
          <w:rFonts w:ascii="Times New Roman" w:hAnsi="Times New Roman"/>
          <w:i/>
          <w:caps w:val="false"/>
          <w:smallCaps w:val="false"/>
          <w:sz w:val="20"/>
        </w:rPr>
        <w:t>)</w:t>
      </w:r>
      <w:r>
        <w:rPr>
          <w:rFonts w:ascii="Times New Roman" w:hAnsi="Times New Roman"/>
          <w:caps w:val="false"/>
          <w:smallCaps w:val="false"/>
          <w:sz w:val="20"/>
        </w:rPr>
        <w:t xml:space="preserve">, or the commencement date for leases entered into after the adoption date. As most of our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Leases with an initial term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sublease certain leased assets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mainly as a result of unused space in our facilities.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Revenue for established products that have previously satisfied a customer’s acceptance requirements is generally recognized upon shipment. In cases where a prior history of customer acceptance cannot be demonstrated or from sales where customer payment dates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determinable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Certain of our equipment sales have multiple performance obligations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Unsatisfied performance obligations primarily represent contracts for products with future delivery dates.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had $5.9 million of revenue expected to be recognized in the future related to performance obligations that were unsatisfied (or partially unsatisfied) for contracts with original expected durations of over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As allowed 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we have opted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unsatisfied performance obligations for contracts with original expected durations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w:t>
      </w:r>
      <w:r>
        <w:rPr>
          <w:rStyle w:val="Emphasis"/>
          <w:rFonts w:ascii="Times New Roman" w:hAnsi="Times New Roman"/>
          <w:caps w:val="false"/>
          <w:smallCaps w:val="false"/>
          <w:sz w:val="20"/>
        </w:rPr>
        <w:t>460,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Guarantees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460”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transaction price reflects our expectations about the consideration we will be entitled to receive from the customer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when the uncertainty associated with the variable consideration is subsequently resolved. Variable consideration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contracts are typically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 duration and we have elected to use the practical expedient available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expense cost to obtain contracts as they are incurred because they would be amortized over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Accounts receivable represents our unconditional right to receive consideration from our customer. Payment terms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invoice date and therefore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On shipments where sales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recognized, gross profit is generally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had deferred revenue totaling approximately $8.4 million, current deferred profit of $3.3 million and deferred profit expected to be recognized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included in noncurrent other accrued liabilities of $4.6 million.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we had deferred revenue totaling approximately $8.8 million, current deferred profit of $3.6 million and deferred profit expected to be recognized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included in noncurrent other accrued liabilities of $4.9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689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56"/>
        <w:gridCol w:w="868"/>
        <w:gridCol w:w="60"/>
        <w:gridCol w:w="60"/>
        <w:gridCol w:w="176"/>
        <w:gridCol w:w="983"/>
        <w:gridCol w:w="60"/>
        <w:gridCol w:w="60"/>
        <w:gridCol w:w="156"/>
        <w:gridCol w:w="868"/>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190,296</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157,996</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89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56"/>
        <w:gridCol w:w="868"/>
        <w:gridCol w:w="60"/>
        <w:gridCol w:w="60"/>
        <w:gridCol w:w="176"/>
        <w:gridCol w:w="983"/>
        <w:gridCol w:w="60"/>
        <w:gridCol w:w="60"/>
        <w:gridCol w:w="156"/>
        <w:gridCol w:w="868"/>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60"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China</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49,504</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Malaysia</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55,153</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Singapore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24,694</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57,149</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127,299</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22"/>
        <w:gridCol w:w="60"/>
        <w:gridCol w:w="224"/>
        <w:gridCol w:w="467"/>
        <w:gridCol w:w="135"/>
        <w:gridCol w:w="135"/>
        <w:gridCol w:w="135"/>
        <w:gridCol w:w="895"/>
        <w:gridCol w:w="60"/>
        <w:gridCol w:w="60"/>
        <w:gridCol w:w="224"/>
        <w:gridCol w:w="467"/>
        <w:gridCol w:w="120"/>
        <w:gridCol w:w="120"/>
        <w:gridCol w:w="120"/>
        <w:gridCol w:w="793"/>
        <w:gridCol w:w="68"/>
      </w:tblGrid>
      <w:tr>
        <w:trPr/>
        <w:tc>
          <w:tcPr>
            <w:tcW w:w="6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9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8" w:type="dxa"/>
            <w:tcBorders/>
            <w:vAlign w:val="center"/>
          </w:tcPr>
          <w:p>
            <w:pPr>
              <w:pStyle w:val="TableContents"/>
              <w:bidi w:val="0"/>
              <w:spacing w:before="0" w:after="283"/>
              <w:jc w:val="left"/>
              <w:rPr/>
            </w:pPr>
            <w:r>
              <w:rPr/>
              <w:t> </w:t>
            </w:r>
          </w:p>
        </w:tc>
      </w:tr>
      <w:tr>
        <w:trPr/>
        <w:tc>
          <w:tcPr>
            <w:tcW w:w="6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ind w:left="0" w:right="0" w:hanging="0"/>
              <w:jc w:val="left"/>
              <w:rPr/>
            </w:pPr>
            <w:r>
              <w:rPr/>
              <w:t> </w:t>
            </w:r>
          </w:p>
        </w:tc>
        <w:tc>
          <w:tcPr>
            <w:tcW w:w="91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68" w:type="dxa"/>
            <w:tcBorders/>
            <w:vAlign w:val="center"/>
          </w:tcPr>
          <w:p>
            <w:pPr>
              <w:pStyle w:val="TableContents"/>
              <w:bidi w:val="0"/>
              <w:spacing w:before="0" w:after="283"/>
              <w:jc w:val="left"/>
              <w:rPr/>
            </w:pPr>
            <w:r>
              <w:rPr/>
              <w:t> </w:t>
            </w:r>
          </w:p>
        </w:tc>
      </w:tr>
      <w:tr>
        <w:trPr/>
        <w:tc>
          <w:tcPr>
            <w:tcW w:w="61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c>
          <w:tcPr>
            <w:tcW w:w="13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8" w:type="dxa"/>
            <w:tcBorders/>
            <w:vAlign w:val="center"/>
          </w:tcPr>
          <w:p>
            <w:pPr>
              <w:pStyle w:val="TableContents"/>
              <w:bidi w:val="0"/>
              <w:spacing w:before="0" w:after="283"/>
              <w:jc w:val="left"/>
              <w:rPr/>
            </w:pPr>
            <w:r>
              <w:rPr/>
              <w:t> </w:t>
            </w:r>
          </w:p>
        </w:tc>
      </w:tr>
      <w:tr>
        <w:trPr/>
        <w:tc>
          <w:tcPr>
            <w:tcW w:w="61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accounting for more than 10% of net sales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46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135"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jc w:val="center"/>
              <w:rPr/>
            </w:pPr>
            <w:r>
              <w:rPr/>
              <w:t> </w:t>
            </w:r>
          </w:p>
        </w:tc>
        <w:tc>
          <w:tcPr>
            <w:tcW w:w="135" w:type="dxa"/>
            <w:tcBorders/>
            <w:shd w:fill="CCEEFF" w:val="clear"/>
            <w:vAlign w:val="center"/>
          </w:tcPr>
          <w:p>
            <w:pPr>
              <w:pStyle w:val="TableContents"/>
              <w:bidi w:val="0"/>
              <w:spacing w:before="0" w:after="283"/>
              <w:ind w:left="0" w:right="0" w:hanging="0"/>
              <w:jc w:val="center"/>
              <w:rPr/>
            </w:pPr>
            <w:r>
              <w:rPr/>
              <w:t> </w:t>
            </w:r>
          </w:p>
        </w:tc>
        <w:tc>
          <w:tcPr>
            <w:tcW w:w="8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two</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224" w:type="dxa"/>
            <w:tcBorders/>
            <w:shd w:fill="CCEEFF" w:val="clear"/>
            <w:vAlign w:val="center"/>
          </w:tcPr>
          <w:p>
            <w:pPr>
              <w:pStyle w:val="TableContents"/>
              <w:bidi w:val="0"/>
              <w:spacing w:before="0" w:after="283"/>
              <w:ind w:left="0" w:right="0" w:hanging="0"/>
              <w:jc w:val="center"/>
              <w:rPr/>
            </w:pPr>
            <w:r>
              <w:rPr/>
              <w:t> </w:t>
            </w:r>
          </w:p>
        </w:tc>
        <w:tc>
          <w:tcPr>
            <w:tcW w:w="46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1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jc w:val="center"/>
              <w:rPr/>
            </w:pPr>
            <w:r>
              <w:rPr/>
              <w:t> </w:t>
            </w:r>
          </w:p>
        </w:tc>
        <w:tc>
          <w:tcPr>
            <w:tcW w:w="120" w:type="dxa"/>
            <w:tcBorders/>
            <w:shd w:fill="CCEEFF" w:val="clear"/>
            <w:vAlign w:val="center"/>
          </w:tcPr>
          <w:p>
            <w:pPr>
              <w:pStyle w:val="TableContents"/>
              <w:bidi w:val="0"/>
              <w:spacing w:before="0" w:after="283"/>
              <w:ind w:left="0" w:right="0" w:hanging="0"/>
              <w:jc w:val="center"/>
              <w:rPr/>
            </w:pPr>
            <w:r>
              <w:rPr/>
              <w:t> </w:t>
            </w:r>
          </w:p>
        </w:tc>
        <w:tc>
          <w:tcPr>
            <w:tcW w:w="793"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one</w:t>
            </w:r>
          </w:p>
        </w:tc>
        <w:tc>
          <w:tcPr>
            <w:tcW w:w="68" w:type="dxa"/>
            <w:tcBorders/>
            <w:shd w:fill="CCEEFF" w:val="clear"/>
            <w:vAlign w:val="center"/>
          </w:tcPr>
          <w:p>
            <w:pPr>
              <w:pStyle w:val="TableContents"/>
              <w:bidi w:val="0"/>
              <w:spacing w:before="0" w:after="283"/>
              <w:jc w:val="left"/>
              <w:rPr/>
            </w:pPr>
            <w:r>
              <w:rPr/>
              <w:t> </w:t>
            </w:r>
          </w:p>
        </w:tc>
      </w:tr>
      <w:tr>
        <w:trPr/>
        <w:tc>
          <w:tcPr>
            <w:tcW w:w="612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ind w:left="0" w:right="0" w:hanging="0"/>
              <w:jc w:val="left"/>
              <w:rPr/>
            </w:pPr>
            <w:r>
              <w:rPr/>
              <w:t> </w:t>
            </w:r>
          </w:p>
        </w:tc>
        <w:tc>
          <w:tcPr>
            <w:tcW w:w="46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135"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jc w:val="center"/>
              <w:rPr/>
            </w:pPr>
            <w:r>
              <w:rPr/>
              <w:t> </w:t>
            </w:r>
          </w:p>
        </w:tc>
        <w:tc>
          <w:tcPr>
            <w:tcW w:w="135" w:type="dxa"/>
            <w:tcBorders/>
            <w:shd w:fill="FFFFFF" w:val="clear"/>
            <w:vAlign w:val="center"/>
          </w:tcPr>
          <w:p>
            <w:pPr>
              <w:pStyle w:val="TableContents"/>
              <w:bidi w:val="0"/>
              <w:spacing w:before="0" w:after="283"/>
              <w:ind w:left="0" w:right="0" w:hanging="0"/>
              <w:jc w:val="center"/>
              <w:rPr/>
            </w:pPr>
            <w:r>
              <w:rPr/>
              <w:t> </w:t>
            </w:r>
          </w:p>
        </w:tc>
        <w:tc>
          <w:tcPr>
            <w:tcW w:w="89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224" w:type="dxa"/>
            <w:tcBorders/>
            <w:shd w:fill="FFFFFF" w:val="clear"/>
            <w:vAlign w:val="center"/>
          </w:tcPr>
          <w:p>
            <w:pPr>
              <w:pStyle w:val="TableContents"/>
              <w:bidi w:val="0"/>
              <w:spacing w:before="0" w:after="283"/>
              <w:ind w:left="0" w:right="0" w:hanging="0"/>
              <w:jc w:val="center"/>
              <w:rPr/>
            </w:pPr>
            <w:r>
              <w:rPr/>
              <w:t> </w:t>
            </w:r>
          </w:p>
        </w:tc>
        <w:tc>
          <w:tcPr>
            <w:tcW w:w="46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center"/>
              <w:rPr/>
            </w:pPr>
            <w:r>
              <w:rPr/>
              <w:t> </w:t>
            </w:r>
          </w:p>
        </w:tc>
        <w:tc>
          <w:tcPr>
            <w:tcW w:w="120" w:type="dxa"/>
            <w:tcBorders/>
            <w:shd w:fill="FFFFFF" w:val="clear"/>
            <w:vAlign w:val="center"/>
          </w:tcPr>
          <w:p>
            <w:pPr>
              <w:pStyle w:val="TableContents"/>
              <w:bidi w:val="0"/>
              <w:spacing w:before="0" w:after="283"/>
              <w:jc w:val="center"/>
              <w:rPr/>
            </w:pPr>
            <w:r>
              <w:rPr/>
              <w:t> </w:t>
            </w:r>
          </w:p>
        </w:tc>
        <w:tc>
          <w:tcPr>
            <w:tcW w:w="120" w:type="dxa"/>
            <w:tcBorders/>
            <w:shd w:fill="FFFFFF" w:val="clear"/>
            <w:vAlign w:val="center"/>
          </w:tcPr>
          <w:p>
            <w:pPr>
              <w:pStyle w:val="TableContents"/>
              <w:bidi w:val="0"/>
              <w:spacing w:before="0" w:after="283"/>
              <w:ind w:left="0" w:right="0" w:hanging="0"/>
              <w:jc w:val="center"/>
              <w:rPr/>
            </w:pPr>
            <w:r>
              <w:rPr/>
              <w:t> </w:t>
            </w:r>
          </w:p>
        </w:tc>
        <w:tc>
          <w:tcPr>
            <w:tcW w:w="793"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w:t>
            </w:r>
          </w:p>
        </w:tc>
        <w:tc>
          <w:tcPr>
            <w:tcW w:w="68" w:type="dxa"/>
            <w:tcBorders/>
            <w:shd w:fill="FFFFFF" w:val="clear"/>
            <w:vAlign w:val="center"/>
          </w:tcPr>
          <w:p>
            <w:pPr>
              <w:pStyle w:val="TableContents"/>
              <w:bidi w:val="0"/>
              <w:spacing w:before="0" w:after="283"/>
              <w:jc w:val="left"/>
              <w:rPr/>
            </w:pPr>
            <w:r>
              <w:rPr/>
              <w:t> </w:t>
            </w:r>
          </w:p>
        </w:tc>
      </w:tr>
      <w:tr>
        <w:trPr/>
        <w:tc>
          <w:tcPr>
            <w:tcW w:w="61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No single customer represented more than 10% of consolidated net sales.</w:t>
            </w:r>
          </w:p>
        </w:tc>
        <w:tc>
          <w:tcPr>
            <w:tcW w:w="60" w:type="dxa"/>
            <w:tcBorders/>
            <w:vAlign w:val="center"/>
          </w:tcPr>
          <w:p>
            <w:pPr>
              <w:pStyle w:val="TableContents"/>
              <w:bidi w:val="0"/>
              <w:spacing w:before="0" w:after="283"/>
              <w:ind w:left="0" w:right="0" w:hanging="0"/>
              <w:jc w:val="left"/>
              <w:rPr/>
            </w:pPr>
            <w:r>
              <w:rPr/>
              <w:t> </w:t>
            </w:r>
          </w:p>
        </w:tc>
        <w:tc>
          <w:tcPr>
            <w:tcW w:w="1991" w:type="dxa"/>
            <w:gridSpan w:val="6"/>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93"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accumulated other comprehensive loss balance totaled approximately $47.0 million and $34.8 million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respectively, and was attributed to all non-owner changes in stockholders’ equity and consists of, on an after-tax basis where applicable, foreign currency adjustments resulting from the translation of certain of our subsidiary accounts where the functional currency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U.S. Dollar, unrealized loss on investments and adjustments related to postretirement benefits. Reclassification adjustments from accumulated other comprehensive loss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provide post-retirement health benefits to certain retired executives,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director (who is a former executive) and their eligible dependents under a noncontributory plan. These benefits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offered to any other retired Cohu employees. The net periodic benefit cost incurred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requires enhancements and further transparency to certain income tax disclosures, most notably the tax rate reconciliation and income taxes paid. This ASU is effective for fiscal years beginning after </w:t>
      </w:r>
      <w:r>
        <w:rPr>
          <w:rStyle w:val="Emphasis"/>
          <w:rFonts w:ascii="Times New Roman" w:hAnsi="Times New Roman"/>
          <w:caps w:val="false"/>
          <w:smallCaps w:val="false"/>
          <w:sz w:val="20"/>
        </w:rPr>
        <w:t xml:space="preserve">December 15, 2024, may </w:t>
      </w:r>
      <w:r>
        <w:rPr>
          <w:rFonts w:ascii="Times New Roman" w:hAnsi="Times New Roman"/>
          <w:caps w:val="false"/>
          <w:smallCaps w:val="false"/>
          <w:sz w:val="20"/>
        </w:rPr>
        <w:t>be applied prospectively or retrospectively, and allows for early adoption. We are currently evaluating the impact of the adoption of this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Reporting (Topic </w:t>
      </w:r>
      <w:r>
        <w:rPr>
          <w:rStyle w:val="Emphasis"/>
          <w:rFonts w:ascii="Times New Roman" w:hAnsi="Times New Roman"/>
          <w:i/>
          <w:caps w:val="false"/>
          <w:smallCaps w:val="false"/>
          <w:sz w:val="20"/>
        </w:rPr>
        <w:t>280</w:t>
      </w:r>
      <w:r>
        <w:rPr>
          <w:rFonts w:ascii="Times New Roman" w:hAnsi="Times New Roman"/>
          <w:i/>
          <w:caps w:val="false"/>
          <w:smallCaps w:val="false"/>
          <w:sz w:val="20"/>
        </w:rPr>
        <w:t>): Improvements to Reportable Segment Disclosures</w:t>
      </w:r>
      <w:r>
        <w:rPr>
          <w:rFonts w:ascii="Times New Roman" w:hAnsi="Times New Roman"/>
          <w:caps w:val="false"/>
          <w:smallCaps w:val="false"/>
          <w:sz w:val="20"/>
        </w:rPr>
        <w:t xml:space="preserve">,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This ASU is effective for fiscal years beginning after </w:t>
      </w:r>
      <w:r>
        <w:rPr>
          <w:rStyle w:val="Emphasis"/>
          <w:rFonts w:ascii="Times New Roman" w:hAnsi="Times New Roman"/>
          <w:caps w:val="false"/>
          <w:smallCaps w:val="false"/>
          <w:sz w:val="20"/>
        </w:rPr>
        <w:t xml:space="preserve">December 15, 2023 </w:t>
      </w:r>
      <w:r>
        <w:rPr>
          <w:rFonts w:ascii="Times New Roman" w:hAnsi="Times New Roman"/>
          <w:caps w:val="false"/>
          <w:smallCaps w:val="false"/>
          <w:sz w:val="20"/>
        </w:rPr>
        <w:t xml:space="preserve">and interim disclosures are required for periods within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Retrospective application is required, and early adoption is permitted. We are currently evaluating the impact of the adoption of this standard.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2024, </w:t>
      </w:r>
      <w:r>
        <w:rPr>
          <w:rFonts w:ascii="Times New Roman" w:hAnsi="Times New Roman"/>
          <w:caps w:val="false"/>
          <w:smallCaps w:val="false"/>
          <w:sz w:val="20"/>
        </w:rPr>
        <w:t xml:space="preserve">the U.S. Securities and Exchange Commission issued its final climate disclosure rules, </w:t>
      </w:r>
      <w:r>
        <w:rPr>
          <w:rFonts w:ascii="Times New Roman" w:hAnsi="Times New Roman"/>
          <w:i/>
          <w:caps w:val="false"/>
          <w:smallCaps w:val="false"/>
          <w:sz w:val="20"/>
        </w:rPr>
        <w:t>The Enhancement and Standardization of Climate-Related Disclosures for Investors</w:t>
      </w:r>
      <w:r>
        <w:rPr>
          <w:rFonts w:ascii="Times New Roman" w:hAnsi="Times New Roman"/>
          <w:caps w:val="false"/>
          <w:smallCaps w:val="false"/>
          <w:sz w:val="20"/>
        </w:rPr>
        <w:t xml:space="preserve">, which require all registrants to provide certain climate-related information in their registration statements and annual reports. The rules require disclosure of, among other things, material climate-related risks, activities to mitigate or adapt to such risks, governance and oversight of such risks, material climate targets and goals, and Scope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and/or Scope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greenhouse gas emissions, on a phased-in basis, when those emissions are material. In addition, the final rules require certain disclosures in the notes to the financial statements, including the effects of severe weather events and other natural conditions. The rules are effective for us on a phased-in timeline starting in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however, in </w:t>
      </w:r>
      <w:r>
        <w:rPr>
          <w:rStyle w:val="Emphasis"/>
          <w:rFonts w:ascii="Times New Roman" w:hAnsi="Times New Roman"/>
          <w:caps w:val="false"/>
          <w:smallCaps w:val="false"/>
          <w:sz w:val="20"/>
        </w:rPr>
        <w:t xml:space="preserve">April 2024, </w:t>
      </w:r>
      <w:r>
        <w:rPr>
          <w:rFonts w:ascii="Times New Roman" w:hAnsi="Times New Roman"/>
          <w:caps w:val="false"/>
          <w:smallCaps w:val="false"/>
          <w:sz w:val="20"/>
        </w:rPr>
        <w:t>the SEC issued an order to voluntarily stay its final climate rules pending the completion of judicial review thereof by the U.S. Court of Appeals for the Eighth Circuit. We are currently evaluating the impact of the rules on our consolidated financial statements.</w:t>
      </w:r>
    </w:p>
    <w:p>
      <w:pPr>
        <w:pStyle w:val="TextBody"/>
        <w:bidi w:val="0"/>
        <w:spacing w:before="0" w:after="0"/>
        <w:ind w:left="540" w:right="0" w:hanging="0"/>
        <w:jc w:val="left"/>
        <w:rPr/>
      </w:pPr>
      <w:r>
        <w:rPr/>
        <w:t xml:space="preserve">  </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5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 Goodwill and Purchased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we completed the acquisition of Equiptest Engineering Pte. Ltd. (“EQT”), a provider of semiconductor test contactors and other consumables. (“the EQT Acquisition”). EQT is a Singapore-based company with its principal manufacturing site located there. EQT provides test interface products including high performance thermal, MEMS, Infrared, Coaxial and Kelvin Contactors that expand our interface products in mid- to high-power contactors. The EQT Acquisition was a cash-free debt-free transaction and was subject to a working capital adjustment for the difference between the actual and estimated net working capital. We made a cash payment of SGD 66.0 million ($48.3 million) on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and set up a retention sum liability for potential adjustments to working capital, future tax or insurance claims in the amount of SGD 2.2 million ($1.6 million) resulting in an initial purchase price of SGD 68.3 million ($49.9 million). The working capital adjustment was finalized in </w:t>
      </w:r>
      <w:r>
        <w:rPr>
          <w:rStyle w:val="Emphasis"/>
          <w:rFonts w:ascii="Times New Roman" w:hAnsi="Times New Roman"/>
          <w:caps w:val="false"/>
          <w:smallCaps w:val="false"/>
          <w:sz w:val="20"/>
        </w:rPr>
        <w:t xml:space="preserve">January 2024 </w:t>
      </w:r>
      <w:r>
        <w:rPr>
          <w:rFonts w:ascii="Times New Roman" w:hAnsi="Times New Roman"/>
          <w:caps w:val="false"/>
          <w:smallCaps w:val="false"/>
          <w:sz w:val="20"/>
        </w:rPr>
        <w:t xml:space="preserve">and an additional cash payment was made to EQT owners of SGD 0.8 million (approximately $0.6 million) resulting in a purchase price of SGD 68.8 million ($50.3 million). The retention liability for remaining tax, insurance and other claims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was SGD 1.7 million ($1.3 million) and is accrued in long term other liabilities on our condensed consolidated balance sheet. The EQT Acquisition has been accounted for in conformity with ASC </w:t>
      </w:r>
      <w:r>
        <w:rPr>
          <w:rStyle w:val="Emphasis"/>
          <w:rFonts w:ascii="Times New Roman" w:hAnsi="Times New Roman"/>
          <w:caps w:val="false"/>
          <w:smallCaps w:val="false"/>
          <w:sz w:val="20"/>
        </w:rPr>
        <w:t>805.</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acquired assets and liabilities of EQT were recorded at their respective fair values including an amount for goodwill representing the difference between the consideration paid and the fair value of the identifiable net assets. The purchase price allocation was finalized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table below summarizes the assets acquired and liabilities assumed as of </w:t>
      </w:r>
      <w:r>
        <w:rPr>
          <w:rStyle w:val="Emphasis"/>
          <w:rFonts w:ascii="Times New Roman" w:hAnsi="Times New Roman"/>
          <w:caps w:val="false"/>
          <w:smallCaps w:val="false"/>
          <w:sz w:val="20"/>
        </w:rPr>
        <w:t>October 2,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85" w:type="dxa"/>
        <w:jc w:val="left"/>
        <w:tblInd w:w="0" w:type="dxa"/>
        <w:tblLayout w:type="fixed"/>
        <w:tblCellMar>
          <w:top w:w="0" w:type="dxa"/>
          <w:left w:w="0" w:type="dxa"/>
          <w:bottom w:w="0" w:type="dxa"/>
          <w:right w:w="0" w:type="dxa"/>
        </w:tblCellMar>
      </w:tblPr>
      <w:tblGrid>
        <w:gridCol w:w="3170"/>
        <w:gridCol w:w="60"/>
        <w:gridCol w:w="125"/>
        <w:gridCol w:w="65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10,135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15,377</w:t>
            </w:r>
          </w:p>
        </w:tc>
        <w:tc>
          <w:tcPr>
            <w:tcW w:w="8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60,550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2315"/>
        <w:gridCol w:w="60"/>
        <w:gridCol w:w="150"/>
        <w:gridCol w:w="709"/>
        <w:gridCol w:w="60"/>
        <w:gridCol w:w="60"/>
        <w:gridCol w:w="417"/>
        <w:gridCol w:w="2647"/>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Useful Life (years)</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ind w:left="0" w:right="0" w:hanging="0"/>
              <w:jc w:val="left"/>
              <w:rPr/>
            </w:pPr>
            <w:r>
              <w:rPr/>
              <w:t> </w:t>
            </w:r>
          </w:p>
        </w:tc>
        <w:tc>
          <w:tcPr>
            <w:tcW w:w="264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hanging="0"/>
              <w:jc w:val="left"/>
              <w:rPr/>
            </w:pPr>
            <w:r>
              <w:rPr/>
              <w:t> </w:t>
            </w:r>
          </w:p>
        </w:tc>
        <w:tc>
          <w:tcPr>
            <w:tcW w:w="264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backlog</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ind w:left="0" w:right="0" w:hanging="0"/>
              <w:jc w:val="left"/>
              <w:rPr/>
            </w:pPr>
            <w:r>
              <w:rPr/>
              <w:t> </w:t>
            </w:r>
          </w:p>
        </w:tc>
        <w:tc>
          <w:tcPr>
            <w:tcW w:w="264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ind w:left="0" w:right="0" w:hanging="0"/>
              <w:jc w:val="left"/>
              <w:rPr/>
            </w:pPr>
            <w:r>
              <w:rPr/>
              <w:t> </w:t>
            </w:r>
          </w:p>
        </w:tc>
        <w:tc>
          <w:tcPr>
            <w:tcW w:w="264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5.0</w:t>
            </w:r>
          </w:p>
        </w:tc>
        <w:tc>
          <w:tcPr>
            <w:tcW w:w="6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647"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This includes amounts allocated to customer relationships because of anticipated high customer retention rates that are common in the semiconductor capital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EQT’s product line. The revenue estimates used to value the developed technology were based on estimates of relevant market sizes and growth factors, expected trends in technology and the nature and expected timing of new product introductions by EQT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flows were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value assigned to backlog acquired was estimated based upon the contractual nature of the backlog as of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using the multi-period excess earnings method under the income approach to discount back to present value the cash flows attributable to the backlog at a discount rate commensurate with the expected risks of the backlog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trademarks and trade names acquired was determined by using the relief from royalty method under the income approach, which included assumptions related to revenue growth rates, royalty rates, and discount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EQT’s results of operations have been included starting </w:t>
      </w:r>
      <w:r>
        <w:rPr>
          <w:rStyle w:val="Emphasis"/>
          <w:rFonts w:ascii="Times New Roman" w:hAnsi="Times New Roman"/>
          <w:caps w:val="false"/>
          <w:smallCaps w:val="false"/>
          <w:sz w:val="20"/>
        </w:rPr>
        <w:t xml:space="preserve">October 2, 2023. </w:t>
      </w:r>
      <w:r>
        <w:rPr>
          <w:rFonts w:ascii="Times New Roman" w:hAnsi="Times New Roman"/>
          <w:caps w:val="false"/>
          <w:smallCaps w:val="false"/>
          <w:sz w:val="20"/>
        </w:rPr>
        <w:t xml:space="preserve">The impact of EQT on our condensed consolidated statements of operations and comprehensive income (loss)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Changes in the carrying value of goodwill during the year ended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and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2360"/>
        <w:gridCol w:w="60"/>
        <w:gridCol w:w="125"/>
        <w:gridCol w:w="69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213,539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24,132</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30, 2023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241,658</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29, 2024</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237,476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59" w:type="dxa"/>
        <w:jc w:val="left"/>
        <w:tblInd w:w="0" w:type="dxa"/>
        <w:tblLayout w:type="fixed"/>
        <w:tblCellMar>
          <w:top w:w="0" w:type="dxa"/>
          <w:left w:w="0" w:type="dxa"/>
          <w:bottom w:w="0" w:type="dxa"/>
          <w:right w:w="0" w:type="dxa"/>
        </w:tblCellMar>
      </w:tblPr>
      <w:tblGrid>
        <w:gridCol w:w="2105"/>
        <w:gridCol w:w="60"/>
        <w:gridCol w:w="125"/>
        <w:gridCol w:w="695"/>
        <w:gridCol w:w="60"/>
        <w:gridCol w:w="60"/>
        <w:gridCol w:w="125"/>
        <w:gridCol w:w="695"/>
        <w:gridCol w:w="60"/>
        <w:gridCol w:w="60"/>
        <w:gridCol w:w="209"/>
        <w:gridCol w:w="965"/>
        <w:gridCol w:w="60"/>
        <w:gridCol w:w="60"/>
        <w:gridCol w:w="125"/>
        <w:gridCol w:w="695"/>
        <w:gridCol w:w="60"/>
        <w:gridCol w:w="60"/>
        <w:gridCol w:w="125"/>
        <w:gridCol w:w="695"/>
        <w:gridCol w:w="60"/>
      </w:tblGrid>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5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rStyle w:val="Emphasis"/>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Period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137,168</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73,759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28,932</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11,231</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backlog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Amortization expense related to intangible assets was approximately $9.7 million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and $19.5 million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Amortization expense related to intangible assets was approximately $9.0 million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$17.8 million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83" w:type="dxa"/>
        <w:jc w:val="left"/>
        <w:tblInd w:w="0" w:type="dxa"/>
        <w:tblLayout w:type="fixed"/>
        <w:tblCellMar>
          <w:top w:w="0" w:type="dxa"/>
          <w:left w:w="0" w:type="dxa"/>
          <w:bottom w:w="0" w:type="dxa"/>
          <w:right w:w="0" w:type="dxa"/>
        </w:tblCellMar>
      </w:tblPr>
      <w:tblGrid>
        <w:gridCol w:w="3380"/>
        <w:gridCol w:w="60"/>
        <w:gridCol w:w="129"/>
        <w:gridCol w:w="565"/>
        <w:gridCol w:w="80"/>
        <w:gridCol w:w="60"/>
        <w:gridCol w:w="197"/>
        <w:gridCol w:w="932"/>
        <w:gridCol w:w="8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8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 under Credit Agreement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 Cohu GmbH</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w:t>
            </w:r>
          </w:p>
        </w:tc>
        <w:tc>
          <w:tcPr>
            <w:tcW w:w="8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40,876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financing fees and discount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34,303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 2018, </w:t>
      </w:r>
      <w:r>
        <w:rPr>
          <w:rFonts w:ascii="Times New Roman" w:hAnsi="Times New Roman"/>
          <w:caps w:val="false"/>
          <w:smallCaps w:val="false"/>
          <w:sz w:val="20"/>
        </w:rPr>
        <w:t xml:space="preserve">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w:t>
      </w:r>
      <w:r>
        <w:rPr>
          <w:rStyle w:val="Emphasis"/>
          <w:rFonts w:ascii="Times New Roman" w:hAnsi="Times New Roman"/>
          <w:caps w:val="false"/>
          <w:smallCaps w:val="false"/>
          <w:sz w:val="20"/>
        </w:rPr>
        <w:t xml:space="preserve">October 1, 2025. </w:t>
      </w:r>
      <w:r>
        <w:rPr>
          <w:rFonts w:ascii="Times New Roman" w:hAnsi="Times New Roman"/>
          <w:caps w:val="false"/>
          <w:smallCaps w:val="false"/>
          <w:sz w:val="20"/>
        </w:rPr>
        <w:t xml:space="preserve">The loans under the Term Loan Credit Facility bore interest, at Cohu’s option, at a floating annual rate equal to LIBOR plus a margin of 3.00%. On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in connection with the discontinuation of LIBOR, we entered into an amendment to our Term Loan Credit Facility, which provided for the transition of the benchmark interest rate from LIBOR to SOFR. Effective with the interest period beginning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LIBOR was replaced with Adjusted Term SOFR, a floating annual rate equal to SOFR plus a margin of 3.0%.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the outstanding loan balance, net of discount and deferred financing costs, was $29.1 million and $3.4 million of the outstanding balance is presented as current installments of long-term debt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9, 2024, </w:t>
      </w:r>
      <w:r>
        <w:rPr>
          <w:rFonts w:ascii="Times New Roman" w:hAnsi="Times New Roman"/>
          <w:caps w:val="false"/>
          <w:smallCaps w:val="false"/>
          <w:sz w:val="20"/>
        </w:rPr>
        <w:t xml:space="preserve">we made a cash payment of $29.3 million to repay the remaining outstanding amounts owed under our Term Loan Credit Facility. We accounted for the transaction as a debt extinguishment, and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recognized a loss of $0.2 million due to the recognition of the remaining debt discount and deferred financing costs.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we repurchased $34.1 million in principal of our Term Loan Credit Facility for $34.1 million in cash. This resulted in a loss of $0.4 million reflected in other expense in our condensed consolidated statement of operations and a $0.4 million reduction in debt discounts and deferred financing costs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have a series of term loans with Japanese financial institutions primarily related to the expansion of our facility in Osaka, Japan. The loans are collateralized by the facility and land, carry interest at rates ranging from 0.05% to 0.55%, and expire at various dates through </w:t>
      </w:r>
      <w:r>
        <w:rPr>
          <w:rStyle w:val="Emphasis"/>
          <w:rFonts w:ascii="Times New Roman" w:hAnsi="Times New Roman"/>
          <w:caps w:val="false"/>
          <w:smallCaps w:val="false"/>
          <w:sz w:val="20"/>
        </w:rPr>
        <w:t>2034.</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the outstanding loan balance was $1.7 million and $0.2 million of the outstanding balance is presented as current installments of long-term debt in our condensed consolidated balance sheets.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the outstanding loan balance was $2.1 million and $0.2 million of the outstanding balance is presented as current installments of long-term debt in our condensed consolidated balance sheets. The fair value of the debt approximates the carrying value at </w:t>
      </w:r>
      <w:r>
        <w:rPr>
          <w:rStyle w:val="Emphasis"/>
          <w:rFonts w:ascii="Times New Roman" w:hAnsi="Times New Roman"/>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July 2019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June 2020, one</w:t>
      </w:r>
      <w:r>
        <w:rPr>
          <w:rFonts w:ascii="Times New Roman" w:hAnsi="Times New Roman"/>
          <w:caps w:val="false"/>
          <w:smallCaps w:val="false"/>
          <w:sz w:val="20"/>
        </w:rPr>
        <w:t xml:space="preserv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facility totaling €3.4 million has been fully drawn and is payable over 10 years at a fixed annual interest rate of 0.8%. Principal and interest payments are due each quarter over the duration of the facility ending in </w:t>
      </w:r>
      <w:r>
        <w:rPr>
          <w:rStyle w:val="Emphasis"/>
          <w:rFonts w:ascii="Times New Roman" w:hAnsi="Times New Roman"/>
          <w:caps w:val="false"/>
          <w:smallCaps w:val="false"/>
          <w:sz w:val="20"/>
        </w:rPr>
        <w:t xml:space="preserve">September 2029.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facility totaling €5.2 million has been fully drawn and is payable over 15 years at an annual interest rate of 1.05%, which is fixed until </w:t>
      </w:r>
      <w:r>
        <w:rPr>
          <w:rStyle w:val="Emphasis"/>
          <w:rFonts w:ascii="Times New Roman" w:hAnsi="Times New Roman"/>
          <w:caps w:val="false"/>
          <w:smallCaps w:val="false"/>
          <w:sz w:val="20"/>
        </w:rPr>
        <w:t xml:space="preserve">April 2027. </w:t>
      </w:r>
      <w:r>
        <w:rPr>
          <w:rFonts w:ascii="Times New Roman" w:hAnsi="Times New Roman"/>
          <w:caps w:val="false"/>
          <w:smallCaps w:val="false"/>
          <w:sz w:val="20"/>
        </w:rPr>
        <w:t xml:space="preserve">Principal and interest payments are due each month over the duration of the facility ending in </w:t>
      </w:r>
      <w:r>
        <w:rPr>
          <w:rStyle w:val="Emphasis"/>
          <w:rFonts w:ascii="Times New Roman" w:hAnsi="Times New Roman"/>
          <w:caps w:val="false"/>
          <w:smallCaps w:val="false"/>
          <w:sz w:val="20"/>
        </w:rPr>
        <w:t xml:space="preserve">January 2034.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facility totaling €0.9 million has been fully drawn and is payable over 10 years at an annual interest rate of 1.2%. Principal and interest payments are due each month over the duration of the facility ending in </w:t>
      </w:r>
      <w:r>
        <w:rPr>
          <w:rStyle w:val="Emphasis"/>
          <w:rFonts w:ascii="Times New Roman" w:hAnsi="Times New Roman"/>
          <w:caps w:val="false"/>
          <w:smallCaps w:val="false"/>
          <w:sz w:val="20"/>
        </w:rPr>
        <w:t>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total outstanding borrowings under the Loan Facilities was $7.0 million with $1.0 million of the total outstanding balance being presented as current installments of long-term debt in our condensed consolidated balance sheets. At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 xml:space="preserve">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w:t>
      </w:r>
      <w:r>
        <w:rPr>
          <w:rStyle w:val="Emphasis"/>
          <w:rFonts w:ascii="Times New Roman" w:hAnsi="Times New Roman"/>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As a result of our acquisition of Kita, we assumed a series of revolving credit facilities with various financial institutions in Japan. The credit facilities renew monthly and provide Kita with access to working capital totaling up to 960 million Japanese Yen of which 200 million Japanese Yen was drawn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total borrowings outstanding under the revolving lines of credit were $1.2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wholly owned subsidiary in Switzerland has one available line of credit which provides borrowings of up to a total of 2.0 million Swiss Francs, a portion of which is reserved for tax guarantees.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MCT Integration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in connection with the acquisition of MCT Worldwide, LLC (“MCT”), we began a strategic restructuring and integration program (“MCT Integration Program”). As part of the MCT Integration Program, we consolidated MCT’s Penang, Malaysia manufacturing operations into Cohu’s Malacca, Malaysia manufacturing operations by the end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Relating to the facility consolidation actions, we notified certain impacted employees of a reduction in force program. The facility consolidation and reduction in force programs were implemented as part of a comprehensive review of our operations and were intended to reduce our operating cost structure and capitalize on acquisition synergies.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restructuring activities associated with the MCT Integration Program were materially complete.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As a result of the activities described above, we recognized total pretax charges of $0.4 million and $1.3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respectively, that are within the scope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Total pretax charges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following table summarizes the activity within the restructuring related accounts for the MCT Integration Program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24" w:type="dxa"/>
        <w:jc w:val="left"/>
        <w:tblInd w:w="0" w:type="dxa"/>
        <w:tblLayout w:type="fixed"/>
        <w:tblCellMar>
          <w:top w:w="0" w:type="dxa"/>
          <w:left w:w="0" w:type="dxa"/>
          <w:bottom w:w="0" w:type="dxa"/>
          <w:right w:w="0" w:type="dxa"/>
        </w:tblCellMar>
      </w:tblPr>
      <w:tblGrid>
        <w:gridCol w:w="2345"/>
        <w:gridCol w:w="60"/>
        <w:gridCol w:w="243"/>
        <w:gridCol w:w="946"/>
        <w:gridCol w:w="80"/>
        <w:gridCol w:w="60"/>
        <w:gridCol w:w="258"/>
        <w:gridCol w:w="602"/>
        <w:gridCol w:w="80"/>
        <w:gridCol w:w="60"/>
        <w:gridCol w:w="125"/>
        <w:gridCol w:w="485"/>
        <w:gridCol w:w="8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8" w:type="dxa"/>
            <w:tcBorders/>
            <w:shd w:fill="FFFFFF" w:val="clear"/>
            <w:vAlign w:val="center"/>
          </w:tcPr>
          <w:p>
            <w:pPr>
              <w:pStyle w:val="TableContents"/>
              <w:bidi w:val="0"/>
              <w:spacing w:before="0" w:after="283"/>
              <w:ind w:left="0" w:right="0" w:hanging="0"/>
              <w:jc w:val="left"/>
              <w:rPr/>
            </w:pPr>
            <w:r>
              <w:rPr/>
              <w:t> </w:t>
            </w:r>
          </w:p>
        </w:tc>
        <w:tc>
          <w:tcPr>
            <w:tcW w:w="6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1,304</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July 1, 2023</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Instruments Measured at Fair Value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cash, cash equivalents, and short-term investments consisted primarily of cash and other investment grade securities.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due to credit-related factors are included in accumulated other comprehensive income (loss). Factors that could indicate an impairment exists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significant.</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47"/>
        <w:gridCol w:w="698"/>
        <w:gridCol w:w="60"/>
        <w:gridCol w:w="60"/>
        <w:gridCol w:w="322"/>
        <w:gridCol w:w="598"/>
        <w:gridCol w:w="60"/>
        <w:gridCol w:w="60"/>
        <w:gridCol w:w="322"/>
        <w:gridCol w:w="598"/>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32,814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2"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2360"/>
        <w:gridCol w:w="60"/>
        <w:gridCol w:w="147"/>
        <w:gridCol w:w="698"/>
        <w:gridCol w:w="60"/>
        <w:gridCol w:w="60"/>
        <w:gridCol w:w="248"/>
        <w:gridCol w:w="672"/>
        <w:gridCol w:w="60"/>
        <w:gridCol w:w="60"/>
        <w:gridCol w:w="248"/>
        <w:gridCol w:w="672"/>
        <w:gridCol w:w="60"/>
        <w:gridCol w:w="60"/>
        <w:gridCol w:w="145"/>
        <w:gridCol w:w="685"/>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center"/>
              <w:rPr/>
            </w:pPr>
            <w:r>
              <w:rPr>
                <w:rStyle w:val="Emphasis"/>
                <w:rFonts w:ascii="Times New Roman;Times;serif" w:hAnsi="Times New Roman;Times;serif"/>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283"/>
              <w:jc w:val="center"/>
              <w:rPr/>
            </w:pPr>
            <w:r>
              <w:rPr>
                <w:rStyle w:val="Emphasis"/>
                <w:rFonts w:ascii="Times New Roman;Times;serif" w:hAnsi="Times New Roman;Times;serif"/>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45,237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1000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As of </w:t>
            </w:r>
            <w:r>
              <w:rPr>
                <w:rStyle w:val="Emphasis"/>
                <w:rFonts w:ascii="Times New Roman;Times;serif" w:hAnsi="Times New Roman;Times;serif"/>
                <w:caps w:val="false"/>
                <w:smallCaps w:val="false"/>
                <w:sz w:val="18"/>
              </w:rPr>
              <w:t xml:space="preserve">June 29, 2024, </w:t>
            </w:r>
            <w:r>
              <w:rPr>
                <w:rFonts w:ascii="Times New Roman;Times;serif" w:hAnsi="Times New Roman;Times;serif"/>
                <w:caps w:val="false"/>
                <w:smallCaps w:val="false"/>
                <w:sz w:val="18"/>
              </w:rPr>
              <w:t xml:space="preserve">the cost and fair value of investments with loss positions was approximately $30.6 million and $30.5 million, respectively. As of </w:t>
            </w:r>
            <w:r>
              <w:rPr>
                <w:rStyle w:val="Emphasis"/>
                <w:rFonts w:ascii="Times New Roman;Times;serif" w:hAnsi="Times New Roman;Times;serif"/>
                <w:caps w:val="false"/>
                <w:smallCaps w:val="false"/>
                <w:sz w:val="18"/>
              </w:rPr>
              <w:t xml:space="preserve">December 30, 2023, </w:t>
            </w:r>
            <w:r>
              <w:rPr>
                <w:rFonts w:ascii="Times New Roman;Times;serif" w:hAnsi="Times New Roman;Times;serif"/>
                <w:caps w:val="false"/>
                <w:smallCaps w:val="false"/>
                <w:sz w:val="18"/>
              </w:rPr>
              <w:t>the cost and fair value of investments with loss positions was approximately $38.5 million and $38.4 million, respectively. We evaluated the nature of these investments, credit worthiness of the issuer and the duration of these impairments to determine if a credit loss exists. We have the ability and intent to hold these investments to maturity.</w:t>
            </w:r>
          </w:p>
        </w:tc>
      </w:tr>
    </w:tbl>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2</w:t>
            </w:r>
            <w:r>
              <w:rPr>
                <w:rFonts w:ascii="Times New Roman;Times;serif" w:hAnsi="Times New Roman;Times;serif"/>
                <w:caps w:val="false"/>
                <w:smallCaps w:val="false"/>
                <w:sz w:val="18"/>
              </w:rPr>
              <w:t>)</w:t>
            </w:r>
          </w:p>
        </w:tc>
        <w:tc>
          <w:tcPr>
            <w:tcW w:w="9946"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Corporate debt securities include investments in financial and other corporate institutions. </w:t>
            </w:r>
            <w:r>
              <w:rPr>
                <w:rStyle w:val="Emphasis"/>
                <w:rFonts w:ascii="Times New Roman;Times;serif" w:hAnsi="Times New Roman;Times;serif"/>
                <w:caps w:val="false"/>
                <w:smallCaps w:val="false"/>
                <w:sz w:val="18"/>
              </w:rPr>
              <w:t>No</w:t>
            </w:r>
            <w:r>
              <w:rPr>
                <w:rFonts w:ascii="Times New Roman;Times;serif" w:hAnsi="Times New Roman;Times;serif"/>
                <w:caps w:val="false"/>
                <w:smallCaps w:val="false"/>
                <w:sz w:val="18"/>
              </w:rPr>
              <w:t xml:space="preserve">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3035"/>
        <w:gridCol w:w="60"/>
        <w:gridCol w:w="152"/>
        <w:gridCol w:w="723"/>
        <w:gridCol w:w="60"/>
        <w:gridCol w:w="60"/>
        <w:gridCol w:w="150"/>
        <w:gridCol w:w="709"/>
        <w:gridCol w:w="60"/>
        <w:gridCol w:w="60"/>
        <w:gridCol w:w="152"/>
        <w:gridCol w:w="723"/>
        <w:gridCol w:w="61"/>
        <w:gridCol w:w="61"/>
        <w:gridCol w:w="150"/>
        <w:gridCol w:w="709"/>
        <w:gridCol w:w="60"/>
      </w:tblGrid>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r>
      <w:tr>
        <w:trPr/>
        <w:tc>
          <w:tcPr>
            <w:tcW w:w="3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57,887</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7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31,546</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five years through ten years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90,174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Accounting standards pertaining to fair value measurements establish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-tier fair value hierarchy, which prioritizes the inputs used in measuring fair value. These tiers include: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defined as observable inputs such as quoted prices in active markets;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defined as inputs other than quoted prices in active markets that are either directly or indirectly observable;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defined as unobservable inputs in which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exists, therefore requiring an entity to develop its own assumptions. When available, we use quoted market prices to determine the fair value of our investments, and they are included 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When quoted market prices are unobservable, we use quotes from independent pricing vendors based on recent trading activity and other relevant information, and they are included in Level </w:t>
      </w:r>
      <w:r>
        <w:rPr>
          <w:rStyle w:val="Emphasis"/>
          <w:rFonts w:ascii="Times New Roman" w:hAnsi="Times New Roman"/>
          <w:caps w:val="false"/>
          <w:smallCaps w:val="false"/>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0" w:type="dxa"/>
        <w:tblLayout w:type="fixed"/>
        <w:tblCellMar>
          <w:top w:w="0" w:type="dxa"/>
          <w:left w:w="0" w:type="dxa"/>
          <w:bottom w:w="0" w:type="dxa"/>
          <w:right w:w="0" w:type="dxa"/>
        </w:tblCellMar>
      </w:tblPr>
      <w:tblGrid>
        <w:gridCol w:w="2360"/>
        <w:gridCol w:w="60"/>
        <w:gridCol w:w="169"/>
        <w:gridCol w:w="940"/>
        <w:gridCol w:w="81"/>
        <w:gridCol w:w="81"/>
        <w:gridCol w:w="169"/>
        <w:gridCol w:w="798"/>
        <w:gridCol w:w="81"/>
        <w:gridCol w:w="81"/>
        <w:gridCol w:w="386"/>
        <w:gridCol w:w="248"/>
        <w:gridCol w:w="81"/>
        <w:gridCol w:w="81"/>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June 29, 2024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9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169,955</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33,563</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32,364</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32,364</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13,454</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13,454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8,170</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9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169,955</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92,442</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30, 2023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81,115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51,949</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51,949</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20,349</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8,024</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Municipal securities</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157,697</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178,001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Equity Incentive Plan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and the Cohu, Inc. </w:t>
      </w:r>
      <w:r>
        <w:rPr>
          <w:rStyle w:val="Emphasis"/>
          <w:rFonts w:ascii="Times New Roman" w:hAnsi="Times New Roman"/>
          <w:caps w:val="false"/>
          <w:smallCaps w:val="false"/>
          <w:sz w:val="20"/>
        </w:rPr>
        <w:t>1997</w:t>
      </w:r>
      <w:r>
        <w:rPr>
          <w:rFonts w:ascii="Times New Roman" w:hAnsi="Times New Roman"/>
          <w:caps w:val="false"/>
          <w:smallCaps w:val="false"/>
          <w:sz w:val="20"/>
        </w:rPr>
        <w:t xml:space="preserve"> Employee Stock Purchase Plan (“ESPP”) are a broad-based, long-term retention programs intended to attract, motivate, and retain talented employees as well as align stockholder and employee interests.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under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there were 2,944,895 shares available for future equity grants under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and 721,973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w:t>
      </w:r>
      <w:r>
        <w:rPr>
          <w:rStyle w:val="Emphasis"/>
          <w:rFonts w:ascii="Times New Roman" w:hAnsi="Times New Roman"/>
          <w:caps w:val="false"/>
          <w:smallCaps w:val="false"/>
          <w:sz w:val="20"/>
        </w:rPr>
        <w:t>2005</w:t>
      </w:r>
      <w:r>
        <w:rPr>
          <w:rFonts w:ascii="Times New Roman" w:hAnsi="Times New Roman"/>
          <w:caps w:val="false"/>
          <w:smallCaps w:val="false"/>
          <w:sz w:val="20"/>
        </w:rPr>
        <w:t xml:space="preserve"> Plan have a maximum contractual term of ten years.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did not grant any stock options and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no stock options were exercisable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grant restricted stock units (“RSUs”) to certain employees, consultants and directors. RSUs vest in annual increments that range from one to four years from the date of grant. Prior to vesting, RSUs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dividend equivalent rights,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voting rights and the shares underlying the RSUs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considered issued and outstanding. Shares of our common stock will be issued on the date the RSUs vest net of the minimum statutory tax withholding requirements to be paid by us on behalf of our employees. As a result, the actual number of shares issued will be fewer than the number of RSUs outstanding on </w:t>
      </w:r>
      <w:r>
        <w:rPr>
          <w:rStyle w:val="Emphasis"/>
          <w:rFonts w:ascii="Times New Roman" w:hAnsi="Times New Roman"/>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awarded 408,720 RSUs and issued 350,198 shares of our common stock on vesting of previously granted awards and 35,650 RSUs were forfeited.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we had 906,880 RSUs outstanding with an aggregate intrinsic value of approximately $30.0 million and the weighted average remaining vesting period was approximately 1.4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Performance Stock Units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-year measurement period. The performance criteria for the PSUs are based on a combination of our annualized Total Shareholder Return (“TSR”) for the performance period and the relative performance of our TSR compared with the Russell </w:t>
      </w:r>
      <w:r>
        <w:rPr>
          <w:rStyle w:val="Emphasis"/>
          <w:rFonts w:ascii="Times New Roman" w:hAnsi="Times New Roman"/>
          <w:caps w:val="false"/>
          <w:smallCaps w:val="false"/>
          <w:sz w:val="20"/>
        </w:rPr>
        <w:t>2000</w:t>
      </w:r>
      <w:r>
        <w:rPr>
          <w:rFonts w:ascii="Times New Roman" w:hAnsi="Times New Roman"/>
          <w:caps w:val="false"/>
          <w:smallCaps w:val="false"/>
          <w:sz w:val="20"/>
        </w:rPr>
        <w:t xml:space="preserve"> Index (RUT) for the performance period. PSUs granted vest 100% on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estimate the fair value of the PSUs using a Monte Carlo simulation model on the date of grant. Compensation expense is recognized over the requisite service period. To the extent applicable performance conditions are satisfied, shares of our common stock are issued on the date the PSUs vest net of the minimum statutory tax withholding requirements to be paid by us on behalf of our employees. As a result, the actual number of shares issued will be fewer than the actual number of PSUs outstanding on </w:t>
      </w:r>
      <w:r>
        <w:rPr>
          <w:rStyle w:val="Emphasis"/>
          <w:rFonts w:ascii="Times New Roman" w:hAnsi="Times New Roman"/>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we awarded 198,989 PSUs, we issued 62,680 shares of our common stock on vesting of previously granted awards and 8,881 shares were forfeited.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we had 535,450 PSUs outstanding with an aggregate intrinsic value of approximately $17.7 million and the weighted average remaining vesting period was approximately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ESPP provides for the issuance of shares of our common stock. Under the ESPP, eligible employees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shares of Cohu common stock through payroll deductions at a price equal to 85 percent of the lower of the fair market value of Cohu common stock at the beginning or end of each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-month purchase offering period, subject to certain limits.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offering periods run from </w:t>
      </w:r>
      <w:r>
        <w:rPr>
          <w:rStyle w:val="Emphasis"/>
          <w:rFonts w:ascii="Times New Roman" w:hAnsi="Times New Roman"/>
          <w:caps w:val="false"/>
          <w:smallCaps w:val="false"/>
          <w:sz w:val="20"/>
        </w:rPr>
        <w:t xml:space="preserve">November 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April 30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May 1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October 31, </w:t>
      </w:r>
      <w:r>
        <w:rPr>
          <w:rFonts w:ascii="Times New Roman" w:hAnsi="Times New Roman"/>
          <w:caps w:val="false"/>
          <w:smallCaps w:val="false"/>
          <w:sz w:val="20"/>
        </w:rPr>
        <w:t xml:space="preserve">respectively.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fiscal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77,696 shares of our common stock were sold to our employees under the ESPP.</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Foreign Exchange Derivative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and, as a result, we are exposed to changes in foreign currency exchange rates. To minimize foreign exchange volatility, we utilize foreign currency forward contracts to offset future movements in foreign exchange rates that affect certain existing foreign currency denominated assets and liabilities. Under this program, our strategy is to have increases or decreases in our foreign currency exposures mitigated by gains or losses on the foreign currency forward contracts to reduce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derivative financial instruments for speculative or trading purposes. For accounting purposes, our foreign currency forward contracts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 The cash flows associated with the foreign currency forward contracts are reported in net cash used in operating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fair value of our foreign exchange derivative contracts was determined based on current foreign currency exchange rates and forward points. All our foreign exchange derivative contracts outstanding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will mature during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fiscal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The following table provides information about our foreign currency forward contracts outstanding as of </w:t>
      </w:r>
      <w:r>
        <w:rPr>
          <w:rStyle w:val="Emphasis"/>
          <w:rFonts w:ascii="Times New Roman" w:hAnsi="Times New Roman"/>
          <w:caps w:val="false"/>
          <w:smallCaps w:val="false"/>
          <w:sz w:val="20"/>
        </w:rPr>
        <w:t xml:space="preserve">June 29, 2024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64,200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foreign currency contracts are classified within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fair value hierarchy as they are valued using pricing models that utilize observable market inputs. The fair values of foreign currency contracts outstanding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893" w:type="dxa"/>
        <w:jc w:val="left"/>
        <w:tblInd w:w="0" w:type="dxa"/>
        <w:tblLayout w:type="fixed"/>
        <w:tblCellMar>
          <w:top w:w="0" w:type="dxa"/>
          <w:left w:w="0" w:type="dxa"/>
          <w:bottom w:w="0" w:type="dxa"/>
          <w:right w:w="0" w:type="dxa"/>
        </w:tblCellMar>
      </w:tblPr>
      <w:tblGrid>
        <w:gridCol w:w="2915"/>
        <w:gridCol w:w="2480"/>
        <w:gridCol w:w="60"/>
        <w:gridCol w:w="170"/>
        <w:gridCol w:w="742"/>
        <w:gridCol w:w="108"/>
        <w:gridCol w:w="81"/>
        <w:gridCol w:w="170"/>
        <w:gridCol w:w="456"/>
        <w:gridCol w:w="60"/>
        <w:gridCol w:w="60"/>
        <w:gridCol w:w="141"/>
        <w:gridCol w:w="617"/>
        <w:gridCol w:w="90"/>
        <w:gridCol w:w="67"/>
        <w:gridCol w:w="67"/>
        <w:gridCol w:w="549"/>
        <w:gridCol w:w="60"/>
      </w:tblGrid>
      <w:tr>
        <w:trPr/>
        <w:tc>
          <w:tcPr>
            <w:tcW w:w="291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912"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 29,</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62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 29,</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616"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Jul. 1,</w:t>
            </w:r>
          </w:p>
        </w:tc>
        <w:tc>
          <w:tcPr>
            <w:tcW w:w="6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108" w:type="dxa"/>
            <w:tcBorders>
              <w:bottom w:val="single" w:sz="2" w:space="0" w:color="000000"/>
            </w:tcBorders>
            <w:tcMar>
              <w:bottom w:w="28" w:type="dxa"/>
            </w:tcMar>
            <w:vAlign w:val="center"/>
          </w:tcPr>
          <w:p>
            <w:pPr>
              <w:pStyle w:val="TableContents"/>
              <w:bidi w:val="0"/>
              <w:spacing w:before="0" w:after="283"/>
              <w:jc w:val="left"/>
              <w:rPr/>
            </w:pPr>
            <w:r>
              <w:rPr/>
              <w:t> </w:t>
            </w:r>
          </w:p>
        </w:tc>
        <w:tc>
          <w:tcPr>
            <w:tcW w:w="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2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2023</w:t>
            </w:r>
          </w:p>
        </w:tc>
        <w:tc>
          <w:tcPr>
            <w:tcW w:w="6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w:t>
            </w:r>
          </w:p>
        </w:tc>
        <w:tc>
          <w:tcPr>
            <w:tcW w:w="1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(5,325</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5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28, 2021, </w:t>
      </w:r>
      <w:r>
        <w:rPr>
          <w:rFonts w:ascii="Times New Roman" w:hAnsi="Times New Roman"/>
          <w:caps w:val="false"/>
          <w:smallCaps w:val="false"/>
          <w:sz w:val="20"/>
        </w:rPr>
        <w:t xml:space="preserve">we announced that our Board of Directors authorized a $70 million share repurchase program. This share repurchase program was effective as of </w:t>
      </w:r>
      <w:r>
        <w:rPr>
          <w:rStyle w:val="Emphasis"/>
          <w:rFonts w:ascii="Times New Roman" w:hAnsi="Times New Roman"/>
          <w:caps w:val="false"/>
          <w:smallCaps w:val="false"/>
          <w:sz w:val="20"/>
        </w:rPr>
        <w:t xml:space="preserve">November 2, 2021, </w:t>
      </w:r>
      <w:r>
        <w:rPr>
          <w:rFonts w:ascii="Times New Roman" w:hAnsi="Times New Roman"/>
          <w:caps w:val="false"/>
          <w:smallCaps w:val="false"/>
          <w:sz w:val="20"/>
        </w:rPr>
        <w:t xml:space="preserve">and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expiration date. On </w:t>
      </w:r>
      <w:r>
        <w:rPr>
          <w:rStyle w:val="Emphasis"/>
          <w:rFonts w:ascii="Times New Roman" w:hAnsi="Times New Roman"/>
          <w:caps w:val="false"/>
          <w:smallCaps w:val="false"/>
          <w:sz w:val="20"/>
        </w:rPr>
        <w:t xml:space="preserve">October 25, 2022, </w:t>
      </w:r>
      <w:r>
        <w:rPr>
          <w:rFonts w:ascii="Times New Roman" w:hAnsi="Times New Roman"/>
          <w:caps w:val="false"/>
          <w:smallCaps w:val="false"/>
          <w:sz w:val="20"/>
        </w:rPr>
        <w:t xml:space="preserve">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commenced or suspended from time-to-time at our discretion without prior notice. Repurchases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made in the open market, through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programs, or in privately negotiated transactions at prevailing market rates in accordance with federal securities laws.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repurchased 267,000 shares of our common stock for $8.2 million to be held as treasury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we repurchased 600,504 shares of our common stock for $18.9 million to be held as treasury stock.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we repurchased 77,203 shares of our common stock for $2.7 million to be held as treasury stock.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July 1, 2023, </w:t>
      </w:r>
      <w:r>
        <w:rPr>
          <w:rFonts w:ascii="Times New Roman" w:hAnsi="Times New Roman"/>
          <w:caps w:val="false"/>
          <w:smallCaps w:val="false"/>
          <w:sz w:val="20"/>
        </w:rPr>
        <w:t xml:space="preserve">we repurchased 176,885 shares of our common stock for $6.2 million to be held as treasury stock. As of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$39.4 million of shares of our common stock remained available for us to repurchase under our share repurchase program.</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9.</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account for income taxes in accordance with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740”</w:t>
      </w:r>
      <w:r>
        <w:rPr>
          <w:rFonts w:ascii="Times New Roman" w:hAnsi="Times New Roman"/>
          <w:caps w:val="false"/>
          <w:smallCaps w:val="false"/>
          <w:sz w:val="20"/>
        </w:rPr>
        <w:t>).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conduct business globally and, as a result, Cohu or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Thailand.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Companies are required to assess whether a valuation allowance should be recorded against their deferred tax assets (“DTAs”) based on the consideration of all available evidence,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realization standard.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sources of taxable income that must be considered in determining whether DTAs will be realized are, (</w:t>
      </w:r>
      <w:r>
        <w:rPr>
          <w:rStyle w:val="Emphasis"/>
          <w:rFonts w:ascii="Times New Roman" w:hAnsi="Times New Roman"/>
          <w:caps w:val="false"/>
          <w:smallCaps w:val="false"/>
          <w:sz w:val="20"/>
        </w:rPr>
        <w:t>1</w:t>
      </w:r>
      <w:r>
        <w:rPr>
          <w:rFonts w:ascii="Times New Roman" w:hAnsi="Times New Roman"/>
          <w:caps w:val="false"/>
          <w:smallCaps w:val="false"/>
          <w:sz w:val="20"/>
        </w:rPr>
        <w:t>) future reversals of existing taxable temporary differences (i.e. offset of gross deferred tax assets against gross deferred tax liabilities); (</w:t>
      </w:r>
      <w:r>
        <w:rPr>
          <w:rStyle w:val="Emphasis"/>
          <w:rFonts w:ascii="Times New Roman" w:hAnsi="Times New Roman"/>
          <w:caps w:val="false"/>
          <w:smallCaps w:val="false"/>
          <w:sz w:val="20"/>
        </w:rPr>
        <w:t>2</w:t>
      </w:r>
      <w:r>
        <w:rPr>
          <w:rFonts w:ascii="Times New Roman" w:hAnsi="Times New Roman"/>
          <w:caps w:val="false"/>
          <w:smallCaps w:val="false"/>
          <w:sz w:val="20"/>
        </w:rPr>
        <w:t>) taxable income in prior carryback years, if carryback is permitted under the tax law; (</w:t>
      </w:r>
      <w:r>
        <w:rPr>
          <w:rStyle w:val="Emphasis"/>
          <w:rFonts w:ascii="Times New Roman" w:hAnsi="Times New Roman"/>
          <w:caps w:val="false"/>
          <w:smallCaps w:val="false"/>
          <w:sz w:val="20"/>
        </w:rPr>
        <w:t>3</w:t>
      </w:r>
      <w:r>
        <w:rPr>
          <w:rFonts w:ascii="Times New Roman" w:hAnsi="Times New Roman"/>
          <w:caps w:val="false"/>
          <w:smallCaps w:val="false"/>
          <w:sz w:val="20"/>
        </w:rPr>
        <w:t>) tax planning strategies and (</w:t>
      </w:r>
      <w:r>
        <w:rPr>
          <w:rStyle w:val="Emphasis"/>
          <w:rFonts w:ascii="Times New Roman" w:hAnsi="Times New Roman"/>
          <w:caps w:val="false"/>
          <w:smallCaps w:val="false"/>
          <w:sz w:val="20"/>
        </w:rPr>
        <w:t>4</w:t>
      </w:r>
      <w:r>
        <w:rPr>
          <w:rFonts w:ascii="Times New Roman" w:hAnsi="Times New Roman"/>
          <w:caps w:val="false"/>
          <w:smallCaps w:val="false"/>
          <w:sz w:val="20"/>
        </w:rPr>
        <w:t>)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assessing whether a valuation allowance is required, significant weight is to be given to evidence that can be objectively verified. We have evaluated our DTAs at each reporting period, including an assessment of our cumulative income or loss over the prior </w:t>
      </w:r>
      <w:r>
        <w:rPr>
          <w:rStyle w:val="Emphasis"/>
          <w:rFonts w:ascii="Times New Roman" w:hAnsi="Times New Roman"/>
          <w:caps w:val="false"/>
          <w:smallCaps w:val="false"/>
          <w:sz w:val="20"/>
        </w:rPr>
        <w:t>three</w:t>
      </w:r>
      <w:r>
        <w:rPr>
          <w:rFonts w:ascii="Times New Roman" w:hAnsi="Times New Roman"/>
          <w:caps w:val="false"/>
          <w:smallCaps w:val="false"/>
          <w:sz w:val="20"/>
        </w:rPr>
        <w:t>-year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a previously recorded valuation allowance against substantially all net deferred tax assets in the United States is required. If a change in judgment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In accordance with the disclosure requirements in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we have classified unrecognized tax benefits as non-current income tax liabilities, or a reduction in non-current deferred tax assets, unless they are expected to be paid within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We lease certain of our facilities, equipment and vehicles under non-cancelable operating and finance leases. Leases with initial terms of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or less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leases have remaining lease terms of 1 year to 34 years, some of which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options to extend the lease for up to 25 years. Our lease terms include renewal terms when we are reasonably certain that we will exercise the renewal options. We sublease certain leased assets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mainly as a result of unused space in our facilities.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560" w:right="0" w:hanging="0"/>
        <w:jc w:val="left"/>
        <w:rPr>
          <w:caps w:val="false"/>
          <w:smallCaps w:val="false"/>
        </w:rPr>
      </w:pPr>
      <w:r>
        <w:rPr>
          <w:caps w:val="false"/>
          <w:smallCaps w:val="false"/>
        </w:rPr>
        <w:t> </w:t>
      </w:r>
    </w:p>
    <w:tbl>
      <w:tblPr>
        <w:tblW w:w="8938" w:type="dxa"/>
        <w:jc w:val="left"/>
        <w:tblInd w:w="0" w:type="dxa"/>
        <w:tblLayout w:type="fixed"/>
        <w:tblCellMar>
          <w:top w:w="0" w:type="dxa"/>
          <w:left w:w="0" w:type="dxa"/>
          <w:bottom w:w="28" w:type="dxa"/>
          <w:right w:w="0" w:type="dxa"/>
        </w:tblCellMar>
      </w:tblPr>
      <w:tblGrid>
        <w:gridCol w:w="2600"/>
        <w:gridCol w:w="3095"/>
        <w:gridCol w:w="60"/>
        <w:gridCol w:w="202"/>
        <w:gridCol w:w="957"/>
        <w:gridCol w:w="185"/>
        <w:gridCol w:w="60"/>
        <w:gridCol w:w="278"/>
        <w:gridCol w:w="1316"/>
        <w:gridCol w:w="185"/>
      </w:tblGrid>
      <w:tr>
        <w:trPr/>
        <w:tc>
          <w:tcPr>
            <w:tcW w:w="26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30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 2023</w:t>
            </w:r>
          </w:p>
        </w:tc>
        <w:tc>
          <w:tcPr>
            <w:tcW w:w="185" w:type="dxa"/>
            <w:tcBorders/>
            <w:tcMar>
              <w:bottom w:w="0" w:type="dxa"/>
            </w:tcMar>
            <w:vAlign w:val="center"/>
          </w:tcPr>
          <w:p>
            <w:pPr>
              <w:pStyle w:val="TableContents"/>
              <w:bidi w:val="0"/>
              <w:spacing w:before="0" w:after="283"/>
              <w:ind w:left="0" w:right="0" w:hanging="0"/>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 (1)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14,896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16,778</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309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95" w:type="dxa"/>
            <w:gridSpan w:val="2"/>
            <w:tcBorders/>
            <w:shd w:fill="FFFFFF" w:val="clear"/>
            <w:tcMar>
              <w:bottom w:w="0" w:type="dxa"/>
            </w:tcMar>
            <w:vAlign w:val="center"/>
          </w:tcPr>
          <w:p>
            <w:pPr>
              <w:pStyle w:val="TableContents"/>
              <w:bidi w:val="0"/>
              <w:spacing w:before="0" w:after="0"/>
              <w:ind w:left="360" w:right="0" w:hanging="0"/>
              <w:jc w:val="left"/>
              <w:rPr/>
            </w:pPr>
            <w:r>
              <w:rPr>
                <w:rStyle w:val="Emphasis"/>
                <w:rFonts w:ascii="Times New Roman;Times;serif" w:hAnsi="Times New Roman;Times;serif"/>
                <w:caps w:val="false"/>
                <w:smallCaps w:val="false"/>
                <w:sz w:val="20"/>
              </w:rPr>
              <w:t>Total lease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23,935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17,025</w:t>
            </w:r>
          </w:p>
        </w:tc>
        <w:tc>
          <w:tcPr>
            <w:tcW w:w="18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CCEE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 (1)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5,122</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FFFFFF" w:val="clear"/>
            <w:tcMar>
              <w:bottom w:w="0" w:type="dxa"/>
            </w:tcM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30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13,160</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30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95" w:type="dxa"/>
            <w:gridSpan w:val="2"/>
            <w:tcBorders/>
            <w:shd w:fill="FFFFFF" w:val="clear"/>
            <w:tcMar>
              <w:bottom w:w="0" w:type="dxa"/>
            </w:tcMar>
            <w:vAlign w:val="center"/>
          </w:tcPr>
          <w:p>
            <w:pPr>
              <w:pStyle w:val="TableContents"/>
              <w:bidi w:val="0"/>
              <w:spacing w:before="0" w:after="0"/>
              <w:ind w:left="360" w:right="0" w:hanging="0"/>
              <w:jc w:val="left"/>
              <w:rPr/>
            </w:pPr>
            <w:r>
              <w:rPr>
                <w:rStyle w:val="Emphasis"/>
                <w:rFonts w:ascii="Times New Roman;Times;serif" w:hAnsi="Times New Roman;Times;serif"/>
                <w:caps w:val="false"/>
                <w:smallCaps w:val="false"/>
                <w:sz w:val="20"/>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24,256</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18,308</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5695" w:type="dxa"/>
            <w:gridSpan w:val="2"/>
            <w:tcBorders/>
            <w:shd w:fill="FFFFFF" w:val="clear"/>
            <w:tcMar>
              <w:bottom w:w="0" w:type="dxa"/>
            </w:tcMar>
            <w:vAlign w:val="center"/>
          </w:tcPr>
          <w:p>
            <w:pPr>
              <w:pStyle w:val="TableContents"/>
              <w:bidi w:val="0"/>
              <w:spacing w:before="0" w:after="283"/>
              <w:jc w:val="left"/>
              <w:rPr/>
            </w:pPr>
            <w:r>
              <w:rPr>
                <w:rStyle w:val="Emphasis"/>
                <w:rFonts w:ascii="Times New Roman;Times;serif" w:hAnsi="Times New Roman;Times;serif"/>
                <w:sz w:val="20"/>
              </w:rPr>
              <w:t>Weighted-average remaining lease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rStyle w:val="Emphasis"/>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rStyle w:val="Emphasis"/>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309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309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283"/>
              <w:jc w:val="left"/>
              <w:rPr/>
            </w:pPr>
            <w:r>
              <w:rPr/>
              <w:t> </w:t>
            </w:r>
          </w:p>
        </w:tc>
        <w:tc>
          <w:tcPr>
            <w:tcW w:w="30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r>
      <w:tr>
        <w:trPr/>
        <w:tc>
          <w:tcPr>
            <w:tcW w:w="26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discount rate</w:t>
            </w:r>
          </w:p>
        </w:tc>
        <w:tc>
          <w:tcPr>
            <w:tcW w:w="30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26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3095" w:type="dxa"/>
            <w:tcBorders/>
            <w:shd w:fill="CCEEFF" w:val="clear"/>
            <w:tcMar>
              <w:bottom w:w="0" w:type="dxa"/>
            </w:tcMar>
            <w:vAlign w:val="center"/>
          </w:tcPr>
          <w:p>
            <w:pPr>
              <w:pStyle w:val="TableContents"/>
              <w:bidi w:val="0"/>
              <w:spacing w:before="0" w:after="283"/>
              <w:jc w:val="left"/>
              <w:rPr/>
            </w:pPr>
            <w:r>
              <w:rPr>
                <w:rStyle w:val="Emphasis"/>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3095" w:type="dxa"/>
            <w:tcBorders/>
            <w:shd w:fill="FFFFFF" w:val="clear"/>
            <w:tcMar>
              <w:bottom w:w="0" w:type="dxa"/>
            </w:tcMar>
            <w:vAlign w:val="center"/>
          </w:tcPr>
          <w:p>
            <w:pPr>
              <w:pStyle w:val="TableContents"/>
              <w:bidi w:val="0"/>
              <w:spacing w:before="0" w:after="283"/>
              <w:jc w:val="left"/>
              <w:rPr/>
            </w:pPr>
            <w:r>
              <w:rPr>
                <w:rStyle w:val="Emphasis"/>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center"/>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1001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Finance lease assets are recorded net of accumulated amortization of $0.4 million and $0.3 million as of </w:t>
            </w:r>
            <w:r>
              <w:rPr>
                <w:rStyle w:val="Emphasis"/>
                <w:rFonts w:ascii="Times New Roman;Times;serif" w:hAnsi="Times New Roman;Times;serif"/>
                <w:caps w:val="false"/>
                <w:smallCaps w:val="false"/>
                <w:sz w:val="18"/>
              </w:rPr>
              <w:t xml:space="preserve">June 29, 2024 </w:t>
            </w:r>
            <w:r>
              <w:rPr>
                <w:rFonts w:ascii="Times New Roman;Times;serif" w:hAnsi="Times New Roman;Times;serif"/>
                <w:caps w:val="false"/>
                <w:smallCaps w:val="false"/>
                <w:sz w:val="18"/>
              </w:rPr>
              <w:t xml:space="preserve">and </w:t>
            </w:r>
            <w:r>
              <w:rPr>
                <w:rStyle w:val="Emphasis"/>
                <w:rFonts w:ascii="Times New Roman;Times;serif" w:hAnsi="Times New Roman;Times;serif"/>
                <w:caps w:val="false"/>
                <w:smallCaps w:val="false"/>
                <w:sz w:val="18"/>
              </w:rPr>
              <w:t xml:space="preserve">December 30, 2023, </w:t>
            </w:r>
            <w:r>
              <w:rPr>
                <w:rFonts w:ascii="Times New Roman;Times;serif" w:hAnsi="Times New Roman;Times;serif"/>
                <w:caps w:val="false"/>
                <w:smallCaps w:val="false"/>
                <w:sz w:val="18"/>
              </w:rPr>
              <w:t xml:space="preserve">respectively. During the </w:t>
            </w:r>
            <w:r>
              <w:rPr>
                <w:rStyle w:val="Emphasis"/>
                <w:rFonts w:ascii="Times New Roman;Times;serif" w:hAnsi="Times New Roman;Times;serif"/>
                <w:caps w:val="false"/>
                <w:smallCaps w:val="false"/>
                <w:sz w:val="18"/>
              </w:rPr>
              <w:t>first</w:t>
            </w:r>
            <w:r>
              <w:rPr>
                <w:rFonts w:ascii="Times New Roman;Times;serif" w:hAnsi="Times New Roman;Times;serif"/>
                <w:caps w:val="false"/>
                <w:smallCaps w:val="false"/>
                <w:sz w:val="18"/>
              </w:rPr>
              <w:t xml:space="preserve"> quarter of fiscal </w:t>
            </w:r>
            <w:r>
              <w:rPr>
                <w:rStyle w:val="Emphasis"/>
                <w:rFonts w:ascii="Times New Roman;Times;serif" w:hAnsi="Times New Roman;Times;serif"/>
                <w:caps w:val="false"/>
                <w:smallCaps w:val="false"/>
                <w:sz w:val="18"/>
              </w:rPr>
              <w:t>2024,</w:t>
            </w:r>
            <w:r>
              <w:rPr>
                <w:rFonts w:ascii="Times New Roman;Times;serif" w:hAnsi="Times New Roman;Times;serif"/>
                <w:caps w:val="false"/>
                <w:smallCaps w:val="false"/>
                <w:sz w:val="18"/>
              </w:rPr>
              <w:t xml:space="preserve"> we executed an agreement to purchase our leased facility in Malaysia for $8.8 million, with the expectation that the title will transfer during </w:t>
            </w:r>
            <w:r>
              <w:rPr>
                <w:rStyle w:val="Emphasis"/>
                <w:rFonts w:ascii="Times New Roman;Times;serif" w:hAnsi="Times New Roman;Times;serif"/>
                <w:caps w:val="false"/>
                <w:smallCaps w:val="false"/>
                <w:sz w:val="18"/>
              </w:rPr>
              <w:t>2024.</w:t>
            </w:r>
            <w:r>
              <w:rPr>
                <w:rFonts w:ascii="Times New Roman;Times;serif" w:hAnsi="Times New Roman;Times;serif"/>
                <w:caps w:val="false"/>
                <w:smallCaps w:val="false"/>
                <w:sz w:val="18"/>
              </w:rPr>
              <w:t xml:space="preserve"> We treated this transaction as a lease modification, and changed the classification to a finance lease, reducing our operating lease assets and liabilities by $0.4 million and increasing our finance lease assets and current lease liabilities by $8.8 million and $7.9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2375"/>
        <w:gridCol w:w="60"/>
        <w:gridCol w:w="237"/>
        <w:gridCol w:w="922"/>
        <w:gridCol w:w="101"/>
        <w:gridCol w:w="76"/>
        <w:gridCol w:w="210"/>
        <w:gridCol w:w="814"/>
        <w:gridCol w:w="80"/>
        <w:gridCol w:w="60"/>
        <w:gridCol w:w="237"/>
        <w:gridCol w:w="922"/>
        <w:gridCol w:w="90"/>
        <w:gridCol w:w="67"/>
        <w:gridCol w:w="210"/>
        <w:gridCol w:w="814"/>
        <w:gridCol w:w="8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101"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80" w:type="dxa"/>
            <w:tcBorders/>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1,563</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01"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0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2,242</w:t>
            </w:r>
          </w:p>
        </w:tc>
        <w:tc>
          <w:tcPr>
            <w:tcW w:w="101"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Future minimum lease payments on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are as follows:</w:t>
      </w:r>
    </w:p>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2585"/>
        <w:gridCol w:w="60"/>
        <w:gridCol w:w="145"/>
        <w:gridCol w:w="685"/>
        <w:gridCol w:w="80"/>
        <w:gridCol w:w="60"/>
        <w:gridCol w:w="136"/>
        <w:gridCol w:w="529"/>
        <w:gridCol w:w="80"/>
        <w:gridCol w:w="60"/>
        <w:gridCol w:w="125"/>
        <w:gridCol w:w="59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6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ind w:left="0" w:right="0" w:hanging="0"/>
              <w:jc w:val="left"/>
              <w:rPr/>
            </w:pPr>
            <w:r>
              <w:rPr/>
              <w:t> </w:t>
            </w:r>
          </w:p>
        </w:tc>
        <w:tc>
          <w:tcPr>
            <w:tcW w:w="6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24,256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p>
    <w:p>
      <w:pPr>
        <w:pStyle w:val="TextBody"/>
        <w:bidi w:val="0"/>
        <w:spacing w:before="0" w:after="0"/>
        <w:ind w:left="0" w:right="0" w:hanging="0"/>
        <w:jc w:val="center"/>
        <w:rPr/>
      </w:pPr>
      <w:r>
        <w:rPr>
          <w:rStyle w:val="Emphasis"/>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204" w:type="dxa"/>
        <w:jc w:val="left"/>
        <w:tblInd w:w="0" w:type="dxa"/>
        <w:tblLayout w:type="fixed"/>
        <w:tblCellMar>
          <w:top w:w="0" w:type="dxa"/>
          <w:left w:w="0" w:type="dxa"/>
          <w:bottom w:w="0" w:type="dxa"/>
          <w:right w:w="0" w:type="dxa"/>
        </w:tblCellMar>
      </w:tblPr>
      <w:tblGrid>
        <w:gridCol w:w="5765"/>
        <w:gridCol w:w="60"/>
        <w:gridCol w:w="237"/>
        <w:gridCol w:w="922"/>
        <w:gridCol w:w="68"/>
        <w:gridCol w:w="68"/>
        <w:gridCol w:w="209"/>
        <w:gridCol w:w="815"/>
        <w:gridCol w:w="6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9"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 2024</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 2023</w:t>
            </w:r>
          </w:p>
        </w:tc>
        <w:tc>
          <w:tcPr>
            <w:tcW w:w="60" w:type="dxa"/>
            <w:tcBorders/>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jc w:val="left"/>
              <w:rPr/>
            </w:pPr>
            <w:r>
              <w:rPr/>
              <w:t> </w:t>
            </w:r>
          </w:p>
        </w:tc>
        <w:tc>
          <w:tcPr>
            <w:tcW w:w="922"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8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3,353</w:t>
            </w:r>
          </w:p>
        </w:tc>
        <w:tc>
          <w:tcPr>
            <w:tcW w:w="6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5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lease assets acquired in MCT acquisition</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 acquired in MCT acquisition</w:t>
            </w:r>
          </w:p>
        </w:tc>
        <w:tc>
          <w:tcPr>
            <w:tcW w:w="60" w:type="dxa"/>
            <w:tcBorders/>
            <w:shd w:fill="FFFFFF" w:val="clear"/>
            <w:vAlign w:val="center"/>
          </w:tcPr>
          <w:p>
            <w:pPr>
              <w:pStyle w:val="TableContents"/>
              <w:bidi w:val="0"/>
              <w:spacing w:before="0" w:after="283"/>
              <w:ind w:left="0" w:right="0" w:hanging="0"/>
              <w:jc w:val="left"/>
              <w:rPr/>
            </w:pPr>
            <w:r>
              <w:rPr/>
              <w:t> </w:t>
            </w:r>
          </w:p>
        </w:tc>
        <w:tc>
          <w:tcPr>
            <w:tcW w:w="2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0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11.</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From time-to-time we are involved in various legal proceedings, examinations by various tax authorities and claims that have arisen in the ordinary course of our business. The outcome of any litigation is inherently uncertain. While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xml:space="preserve">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12.</w:t>
            </w:r>
          </w:p>
        </w:tc>
        <w:tc>
          <w:tcPr>
            <w:tcW w:w="10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Guarantees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w:t>
      </w:r>
      <w:r>
        <w:rPr>
          <w:rStyle w:val="Emphasis"/>
          <w:rFonts w:ascii="Times New Roman" w:hAnsi="Times New Roman"/>
          <w:caps w:val="false"/>
          <w:smallCaps w:val="false"/>
          <w:sz w:val="20"/>
        </w:rPr>
        <w:t>460,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081" w:type="dxa"/>
        <w:jc w:val="left"/>
        <w:tblInd w:w="0" w:type="dxa"/>
        <w:tblLayout w:type="fixed"/>
        <w:tblCellMar>
          <w:top w:w="0" w:type="dxa"/>
          <w:left w:w="0" w:type="dxa"/>
          <w:bottom w:w="0" w:type="dxa"/>
          <w:right w:w="0" w:type="dxa"/>
        </w:tblCellMar>
      </w:tblPr>
      <w:tblGrid>
        <w:gridCol w:w="2540"/>
        <w:gridCol w:w="60"/>
        <w:gridCol w:w="146"/>
        <w:gridCol w:w="637"/>
        <w:gridCol w:w="93"/>
        <w:gridCol w:w="70"/>
        <w:gridCol w:w="146"/>
        <w:gridCol w:w="637"/>
        <w:gridCol w:w="80"/>
        <w:gridCol w:w="60"/>
        <w:gridCol w:w="129"/>
        <w:gridCol w:w="565"/>
        <w:gridCol w:w="82"/>
        <w:gridCol w:w="62"/>
        <w:gridCol w:w="129"/>
        <w:gridCol w:w="565"/>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9"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93"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78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8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93"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5,017</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6,214</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6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3,722</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9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Liability acquired</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93"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pPr>
      <w:r>
        <w:rPr>
          <w:rFonts w:ascii="Times New Roman" w:hAnsi="Times New Roman"/>
          <w:caps w:val="false"/>
          <w:smallCaps w:val="false"/>
          <w:sz w:val="20"/>
        </w:rPr>
        <w:t xml:space="preserve">Accrued warranty amounts expected to be incurred after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are included in noncurrent other accrued liabilities in the condensed consolidated balance sheet. These amounts totaled $0.2 million and $0.4 million at </w:t>
      </w:r>
      <w:r>
        <w:rPr>
          <w:rStyle w:val="Emphasis"/>
          <w:rFonts w:ascii="Times New Roman" w:hAnsi="Times New Roman"/>
          <w:caps w:val="false"/>
          <w:smallCaps w:val="false"/>
          <w:sz w:val="20"/>
        </w:rPr>
        <w:t xml:space="preserve">June 29,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30, 2023, </w:t>
      </w:r>
      <w:r>
        <w:rPr>
          <w:rFonts w:ascii="Times New Roman" w:hAnsi="Times New Roman"/>
          <w:caps w:val="false"/>
          <w:smallCaps w:val="false"/>
          <w:sz w:val="20"/>
        </w:rPr>
        <w:t>respectively.</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9" w:name="mda"/>
      <w:bookmarkEnd w:id="9"/>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2023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is a leading supplier of semiconductor test and inspection metrology automation systems (handlers), MEMS test modules, test contactors, thermal subsystems, and semiconductor ATE used by global semiconductor manufacturers and test subcontractors. We offer a wide range of products and services and our revenue from capital equipment products is driven by the capital expenditure and operating budgets of our customers, who often abruptly delay or accelerate purchases in reaction to variations in their business. The level of expenditure by these companies depends on the current and anticipated market demand for semiconductor devices and the products that incorporate them. Our recurring products are driven by the number of semiconductor devices that are tested and by the continuous introduction of new products and new technologies by our customers. As a result, our recurring products provide a more stable recurring source of revenue and generally do not have the same degree of cyclicality as our capital equipment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2023, we completed the acquisition of MCT, a U.S.-based company. MCT provides automated solutions for the semiconductor industry and designs, manufactures, markets, services and distributes strip test handlers, film frame handlers and laser mark handlers. On October 2, 2023, we acquired EQT, a Singapore-based company. EQT is a provider of semiconductor test contactors and other test consumables. MCT and EQT are included in Cohu’s consolidated results of operations as of each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2023 and into the first six months of fiscal 2024, global macroeconomic and geopolitical factors impacted the semiconductor industry. In response to the higher cost of capital and slowing demand, many chip companies have been cutting costs, reducing employee headcount, and pushing out capital expenditures for additional capacity. For the second quarter ended June 29, 2024, on a sequential, quarter-over-quarter basis, our consolidated net sales declined 2.7% to $104.7 million due to lower demand in automotive, industrial, and mobile applications, driven by these global 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continue to focus on building a well-balanced and resilient business model, executing on customer design-wins and in developing innovative products. Our long-term market drivers and market strategy remain intact, and we are encouraged by increased use of semiconductors including the most recent developments in artificial intelligence (“AI”), along with customer traction with our new products. We continue to capture new customers and new opportunities and remain optimistic about the long-term prospects for our business due to the increasing ubiquity of semiconductors, increasing semiconductor complexity, increasing quality demands from semiconductor customers, increasing test intensity and continued proliferation of electronics in a variety of products across the automotive, mobile,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and require complex management judgment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assessment of recoverability of long-lived assets and goodwill and other intangible assets, which primarily impacts gross margin or operating expenses if we are required to record impairments of assets or accelerate their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or from sales where customer payment dates are not determinable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contactor and kit revenue is generally recognized upon shipment. Certain of our equipment sales have multiple performance obligations. These arrangements involve the delivery or performance of multiple performance obligations, and transfer of control of performance obligations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June 29, 2024, we had $5.9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that are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are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We have determined that our three identified operating segments are: THG, STG and ISG. Our THG, STG and ISG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 If the fair value is determined to be less than the book value, a second step is performed to compute the amount of impairment as the difference between the fair value of the reporting unit and its carrying value of goodwill, not to exceed the carrying value of goodwill. We estimate the fair values of our reporting units using a weighting of the income and market approaches. Under the income approach, we use a discounted cash flow methodology to derive an indication of value, which requires management to make estimates and assumptions related to forecasted revenues, gross profit margins, operating income margins, working capital cash flow, perpetual growth rates, and long-term discount rates, among others. For the market approach, we use the guideline public company method. Under this method we utilize information from comparable publicly traded companies with similar operating and investment characteristics as the reporting units, to create valuation multiples that are applied to the operating performance metrics of the reporting unit being tested, in order to obtain an indication of value. We then apply a 50/50 weighting to the indicated values from the income and market approaches to derive the fair values of the reporting units. Forecasts of future cash flows are based on our best estimate of future net sales and operating expenses, based primarily on customer forecasts, industry trade organization data and general economic conditions. Fair value determinations require considerable judgment and are sensitive to changes in underlying assumptions and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our annual impairment test as of October 1st of each year and have determined there was no impairment as of October 1, 2023, as we determined that the estimated fair values of our reporting units exceeded their carrying values on that date. Other events and changes in circumstances may also require goodwill to be tested for impairment between annual measurement dates. As of June 29, 2024,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2024,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Share-based compensation expense related to restricted stock unit awards is calculated based on the market price of our common stock on the grant date, reduced by the present value of dividends expected to be paid on our common stock prior to vesting of the restricted stock unit. When granted,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 Transactions Impacting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2023, we completed the acquisition of MCT, and on October 2, 2023 we acquired EQT. MCT and EQT have been included in our condensed consolidated results of operations as of each date of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7559" w:type="dxa"/>
        <w:jc w:val="left"/>
        <w:tblInd w:w="0" w:type="dxa"/>
        <w:tblLayout w:type="fixed"/>
        <w:tblCellMar>
          <w:top w:w="0" w:type="dxa"/>
          <w:left w:w="0" w:type="dxa"/>
          <w:bottom w:w="0" w:type="dxa"/>
          <w:right w:w="0" w:type="dxa"/>
        </w:tblCellMar>
      </w:tblPr>
      <w:tblGrid>
        <w:gridCol w:w="3575"/>
        <w:gridCol w:w="60"/>
        <w:gridCol w:w="76"/>
        <w:gridCol w:w="618"/>
        <w:gridCol w:w="303"/>
        <w:gridCol w:w="74"/>
        <w:gridCol w:w="74"/>
        <w:gridCol w:w="601"/>
        <w:gridCol w:w="245"/>
        <w:gridCol w:w="60"/>
        <w:gridCol w:w="76"/>
        <w:gridCol w:w="618"/>
        <w:gridCol w:w="269"/>
        <w:gridCol w:w="66"/>
        <w:gridCol w:w="66"/>
        <w:gridCol w:w="533"/>
        <w:gridCol w:w="245"/>
      </w:tblGrid>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6"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26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59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July 1,</w:t>
            </w:r>
          </w:p>
        </w:tc>
        <w:tc>
          <w:tcPr>
            <w:tcW w:w="245" w:type="dxa"/>
            <w:tcBorders/>
            <w:vAlign w:val="center"/>
          </w:tcPr>
          <w:p>
            <w:pPr>
              <w:pStyle w:val="TableContents"/>
              <w:bidi w:val="0"/>
              <w:spacing w:before="0" w:after="283"/>
              <w:jc w:val="left"/>
              <w:rPr/>
            </w:pPr>
            <w:r>
              <w:rPr/>
              <w:t> </w:t>
            </w:r>
          </w:p>
        </w:tc>
      </w:tr>
      <w:tr>
        <w:trPr/>
        <w:tc>
          <w:tcPr>
            <w:tcW w:w="3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245" w:type="dxa"/>
            <w:tcBorders/>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5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of Fiscal 2024 Compared to Second Quarter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decreased 38.0% to $104.7 million in 2024, compared to $168.9 million in 2023 due to the current global macroeconomic environment, which is driving lower demand for automotive, industrial, computing, and mobile (including 5G-related products) applications. Consolidated net sales in the second quarter of fiscal 2024 include the net sales of EQT, which Cohu acquired on October 2, 2023, and totaled $4.9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and test labor, and overhead from operations. Our gross margin can fluctuate due to a number of factors, including, but not limited to, the mix and volume of products sold, product support costs, changes in inventory reserves, the sale of previously reserved inventory and business volume which impacts the utilization of our manufacturing capacity. Our gross margin, as a percentage of net sales for the second fiscal quarter, was 44.8% in 2024 and 47.5% in 2023. During the second quarter of fiscal 2024, our gross margin declined compared to the prior year period due to lower business volume which impacted our ability to leverage fixed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second quarter of fiscal 2024 and 2023, we recorded charges to cost of sales of $0.3 million and $1.1 million for excess and obsolete inventory, respectively. We believe our reserves for excess and obsolete inventory and lower of cost or net realizable value are adequate to cover known exposures as of June 29, 2024.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$21.3 million in fiscal 2024 and $22.5 million in fiscal 2023 representing 20.4% and 13.3% of net sales, respectively. During the second fiscal quarter of 2024 R&amp;D expenses decreased due to lower spending on material costs associated with new product development. Our R&amp;D costs in the second quarter of fiscal 2024 included $0.5 million of incremental costs from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$32.1 million or 30.7% of net sales in fiscal 2024, compared to $32.8 million or 19.4% in fiscal 2023. The increase in SG&amp;A expense as a percentage of net sales is a result of lower sales in fiscal 2024. SG&amp;A expense during the second fiscal quarter of 2024 includes $1.2 million of one-time severance costs resulting from manufacturing transition related to the expansion of our factories in the Philippines and Malaysia and $0.8 million of incremental SG&amp;A costs from the operations of EQT. The second quarter of fiscal 2023 included $0.1 million of transaction costs incurred related to the acquisition of MCT and EQT. Transaction costs incurred in the second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$9.7 million and $9.0 million in the second fiscal quarter of 2024 and 2023, respectively. The increase in expense recorded during second quarter of fiscal 2024 resulted from the amortization of acquired intangible assets from the acquisition of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quarter of 2023, we began a strategic restructuring and integration program in connection with the acquisition of MCT. Restructuring costs incurred in the second quarter of fiscal 2023 related to the integration of MCT which was acquired on January 30, 2023, and totaled $0.4 million. Amounts for restructuring recorded in the second quarter of fiscal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$0.1 million and $0.7 million in the second fiscal quarter of 2024 and 2023, respectively. On February 9, 2024, we repaid the remaining outstanding amounts owed under our Term Loan Credit Facility. The payoff of our Term Loan Credit Facility resulted in lower interest expense in the second quarter of fiscal 2024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$2.3 million and $2.7 million in the second quarter of fiscal 2024 and 2023, respectively. The decrease in interest income year-over-year is a result of lower investment balances in the second quarter of fiscal 2024 resulting from the repayment of the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second quarter 2024 ETR reflects the impact of certain foreign earnings taxed at rates higher than the U.S. statutory rate and an increase in the U.S. valuation allowance, primarily attributable to capitalized research and development costs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Thailand.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$15.8 million for the three months ended June 29, 2024. For the three months ended July 1, 2023, our net income was $10.6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Six Months of Fiscal 2024 Compared to First Six Months of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decreased 39.0% to $212.3 million in 2024, compared to $348.3 million in 2023 due to the current global macroeconomic environment, which is driving lower demand for automotive, industrial, computing, and mobile (including 5G-related products) applications. Consolidated net sales for the first six months of fiscal 2024 include the net sales of EQT, which Cohu acquired on October 2, 2023, and totaled $8.7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gross margin, as a percentage of net sales, decreased to 45.3% in 2024 from 47.8% in 2023 due to lower business volume impacting our ability to leverage fixed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2024 and 2023 we recorded charges to cost of sales of approximately $2.0 million and $3.0 million for excess and obsolete inventory, respectively. We believe our reserves for excess and obsolete inventory and lower of cost or market concerns are adequate to cover known exposures as of June 29, 2024.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R&amp;D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was $43.7 million or 20.6% of net sales in 2024, compared to $45.0 million or 12.9% in 2023. R&amp;D expense decreased during the first six months of fiscal 2024 due to lower spending on material costs associated with new product development during the current year. The first six months of fiscal 2024 included $0.9 million, of incremental costs from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SG&amp;A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was $67.2 million or 31.6% of net sales in 2024, compared to $67.0 million or 19.2% in 2023. The increase in SG&amp;A expense as a percentage of net sales is a result of lower sales in the first six months of fiscal 2024. SG&amp;A expense during the first six months of fiscal 2024 includes $2.9 million of one-time severance costs resulting from manufacturing transition related to the expansion of our factories in the Philippines and Malaysia, a $1.0 million impairment charge related to our investment in Fraes-und Technologiezentrum GmbH Frasdorf (“FTZ”), a company based in Germany that provides milling services to one of our wholly owned subsidiaries, $1.7 million of incremental SG&amp;A costs from the operations of EQT, and $0.2 million of transaction costs related to our acquisition of MCT and EQT. The first six months of fiscal 2023 included $0.5 million of transaction costs related to acquisitions of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 assets was $19.5 million and $17.8 million for the first six months of 2024 and 2023, respectively. The increase in expense recorded during the first six months of fiscal 2024 was a result of the amortization of acquired intangible assets from MCT and EQT.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recorded restructuring charges totaling $1.3 million in the first six months of fiscal 2023. Amounts recorded related to restructuring in the first six months of fiscal 2024 were not material. Costs incurred in the first six months of fiscal 2024 and 2023 relate to the integration of MCT which was acquired on January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$0.4 million and $1.9 million in the first six months of 2024 and 2023, respectively. On February 9, 2024, we repaid the remaining outstanding amounts owed under our Term Loan Credit Facility. We accounted for the transaction as a debt extinguishment, which resulted in us recognizing a loss of $0.2 million to write-off all remaining debt discount and deferred financing costs. The payoff of our Term Loan Credit Facility has resulted in lower interest expense in fiscal 2024 compared to the prior 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$5.0 million and $5.5 million in the first six months of 2024 and 2023, respectively. The year-over-year decrease resulted from lower cash and investment balances in the first six months of fiscal 2024 due to the repayment of the Term Loan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the U.S., generation of tax credits, changes in uncertain tax benefit positions, changes to valuation allowances, and the impact of Global Intangible Low-Taxed Income (“GILTI”) and the Base Erosion and Anti-abuse Tax (“BEAT”).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ETR on income for the six months ended June 29, 2024 reflects the impact of certain foreign earnings taxed at rates higher than the U.S. statutory rate and an increase in the U.S. valuation allowance attributable to capitalized research and development costs, offset by a reduction in unrecognized tax benefits in certain foreign tax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and Thailand.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was a material reduction to our unrecognized tax benefits in certain foreign tax jurisdictions during the six months ended June 29, 2024. There were no material changes to our unrecognized tax benefits and interest accrued related to unrecognized tax benefits during the six months ended July 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$30.4 million in 2024. Our net income was $26.3 million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June 29, 2024, $161.3 million or 79.4% of our cash,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29, 2024, our total indebtedness, net of discount and deferred financing costs, included $1.7 million outstanding under Kita’s term loans, $7.0 million outstanding under Cohu GmbH’s construction loan and $1.2 million outstanding under Kita’s lines of credit. On February 9, 2024, we made a cash payment of $29.3 million to repay the remaining outstanding amounts owed under our Term Loan Credit Facility and we repurchased 600,504 shares of our outstanding common stock, to be held as treasury stock, for $18.9 million, during the first six months of fiscal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believe that our sources of liquidity will be sufficient to satisfy our anticipated cash requirements through at least the next 12 months. Our liquidity could be negatively affected by a decrease in demand for our products. In addition, we may make acquisitions or increase our capital expenditures and may need to raise additional capital through debt or equity financing to provide for greater flexibility to fund these activities. Additional financing may not be available or not available on terms favorable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4100"/>
        <w:gridCol w:w="60"/>
        <w:gridCol w:w="125"/>
        <w:gridCol w:w="695"/>
        <w:gridCol w:w="60"/>
        <w:gridCol w:w="60"/>
        <w:gridCol w:w="171"/>
        <w:gridCol w:w="958"/>
        <w:gridCol w:w="60"/>
        <w:gridCol w:w="60"/>
        <w:gridCol w:w="125"/>
        <w:gridCol w:w="650"/>
        <w:gridCol w:w="80"/>
        <w:gridCol w:w="60"/>
        <w:gridCol w:w="108"/>
        <w:gridCol w:w="797"/>
        <w:gridCol w:w="24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24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Decrease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24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535,397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first six months of fiscal 2024 consisted of our net loss, adjusted for non-cash expenses and changes in operating assets and liabilities. These adjustments include impairment charges, depreciation expense on property, plant and equipment, share-based compensation expense, amortization of intangible assets, deferred income taxes, amortization of cloud-based software implementation costs, impairment charge on equity investment, loss on extinguishment of debt, amortization of debt discounts and issuance costs and sales of property, plant and equipment. Our net cash used in operating activities in the first six months of fiscal 2024 totaled $12.9 million. Net cash used by operating activities was impacted by changes in current assets and liabilities and included an increase in other current assets of $12.1 million and decreases in accounts receivable of $19.5 million, accrued compensation, warranty and other liabilities of $12.9 million, accounts payable of $12.0 million, inventory of $6.0 million and income taxes payable of $3.1 million. Other current assets, which includes prepaids and income taxes receivable, increased from prepayments of certain expenses that will be utilized throughout fiscal 2024 and the timing difference of accrual and receipt of income taxes. The decreases in accounts receivable and accounts payable were a result of the timing of cash collections on net sales recognized and payments made to suppliers during the first six months of fiscal 2024. Accrued compensation, warranty and other liabilities decreased due to payments of incentive compensation related to the prior year that were paid in the first quarter of 2024 and lower accruals made during the current year period. Inventory decreased due to a reduction in purchases in response to current business conditions and the income taxes payable decrease was driven by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business acquisitions and proceeds from investment maturities, and asset disposals and business divestitures. Our net cash provided by investing activities in the first six months of fiscal 2024 totaled $26.0 million. We generated $57.7 million from sales and maturities and used $26.4 million of cash for purchases of short-term investments in the first six months of fiscal 2024. We invest our excess cash, in an attempt to seek the highest available return while preserving capital, in short-term investments since excess cash may be required for a business-related purpose. Additions to property, plant and equipment in the first six months of fiscal 2024 were $5.3 million were made to support our operating and development activities and include amounts related to the expansion of our factories in the Philippines and Malaysia.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under our stock option and employee stock purchase plans and repayments of debt. We issue restricted stock units, including performance stock units, and maintain an employee stock purchase plan as components of our overall employee compensation. In the first six months of fiscal 2024, cash used to settle the minimum statutory tax withholding requirements on behalf of our employees upon vesting of restricted and performance stock awards, net of proceeds from shares issued under our employee stock purchase plan, was $2.6 million. We made payments totaling $18.9 million in the first six months of fiscal 2024 for shares of our common stock repurchased under our share repurchase program to be held as treasury stock. Repayments of debt during the first six months of fiscal 2024 totaled $30.2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For the six months ended June 29, 2024, we repurchased 600,504 shares of our common stock for $18.9 million to be held as treasury stock. As of June 29, 2024, we may purchase up to $39.4 million of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1, 2018, we entered into a Credit Agreement providing for a $350.0 million Term Loan Credit Facility and borrowed the full amount to finance a portion of the Xcerra acquisition. Loans under the Term Loan Credit Facility amortize in equal quarterly installments of 0.25% of the original principal amount, with the balance payable at maturity. All outstanding principal and interest in respect of the Term Loan Credit Facility would have been due on or before October 1, 2025. The loans under the Term Loan Credit Facility bore interest, at Cohu’s option, at a floating annual rate equal to LIBOR plus a margin of 3.00%. On June 16, 2023, in connection with the discontinuation of LIBOR, we entered into an amendment to our Term Loan Credit Facility, which provided for the transition of the benchmark interest rate from LIBOR to SOFR. Effective with the interest period beginning July 1, 2023, LIBOR was replaced with Adjusted Term SOFR, a floating annual rate equal to SOFR plus a margin of 3.0%. At December 30, 2023, the outstanding loan balance, net of discount and deferred financing costs, was $29.1 million and $3.4 million of the outstanding balance is presented as current installments of long-term debt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9, 2024, we made a cash payment of $29.3 million to repay the remaining outstanding amounts owed under our Term Loan Credit Facility. We accounted for the transaction as a debt extinguishment, and in the first quarter of fiscal 2024 we recognized a loss of $0.2 million due to the recognition of the remaining debt discount and deferred financing costs. During the first six months of fiscal 2023, we repurchased $34.1 million in principal of our Term Loan Credit Facility for $34.1 million in cash. This resulted in a loss of $0.4 million reflected in other expense in our condensed consolidated statement of operations and a corresponding $0.4 million reduction in debt discounts and deferred financing costs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0.55%, and expire at various dates through 2034. At June 29, 2024, the outstanding loan balance was $1.7 million and $0.2 million of the outstanding balance is presented as current installments of long-term debt in our condensed consolidated balance sheets. At December 30, 2023, the outstanding loan balance was $2.1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29, 2024, total outstanding borrowings under the Loan Facilities was $7.0 million with $1.0 million of the total outstanding balance being presented as current installments of long-term debt in our condensed consolidated balance sheets. At December 30, 2023, total outstanding borrowings under the Loan Facilities was $7.7 million with $1.0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960 million Japanese Yen of which 200 million Japanese Yen is drawn. At June 29, 2024, total borrowings outstanding under the revolving lines of credit were $1.2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At June 29, 2024 and December 30, 2023,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As of June 29, 2024, $0.4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On February 9, 2024, we made a cash payment of $29.3 million to repay the remaining outstanding amounts owed under our Term Loan Credit Facility. Aside from the repayment of the remaining outstanding principal of our Term Loan Credit Facility, there were no material changes to these obligations outside the ordinary course of business from those disclosed in our Annual Report on Form 10-K for the year ended December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instruments to certain parties as required. As of June 29, 2024, $0.4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0" w:name="item3"/>
      <w:bookmarkEnd w:id="10"/>
      <w:r>
        <w:rPr>
          <w:rFonts w:ascii="Times New Roman" w:hAnsi="Times New Roman"/>
          <w:b/>
          <w:caps w:val="false"/>
          <w:smallCaps w:val="false"/>
          <w:sz w:val="20"/>
        </w:rPr>
        <w:t xml:space="preserve">Item 3. </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29, 2024, our investment portfolio included short-term fixed-income investment securities with a fair value of approximately $59.3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June 29, 2024, the cost and fair value of investments we held with loss positions were approximately $30.6 million and $30.5 million, respectively.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June 29, 2024, compared to December 30, 2023, our stockholders’ equity decreased by $12.4 million as a result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June 29, 2024 would result in an approximate $33.9 million positive translation adjustment recorded in other comprehensive loss within stockholders’ equity. Conversely, a hypothetical 10% appreciation of the U.S. Dollar as compared to these currencies as of June 29, 2024 would result in an approximate $33.9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1" w:name="item4"/>
      <w:bookmarkEnd w:id="11"/>
      <w:r>
        <w:rPr>
          <w:rFonts w:ascii="Times New Roman" w:hAnsi="Times New Roman"/>
          <w:b/>
          <w:caps w:val="false"/>
          <w:smallCaps w:val="false"/>
          <w:sz w:val="20"/>
        </w:rPr>
        <w:t xml:space="preserve">Item 4. </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June 29, 2024,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legal"/>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 </w:t>
      </w:r>
      <w:r>
        <w:rPr>
          <w:rFonts w:ascii="Times New Roman" w:hAnsi="Times New Roman"/>
          <w:caps w:val="false"/>
          <w:smallCaps w:val="false"/>
          <w:sz w:val="20"/>
        </w:rPr>
        <w:t>         </w:t>
      </w:r>
      <w:r>
        <w:rPr>
          <w:rFonts w:ascii="Times New Roman" w:hAnsi="Times New Roman"/>
          <w:b/>
          <w:caps w:val="false"/>
          <w:smallCaps w:val="false"/>
          <w:sz w:val="20"/>
        </w:rPr>
        <w:t xml:space="preserve">Legal Proceedings.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information set forth above under Note 11 contained in the “Notes to Unaudited Condensed Consolidated Financial Statements” of this Form 10-Q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3" w:name="risk"/>
      <w:bookmarkEnd w:id="1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1A.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i/>
          <w:caps w:val="false"/>
          <w:smallCaps w:val="false"/>
          <w:sz w:val="20"/>
        </w:rPr>
        <w:t>The most significant risk factors applicable to Cohu are described in Part I, Item 1A (Risk Factors) of Cohu</w:t>
      </w:r>
      <w:r>
        <w:rPr>
          <w:rFonts w:ascii="Times New Roman" w:hAnsi="Times New Roman"/>
          <w:caps w:val="false"/>
          <w:smallCaps w:val="false"/>
          <w:sz w:val="20"/>
        </w:rPr>
        <w:t>’</w:t>
      </w:r>
      <w:r>
        <w:rPr>
          <w:rFonts w:ascii="Times New Roman" w:hAnsi="Times New Roman"/>
          <w:i/>
          <w:caps w:val="false"/>
          <w:smallCaps w:val="false"/>
          <w:sz w:val="20"/>
        </w:rPr>
        <w:t xml:space="preserve">s Annual Report on Form 10-K for the fiscal year ended December 30, 2023 (our </w:t>
      </w:r>
      <w:r>
        <w:rPr>
          <w:rFonts w:ascii="Times New Roman" w:hAnsi="Times New Roman"/>
          <w:caps w:val="false"/>
          <w:smallCaps w:val="false"/>
          <w:sz w:val="20"/>
        </w:rPr>
        <w:t>“</w:t>
      </w:r>
      <w:r>
        <w:rPr>
          <w:rFonts w:ascii="Times New Roman" w:hAnsi="Times New Roman"/>
          <w:i/>
          <w:caps w:val="false"/>
          <w:smallCaps w:val="false"/>
          <w:sz w:val="20"/>
        </w:rPr>
        <w:t>2023 Form 10-K</w:t>
      </w:r>
      <w:r>
        <w:rPr>
          <w:rFonts w:ascii="Times New Roman" w:hAnsi="Times New Roman"/>
          <w:caps w:val="false"/>
          <w:smallCaps w:val="false"/>
          <w:sz w:val="20"/>
        </w:rPr>
        <w:t>”</w:t>
      </w:r>
      <w:r>
        <w:rPr>
          <w:rFonts w:ascii="Times New Roman" w:hAnsi="Times New Roman"/>
          <w:i/>
          <w:caps w:val="false"/>
          <w:smallCaps w:val="false"/>
          <w:sz w:val="20"/>
        </w:rPr>
        <w:t>). There have been no material changes to the risk factors previously disclosed in our 2023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unreg"/>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2. </w:t>
      </w:r>
      <w:r>
        <w:rPr>
          <w:rFonts w:ascii="Times New Roman" w:hAnsi="Times New Roman"/>
          <w:caps w:val="false"/>
          <w:smallCaps w:val="false"/>
          <w:sz w:val="20"/>
        </w:rPr>
        <w:t>         </w:t>
      </w:r>
      <w:r>
        <w:rPr>
          <w:rFonts w:ascii="Times New Roman" w:hAnsi="Times New Roman"/>
          <w:b/>
          <w:caps w:val="false"/>
          <w:smallCaps w:val="false"/>
          <w:sz w:val="20"/>
        </w:rPr>
        <w:t xml:space="preserve">Unregistered Sales of Equity Securities and Use of Proceeds.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During the three months ended June 29, 2024, we repurchased 267,000 shares of our common stock for $8.2 million to be held as treasury stock. During the six months ended June 29, 2024, we repurchased 600,504 shares of our common stock for $18.9 million to be held as treasury stock. During the three months ended July 1, 2023, we repurchased 77,203 shares of our common stock for $2.7 million to be held as treasury stock. During the six months ended July 1, 2023, we repurchased 176,885 shares of our common stock for $6.2 million to be held as treasury stock. As of June 29, 2024, $39.4 million of shares of our common stock remained available for us to repurchase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 repurchase activity during the second quarter of fiscal 2024 was as follows:</w:t>
      </w:r>
    </w:p>
    <w:p>
      <w:pPr>
        <w:pStyle w:val="TextBody"/>
        <w:bidi w:val="0"/>
        <w:spacing w:before="0" w:after="0"/>
        <w:ind w:left="0" w:right="0" w:hanging="0"/>
        <w:jc w:val="left"/>
        <w:rPr>
          <w:caps w:val="false"/>
          <w:smallCaps w:val="false"/>
        </w:rPr>
      </w:pPr>
      <w:r>
        <w:rPr>
          <w:caps w:val="false"/>
          <w:smallCaps w:val="false"/>
        </w:rPr>
        <w:t> </w:t>
      </w:r>
    </w:p>
    <w:tbl>
      <w:tblPr>
        <w:tblW w:w="7976" w:type="dxa"/>
        <w:jc w:val="left"/>
        <w:tblInd w:w="0" w:type="dxa"/>
        <w:tblLayout w:type="fixed"/>
        <w:tblCellMar>
          <w:top w:w="0" w:type="dxa"/>
          <w:left w:w="0" w:type="dxa"/>
          <w:bottom w:w="0" w:type="dxa"/>
          <w:right w:w="0" w:type="dxa"/>
        </w:tblCellMar>
      </w:tblPr>
      <w:tblGrid>
        <w:gridCol w:w="1865"/>
        <w:gridCol w:w="60"/>
        <w:gridCol w:w="131"/>
        <w:gridCol w:w="743"/>
        <w:gridCol w:w="60"/>
        <w:gridCol w:w="60"/>
        <w:gridCol w:w="204"/>
        <w:gridCol w:w="790"/>
        <w:gridCol w:w="60"/>
        <w:gridCol w:w="60"/>
        <w:gridCol w:w="151"/>
        <w:gridCol w:w="589"/>
        <w:gridCol w:w="60"/>
        <w:gridCol w:w="60"/>
        <w:gridCol w:w="225"/>
        <w:gridCol w:w="1264"/>
        <w:gridCol w:w="60"/>
        <w:gridCol w:w="60"/>
        <w:gridCol w:w="246"/>
        <w:gridCol w:w="1168"/>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4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Maximum $</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 Purchased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 of Shares</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Part of Publicly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That May Yet Be</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 Under</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Purchased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 Share(1)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Programs(3)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Programs(3)</w:t>
            </w:r>
          </w:p>
        </w:tc>
        <w:tc>
          <w:tcPr>
            <w:tcW w:w="60" w:type="dxa"/>
            <w:tcBorders/>
            <w:vAlign w:val="center"/>
          </w:tcPr>
          <w:p>
            <w:pPr>
              <w:pStyle w:val="TableContents"/>
              <w:bidi w:val="0"/>
              <w:spacing w:before="0" w:after="283"/>
              <w:jc w:val="left"/>
              <w:rPr/>
            </w:pPr>
            <w:r>
              <w:rPr/>
              <w:t> </w:t>
            </w:r>
          </w:p>
        </w:tc>
      </w:tr>
      <w:tr>
        <w:trPr/>
        <w:tc>
          <w:tcPr>
            <w:tcW w:w="3913" w:type="dxa"/>
            <w:gridSpan w:val="8"/>
            <w:tcBorders/>
            <w:vAlign w:val="center"/>
          </w:tcPr>
          <w:p>
            <w:pPr>
              <w:pStyle w:val="TableContents"/>
              <w:bidi w:val="0"/>
              <w:spacing w:before="0" w:after="0"/>
              <w:ind w:left="54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 except price per share amounts)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 31 - Apr 27, 2024</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2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39,430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 28 - May 25, 2024</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12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26 - Jun 29, 2024</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39,430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weighted average price paid per share of common stock does not include the cost of commissions.</w:t>
            </w:r>
          </w:p>
        </w:tc>
      </w:tr>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total purchase cost includes the cost of commissions.</w:t>
            </w:r>
          </w:p>
        </w:tc>
      </w:tr>
      <w:tr>
        <w:trPr/>
        <w:tc>
          <w:tcPr>
            <w:tcW w:w="20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October 28, 2021, we announced that our Board of Directors authorized a $70 million share repurchase program. This share repurchase program is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time-to-time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default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3. </w:t>
      </w:r>
      <w:r>
        <w:rPr>
          <w:rFonts w:ascii="Times New Roman" w:hAnsi="Times New Roman"/>
          <w:caps w:val="false"/>
          <w:smallCaps w:val="false"/>
          <w:sz w:val="20"/>
        </w:rPr>
        <w:t>         </w:t>
      </w:r>
      <w:r>
        <w:rPr>
          <w:rFonts w:ascii="Times New Roman" w:hAnsi="Times New Roman"/>
          <w:b/>
          <w:caps w:val="false"/>
          <w:smallCaps w:val="false"/>
          <w:sz w:val="20"/>
        </w:rPr>
        <w:t xml:space="preserve">Defaults Upon Senior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mine"/>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 xml:space="preserve">4. </w:t>
      </w:r>
      <w:r>
        <w:rPr>
          <w:rFonts w:ascii="Times New Roman" w:hAnsi="Times New Roman"/>
          <w:caps w:val="false"/>
          <w:smallCaps w:val="false"/>
          <w:sz w:val="20"/>
        </w:rPr>
        <w:t>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other"/>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 xml:space="preserve">Other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purchase or sell shares of our common stock in the market from time to time, including pursuant to equity trading plans adopted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under the Exchange Act and in compliance with guidelines specified by our insider trading policy. In accordance with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our insider trading policy, directors, officers and certain employees who, at such time,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buy or sell additional shares outside of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plan when they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 possession of material nonpublic information, subject to compliance with SEC rules, the terms of our insider trading policy and certain minimum holding requirements. The following table shows the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intended to satisfy the affirmative defense conditions of 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adopted or terminated by our directors and executive officers 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5229"/>
        <w:gridCol w:w="60"/>
        <w:gridCol w:w="800"/>
        <w:gridCol w:w="60"/>
        <w:gridCol w:w="1181"/>
        <w:gridCol w:w="60"/>
        <w:gridCol w:w="890"/>
        <w:gridCol w:w="60"/>
        <w:gridCol w:w="1661"/>
      </w:tblGrid>
      <w:tr>
        <w:trPr/>
        <w:tc>
          <w:tcPr>
            <w:tcW w:w="204" w:type="dxa"/>
            <w:tcBorders/>
            <w:vAlign w:val="center"/>
          </w:tcPr>
          <w:p>
            <w:pPr>
              <w:pStyle w:val="TableContents"/>
              <w:bidi w:val="0"/>
              <w:spacing w:before="0" w:after="283"/>
              <w:jc w:val="left"/>
              <w:rPr/>
            </w:pPr>
            <w:r>
              <w:rPr/>
              <w:t> </w:t>
            </w:r>
          </w:p>
        </w:tc>
        <w:tc>
          <w:tcPr>
            <w:tcW w:w="52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118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Plan</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Expiration</w:t>
            </w:r>
          </w:p>
        </w:tc>
        <w:tc>
          <w:tcPr>
            <w:tcW w:w="60" w:type="dxa"/>
            <w:tcBorders/>
            <w:vAlign w:val="center"/>
          </w:tcPr>
          <w:p>
            <w:pPr>
              <w:pStyle w:val="TableContents"/>
              <w:bidi w:val="0"/>
              <w:spacing w:before="0" w:after="283"/>
              <w:jc w:val="left"/>
              <w:rPr/>
            </w:pPr>
            <w:r>
              <w:rPr/>
              <w:t> </w:t>
            </w:r>
          </w:p>
        </w:tc>
        <w:tc>
          <w:tcPr>
            <w:tcW w:w="166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 of Shares</w:t>
            </w:r>
          </w:p>
        </w:tc>
      </w:tr>
      <w:tr>
        <w:trPr/>
        <w:tc>
          <w:tcPr>
            <w:tcW w:w="204" w:type="dxa"/>
            <w:tcBorders>
              <w:bottom w:val="single" w:sz="2" w:space="0" w:color="000000"/>
            </w:tcBorders>
            <w:tcMar>
              <w:bottom w:w="28" w:type="dxa"/>
            </w:tcMar>
            <w:vAlign w:val="center"/>
          </w:tcPr>
          <w:p>
            <w:pPr>
              <w:pStyle w:val="TableContents"/>
              <w:bidi w:val="0"/>
              <w:spacing w:before="0" w:after="283"/>
              <w:jc w:val="left"/>
              <w:rPr/>
            </w:pPr>
            <w:r>
              <w:rPr/>
              <w:t> </w:t>
            </w:r>
          </w:p>
        </w:tc>
        <w:tc>
          <w:tcPr>
            <w:tcW w:w="52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Position</w:t>
            </w:r>
          </w:p>
        </w:tc>
        <w:tc>
          <w:tcPr>
            <w:tcW w:w="60" w:type="dxa"/>
            <w:tcBorders/>
            <w:vAlign w:val="center"/>
          </w:tcPr>
          <w:p>
            <w:pPr>
              <w:pStyle w:val="TableContents"/>
              <w:bidi w:val="0"/>
              <w:spacing w:before="0" w:after="283"/>
              <w:jc w:val="left"/>
              <w:rPr/>
            </w:pPr>
            <w:r>
              <w:rPr/>
              <w:t> </w:t>
            </w:r>
          </w:p>
        </w:tc>
        <w:tc>
          <w:tcPr>
            <w:tcW w:w="8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Action</w:t>
            </w:r>
          </w:p>
        </w:tc>
        <w:tc>
          <w:tcPr>
            <w:tcW w:w="60" w:type="dxa"/>
            <w:tcBorders/>
            <w:vAlign w:val="center"/>
          </w:tcPr>
          <w:p>
            <w:pPr>
              <w:pStyle w:val="TableContents"/>
              <w:bidi w:val="0"/>
              <w:spacing w:before="0" w:after="283"/>
              <w:jc w:val="left"/>
              <w:rPr/>
            </w:pPr>
            <w:r>
              <w:rPr/>
              <w:t> </w:t>
            </w:r>
          </w:p>
        </w:tc>
        <w:tc>
          <w:tcPr>
            <w:tcW w:w="11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 Date</w:t>
            </w:r>
          </w:p>
        </w:tc>
        <w:tc>
          <w:tcPr>
            <w:tcW w:w="60" w:type="dxa"/>
            <w:tcBorders/>
            <w:vAlign w:val="center"/>
          </w:tcPr>
          <w:p>
            <w:pPr>
              <w:pStyle w:val="TableContents"/>
              <w:bidi w:val="0"/>
              <w:spacing w:before="0" w:after="283"/>
              <w:jc w:val="left"/>
              <w:rPr/>
            </w:pPr>
            <w:r>
              <w:rPr/>
              <w:t> </w:t>
            </w:r>
          </w:p>
        </w:tc>
        <w:tc>
          <w:tcPr>
            <w:tcW w:w="8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w:t>
            </w:r>
          </w:p>
        </w:tc>
        <w:tc>
          <w:tcPr>
            <w:tcW w:w="60" w:type="dxa"/>
            <w:tcBorders/>
            <w:vAlign w:val="center"/>
          </w:tcPr>
          <w:p>
            <w:pPr>
              <w:pStyle w:val="TableContents"/>
              <w:bidi w:val="0"/>
              <w:spacing w:before="0" w:after="283"/>
              <w:jc w:val="left"/>
              <w:rPr/>
            </w:pPr>
            <w:r>
              <w:rPr/>
              <w:t> </w:t>
            </w:r>
          </w:p>
        </w:tc>
        <w:tc>
          <w:tcPr>
            <w:tcW w:w="1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 be Sold under Plan</w:t>
            </w:r>
          </w:p>
        </w:tc>
      </w:tr>
      <w:tr>
        <w:trPr/>
        <w:tc>
          <w:tcPr>
            <w:tcW w:w="5433"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Christopher G. Bohrson, Senior Vice President &amp; Chief Customer Officer</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5/17/2024</w:t>
            </w:r>
          </w:p>
        </w:tc>
        <w:tc>
          <w:tcPr>
            <w:tcW w:w="6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5/16/2025</w:t>
            </w:r>
          </w:p>
        </w:tc>
        <w:tc>
          <w:tcPr>
            <w:tcW w:w="60" w:type="dxa"/>
            <w:tcBorders/>
            <w:shd w:fill="CCEEFF" w:val="clear"/>
            <w:vAlign w:val="center"/>
          </w:tcPr>
          <w:p>
            <w:pPr>
              <w:pStyle w:val="TableContents"/>
              <w:bidi w:val="0"/>
              <w:spacing w:before="0" w:after="283"/>
              <w:jc w:val="left"/>
              <w:rPr/>
            </w:pPr>
            <w:r>
              <w:rPr/>
              <w:t> </w:t>
            </w:r>
          </w:p>
        </w:tc>
        <w:tc>
          <w:tcPr>
            <w:tcW w:w="1661"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2,000</w:t>
            </w:r>
          </w:p>
        </w:tc>
      </w:tr>
      <w:tr>
        <w:trPr/>
        <w:tc>
          <w:tcPr>
            <w:tcW w:w="5433" w:type="dxa"/>
            <w:gridSpan w:val="2"/>
            <w:tcBorders/>
            <w:shd w:fill="FFFFFF" w:val="clear"/>
            <w:vAlign w:val="center"/>
          </w:tcPr>
          <w:p>
            <w:pPr>
              <w:pStyle w:val="TableContents"/>
              <w:bidi w:val="0"/>
              <w:spacing w:lineRule="auto" w:line="288" w:before="0" w:after="0"/>
              <w:ind w:left="0" w:right="0" w:hanging="0"/>
              <w:jc w:val="left"/>
              <w:rPr/>
            </w:pPr>
            <w:r>
              <w:rPr>
                <w:rFonts w:ascii="Times New Roman" w:hAnsi="Times New Roman"/>
                <w:caps w:val="false"/>
                <w:smallCaps w:val="false"/>
                <w:sz w:val="20"/>
              </w:rPr>
              <w:t>William E. Bendush, Director (</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Adoption</w:t>
            </w:r>
          </w:p>
        </w:tc>
        <w:tc>
          <w:tcPr>
            <w:tcW w:w="60"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5/30/2024</w:t>
            </w:r>
          </w:p>
        </w:tc>
        <w:tc>
          <w:tcPr>
            <w:tcW w:w="60"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5/30/2025</w:t>
            </w:r>
          </w:p>
        </w:tc>
        <w:tc>
          <w:tcPr>
            <w:tcW w:w="60" w:type="dxa"/>
            <w:tcBorders/>
            <w:shd w:fill="FFFFFF" w:val="clear"/>
            <w:vAlign w:val="center"/>
          </w:tcPr>
          <w:p>
            <w:pPr>
              <w:pStyle w:val="TableContents"/>
              <w:bidi w:val="0"/>
              <w:spacing w:before="0" w:after="283"/>
              <w:jc w:val="left"/>
              <w:rPr/>
            </w:pPr>
            <w:r>
              <w:rPr/>
              <w:t> </w:t>
            </w:r>
          </w:p>
        </w:tc>
        <w:tc>
          <w:tcPr>
            <w:tcW w:w="1661" w:type="dxa"/>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6,800</w:t>
            </w:r>
          </w:p>
        </w:tc>
      </w:tr>
    </w:tbl>
    <w:p>
      <w:pPr>
        <w:pStyle w:val="TextBody"/>
        <w:bidi w:val="0"/>
        <w:spacing w:before="0" w:after="0"/>
        <w:ind w:left="0" w:right="0" w:hanging="0"/>
        <w:jc w:val="left"/>
        <w:rPr/>
      </w:pPr>
      <w:r>
        <w:rPr/>
        <w:t> </w:t>
      </w:r>
    </w:p>
    <w:tbl>
      <w:tblPr>
        <w:tblW w:w="9115" w:type="dxa"/>
        <w:jc w:val="left"/>
        <w:tblInd w:w="0" w:type="dxa"/>
        <w:tblLayout w:type="fixed"/>
        <w:tblCellMar>
          <w:top w:w="0" w:type="dxa"/>
          <w:left w:w="0" w:type="dxa"/>
          <w:bottom w:w="0" w:type="dxa"/>
          <w:right w:w="0" w:type="dxa"/>
        </w:tblCellMar>
      </w:tblPr>
      <w:tblGrid>
        <w:gridCol w:w="230"/>
        <w:gridCol w:w="8885"/>
      </w:tblGrid>
      <w:tr>
        <w:trPr/>
        <w:tc>
          <w:tcPr>
            <w:tcW w:w="23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w:t>
            </w:r>
          </w:p>
        </w:tc>
        <w:tc>
          <w:tcPr>
            <w:tcW w:w="888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18"/>
              </w:rPr>
              <w:t xml:space="preserve">This </w:t>
            </w:r>
            <w:r>
              <w:rPr>
                <w:rStyle w:val="Emphasis"/>
                <w:rFonts w:ascii="Times New Roman;Times;serif" w:hAnsi="Times New Roman;Times;serif"/>
                <w:caps w:val="false"/>
                <w:smallCaps w:val="false"/>
                <w:sz w:val="18"/>
              </w:rPr>
              <w:t>10b5</w:t>
            </w:r>
            <w:r>
              <w:rPr>
                <w:rFonts w:ascii="Times New Roman;Times;serif" w:hAnsi="Times New Roman;Times;serif"/>
                <w:caps w:val="false"/>
                <w:smallCaps w:val="false"/>
                <w:sz w:val="18"/>
              </w:rPr>
              <w:t>-</w:t>
            </w:r>
            <w:r>
              <w:rPr>
                <w:rStyle w:val="Emphasis"/>
                <w:rFonts w:ascii="Times New Roman;Times;serif" w:hAnsi="Times New Roman;Times;serif"/>
                <w:caps w:val="false"/>
                <w:smallCaps w:val="false"/>
                <w:sz w:val="18"/>
              </w:rPr>
              <w:t>1</w:t>
            </w:r>
            <w:r>
              <w:rPr>
                <w:rFonts w:ascii="Times New Roman;Times;serif" w:hAnsi="Times New Roman;Times;serif"/>
                <w:caps w:val="false"/>
                <w:smallCaps w:val="false"/>
                <w:sz w:val="18"/>
              </w:rPr>
              <w:t xml:space="preserve"> trading arrangement was adopted by William E. Bendush, as Trustee of the Bendush Living Trust DTD </w:t>
            </w:r>
            <w:r>
              <w:rPr>
                <w:rStyle w:val="Emphasis"/>
                <w:rFonts w:ascii="Times New Roman;Times;serif" w:hAnsi="Times New Roman;Times;serif"/>
                <w:caps w:val="false"/>
                <w:smallCaps w:val="false"/>
                <w:sz w:val="18"/>
              </w:rPr>
              <w:t>3/25/87.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none of our directors or executive officers terminated a Rule 10b5-</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 or adopted or terminated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(each term as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 xml:space="preserve">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8875" w:type="dxa"/>
        <w:jc w:val="left"/>
        <w:tblInd w:w="0" w:type="dxa"/>
        <w:tblLayout w:type="fixed"/>
        <w:tblCellMar>
          <w:top w:w="0" w:type="dxa"/>
          <w:left w:w="0" w:type="dxa"/>
          <w:bottom w:w="0" w:type="dxa"/>
          <w:right w:w="0" w:type="dxa"/>
        </w:tblCellMar>
      </w:tblPr>
      <w:tblGrid>
        <w:gridCol w:w="770"/>
        <w:gridCol w:w="60"/>
        <w:gridCol w:w="8045"/>
      </w:tblGrid>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bookmarkStart w:id="18" w:name="exhibits"/>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Exhibits.</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pPr>
            <w:hyperlink w:anchor="ex_703886.htm">
              <w:r>
                <w:rPr>
                  <w:rStyle w:val="InternetLink"/>
                  <w:rFonts w:ascii="Times New Roman" w:hAnsi="Times New Roman"/>
                  <w:caps w:val="false"/>
                  <w:smallCaps w:val="false"/>
                  <w:sz w:val="20"/>
                </w:rPr>
                <w:t>Certification pursuant to Section 302(a) of the Sarbanes-Oxley Act of 2002</w:t>
              </w:r>
            </w:hyperlink>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pPr>
            <w:hyperlink w:anchor="ex_703887.htm">
              <w:r>
                <w:rPr>
                  <w:rStyle w:val="InternetLink"/>
                  <w:rFonts w:ascii="Times New Roman" w:hAnsi="Times New Roman"/>
                  <w:caps w:val="false"/>
                  <w:smallCaps w:val="false"/>
                  <w:sz w:val="20"/>
                </w:rPr>
                <w:t>Certification pursuant to Section 302(a) of the Sarbanes-Oxley Act of 2002</w:t>
              </w:r>
            </w:hyperlink>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pPr>
            <w:hyperlink w:anchor="ex_703888.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pPr>
            <w:hyperlink w:anchor="ex_703889.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283"/>
              <w:jc w:val="left"/>
              <w:rPr/>
            </w:pPr>
            <w:r>
              <w:rPr/>
              <w:t> </w:t>
            </w:r>
          </w:p>
        </w:tc>
      </w:tr>
      <w:tr>
        <w:trPr/>
        <w:tc>
          <w:tcPr>
            <w:tcW w:w="7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9" w:name="sigs"/>
      <w:bookmarkEnd w:id="1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2060"/>
        <w:gridCol w:w="60"/>
        <w:gridCol w:w="5435"/>
        <w:gridCol w:w="60"/>
      </w:tblGrid>
      <w:tr>
        <w:trPr/>
        <w:tc>
          <w:tcPr>
            <w:tcW w:w="2060" w:type="dxa"/>
            <w:tcBorders/>
          </w:tcPr>
          <w:p>
            <w:pPr>
              <w:pStyle w:val="TableContents"/>
              <w:bidi w:val="0"/>
              <w:spacing w:before="0" w:after="0"/>
              <w:ind w:left="0" w:right="0" w:hanging="0"/>
              <w:jc w:val="left"/>
              <w:rPr/>
            </w:pPr>
            <w:r>
              <w:rPr/>
              <w:t> </w:t>
            </w:r>
          </w:p>
        </w:tc>
        <w:tc>
          <w:tcPr>
            <w:tcW w:w="5495" w:type="dxa"/>
            <w:gridSpan w:val="2"/>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bottom w:val="single" w:sz="2" w:space="0" w:color="000000"/>
            </w:tcBorders>
            <w:tcMar>
              <w:bottom w:w="28" w:type="dxa"/>
            </w:tcMar>
          </w:tcPr>
          <w:p>
            <w:pPr>
              <w:pStyle w:val="TableContents"/>
              <w:bidi w:val="0"/>
              <w:spacing w:before="0" w:after="283"/>
              <w:jc w:val="center"/>
              <w:rPr/>
            </w:pPr>
            <w:r>
              <w:rPr/>
              <w:t>COHU, INC.</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5435" w:type="dxa"/>
            <w:tcBorders/>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543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2024</w:t>
            </w:r>
          </w:p>
        </w:tc>
        <w:tc>
          <w:tcPr>
            <w:tcW w:w="60" w:type="dxa"/>
            <w:tcBorders/>
          </w:tcPr>
          <w:p>
            <w:pPr>
              <w:pStyle w:val="TableContents"/>
              <w:bidi w:val="0"/>
              <w:spacing w:before="0" w:after="0"/>
              <w:ind w:left="0" w:right="0" w:hanging="0"/>
              <w:jc w:val="left"/>
              <w:rPr/>
            </w:pPr>
            <w:r>
              <w:rPr/>
              <w:t> </w:t>
            </w:r>
          </w:p>
        </w:tc>
        <w:tc>
          <w:tcPr>
            <w:tcW w:w="543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Luis A. Müller</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54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Luis A. Müller</w:t>
            </w:r>
          </w:p>
        </w:tc>
        <w:tc>
          <w:tcPr>
            <w:tcW w:w="60" w:type="dxa"/>
            <w:tcBorders/>
          </w:tcPr>
          <w:p>
            <w:pPr>
              <w:pStyle w:val="TableContents"/>
              <w:bidi w:val="0"/>
              <w:spacing w:before="0" w:after="0"/>
              <w:ind w:left="0" w:right="0" w:hanging="0"/>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tcPr>
          <w:p>
            <w:pPr>
              <w:pStyle w:val="TableContents"/>
              <w:bidi w:val="0"/>
              <w:spacing w:before="0" w:after="283"/>
              <w:jc w:val="left"/>
              <w:rPr/>
            </w:pPr>
            <w:r>
              <w:rPr/>
              <w:t>President &amp; Chief Executive Officer</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Date: August 1, 2024</w:t>
            </w:r>
          </w:p>
        </w:tc>
        <w:tc>
          <w:tcPr>
            <w:tcW w:w="60" w:type="dxa"/>
            <w:tcBorders/>
          </w:tcPr>
          <w:p>
            <w:pPr>
              <w:pStyle w:val="TableContents"/>
              <w:bidi w:val="0"/>
              <w:spacing w:before="0" w:after="283"/>
              <w:jc w:val="left"/>
              <w:rPr/>
            </w:pPr>
            <w:r>
              <w:rPr/>
              <w:t> </w:t>
            </w:r>
          </w:p>
        </w:tc>
        <w:tc>
          <w:tcPr>
            <w:tcW w:w="5435" w:type="dxa"/>
            <w:tcBorders>
              <w:bottom w:val="single" w:sz="2" w:space="0" w:color="000000"/>
            </w:tcBorders>
            <w:tcMar>
              <w:bottom w:w="28" w:type="dxa"/>
            </w:tcMar>
          </w:tcPr>
          <w:p>
            <w:pPr>
              <w:pStyle w:val="TableContents"/>
              <w:bidi w:val="0"/>
              <w:spacing w:before="0" w:after="283"/>
              <w:jc w:val="left"/>
              <w:rPr/>
            </w:pPr>
            <w:r>
              <w:rPr/>
              <w:t>/s/ Jeffrey D. Jones</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tcPr>
          <w:p>
            <w:pPr>
              <w:pStyle w:val="TableContents"/>
              <w:bidi w:val="0"/>
              <w:spacing w:before="0" w:after="283"/>
              <w:jc w:val="left"/>
              <w:rPr/>
            </w:pPr>
            <w:r>
              <w:rPr/>
              <w:t>Jeffrey D. Jones</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435" w:type="dxa"/>
            <w:tcBorders/>
          </w:tcPr>
          <w:p>
            <w:pPr>
              <w:pStyle w:val="TableContents"/>
              <w:bidi w:val="0"/>
              <w:spacing w:before="0" w:after="283"/>
              <w:jc w:val="left"/>
              <w:rPr/>
            </w:pPr>
            <w:r>
              <w:rPr/>
              <w:t>Senior Vice President, Finance &amp; Chief Financial Officer</w:t>
            </w:r>
          </w:p>
        </w:tc>
        <w:tc>
          <w:tcPr>
            <w:tcW w:w="60" w:type="dxa"/>
            <w:tcBorders/>
          </w:tcPr>
          <w:p>
            <w:pPr>
              <w:pStyle w:val="TableContents"/>
              <w:bidi w:val="0"/>
              <w:spacing w:before="0" w:after="283"/>
              <w:jc w:val="left"/>
              <w:rPr/>
            </w:pPr>
            <w:r>
              <w:rPr/>
              <w:t> </w:t>
            </w:r>
          </w:p>
        </w:tc>
      </w:tr>
      <w:tr>
        <w:trPr/>
        <w:tc>
          <w:tcPr>
            <w:tcW w:w="206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c>
          <w:tcPr>
            <w:tcW w:w="543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&amp; Accounting Officer)</w:t>
            </w:r>
          </w:p>
        </w:tc>
        <w:tc>
          <w:tcPr>
            <w:tcW w:w="60"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42 </w:t>
      </w:r>
    </w:p>
    <w:p>
      <w:pPr>
        <w:pStyle w:val="TextBody"/>
        <w:bidi w:val="0"/>
        <w:spacing w:before="0" w:after="0"/>
        <w:ind w:left="0" w:right="0" w:hanging="0"/>
        <w:jc w:val="right"/>
        <w:rPr>
          <w:rFonts w:ascii="Times New Roman" w:hAnsi="Times New Roman"/>
          <w:caps w:val="false"/>
          <w:smallCaps w:val="false"/>
          <w:sz w:val="20"/>
        </w:rPr>
      </w:pPr>
      <w:bookmarkStart w:id="20" w:name="ex_703886.htm"/>
      <w:bookmarkStart w:id="21" w:name="ksex_703886"/>
      <w:bookmarkEnd w:id="20"/>
      <w:bookmarkEnd w:id="21"/>
      <w:r>
        <w:rPr>
          <w:rFonts w:ascii="Times New Roman" w:hAnsi="Times New Roman"/>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 Luis A. Müller         </w:t>
      </w:r>
      <w:r>
        <w:rPr>
          <w:rFonts w:ascii="Times New Roman" w:hAnsi="Times New Roman"/>
          <w:caps w:val="false"/>
          <w:smallCaps w:val="false"/>
          <w:sz w:val="20"/>
        </w:rPr>
        <w:br/>
        <w:t>Luis A. Müller</w:t>
        <w:b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2" w:name="ex_703887.htm"/>
      <w:bookmarkStart w:id="23" w:name="ksex_703887"/>
      <w:bookmarkEnd w:id="22"/>
      <w:bookmarkEnd w:id="23"/>
      <w:r>
        <w:rPr>
          <w:rFonts w:ascii="Times New Roman" w:hAnsi="Times New Roman"/>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Form 10-Q of Cohu,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/s/ Jeffrey D. Jones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br/>
        <w:t>Senior Vice President Finance &amp;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4" w:name="ex_703888.htm"/>
      <w:bookmarkStart w:id="25" w:name="ksex_703888"/>
      <w:bookmarkEnd w:id="24"/>
      <w:bookmarkEnd w:id="25"/>
      <w:r>
        <w:rPr>
          <w:rFonts w:ascii="Times New Roman" w:hAnsi="Times New Roman"/>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29, 2024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6" w:name="ex_703889.htm"/>
      <w:bookmarkStart w:id="27" w:name="ksex_703889"/>
      <w:bookmarkEnd w:id="26"/>
      <w:bookmarkEnd w:id="27"/>
      <w:r>
        <w:rPr>
          <w:rFonts w:ascii="Times New Roman" w:hAnsi="Times New Roman"/>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29, 2024 (the "Report"), I, Jeffrey D. Jones,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25301</Words>
  <Characters>137284</Characters>
  <CharactersWithSpaces>164652</CharactersWithSpaces>
  <Paragraphs>7480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