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280" w:type="dxa"/>
            <w:vAlign w:val="bottom"/>
          </w:tcPr>
          <w:p>
            <w:pPr>
              <w:ind w:left="2260"/>
              <w:spacing w:after="0"/>
              <w:rPr>
                <w:sz w:val="20"/>
                <w:szCs w:val="20"/>
                <w:color w:val="auto"/>
              </w:rPr>
            </w:pPr>
            <w:r>
              <w:rPr>
                <w:rFonts w:ascii="Arial" w:cs="Arial" w:eastAsia="Arial" w:hAnsi="Arial"/>
                <w:sz w:val="18"/>
                <w:szCs w:val="18"/>
                <w:color w:val="auto"/>
                <w:w w:val="91"/>
              </w:rPr>
              <w:t>May 10, 2023</w:t>
            </w:r>
          </w:p>
        </w:tc>
      </w:tr>
    </w:tbl>
    <w:p>
      <w:pPr>
        <w:spacing w:after="0" w:line="18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460" w:type="dxa"/>
            <w:vAlign w:val="bottom"/>
            <w:gridSpan w:val="6"/>
          </w:tcPr>
          <w:p>
            <w:pPr>
              <w:jc w:val="center"/>
              <w:ind w:left="2450"/>
              <w:spacing w:after="0"/>
              <w:rPr>
                <w:sz w:val="20"/>
                <w:szCs w:val="20"/>
                <w:color w:val="auto"/>
              </w:rPr>
            </w:pPr>
            <w:r>
              <w:rPr>
                <w:rFonts w:ascii="Arial" w:cs="Arial" w:eastAsia="Arial" w:hAnsi="Arial"/>
                <w:sz w:val="18"/>
                <w:szCs w:val="18"/>
                <w:color w:val="auto"/>
                <w:w w:val="90"/>
              </w:rPr>
              <w:t>(Exact name of registrant as specified in its charter)</w:t>
            </w:r>
          </w:p>
        </w:tc>
        <w:tc>
          <w:tcPr>
            <w:tcW w:w="2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370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Delaware</w:t>
            </w:r>
          </w:p>
        </w:tc>
        <w:tc>
          <w:tcPr>
            <w:tcW w:w="1920" w:type="dxa"/>
            <w:vAlign w:val="bottom"/>
          </w:tcPr>
          <w:p>
            <w:pPr>
              <w:jc w:val="center"/>
              <w:ind w:right="210"/>
              <w:spacing w:after="0"/>
              <w:rPr>
                <w:sz w:val="20"/>
                <w:szCs w:val="20"/>
                <w:color w:val="auto"/>
              </w:rPr>
            </w:pPr>
            <w:r>
              <w:rPr>
                <w:rFonts w:ascii="Arial" w:cs="Arial" w:eastAsia="Arial" w:hAnsi="Arial"/>
                <w:sz w:val="18"/>
                <w:szCs w:val="18"/>
                <w:color w:val="auto"/>
                <w:w w:val="90"/>
              </w:rPr>
              <w:t>001-04298</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jc w:val="right"/>
              <w:ind w:right="890"/>
              <w:spacing w:after="0"/>
              <w:rPr>
                <w:sz w:val="20"/>
                <w:szCs w:val="20"/>
                <w:color w:val="auto"/>
              </w:rPr>
            </w:pPr>
            <w:r>
              <w:rPr>
                <w:rFonts w:ascii="Arial" w:cs="Arial" w:eastAsia="Arial" w:hAnsi="Arial"/>
                <w:sz w:val="18"/>
                <w:szCs w:val="18"/>
                <w:color w:val="auto"/>
              </w:rPr>
              <w:t>95-1934119</w:t>
            </w:r>
          </w:p>
        </w:tc>
        <w:tc>
          <w:tcPr>
            <w:tcW w:w="112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2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5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center"/>
              <w:ind w:right="230"/>
              <w:spacing w:after="0" w:line="195" w:lineRule="exact"/>
              <w:rPr>
                <w:sz w:val="20"/>
                <w:szCs w:val="20"/>
                <w:color w:val="auto"/>
              </w:rPr>
            </w:pPr>
            <w:r>
              <w:rPr>
                <w:rFonts w:ascii="Arial" w:cs="Arial" w:eastAsia="Arial" w:hAnsi="Arial"/>
                <w:sz w:val="18"/>
                <w:szCs w:val="18"/>
                <w:color w:val="auto"/>
                <w:w w:val="91"/>
              </w:rPr>
              <w:t>(Commission</w:t>
            </w:r>
          </w:p>
        </w:tc>
        <w:tc>
          <w:tcPr>
            <w:tcW w:w="5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center"/>
              <w:ind w:right="190"/>
              <w:spacing w:after="0" w:line="195" w:lineRule="exact"/>
              <w:rPr>
                <w:sz w:val="20"/>
                <w:szCs w:val="20"/>
                <w:color w:val="auto"/>
              </w:rPr>
            </w:pPr>
            <w:r>
              <w:rPr>
                <w:rFonts w:ascii="Arial" w:cs="Arial" w:eastAsia="Arial" w:hAnsi="Arial"/>
                <w:sz w:val="18"/>
                <w:szCs w:val="18"/>
                <w:color w:val="auto"/>
                <w:w w:val="92"/>
              </w:rPr>
              <w:t>(I.R.S. Employer</w:t>
            </w:r>
          </w:p>
        </w:tc>
        <w:tc>
          <w:tcPr>
            <w:tcW w:w="1120" w:type="dxa"/>
            <w:vAlign w:val="bottom"/>
          </w:tcPr>
          <w:p>
            <w:pPr>
              <w:spacing w:after="0"/>
              <w:rPr>
                <w:sz w:val="16"/>
                <w:szCs w:val="16"/>
                <w:color w:val="auto"/>
              </w:rPr>
            </w:pPr>
          </w:p>
        </w:tc>
      </w:tr>
      <w:tr>
        <w:trPr>
          <w:trHeight w:val="230"/>
        </w:trPr>
        <w:tc>
          <w:tcPr>
            <w:tcW w:w="1120" w:type="dxa"/>
            <w:vAlign w:val="bottom"/>
          </w:tcPr>
          <w:p>
            <w:pPr>
              <w:spacing w:after="0"/>
              <w:rPr>
                <w:sz w:val="20"/>
                <w:szCs w:val="20"/>
                <w:color w:val="auto"/>
              </w:rPr>
            </w:pPr>
          </w:p>
        </w:tc>
        <w:tc>
          <w:tcPr>
            <w:tcW w:w="3700" w:type="dxa"/>
            <w:vAlign w:val="bottom"/>
            <w:gridSpan w:val="3"/>
          </w:tcPr>
          <w:p>
            <w:pPr>
              <w:jc w:val="center"/>
              <w:ind w:right="880"/>
              <w:spacing w:after="0"/>
              <w:rPr>
                <w:sz w:val="20"/>
                <w:szCs w:val="20"/>
                <w:color w:val="auto"/>
              </w:rPr>
            </w:pPr>
            <w:r>
              <w:rPr>
                <w:rFonts w:ascii="Arial" w:cs="Arial" w:eastAsia="Arial" w:hAnsi="Arial"/>
                <w:sz w:val="18"/>
                <w:szCs w:val="18"/>
                <w:color w:val="auto"/>
                <w:w w:val="93"/>
              </w:rPr>
              <w:t>of incorporation)</w:t>
            </w:r>
          </w:p>
        </w:tc>
        <w:tc>
          <w:tcPr>
            <w:tcW w:w="2760" w:type="dxa"/>
            <w:vAlign w:val="bottom"/>
            <w:gridSpan w:val="3"/>
          </w:tcPr>
          <w:p>
            <w:pPr>
              <w:jc w:val="center"/>
              <w:ind w:right="1140"/>
              <w:spacing w:after="0"/>
              <w:rPr>
                <w:sz w:val="20"/>
                <w:szCs w:val="20"/>
                <w:color w:val="auto"/>
              </w:rPr>
            </w:pPr>
            <w:r>
              <w:rPr>
                <w:rFonts w:ascii="Arial" w:cs="Arial" w:eastAsia="Arial" w:hAnsi="Arial"/>
                <w:sz w:val="18"/>
                <w:szCs w:val="18"/>
                <w:color w:val="auto"/>
                <w:w w:val="94"/>
              </w:rPr>
              <w:t>File Number)</w:t>
            </w:r>
          </w:p>
        </w:tc>
        <w:tc>
          <w:tcPr>
            <w:tcW w:w="3660" w:type="dxa"/>
            <w:vAlign w:val="bottom"/>
            <w:gridSpan w:val="2"/>
          </w:tcPr>
          <w:p>
            <w:pPr>
              <w:jc w:val="center"/>
              <w:ind w:right="140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120" w:type="dxa"/>
            <w:vAlign w:val="bottom"/>
          </w:tcPr>
          <w:p>
            <w:pPr>
              <w:spacing w:after="0"/>
              <w:rPr>
                <w:sz w:val="24"/>
                <w:szCs w:val="24"/>
                <w:color w:val="auto"/>
              </w:rPr>
            </w:pPr>
          </w:p>
        </w:tc>
        <w:tc>
          <w:tcPr>
            <w:tcW w:w="370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12367 Crosthwaite Circle, Poway,</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jc w:val="right"/>
              <w:ind w:right="1090"/>
              <w:spacing w:after="0"/>
              <w:rPr>
                <w:sz w:val="20"/>
                <w:szCs w:val="20"/>
                <w:color w:val="auto"/>
              </w:rPr>
            </w:pPr>
            <w:r>
              <w:rPr>
                <w:rFonts w:ascii="Arial" w:cs="Arial" w:eastAsia="Arial" w:hAnsi="Arial"/>
                <w:sz w:val="18"/>
                <w:szCs w:val="18"/>
                <w:color w:val="auto"/>
              </w:rPr>
              <w:t>92064</w:t>
            </w:r>
          </w:p>
        </w:tc>
        <w:tc>
          <w:tcPr>
            <w:tcW w:w="112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37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California</w:t>
            </w:r>
          </w:p>
        </w:tc>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5"/>
        </w:trPr>
        <w:tc>
          <w:tcPr>
            <w:tcW w:w="1120" w:type="dxa"/>
            <w:vAlign w:val="bottom"/>
          </w:tcPr>
          <w:p>
            <w:pPr>
              <w:spacing w:after="0"/>
              <w:rPr>
                <w:sz w:val="16"/>
                <w:szCs w:val="16"/>
                <w:color w:val="auto"/>
              </w:rPr>
            </w:pPr>
          </w:p>
        </w:tc>
        <w:tc>
          <w:tcPr>
            <w:tcW w:w="2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(Address of principal executive</w:t>
            </w:r>
          </w:p>
        </w:tc>
        <w:tc>
          <w:tcPr>
            <w:tcW w:w="880" w:type="dxa"/>
            <w:vAlign w:val="bottom"/>
            <w:gridSpan w:val="2"/>
          </w:tcPr>
          <w:p>
            <w:pPr>
              <w:spacing w:after="0"/>
              <w:rPr>
                <w:sz w:val="16"/>
                <w:szCs w:val="16"/>
                <w:color w:val="auto"/>
              </w:rPr>
            </w:pPr>
          </w:p>
        </w:tc>
        <w:tc>
          <w:tcPr>
            <w:tcW w:w="1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center"/>
              <w:ind w:right="190"/>
              <w:spacing w:after="0" w:line="195" w:lineRule="exact"/>
              <w:rPr>
                <w:sz w:val="20"/>
                <w:szCs w:val="20"/>
                <w:color w:val="auto"/>
              </w:rPr>
            </w:pPr>
            <w:r>
              <w:rPr>
                <w:rFonts w:ascii="Arial" w:cs="Arial" w:eastAsia="Arial" w:hAnsi="Arial"/>
                <w:sz w:val="18"/>
                <w:szCs w:val="18"/>
                <w:color w:val="auto"/>
                <w:w w:val="91"/>
              </w:rPr>
              <w:t>(Zip Code)</w:t>
            </w:r>
          </w:p>
        </w:tc>
        <w:tc>
          <w:tcPr>
            <w:tcW w:w="1120" w:type="dxa"/>
            <w:vAlign w:val="bottom"/>
          </w:tcPr>
          <w:p>
            <w:pPr>
              <w:spacing w:after="0"/>
              <w:rPr>
                <w:sz w:val="16"/>
                <w:szCs w:val="16"/>
                <w:color w:val="auto"/>
              </w:rPr>
            </w:pPr>
          </w:p>
        </w:tc>
      </w:tr>
      <w:tr>
        <w:trPr>
          <w:trHeight w:val="230"/>
        </w:trPr>
        <w:tc>
          <w:tcPr>
            <w:tcW w:w="1120" w:type="dxa"/>
            <w:vAlign w:val="bottom"/>
          </w:tcPr>
          <w:p>
            <w:pPr>
              <w:spacing w:after="0"/>
              <w:rPr>
                <w:sz w:val="20"/>
                <w:szCs w:val="20"/>
                <w:color w:val="auto"/>
              </w:rPr>
            </w:pPr>
          </w:p>
        </w:tc>
        <w:tc>
          <w:tcPr>
            <w:tcW w:w="370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offices)</w:t>
            </w:r>
          </w:p>
        </w:tc>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4820" w:type="dxa"/>
            <w:vAlign w:val="bottom"/>
            <w:gridSpan w:val="4"/>
          </w:tcPr>
          <w:p>
            <w:pPr>
              <w:ind w:left="940"/>
              <w:spacing w:after="0"/>
              <w:rPr>
                <w:sz w:val="20"/>
                <w:szCs w:val="20"/>
                <w:color w:val="auto"/>
              </w:rPr>
            </w:pPr>
            <w:r>
              <w:rPr>
                <w:rFonts w:ascii="Arial" w:cs="Arial" w:eastAsia="Arial" w:hAnsi="Arial"/>
                <w:sz w:val="18"/>
                <w:szCs w:val="18"/>
                <w:color w:val="auto"/>
                <w:w w:val="92"/>
              </w:rPr>
              <w:t>Registrant’s telephone number, including area code:</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jc w:val="right"/>
              <w:ind w:right="990"/>
              <w:spacing w:after="0"/>
              <w:rPr>
                <w:sz w:val="20"/>
                <w:szCs w:val="20"/>
                <w:color w:val="auto"/>
              </w:rPr>
            </w:pPr>
            <w:r>
              <w:rPr>
                <w:rFonts w:ascii="Arial" w:cs="Arial" w:eastAsia="Arial" w:hAnsi="Arial"/>
                <w:sz w:val="18"/>
                <w:szCs w:val="18"/>
                <w:color w:val="auto"/>
              </w:rPr>
              <w:t>858-848-8100</w:t>
            </w:r>
          </w:p>
        </w:tc>
        <w:tc>
          <w:tcPr>
            <w:tcW w:w="11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3"/>
          </w:tcPr>
          <w:p>
            <w:pPr>
              <w:jc w:val="center"/>
              <w:ind w:right="1140"/>
              <w:spacing w:after="0"/>
              <w:rPr>
                <w:sz w:val="20"/>
                <w:szCs w:val="20"/>
                <w:color w:val="auto"/>
              </w:rPr>
            </w:pPr>
            <w:r>
              <w:rPr>
                <w:rFonts w:ascii="Arial" w:cs="Arial" w:eastAsia="Arial" w:hAnsi="Arial"/>
                <w:sz w:val="18"/>
                <w:szCs w:val="18"/>
                <w:color w:val="auto"/>
                <w:w w:val="94"/>
              </w:rPr>
              <w:t>Not Applicable</w:t>
            </w:r>
          </w:p>
        </w:tc>
        <w:tc>
          <w:tcPr>
            <w:tcW w:w="2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1120" w:type="dxa"/>
            <w:vAlign w:val="bottom"/>
            <w:tcBorders>
              <w:bottom w:val="single" w:sz="8" w:color="auto"/>
            </w:tcBorders>
          </w:tcPr>
          <w:p>
            <w:pPr>
              <w:spacing w:after="0"/>
              <w:rPr>
                <w:sz w:val="23"/>
                <w:szCs w:val="23"/>
                <w:color w:val="auto"/>
              </w:rPr>
            </w:pPr>
          </w:p>
        </w:tc>
        <w:tc>
          <w:tcPr>
            <w:tcW w:w="10120" w:type="dxa"/>
            <w:vAlign w:val="bottom"/>
            <w:tcBorders>
              <w:bottom w:val="single" w:sz="8" w:color="auto"/>
            </w:tcBorders>
            <w:gridSpan w:val="8"/>
          </w:tcPr>
          <w:p>
            <w:pPr>
              <w:spacing w:after="0"/>
              <w:rPr>
                <w:sz w:val="23"/>
                <w:szCs w:val="23"/>
                <w:color w:val="auto"/>
              </w:rPr>
            </w:pPr>
          </w:p>
        </w:tc>
      </w:tr>
      <w:tr>
        <w:trPr>
          <w:trHeight w:val="264"/>
        </w:trPr>
        <w:tc>
          <w:tcPr>
            <w:tcW w:w="1120" w:type="dxa"/>
            <w:vAlign w:val="bottom"/>
          </w:tcPr>
          <w:p>
            <w:pPr>
              <w:spacing w:after="0"/>
              <w:rPr>
                <w:sz w:val="22"/>
                <w:szCs w:val="22"/>
                <w:color w:val="auto"/>
              </w:rPr>
            </w:pPr>
          </w:p>
        </w:tc>
        <w:tc>
          <w:tcPr>
            <w:tcW w:w="10120" w:type="dxa"/>
            <w:vAlign w:val="bottom"/>
            <w:gridSpan w:val="8"/>
          </w:tcPr>
          <w:p>
            <w:pPr>
              <w:jc w:val="center"/>
              <w:ind w:right="1100"/>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2"/>
        </w:trPr>
        <w:tc>
          <w:tcPr>
            <w:tcW w:w="48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8"/>
        </w:trPr>
        <w:tc>
          <w:tcPr>
            <w:tcW w:w="1120" w:type="dxa"/>
            <w:vAlign w:val="bottom"/>
          </w:tcPr>
          <w:p>
            <w:pPr>
              <w:spacing w:after="0"/>
              <w:rPr>
                <w:sz w:val="24"/>
                <w:szCs w:val="24"/>
                <w:color w:val="auto"/>
              </w:rPr>
            </w:pPr>
          </w:p>
        </w:tc>
        <w:tc>
          <w:tcPr>
            <w:tcW w:w="370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Title of each class</w:t>
            </w:r>
          </w:p>
        </w:tc>
        <w:tc>
          <w:tcPr>
            <w:tcW w:w="2760" w:type="dxa"/>
            <w:vAlign w:val="bottom"/>
            <w:gridSpan w:val="3"/>
          </w:tcPr>
          <w:p>
            <w:pPr>
              <w:jc w:val="center"/>
              <w:ind w:right="1160"/>
              <w:spacing w:after="0"/>
              <w:rPr>
                <w:sz w:val="20"/>
                <w:szCs w:val="20"/>
                <w:color w:val="auto"/>
              </w:rPr>
            </w:pPr>
            <w:r>
              <w:rPr>
                <w:rFonts w:ascii="Arial" w:cs="Arial" w:eastAsia="Arial" w:hAnsi="Arial"/>
                <w:sz w:val="18"/>
                <w:szCs w:val="18"/>
                <w:color w:val="auto"/>
                <w:w w:val="92"/>
              </w:rPr>
              <w:t>Trading Symbol(s)</w:t>
            </w:r>
          </w:p>
        </w:tc>
        <w:tc>
          <w:tcPr>
            <w:tcW w:w="36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820" w:type="dxa"/>
            <w:vAlign w:val="bottom"/>
            <w:gridSpan w:val="4"/>
          </w:tcPr>
          <w:p>
            <w:pPr>
              <w:jc w:val="center"/>
              <w:ind w:right="880"/>
              <w:spacing w:after="0"/>
              <w:rPr>
                <w:sz w:val="20"/>
                <w:szCs w:val="20"/>
                <w:color w:val="auto"/>
              </w:rPr>
            </w:pPr>
            <w:r>
              <w:rPr>
                <w:rFonts w:ascii="Arial" w:cs="Arial" w:eastAsia="Arial" w:hAnsi="Arial"/>
                <w:sz w:val="18"/>
                <w:szCs w:val="18"/>
                <w:color w:val="auto"/>
                <w:w w:val="90"/>
              </w:rPr>
              <w:t>Common Stock, $1.00 par value</w:t>
            </w:r>
          </w:p>
        </w:tc>
        <w:tc>
          <w:tcPr>
            <w:tcW w:w="2760" w:type="dxa"/>
            <w:vAlign w:val="bottom"/>
            <w:gridSpan w:val="3"/>
          </w:tcPr>
          <w:p>
            <w:pPr>
              <w:jc w:val="center"/>
              <w:ind w:right="1160"/>
              <w:spacing w:after="0"/>
              <w:rPr>
                <w:sz w:val="20"/>
                <w:szCs w:val="20"/>
                <w:color w:val="auto"/>
              </w:rPr>
            </w:pPr>
            <w:r>
              <w:rPr>
                <w:rFonts w:ascii="Arial" w:cs="Arial" w:eastAsia="Arial" w:hAnsi="Arial"/>
                <w:sz w:val="18"/>
                <w:szCs w:val="18"/>
                <w:color w:val="auto"/>
                <w:w w:val="98"/>
              </w:rPr>
              <w:t>COHU</w:t>
            </w:r>
          </w:p>
        </w:tc>
        <w:tc>
          <w:tcPr>
            <w:tcW w:w="36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2023 Annual Meeting of Cohu, Inc. (“Cohu”) was held on May 10, 2023. At the Annual Meeting, Cohu’s stockholders cast their votes on six proposals, as set forth below. Cohu had 47,228,231 shares outstanding on March 16, 2023, the record date, and 43,482,476 (92%) were represented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1</w:t>
      </w:r>
      <w:r>
        <w:rPr>
          <w:rFonts w:ascii="Arial" w:cs="Arial" w:eastAsia="Arial" w:hAnsi="Arial"/>
          <w:sz w:val="18"/>
          <w:szCs w:val="18"/>
          <w:color w:val="auto"/>
        </w:rPr>
        <w:t>.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E. Bendush was elected as a Class 1 director of Cohu. The results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35,261,813; Votes Against – 5,345,268; Abstentions – 26,928; Broker Non-Votes – 2,848,467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Nina L. Richardson was elected as a Class 1 director of Cohu. The results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Votes For – 40,388,705; Votes Against – 190,639; Abstentions – 54,665; Broker Non-Votes - 2,848,467</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remaining directors whose terms continue until 2024 are Andrew M. Caggia, Yon Y. Jorden and Luis A. Müller, and until 2025 are Steven J. Bilodeau, James A. Donahue and Andreas W. Mattes.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The advisory vote on executive compensation of Named Executive Officers, as disclosed in the Proxy Statement, was approved. The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Votes For – 40,085,427; Votes Against – 464,970; Abstentions – 83,612; Broker Non-Votes - 2,848,467</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Proposal 3</w:t>
      </w:r>
      <w:r>
        <w:rPr>
          <w:rFonts w:ascii="Arial" w:cs="Arial" w:eastAsia="Arial" w:hAnsi="Arial"/>
          <w:sz w:val="18"/>
          <w:szCs w:val="18"/>
          <w:color w:val="auto"/>
        </w:rPr>
        <w:t>. The advisory vote on the preferred frequency of holding an advisory vote on Named Executive Officer compensation, as disclosed in the Proxy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was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One Year– 37,412,490; Two Years– 12,292; Three Years– 3,158,195; Abstentions – 51,032; Broker Non-Votes - 0</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Based on these results and the recommendation of the Board in the proxy statement for the Annual Meeting, Cohu intends to conduct an advisory vote on the compensation of its Named Executive Officers once every year until such time as the next advisory vote on the preferred frequency of advisory votes on executive compensation is submitted to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Proposal 4</w:t>
      </w:r>
      <w:r>
        <w:rPr>
          <w:rFonts w:ascii="Arial" w:cs="Arial" w:eastAsia="Arial" w:hAnsi="Arial"/>
          <w:sz w:val="16"/>
          <w:szCs w:val="16"/>
          <w:color w:val="auto"/>
        </w:rPr>
        <w:t>. The vote on certain amendments to Cohu’s 2005 Equity Incentive Plan to (i) increase the shares of stock available for issuance by 3,200,000,</w:t>
      </w:r>
    </w:p>
    <w:p>
      <w:pPr>
        <w:spacing w:after="0" w:line="46" w:lineRule="exact"/>
        <w:rPr>
          <w:sz w:val="20"/>
          <w:szCs w:val="20"/>
          <w:color w:val="auto"/>
        </w:rPr>
      </w:pPr>
    </w:p>
    <w:p>
      <w:pPr>
        <w:ind w:right="160" w:firstLine="8"/>
        <w:spacing w:after="0" w:line="255"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specify an annual limit of $750,000 on our non-employee director compensation, (iii) increase the amounts permitted for cash payouts of performance awards from current limit of $2,000,000 to $4,000,000 per each fiscal year, and (iv) provide updated criteria for performance awards, as disclosed in the Proxy Statement, was approved. The results were as follows: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Votes For – 37,930,850; Votes Against – 2,669,488; Abstentions – 33,671; Broker Non-Votes – 2,848,467</w:t>
      </w:r>
    </w:p>
    <w:p>
      <w:pPr>
        <w:spacing w:after="0" w:line="225"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Proposal 5</w:t>
      </w:r>
      <w:r>
        <w:rPr>
          <w:rFonts w:ascii="Arial" w:cs="Arial" w:eastAsia="Arial" w:hAnsi="Arial"/>
          <w:sz w:val="16"/>
          <w:szCs w:val="16"/>
          <w:color w:val="auto"/>
        </w:rPr>
        <w:t>. The vote on certain amendments to Cohu’s 1997 Employee Stock Purchase Plan to (i) increase the shares of stock available for issuance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600,000 to 3,750,000 shares, and (ii) eliminate the requirement that no participant may purchase shares for any offering period with a value exceeding $12,500 divided by the share value on the first date of offering period. as disclosed in the Proxy Statement, was approved. The results were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Votes For - 40,499,743; Votes Against - 104,050; Abstentions - 30,216; Broker Non-Votes - 2,848,467</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Proposal 6</w:t>
      </w:r>
      <w:r>
        <w:rPr>
          <w:rFonts w:ascii="Arial" w:cs="Arial" w:eastAsia="Arial" w:hAnsi="Arial"/>
          <w:sz w:val="18"/>
          <w:szCs w:val="18"/>
          <w:color w:val="auto"/>
        </w:rPr>
        <w:t>. The ratification of the appointment of Ernst &amp; Young LLP as Cohu’s independent registered public accounting firm for fiscal year 2023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approved. The results 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Votes For – 41,240,596; Votes Against – 2,201,644; Abstentions – 40,236; Broker Non-Votes - 0</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00" w:type="dxa"/>
            <w:vAlign w:val="bottom"/>
          </w:tcPr>
          <w:p>
            <w:pPr>
              <w:spacing w:after="0"/>
              <w:rPr>
                <w:sz w:val="20"/>
                <w:szCs w:val="20"/>
                <w:color w:val="auto"/>
              </w:rPr>
            </w:pPr>
          </w:p>
        </w:tc>
        <w:tc>
          <w:tcPr>
            <w:tcW w:w="8400" w:type="dxa"/>
            <w:vAlign w:val="bottom"/>
            <w:tcBorders>
              <w:bottom w:val="single" w:sz="8" w:color="auto"/>
            </w:tcBorders>
          </w:tcPr>
          <w:p>
            <w:pPr>
              <w:ind w:left="3760"/>
              <w:spacing w:after="0"/>
              <w:rPr>
                <w:sz w:val="20"/>
                <w:szCs w:val="20"/>
                <w:color w:val="auto"/>
              </w:rPr>
            </w:pPr>
            <w:r>
              <w:rPr>
                <w:rFonts w:ascii="Arial" w:cs="Arial" w:eastAsia="Arial" w:hAnsi="Arial"/>
                <w:sz w:val="18"/>
                <w:szCs w:val="18"/>
                <w:b w:val="1"/>
                <w:bCs w:val="1"/>
                <w:color w:val="auto"/>
              </w:rPr>
              <w:t>Description</w:t>
            </w:r>
          </w:p>
        </w:tc>
        <w:tc>
          <w:tcPr>
            <w:tcW w:w="1120" w:type="dxa"/>
            <w:vAlign w:val="bottom"/>
          </w:tcPr>
          <w:p>
            <w:pPr>
              <w:spacing w:after="0"/>
              <w:rPr>
                <w:sz w:val="20"/>
                <w:szCs w:val="20"/>
                <w:color w:val="auto"/>
              </w:rPr>
            </w:pPr>
          </w:p>
        </w:tc>
      </w:tr>
      <w:tr>
        <w:trPr>
          <w:trHeight w:val="425"/>
        </w:trPr>
        <w:tc>
          <w:tcPr>
            <w:tcW w:w="1320" w:type="dxa"/>
            <w:vAlign w:val="bottom"/>
          </w:tcPr>
          <w:p>
            <w:pPr>
              <w:jc w:val="right"/>
              <w:ind w:right="950"/>
              <w:spacing w:after="0"/>
              <w:rPr>
                <w:sz w:val="20"/>
                <w:szCs w:val="20"/>
                <w:color w:val="auto"/>
              </w:rPr>
            </w:pPr>
            <w:r>
              <w:rPr>
                <w:rFonts w:ascii="Arial" w:cs="Arial" w:eastAsia="Arial" w:hAnsi="Arial"/>
                <w:sz w:val="18"/>
                <w:szCs w:val="18"/>
                <w:color w:val="auto"/>
                <w:w w:val="86"/>
              </w:rPr>
              <w:t>104</w:t>
            </w:r>
          </w:p>
        </w:tc>
        <w:tc>
          <w:tcPr>
            <w:tcW w:w="400" w:type="dxa"/>
            <w:vAlign w:val="bottom"/>
          </w:tcPr>
          <w:p>
            <w:pPr>
              <w:spacing w:after="0"/>
              <w:rPr>
                <w:sz w:val="24"/>
                <w:szCs w:val="24"/>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120" w:type="dxa"/>
            <w:vAlign w:val="bottom"/>
          </w:tcPr>
          <w:p>
            <w:pPr>
              <w:spacing w:after="0"/>
              <w:rPr>
                <w:sz w:val="24"/>
                <w:szCs w:val="24"/>
                <w:color w:val="auto"/>
              </w:rPr>
            </w:pPr>
          </w:p>
        </w:tc>
      </w:tr>
      <w:tr>
        <w:trPr>
          <w:trHeight w:val="574"/>
        </w:trPr>
        <w:tc>
          <w:tcPr>
            <w:tcW w:w="1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3960" w:type="dxa"/>
            <w:vAlign w:val="bottom"/>
          </w:tcPr>
          <w:p>
            <w:pPr>
              <w:ind w:left="2280"/>
              <w:spacing w:after="0"/>
              <w:rPr>
                <w:sz w:val="20"/>
                <w:szCs w:val="20"/>
                <w:color w:val="auto"/>
              </w:rPr>
            </w:pPr>
            <w:r>
              <w:rPr>
                <w:rFonts w:ascii="Arial" w:cs="Arial" w:eastAsia="Arial" w:hAnsi="Arial"/>
                <w:sz w:val="18"/>
                <w:szCs w:val="18"/>
                <w:color w:val="auto"/>
              </w:rPr>
              <w:t>Cohu, Inc.</w:t>
            </w:r>
          </w:p>
        </w:tc>
      </w:tr>
      <w:tr>
        <w:trPr>
          <w:trHeight w:val="432"/>
        </w:trPr>
        <w:tc>
          <w:tcPr>
            <w:tcW w:w="3260" w:type="dxa"/>
            <w:vAlign w:val="bottom"/>
          </w:tcPr>
          <w:p>
            <w:pPr>
              <w:spacing w:after="0"/>
              <w:rPr>
                <w:sz w:val="20"/>
                <w:szCs w:val="20"/>
                <w:color w:val="auto"/>
              </w:rPr>
            </w:pPr>
            <w:r>
              <w:rPr>
                <w:rFonts w:ascii="Arial" w:cs="Arial" w:eastAsia="Arial" w:hAnsi="Arial"/>
                <w:sz w:val="18"/>
                <w:szCs w:val="18"/>
                <w:i w:val="1"/>
                <w:iCs w:val="1"/>
                <w:color w:val="auto"/>
              </w:rPr>
              <w:t>May 11, 2023</w:t>
            </w:r>
          </w:p>
        </w:tc>
        <w:tc>
          <w:tcPr>
            <w:tcW w:w="3960" w:type="dxa"/>
            <w:vAlign w:val="bottom"/>
          </w:tcPr>
          <w:p>
            <w:pPr>
              <w:ind w:left="2260"/>
              <w:spacing w:after="0"/>
              <w:rPr>
                <w:sz w:val="20"/>
                <w:szCs w:val="20"/>
                <w:color w:val="auto"/>
              </w:rPr>
            </w:pPr>
            <w:r>
              <w:rPr>
                <w:rFonts w:ascii="Arial" w:cs="Arial" w:eastAsia="Arial" w:hAnsi="Arial"/>
                <w:sz w:val="18"/>
                <w:szCs w:val="18"/>
                <w:i w:val="1"/>
                <w:iCs w:val="1"/>
                <w:color w:val="auto"/>
                <w:w w:val="90"/>
              </w:rPr>
              <w:t>By: /s/ Jeffrey D. Jones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0</wp:posOffset>
            </wp:positionV>
            <wp:extent cx="3420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i w:val="1"/>
          <w:iCs w:val="1"/>
          <w:color w:val="auto"/>
        </w:rPr>
        <w:t>Name: Jeffrey D. Jones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Title: Senior VP Finance and Chief Financial Officer</w:t>
      </w:r>
    </w:p>
    <w:sectPr>
      <w:pgSz w:w="11900" w:h="16838" w:orient="portrait"/>
      <w:cols w:equalWidth="0" w:num="1">
        <w:col w:w="11200"/>
      </w:cols>
      <w:pgMar w:left="32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2023-05-11T15:34:45Z</dcterms:created>
  <dcterms:modified xsi:type="dcterms:W3CDTF">2023-05-11T15:34:45Z</dcterms:modified>
</cp:coreProperties>
</file>