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77" w:lineRule="exact"/>
        <w:rPr>
          <w:sz w:val="20"/>
          <w:szCs w:val="20"/>
          <w:color w:val="auto"/>
        </w:rPr>
      </w:pPr>
    </w:p>
    <w:p>
      <w:pPr>
        <w:ind w:left="420" w:right="520" w:hanging="385"/>
        <w:spacing w:after="0" w:line="256" w:lineRule="auto"/>
        <w:tabs>
          <w:tab w:leader="none" w:pos="4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97" w:lineRule="exact"/>
        <w:rPr>
          <w:sz w:val="20"/>
          <w:szCs w:val="20"/>
          <w:color w:val="auto"/>
        </w:rPr>
      </w:pPr>
    </w:p>
    <w:p>
      <w:pPr>
        <w:ind w:left="460" w:right="460" w:hanging="425"/>
        <w:spacing w:after="0" w:line="256" w:lineRule="auto"/>
        <w:tabs>
          <w:tab w:leader="none" w:pos="27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COHU, INC.</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21" w:lineRule="exact"/>
        <w:rPr>
          <w:sz w:val="20"/>
          <w:szCs w:val="20"/>
          <w:color w:val="auto"/>
        </w:rPr>
      </w:pPr>
    </w:p>
    <w:tbl>
      <w:tblPr>
        <w:tblLayout w:type="fixed"/>
        <w:tblInd w:w="1760" w:type="dxa"/>
        <w:tblCellMar>
          <w:top w:w="0" w:type="dxa"/>
          <w:left w:w="0" w:type="dxa"/>
          <w:bottom w:w="0" w:type="dxa"/>
          <w:right w:w="0" w:type="dxa"/>
        </w:tblCellMar>
      </w:tblPr>
      <w:tr>
        <w:trPr>
          <w:trHeight w:val="220"/>
        </w:trPr>
        <w:tc>
          <w:tcPr>
            <w:tcW w:w="416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160" w:type="dxa"/>
            <w:vAlign w:val="bottom"/>
          </w:tcPr>
          <w:p>
            <w:pPr>
              <w:jc w:val="center"/>
              <w:ind w:right="650"/>
              <w:spacing w:after="0"/>
              <w:rPr>
                <w:sz w:val="20"/>
                <w:szCs w:val="20"/>
                <w:color w:val="auto"/>
              </w:rPr>
            </w:pPr>
            <w:r>
              <w:rPr>
                <w:rFonts w:ascii="Arial" w:cs="Arial" w:eastAsia="Arial" w:hAnsi="Arial"/>
                <w:sz w:val="18"/>
                <w:szCs w:val="18"/>
                <w:i w:val="1"/>
                <w:iCs w:val="1"/>
                <w:color w:val="auto"/>
                <w:w w:val="93"/>
              </w:rPr>
              <w:t>(State or other jurisdiction of</w:t>
            </w:r>
          </w:p>
        </w:tc>
        <w:tc>
          <w:tcPr>
            <w:tcW w:w="3320" w:type="dxa"/>
            <w:vAlign w:val="bottom"/>
          </w:tcPr>
          <w:p>
            <w:pPr>
              <w:jc w:val="center"/>
              <w:ind w:left="6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160" w:type="dxa"/>
            <w:vAlign w:val="bottom"/>
          </w:tcPr>
          <w:p>
            <w:pPr>
              <w:jc w:val="center"/>
              <w:ind w:right="670"/>
              <w:spacing w:after="0"/>
              <w:rPr>
                <w:sz w:val="20"/>
                <w:szCs w:val="20"/>
                <w:color w:val="auto"/>
              </w:rPr>
            </w:pPr>
            <w:r>
              <w:rPr>
                <w:rFonts w:ascii="Arial" w:cs="Arial" w:eastAsia="Arial" w:hAnsi="Arial"/>
                <w:sz w:val="18"/>
                <w:szCs w:val="18"/>
                <w:i w:val="1"/>
                <w:iCs w:val="1"/>
                <w:color w:val="auto"/>
                <w:w w:val="95"/>
              </w:rPr>
              <w:t>Incorporation or Organization)</w:t>
            </w:r>
          </w:p>
        </w:tc>
        <w:tc>
          <w:tcPr>
            <w:tcW w:w="3320" w:type="dxa"/>
            <w:vAlign w:val="bottom"/>
          </w:tcPr>
          <w:p>
            <w:pPr>
              <w:spacing w:after="0"/>
              <w:rPr>
                <w:sz w:val="20"/>
                <w:szCs w:val="20"/>
                <w:color w:val="auto"/>
              </w:rPr>
            </w:pPr>
          </w:p>
        </w:tc>
      </w:tr>
      <w:tr>
        <w:trPr>
          <w:trHeight w:val="418"/>
        </w:trPr>
        <w:tc>
          <w:tcPr>
            <w:tcW w:w="416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332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160" w:type="dxa"/>
            <w:vAlign w:val="bottom"/>
          </w:tcPr>
          <w:p>
            <w:pPr>
              <w:jc w:val="center"/>
              <w:ind w:right="650"/>
              <w:spacing w:after="0"/>
              <w:rPr>
                <w:sz w:val="20"/>
                <w:szCs w:val="20"/>
                <w:color w:val="auto"/>
              </w:rPr>
            </w:pPr>
            <w:r>
              <w:rPr>
                <w:rFonts w:ascii="Arial" w:cs="Arial" w:eastAsia="Arial" w:hAnsi="Arial"/>
                <w:sz w:val="18"/>
                <w:szCs w:val="18"/>
                <w:i w:val="1"/>
                <w:iCs w:val="1"/>
                <w:color w:val="auto"/>
                <w:w w:val="91"/>
              </w:rPr>
              <w:t>(Address of principal executive office)</w:t>
            </w:r>
          </w:p>
        </w:tc>
        <w:tc>
          <w:tcPr>
            <w:tcW w:w="3320" w:type="dxa"/>
            <w:vAlign w:val="bottom"/>
          </w:tcPr>
          <w:p>
            <w:pPr>
              <w:jc w:val="center"/>
              <w:ind w:left="650"/>
              <w:spacing w:after="0"/>
              <w:rPr>
                <w:sz w:val="20"/>
                <w:szCs w:val="20"/>
                <w:color w:val="auto"/>
              </w:rPr>
            </w:pPr>
            <w:r>
              <w:rPr>
                <w:rFonts w:ascii="Arial" w:cs="Arial" w:eastAsia="Arial" w:hAnsi="Arial"/>
                <w:sz w:val="18"/>
                <w:szCs w:val="18"/>
                <w:i w:val="1"/>
                <w:iCs w:val="1"/>
                <w:color w:val="auto"/>
                <w:w w:val="91"/>
              </w:rPr>
              <w:t>(Zip Code)</w:t>
            </w: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8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Yes [ü]  No [  ]</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Yes [ü]  No [  ]</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March 31, 2004 the Registrant had 21,445,060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53"/>
        </w:trPr>
        <w:tc>
          <w:tcPr>
            <w:tcW w:w="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95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0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80" w:type="dxa"/>
            <w:vAlign w:val="bottom"/>
            <w:gridSpan w:val="3"/>
            <w:vMerge w:val="continue"/>
          </w:tcPr>
          <w:p>
            <w:pPr>
              <w:spacing w:after="0"/>
              <w:rPr>
                <w:sz w:val="24"/>
                <w:szCs w:val="24"/>
                <w:color w:val="auto"/>
              </w:rPr>
            </w:pPr>
          </w:p>
        </w:tc>
        <w:tc>
          <w:tcPr>
            <w:tcW w:w="9520" w:type="dxa"/>
            <w:vAlign w:val="bottom"/>
            <w:gridSpan w:val="11"/>
            <w:vMerge w:val="continue"/>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60" w:type="dxa"/>
            <w:vAlign w:val="bottom"/>
            <w:gridSpan w:val="2"/>
          </w:tcPr>
          <w:p>
            <w:pPr>
              <w:spacing w:after="0"/>
              <w:rPr>
                <w:sz w:val="16"/>
                <w:szCs w:val="16"/>
                <w:color w:val="auto"/>
              </w:rPr>
            </w:pPr>
          </w:p>
        </w:tc>
        <w:tc>
          <w:tcPr>
            <w:tcW w:w="9520" w:type="dxa"/>
            <w:vAlign w:val="bottom"/>
            <w:gridSpan w:val="11"/>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(unaudited) March 31, 2004 and December 31, 2003</w:t>
              </w:r>
            </w:hyperlink>
          </w:p>
        </w:tc>
        <w:tc>
          <w:tcPr>
            <w:tcW w:w="2000" w:type="dxa"/>
            <w:vAlign w:val="bottom"/>
            <w:gridSpan w:val="3"/>
          </w:tcPr>
          <w:p>
            <w:pPr>
              <w:spacing w:after="0"/>
              <w:rPr>
                <w:sz w:val="17"/>
                <w:szCs w:val="17"/>
                <w:color w:val="auto"/>
              </w:rPr>
            </w:pPr>
          </w:p>
        </w:tc>
        <w:tc>
          <w:tcPr>
            <w:tcW w:w="1020" w:type="dxa"/>
            <w:vAlign w:val="bottom"/>
          </w:tcPr>
          <w:p>
            <w:pPr>
              <w:jc w:val="right"/>
              <w:ind w:right="332"/>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80" w:type="dxa"/>
            <w:vAlign w:val="bottom"/>
            <w:gridSpan w:val="10"/>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(unaudited) Three Months Ended March 31, 2004 and 2003</w:t>
              </w:r>
            </w:hyperlink>
          </w:p>
        </w:tc>
        <w:tc>
          <w:tcPr>
            <w:tcW w:w="1020" w:type="dxa"/>
            <w:vAlign w:val="bottom"/>
          </w:tcPr>
          <w:p>
            <w:pPr>
              <w:jc w:val="right"/>
              <w:ind w:right="332"/>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80" w:type="dxa"/>
            <w:vAlign w:val="bottom"/>
            <w:gridSpan w:val="10"/>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Cash Flows (unaudited) Three Months Ended March 31, 2004 and 2003</w:t>
              </w:r>
            </w:hyperlink>
          </w:p>
        </w:tc>
        <w:tc>
          <w:tcPr>
            <w:tcW w:w="1020" w:type="dxa"/>
            <w:vAlign w:val="bottom"/>
          </w:tcPr>
          <w:p>
            <w:pPr>
              <w:jc w:val="right"/>
              <w:ind w:right="33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260" w:type="dxa"/>
            <w:vAlign w:val="bottom"/>
            <w:tcBorders>
              <w:top w:val="single" w:sz="8" w:color="0000EE"/>
            </w:tcBorders>
            <w:gridSpan w:val="4"/>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jc w:val="right"/>
              <w:ind w:right="332"/>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64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4"/>
          </w:tcPr>
          <w:p>
            <w:pPr>
              <w:spacing w:after="0"/>
              <w:rPr>
                <w:sz w:val="17"/>
                <w:szCs w:val="17"/>
                <w:color w:val="auto"/>
              </w:rPr>
            </w:pPr>
          </w:p>
        </w:tc>
        <w:tc>
          <w:tcPr>
            <w:tcW w:w="1020" w:type="dxa"/>
            <w:vAlign w:val="bottom"/>
          </w:tcPr>
          <w:p>
            <w:pPr>
              <w:jc w:val="right"/>
              <w:ind w:right="332"/>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9520" w:type="dxa"/>
            <w:vAlign w:val="bottom"/>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020" w:type="dxa"/>
            <w:vAlign w:val="bottom"/>
          </w:tcPr>
          <w:p>
            <w:pPr>
              <w:jc w:val="right"/>
              <w:ind w:right="332"/>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4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220" w:type="dxa"/>
            <w:vAlign w:val="bottom"/>
            <w:gridSpan w:val="6"/>
          </w:tcPr>
          <w:p>
            <w:pPr>
              <w:spacing w:after="0"/>
              <w:rPr>
                <w:sz w:val="17"/>
                <w:szCs w:val="17"/>
                <w:color w:val="auto"/>
              </w:rPr>
            </w:pPr>
          </w:p>
        </w:tc>
        <w:tc>
          <w:tcPr>
            <w:tcW w:w="1020" w:type="dxa"/>
            <w:vAlign w:val="bottom"/>
          </w:tcPr>
          <w:p>
            <w:pPr>
              <w:jc w:val="right"/>
              <w:ind w:right="332"/>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952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360" w:type="dxa"/>
            <w:vAlign w:val="bottom"/>
            <w:gridSpan w:val="2"/>
          </w:tcPr>
          <w:p>
            <w:pPr>
              <w:spacing w:after="0"/>
              <w:rPr>
                <w:sz w:val="16"/>
                <w:szCs w:val="16"/>
                <w:color w:val="auto"/>
              </w:rPr>
            </w:pPr>
          </w:p>
        </w:tc>
        <w:tc>
          <w:tcPr>
            <w:tcW w:w="9520" w:type="dxa"/>
            <w:vAlign w:val="bottom"/>
            <w:gridSpan w:val="11"/>
          </w:tcPr>
          <w:p>
            <w:pPr>
              <w:spacing w:after="0" w:line="190" w:lineRule="exact"/>
              <w:rPr>
                <w:rFonts w:ascii="Arial" w:cs="Arial" w:eastAsia="Arial" w:hAnsi="Arial"/>
                <w:sz w:val="18"/>
                <w:szCs w:val="18"/>
                <w:color w:val="0000EE"/>
              </w:rPr>
            </w:pPr>
            <w:hyperlink w:anchor="page27">
              <w:r>
                <w:rPr>
                  <w:rFonts w:ascii="Arial" w:cs="Arial" w:eastAsia="Arial" w:hAnsi="Arial"/>
                  <w:sz w:val="18"/>
                  <w:szCs w:val="18"/>
                  <w:color w:val="0000EE"/>
                </w:rPr>
                <w:t>Exhibits and Reports on Form 8-K</w:t>
              </w:r>
            </w:hyperlink>
          </w:p>
        </w:tc>
        <w:tc>
          <w:tcPr>
            <w:tcW w:w="1020" w:type="dxa"/>
            <w:vAlign w:val="bottom"/>
          </w:tcPr>
          <w:p>
            <w:pPr>
              <w:jc w:val="right"/>
              <w:ind w:right="332"/>
              <w:spacing w:after="0" w:line="190"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3"/>
          </w:tcPr>
          <w:p>
            <w:pPr>
              <w:spacing w:after="0" w:line="19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Signatures</w:t>
              </w:r>
            </w:hyperlink>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jc w:val="right"/>
              <w:ind w:right="332"/>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EE"/>
        </w:rPr>
        <w:t>EXHIBIT 31.1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EXHIBIT 31.2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EXHIBIT 32.1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405765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9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COHU, INC.</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March 31, 2004</w:t>
            </w:r>
          </w:p>
        </w:tc>
        <w:tc>
          <w:tcPr>
            <w:tcW w:w="240" w:type="dxa"/>
            <w:vAlign w:val="bottom"/>
          </w:tcPr>
          <w:p>
            <w:pPr>
              <w:spacing w:after="0"/>
              <w:rPr>
                <w:sz w:val="16"/>
                <w:szCs w:val="16"/>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8,411</w:t>
            </w: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7,127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108,388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100,493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7"/>
              </w:rPr>
              <w:t>Accounts receivable, less allowance for doubtful accounts of $1,188 in 2004 and</w:t>
            </w:r>
          </w:p>
        </w:tc>
        <w:tc>
          <w:tcPr>
            <w:tcW w:w="4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$1,177 in 2003</w:t>
            </w:r>
          </w:p>
        </w:tc>
        <w:tc>
          <w:tcPr>
            <w:tcW w:w="42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32,062</w:t>
            </w:r>
          </w:p>
        </w:tc>
        <w:tc>
          <w:tcPr>
            <w:tcW w:w="4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25,578</w:t>
            </w:r>
          </w:p>
        </w:tc>
        <w:tc>
          <w:tcPr>
            <w:tcW w:w="4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Raw materials and purchased parts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18,182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18,159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60"/>
              <w:spacing w:after="0"/>
              <w:rPr>
                <w:sz w:val="20"/>
                <w:szCs w:val="20"/>
                <w:color w:val="auto"/>
              </w:rPr>
            </w:pPr>
            <w:r>
              <w:rPr>
                <w:rFonts w:ascii="Arial" w:cs="Arial" w:eastAsia="Arial" w:hAnsi="Arial"/>
                <w:sz w:val="18"/>
                <w:szCs w:val="18"/>
                <w:color w:val="auto"/>
              </w:rPr>
              <w:t>Work in process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8,730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8,238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Finished goods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6,342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5,239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33,254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31,636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3,553</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3,553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3,213</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3,151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assets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188,881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171,538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Note receivable</w:t>
            </w: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Land and land improvements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7,978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Buildings and building improvements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25,177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25,055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24,500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23,948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57,655</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56,981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(27,052)</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(26,298)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property, plant and equipment</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30,603</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30,683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8,340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Other intangible assets, net of accumulated amortization of $780 in 2004 and $642 in</w:t>
            </w:r>
          </w:p>
        </w:tc>
        <w:tc>
          <w:tcPr>
            <w:tcW w:w="4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2003</w:t>
            </w:r>
          </w:p>
        </w:tc>
        <w:tc>
          <w:tcPr>
            <w:tcW w:w="42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w:t>
            </w:r>
          </w:p>
        </w:tc>
        <w:tc>
          <w:tcPr>
            <w:tcW w:w="4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1,008</w:t>
            </w:r>
          </w:p>
        </w:tc>
        <w:tc>
          <w:tcPr>
            <w:tcW w:w="4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212</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228,906</w:t>
            </w: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220,730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64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9,340</w:t>
            </w: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7,250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Accrued compensation and benefits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6,642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5,986</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Accrued warranty</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Customer advances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Deferred profit</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6,929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taxes payable</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2,090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Other accrued liabilities</w:t>
            </w:r>
          </w:p>
        </w:tc>
        <w:tc>
          <w:tcPr>
            <w:tcW w:w="4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3,518</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3,478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33,117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26,817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Accrued retiree medical benefits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416</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Preferred stock, $1 par value; 1,000 shares authorized, none issued</w:t>
            </w: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5"/>
              </w:rPr>
              <w:t>Common stock, $1 par value; 60,000 shares authorized, 21,445 shares issued and</w:t>
            </w:r>
          </w:p>
        </w:tc>
        <w:tc>
          <w:tcPr>
            <w:tcW w:w="4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outstanding in 2004 and 21,375 shares in 2003</w:t>
            </w:r>
          </w:p>
        </w:tc>
        <w:tc>
          <w:tcPr>
            <w:tcW w:w="42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21,445</w:t>
            </w:r>
          </w:p>
        </w:tc>
        <w:tc>
          <w:tcPr>
            <w:tcW w:w="4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21,375</w:t>
            </w:r>
          </w:p>
        </w:tc>
        <w:tc>
          <w:tcPr>
            <w:tcW w:w="4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Paid in capital</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22,923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22,140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Retained earnings</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149,718</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148,691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194,111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192,230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228,906</w:t>
            </w:r>
          </w:p>
        </w:tc>
        <w:tc>
          <w:tcPr>
            <w:tcW w:w="4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220,730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560"/>
          </w:cols>
          <w:pgMar w:left="240" w:top="419" w:right="1099" w:bottom="1440" w:gutter="0" w:footer="0" w:header="0"/>
        </w:sectPr>
      </w:pP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tcPr>
          <w:p>
            <w:pPr>
              <w:jc w:val="center"/>
              <w:ind w:left="2550"/>
              <w:spacing w:after="0"/>
              <w:rPr>
                <w:sz w:val="20"/>
                <w:szCs w:val="20"/>
                <w:color w:val="auto"/>
              </w:rPr>
            </w:pPr>
            <w:r>
              <w:rPr>
                <w:rFonts w:ascii="Arial" w:cs="Arial" w:eastAsia="Arial" w:hAnsi="Arial"/>
                <w:sz w:val="18"/>
                <w:szCs w:val="18"/>
                <w:b w:val="1"/>
                <w:bCs w:val="1"/>
                <w:color w:val="auto"/>
              </w:rPr>
              <w:t>COHU, INC.</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400" w:type="dxa"/>
            <w:vAlign w:val="bottom"/>
            <w:gridSpan w:val="6"/>
          </w:tcPr>
          <w:p>
            <w:pPr>
              <w:jc w:val="center"/>
              <w:ind w:left="8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jc w:val="center"/>
              <w:ind w:left="2530"/>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6"/>
          </w:tcPr>
          <w:p>
            <w:pPr>
              <w:jc w:val="center"/>
              <w:ind w:left="890"/>
              <w:spacing w:after="0"/>
              <w:rPr>
                <w:sz w:val="20"/>
                <w:szCs w:val="20"/>
                <w:color w:val="auto"/>
              </w:rPr>
            </w:pPr>
            <w:r>
              <w:rPr>
                <w:rFonts w:ascii="Arial" w:cs="Arial" w:eastAsia="Arial" w:hAnsi="Arial"/>
                <w:sz w:val="18"/>
                <w:szCs w:val="18"/>
                <w:color w:val="auto"/>
                <w:w w:val="88"/>
              </w:rPr>
              <w:t>(in thousands, except per share amounts)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35,939</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31,079</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and expenses:</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21,017</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20,696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6,184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6,938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6,860</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5,915</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808080"/>
            </w:tcBorders>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34,061</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33,549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1,878</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2,498</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2,098</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(1,370)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760" w:type="dxa"/>
            <w:vAlign w:val="bottom"/>
            <w:shd w:val="clear" w:color="auto" w:fill="EEEEEE"/>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20" w:type="dxa"/>
            <w:vAlign w:val="bottom"/>
            <w:tcBorders>
              <w:right w:val="single" w:sz="8" w:color="808080"/>
            </w:tcBorders>
            <w:shd w:val="clear" w:color="auto" w:fill="EEEEEE"/>
          </w:tcPr>
          <w:p>
            <w:pPr>
              <w:spacing w:after="0"/>
              <w:rPr>
                <w:sz w:val="3"/>
                <w:szCs w:val="3"/>
                <w:color w:val="auto"/>
              </w:rPr>
            </w:pPr>
          </w:p>
        </w:tc>
        <w:tc>
          <w:tcPr>
            <w:tcW w:w="480" w:type="dxa"/>
            <w:vAlign w:val="bottom"/>
            <w:tcBorders>
              <w:bottom w:val="single" w:sz="8" w:color="808080"/>
            </w:tcBorders>
            <w:shd w:val="clear" w:color="auto" w:fill="808080"/>
          </w:tcPr>
          <w:p>
            <w:pPr>
              <w:spacing w:after="0"/>
              <w:rPr>
                <w:sz w:val="3"/>
                <w:szCs w:val="3"/>
                <w:color w:val="auto"/>
              </w:rPr>
            </w:pPr>
          </w:p>
        </w:tc>
        <w:tc>
          <w:tcPr>
            <w:tcW w:w="400" w:type="dxa"/>
            <w:vAlign w:val="bottom"/>
            <w:tcBorders>
              <w:left w:val="single" w:sz="8" w:color="808080"/>
            </w:tcBorders>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780" w:type="dxa"/>
            <w:vAlign w:val="bottom"/>
            <w:gridSpan w:val="2"/>
          </w:tcPr>
          <w:p>
            <w:pPr>
              <w:spacing w:after="0"/>
              <w:rPr>
                <w:sz w:val="20"/>
                <w:szCs w:val="20"/>
                <w:color w:val="auto"/>
              </w:rPr>
            </w:pPr>
            <w:r>
              <w:rPr>
                <w:rFonts w:ascii="Arial" w:cs="Arial" w:eastAsia="Arial" w:hAnsi="Arial"/>
                <w:sz w:val="18"/>
                <w:szCs w:val="18"/>
                <w:color w:val="auto"/>
              </w:rPr>
              <w:t>Income (loss) per share:</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7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 w:type="dxa"/>
            <w:vAlign w:val="bottom"/>
            <w:tcBorders>
              <w:top w:val="single" w:sz="8" w:color="EEEEEE"/>
              <w:right w:val="single" w:sz="8" w:color="808080"/>
            </w:tcBorders>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400" w:type="dxa"/>
            <w:vAlign w:val="bottom"/>
            <w:tcBorders>
              <w:top w:val="single" w:sz="8" w:color="EEEEEE"/>
              <w:lef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Weighted average shares used in computing income (loss) per</w:t>
            </w:r>
          </w:p>
        </w:tc>
        <w:tc>
          <w:tcPr>
            <w:tcW w:w="2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0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40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21,419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20,912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476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22,075</w:t>
            </w:r>
          </w:p>
        </w:tc>
        <w:tc>
          <w:tcPr>
            <w:tcW w:w="320" w:type="dxa"/>
            <w:vAlign w:val="bottom"/>
            <w:tcBorders>
              <w:bottom w:val="single" w:sz="8" w:color="EEEEEE"/>
            </w:tcBorders>
            <w:shd w:val="clear" w:color="auto" w:fill="EEEEEE"/>
          </w:tcPr>
          <w:p>
            <w:pPr>
              <w:spacing w:after="0"/>
              <w:rPr>
                <w:sz w:val="22"/>
                <w:szCs w:val="22"/>
                <w:color w:val="auto"/>
              </w:rPr>
            </w:pPr>
          </w:p>
        </w:tc>
        <w:tc>
          <w:tcPr>
            <w:tcW w:w="34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3"/>
              </w:rPr>
              <w:t>20,912</w:t>
            </w:r>
          </w:p>
        </w:tc>
        <w:tc>
          <w:tcPr>
            <w:tcW w:w="400" w:type="dxa"/>
            <w:vAlign w:val="bottom"/>
            <w:tcBorders>
              <w:left w:val="single" w:sz="8" w:color="EEEEEE"/>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6"/>
                <w:szCs w:val="16"/>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59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2"/>
        </w:trPr>
        <w:tc>
          <w:tcPr>
            <w:tcW w:w="5980" w:type="dxa"/>
            <w:vAlign w:val="bottom"/>
            <w:shd w:val="clear" w:color="auto" w:fill="EEEEEE"/>
          </w:tcPr>
          <w:p>
            <w:pPr>
              <w:ind w:left="260"/>
              <w:spacing w:after="0" w:line="201" w:lineRule="exact"/>
              <w:rPr>
                <w:sz w:val="20"/>
                <w:szCs w:val="20"/>
                <w:color w:val="auto"/>
              </w:rPr>
            </w:pPr>
            <w:r>
              <w:rPr>
                <w:rFonts w:ascii="Arial" w:cs="Arial" w:eastAsia="Arial" w:hAnsi="Arial"/>
                <w:sz w:val="18"/>
                <w:szCs w:val="18"/>
                <w:color w:val="auto"/>
              </w:rPr>
              <w:t>Adjustments to reconcile net income (loss) to net cash provided from</w:t>
            </w: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Decrease in accrued retiree medical benefits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980" w:type="dxa"/>
            <w:vAlign w:val="bottom"/>
          </w:tcPr>
          <w:p>
            <w:pPr>
              <w:ind w:left="400"/>
              <w:spacing w:after="0"/>
              <w:rPr>
                <w:sz w:val="20"/>
                <w:szCs w:val="20"/>
                <w:color w:val="auto"/>
              </w:rPr>
            </w:pPr>
            <w:r>
              <w:rPr>
                <w:rFonts w:ascii="Arial" w:cs="Arial" w:eastAsia="Arial" w:hAnsi="Arial"/>
                <w:sz w:val="18"/>
                <w:szCs w:val="18"/>
                <w:color w:val="auto"/>
              </w:rPr>
              <w:t>Changes in current assets and liabilities: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(6,484)</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16"/>
        </w:trPr>
        <w:tc>
          <w:tcPr>
            <w:tcW w:w="598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598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Customer advances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980" w:type="dxa"/>
            <w:vAlign w:val="bottom"/>
          </w:tcPr>
          <w:p>
            <w:pPr>
              <w:ind w:left="540"/>
              <w:spacing w:after="0"/>
              <w:rPr>
                <w:sz w:val="20"/>
                <w:szCs w:val="20"/>
                <w:color w:val="auto"/>
              </w:rPr>
            </w:pPr>
            <w:r>
              <w:rPr>
                <w:rFonts w:ascii="Arial" w:cs="Arial" w:eastAsia="Arial" w:hAnsi="Arial"/>
                <w:sz w:val="18"/>
                <w:szCs w:val="18"/>
                <w:color w:val="auto"/>
              </w:rPr>
              <w:t>Deferred profit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540"/>
              <w:spacing w:after="0"/>
              <w:rPr>
                <w:sz w:val="20"/>
                <w:szCs w:val="20"/>
                <w:color w:val="auto"/>
              </w:rPr>
            </w:pPr>
            <w:r>
              <w:rPr>
                <w:rFonts w:ascii="Arial" w:cs="Arial" w:eastAsia="Arial" w:hAnsi="Arial"/>
                <w:sz w:val="18"/>
                <w:szCs w:val="18"/>
                <w:color w:val="auto"/>
              </w:rPr>
              <w:t>Accrued compensation, warranty and other liabilities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Net cash provided from (used for) operating activities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9"/>
              </w:rPr>
              <w:t>(83,765)</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(22,396)</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Sales and maturities of short-term investments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75,880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Payments on note receivable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Pr>
          <w:p>
            <w:pPr>
              <w:ind w:left="540"/>
              <w:spacing w:after="0"/>
              <w:rPr>
                <w:sz w:val="20"/>
                <w:szCs w:val="20"/>
                <w:color w:val="auto"/>
              </w:rPr>
            </w:pPr>
            <w:r>
              <w:rPr>
                <w:rFonts w:ascii="Arial" w:cs="Arial" w:eastAsia="Arial" w:hAnsi="Arial"/>
                <w:sz w:val="18"/>
                <w:szCs w:val="18"/>
                <w:color w:val="auto"/>
              </w:rPr>
              <w:t>Net cash provided from (used for) investing activities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(22,409)</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Issuance of stock, net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dividends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Pr>
          <w:p>
            <w:pPr>
              <w:ind w:left="54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1,284</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(26,346)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7,127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8"/>
              </w:rPr>
              <w:t>32,696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8,411</w:t>
            </w:r>
          </w:p>
        </w:tc>
        <w:tc>
          <w:tcPr>
            <w:tcW w:w="80" w:type="dxa"/>
            <w:vAlign w:val="bottom"/>
            <w:shd w:val="clear" w:color="auto" w:fill="EEEEEE"/>
          </w:tcPr>
          <w:p>
            <w:pPr>
              <w:spacing w:after="0"/>
              <w:rPr>
                <w:sz w:val="22"/>
                <w:szCs w:val="22"/>
                <w:color w:val="auto"/>
              </w:rPr>
            </w:pPr>
          </w:p>
        </w:tc>
        <w:tc>
          <w:tcPr>
            <w:tcW w:w="8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6,350</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980" w:type="dxa"/>
            <w:vAlign w:val="bottom"/>
            <w:tcBorders>
              <w:top w:val="single" w:sz="8" w:color="EEEEEE"/>
            </w:tcBorders>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top w:val="single" w:sz="8" w:color="EEEEEE"/>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80" w:type="dxa"/>
            <w:vAlign w:val="bottom"/>
            <w:tcBorders>
              <w:top w:val="single" w:sz="8" w:color="EEEEEE"/>
            </w:tcBorders>
          </w:tcPr>
          <w:p>
            <w:pPr>
              <w:spacing w:after="0"/>
              <w:rPr>
                <w:sz w:val="20"/>
                <w:szCs w:val="20"/>
                <w:color w:val="auto"/>
              </w:rPr>
            </w:pPr>
          </w:p>
        </w:tc>
        <w:tc>
          <w:tcPr>
            <w:tcW w:w="220" w:type="dxa"/>
            <w:vAlign w:val="bottom"/>
            <w:tcBorders>
              <w:top w:val="single" w:sz="8" w:color="EEEEEE"/>
            </w:tcBorders>
          </w:tcPr>
          <w:p>
            <w:pPr>
              <w:spacing w:after="0"/>
              <w:rPr>
                <w:sz w:val="20"/>
                <w:szCs w:val="20"/>
                <w:color w:val="auto"/>
              </w:rPr>
            </w:pPr>
          </w:p>
        </w:tc>
        <w:tc>
          <w:tcPr>
            <w:tcW w:w="360" w:type="dxa"/>
            <w:vAlign w:val="bottom"/>
            <w:tcBorders>
              <w:top w:val="single" w:sz="8" w:color="EEEEEE"/>
            </w:tcBorders>
          </w:tcPr>
          <w:p>
            <w:pPr>
              <w:spacing w:after="0"/>
              <w:rPr>
                <w:sz w:val="20"/>
                <w:szCs w:val="20"/>
                <w:color w:val="auto"/>
              </w:rPr>
            </w:pPr>
          </w:p>
        </w:tc>
        <w:tc>
          <w:tcPr>
            <w:tcW w:w="220" w:type="dxa"/>
            <w:vAlign w:val="bottom"/>
            <w:tcBorders>
              <w:top w:val="single" w:sz="8" w:color="EEEEEE"/>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220" w:type="dxa"/>
            <w:vAlign w:val="bottom"/>
            <w:tcBorders>
              <w:top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paid (received) during the period for:</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2004</w:t>
      </w:r>
    </w:p>
    <w:p>
      <w:pPr>
        <w:spacing w:after="0" w:line="20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2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months ended March 31, 2004,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2003 and management’s discussion and analysis of financial condition and results of operations included elsewhere herein.</w:t>
      </w:r>
    </w:p>
    <w:p>
      <w:pPr>
        <w:spacing w:after="0" w:line="168"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Cohu’s revenue recognition policy is disclosed in Note 1 of the Notes to Consolidated Financial Statements included in the Company’s Annual Report on Form 10-K for the year ended December 31, 2003.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186" w:lineRule="exact"/>
        <w:rPr>
          <w:rFonts w:ascii="Arial" w:cs="Arial" w:eastAsia="Arial" w:hAnsi="Arial"/>
          <w:sz w:val="18"/>
          <w:szCs w:val="18"/>
          <w:b w:val="1"/>
          <w:bCs w:val="1"/>
          <w:color w:val="auto"/>
        </w:rPr>
      </w:pPr>
    </w:p>
    <w:p>
      <w:pPr>
        <w:ind w:left="26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has an $8.5 million contract to provide microwave communications equipment for a border security command center and infrastructure system in the United Arab Emirates. The contract, which utilizes the Company’s most advanced microwave communications technology that has not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the Company will recognize all revenue and related costs under this contract in the period the system is accepted by the customer. Through March 31, 2004, the Company has deferred approximately $4.6 million of revenue under the contract.</w:t>
      </w:r>
    </w:p>
    <w:p>
      <w:pPr>
        <w:spacing w:after="0" w:line="178" w:lineRule="exact"/>
        <w:rPr>
          <w:rFonts w:ascii="Arial" w:cs="Arial" w:eastAsia="Arial" w:hAnsi="Arial"/>
          <w:sz w:val="18"/>
          <w:szCs w:val="18"/>
          <w:b w:val="1"/>
          <w:bCs w:val="1"/>
          <w:color w:val="auto"/>
        </w:rPr>
      </w:pPr>
    </w:p>
    <w:p>
      <w:pPr>
        <w:ind w:left="2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March 31, 2004, the Company had total deferred revenue of approximately $16.5 million and deferred profit of $6.9 million. At December 31, 2003, the Company had total deferred revenue of approximately $9.3 million and deferred profit of $4.1 million. The increase in deferred revenue and profit is primarily related to the deferral of revenue on certain new semiconductor test handlers and microwave communications equipment that have been shipped and installed and are awaiting customer acceptance.</w:t>
      </w:r>
    </w:p>
    <w:p>
      <w:pPr>
        <w:spacing w:after="0" w:line="182"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26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Cohu has several stock-based compensation plans that are described more fully in Note 10 to the Consolidated Financial Statements included in the Company’s Annual Report on Form 10-K for the year ended December 31, 2003. Cohu accounts for those plans under the recognition and measurement principles of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related Interpretations. No stock-based employee compensation cost is reflected in the consolidated statements of operations, as all options granted under those plans had an exercise price equal to the market value of the underlying common stock on the date of grant. The following table illustrates the effect on net income (loss) and net income (loss) per share if Cohu had applied the fair value recognition provisions of Financial Accounting Standards Board (“FASB”) Statement No. 123, </w:t>
      </w:r>
      <w:r>
        <w:rPr>
          <w:rFonts w:ascii="Arial" w:cs="Arial" w:eastAsia="Arial" w:hAnsi="Arial"/>
          <w:sz w:val="17"/>
          <w:szCs w:val="17"/>
          <w:i w:val="1"/>
          <w:iCs w:val="1"/>
          <w:color w:val="auto"/>
        </w:rPr>
        <w:t>Accounting for Stock-Based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to stock-based employee compensation.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2004</w:t>
      </w:r>
    </w:p>
    <w:p>
      <w:pPr>
        <w:spacing w:after="0" w:line="37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46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as reported</w:t>
            </w: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2,098</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(1,370)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8"/>
              </w:rPr>
              <w:t>Less: Total stock-based employee compensation expense</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w w:val="91"/>
              </w:rPr>
              <w:t>determined under fair value based method for all awards,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vMerge w:val="restart"/>
          </w:tcPr>
          <w:p>
            <w:pPr>
              <w:jc w:val="right"/>
              <w:ind w:right="128"/>
              <w:spacing w:after="0"/>
              <w:rPr>
                <w:sz w:val="20"/>
                <w:szCs w:val="20"/>
                <w:color w:val="auto"/>
              </w:rPr>
            </w:pPr>
            <w:r>
              <w:rPr>
                <w:rFonts w:ascii="Arial" w:cs="Arial" w:eastAsia="Arial" w:hAnsi="Arial"/>
                <w:sz w:val="18"/>
                <w:szCs w:val="18"/>
                <w:b w:val="1"/>
                <w:bCs w:val="1"/>
                <w:color w:val="auto"/>
              </w:rPr>
              <w:t>(966)</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of related tax effect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1,132</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(2,089)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58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220" w:type="dxa"/>
            <w:vAlign w:val="bottom"/>
            <w:tcBorders>
              <w:right w:val="single" w:sz="8" w:color="808080"/>
            </w:tcBorders>
            <w:shd w:val="clear" w:color="auto" w:fill="EEEEEE"/>
          </w:tcPr>
          <w:p>
            <w:pPr>
              <w:spacing w:after="0"/>
              <w:rPr>
                <w:sz w:val="3"/>
                <w:szCs w:val="3"/>
                <w:color w:val="auto"/>
              </w:rPr>
            </w:pPr>
          </w:p>
        </w:tc>
        <w:tc>
          <w:tcPr>
            <w:tcW w:w="400" w:type="dxa"/>
            <w:vAlign w:val="bottom"/>
            <w:tcBorders>
              <w:bottom w:val="single" w:sz="8" w:color="808080"/>
            </w:tcBorders>
            <w:shd w:val="clear" w:color="auto" w:fill="808080"/>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480" w:type="dxa"/>
            <w:vAlign w:val="bottom"/>
            <w:tcBorders>
              <w:bottom w:val="single" w:sz="8" w:color="808080"/>
            </w:tcBorders>
            <w:shd w:val="clear" w:color="auto" w:fill="808080"/>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60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Basic-as reported</w:t>
            </w: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0.10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Basic-pro forma</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Diluted-as reported</w:t>
            </w: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0.10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Diluted-pro forma</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2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Retiree Medical Benefits</w:t>
      </w:r>
    </w:p>
    <w:p>
      <w:pPr>
        <w:spacing w:after="0" w:line="229"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color w:val="auto"/>
        </w:rPr>
        <w:t>Cohu provides post-retirement health benefits to certain executives and directors under a noncontributory plan. The net periodic benefit cost during the three-month periods ended March 31, 2004 and 2003 was not significant.</w:t>
      </w:r>
    </w:p>
    <w:p>
      <w:pPr>
        <w:spacing w:after="0" w:line="170" w:lineRule="exact"/>
        <w:rPr>
          <w:sz w:val="20"/>
          <w:szCs w:val="20"/>
          <w:color w:val="auto"/>
        </w:rPr>
      </w:pPr>
    </w:p>
    <w:p>
      <w:pPr>
        <w:ind w:left="220" w:right="120"/>
        <w:spacing w:after="0" w:line="279" w:lineRule="auto"/>
        <w:rPr>
          <w:sz w:val="20"/>
          <w:szCs w:val="20"/>
          <w:color w:val="auto"/>
        </w:rPr>
      </w:pPr>
      <w:r>
        <w:rPr>
          <w:rFonts w:ascii="Arial" w:cs="Arial" w:eastAsia="Arial" w:hAnsi="Arial"/>
          <w:sz w:val="17"/>
          <w:szCs w:val="17"/>
          <w:color w:val="auto"/>
        </w:rPr>
        <w:t>The Medicare Prescription Drug, Improvement and Modernization Act of 2003 (the “Act”) was enacted on December 8, 2003. In accordance with FASB Staff Position No. FAS 106-1, the accumulated post-retirement benefit obligation and net periodic benefit cost in the consolidated financial statements do not reflect the effects, if any, of the Act. Specific authoritative guidance on the accounting for the federal subsidy is pending and that guidance, when issued, could require changes, that are not expected to be significant, to previously reported information.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20" w:right="100"/>
        <w:spacing w:after="0" w:line="291"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FIN 46 was revised in December, 2003 and clarifies the application of ARB 51 to certain entities in which equity investors do not have the characteristics of a controlling financial interest or do not have sufficient equity at risk for the entity to finance its activities without additional subordinated financial support. The application of FIN 46 may require that an entity be subject to consolidation even though the investor does not have a controlling financial interest that, under ARB 51, was usually deemed to exist through ownership of a majority voting interest. FIN 46, as revised, is generally effective for all entities subject to the interpretation no later than the end of the first reporting period that ends after March 15, 2004. The Company currently has no investments in entities within the scope of FIN 46 and as a result the application of FIN 46 had no material effect on the Company’s financial statements.</w:t>
      </w:r>
    </w:p>
    <w:p>
      <w:pPr>
        <w:spacing w:after="0" w:line="167"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 xml:space="preserve">In March 2004, the FASB issued an exposure document entitled </w:t>
      </w:r>
      <w:r>
        <w:rPr>
          <w:rFonts w:ascii="Arial" w:cs="Arial" w:eastAsia="Arial" w:hAnsi="Arial"/>
          <w:sz w:val="18"/>
          <w:szCs w:val="18"/>
          <w:i w:val="1"/>
          <w:iCs w:val="1"/>
          <w:color w:val="auto"/>
        </w:rPr>
        <w:t>Share-Based Payment - an amendment of Statements No. 123 and 95 (Proposed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Accounting Standards)</w:t>
      </w:r>
      <w:r>
        <w:rPr>
          <w:rFonts w:ascii="Arial" w:cs="Arial" w:eastAsia="Arial" w:hAnsi="Arial"/>
          <w:sz w:val="18"/>
          <w:szCs w:val="18"/>
          <w:color w:val="auto"/>
        </w:rPr>
        <w:t>. The proposed Statement would eliminate the ability to account for share-based compensation transactions using APB</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No. 25 and generally require instead that such transactions be accounted for using a fair-value-based method. This accounting, if approved, will result in significant compensation expense charges to our future results of operations. The proposed Statement, if adopted, would be applied to public entities prospectively for fiscal years beginning after December 15, 2004, as if all share-based compensation awards granted, modified, or settled after December 15, 1994, had been accounted for using the fair-value method of accounting. Retrospective application of the proposed Statement is not permitted.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2004</w:t>
      </w:r>
    </w:p>
    <w:p>
      <w:pPr>
        <w:spacing w:after="0" w:line="20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2004 Results of Operations</w:t>
      </w:r>
    </w:p>
    <w:p>
      <w:pPr>
        <w:spacing w:after="0" w:line="202" w:lineRule="exact"/>
        <w:rPr>
          <w:rFonts w:ascii="Arial" w:cs="Arial" w:eastAsia="Arial" w:hAnsi="Arial"/>
          <w:sz w:val="18"/>
          <w:szCs w:val="18"/>
          <w:b w:val="1"/>
          <w:bCs w:val="1"/>
          <w:color w:val="auto"/>
        </w:rPr>
      </w:pPr>
    </w:p>
    <w:p>
      <w:pPr>
        <w:ind w:left="2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February, 2004, the Company and a foreign sales representative amended a Product Representation Agreement that was originally entered into on April 1, 2003. The amendment reduced the commissions to be paid by the Company to the sales representative on certain previously recorded and future sales. In the quarter ended March 31, 2004, the Company reduced commission expense by $129,000 and $103,000, for commissions previously expensed in 2003 and 2004, respectively. Accordingly, selling, general and administrative expense in the accompanying statement of operations for the three months ended March 31, 2004 has been reduced by $232,000 as a result of this amendment.</w:t>
      </w:r>
    </w:p>
    <w:p>
      <w:pPr>
        <w:spacing w:after="0" w:line="159" w:lineRule="exact"/>
        <w:rPr>
          <w:rFonts w:ascii="Arial" w:cs="Arial" w:eastAsia="Arial" w:hAnsi="Arial"/>
          <w:sz w:val="18"/>
          <w:szCs w:val="18"/>
          <w:b w:val="1"/>
          <w:bCs w:val="1"/>
          <w:color w:val="auto"/>
        </w:rPr>
      </w:pPr>
    </w:p>
    <w:p>
      <w:pPr>
        <w:jc w:val="both"/>
        <w:ind w:left="2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2003, the Company recorded a charge to cost of sales of approximately $1,700,000 as a result of inventory market valuation writedowns. In the three months ended March 31, 2004, the Company sold certain of the written down inventory and as a result the Company’s cost of sales and the related gross profit was favorably impacted by approximately $700,000.</w:t>
      </w:r>
    </w:p>
    <w:p>
      <w:pPr>
        <w:spacing w:after="0" w:line="177" w:lineRule="exact"/>
        <w:rPr>
          <w:rFonts w:ascii="Arial" w:cs="Arial" w:eastAsia="Arial" w:hAnsi="Arial"/>
          <w:sz w:val="18"/>
          <w:szCs w:val="18"/>
          <w:b w:val="1"/>
          <w:bCs w:val="1"/>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(Loss) Per Share</w:t>
      </w:r>
    </w:p>
    <w:p>
      <w:pPr>
        <w:spacing w:after="0" w:line="229" w:lineRule="exact"/>
        <w:rPr>
          <w:rFonts w:ascii="Arial" w:cs="Arial" w:eastAsia="Arial" w:hAnsi="Arial"/>
          <w:sz w:val="18"/>
          <w:szCs w:val="18"/>
          <w:b w:val="1"/>
          <w:bCs w:val="1"/>
          <w:color w:val="auto"/>
        </w:rPr>
      </w:pPr>
    </w:p>
    <w:p>
      <w:pPr>
        <w:ind w:left="260"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Income (loss) per share is computed in accordance with FASB Statement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income (loss) per share is computed using the weighted average number of common shares outstanding during each period. Diluted income (loss) per share includes the dilutive effect of common shares potentially issuable upon the exercise of stock options. For purposes of computing diluted income per share, stock options with exercise prices that exceed the average fair market value of the Company’s common stock for the period are excluded. For the three months ended March 31, 2004 options to purchase approximately 65,000 shares of common stock were excluded from the computation. The impact of stock options is excluded for loss periods as they would be antidilutive. The following table reconciles the denominators used in computing basic and diluted income (loss) per share:</w:t>
      </w:r>
    </w:p>
    <w:p>
      <w:pPr>
        <w:spacing w:after="0" w:line="36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70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2004</w:t>
            </w:r>
          </w:p>
        </w:tc>
        <w:tc>
          <w:tcPr>
            <w:tcW w:w="14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28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21,419</w:t>
            </w:r>
          </w:p>
        </w:tc>
        <w:tc>
          <w:tcPr>
            <w:tcW w:w="124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20,912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22,075</w:t>
            </w:r>
          </w:p>
        </w:tc>
        <w:tc>
          <w:tcPr>
            <w:tcW w:w="124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20,912</w:t>
            </w: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2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income tax provision (benefit) included in the statements of operations for the three months ended March 31, 2004 and 2003, is based on the estimated annual effective tax rate for the entire year. These estimated effective tax rates are subject to adjustment in subsequent quarterly periods as the Company’s estimates of pretax income or loss for the year are increased or decreased. The effective tax rate for the three months ended March 31, 2004 is less than the U.S. federal statutory rate primarily due to the significant deferred tax asset valuation allowance recorded at December 31, 2003.</w:t>
      </w:r>
    </w:p>
    <w:p>
      <w:pPr>
        <w:spacing w:after="0" w:line="154" w:lineRule="exact"/>
        <w:rPr>
          <w:rFonts w:ascii="Arial" w:cs="Arial" w:eastAsia="Arial" w:hAnsi="Arial"/>
          <w:sz w:val="18"/>
          <w:szCs w:val="18"/>
          <w:b w:val="1"/>
          <w:bCs w:val="1"/>
          <w:color w:val="auto"/>
        </w:rPr>
      </w:pPr>
    </w:p>
    <w:p>
      <w:pPr>
        <w:ind w:left="2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 valuation allowance of $11,704,000 has been provided on deferred tax assets at December 31, 2003, primarily due to uncertainties of realizing net deferred tax assets in excess of income expected to be generated from future income and certain tax planning strategies. The Company determined that the valuation allowance was required based upon its recent losses, and the likelihood of generating sufficient additional taxable income in future years to obtain benefit from the reversal of temporary differences and net operating loss and tax credit carryforwards. The amount of deferred tax assets considered realizable is subject to adjustment in future periods if estimates of future taxable income change. If the valuation allowance is increased or decreased there would be a corresponding increase or decrease in the income tax provision.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2004</w:t>
      </w:r>
    </w:p>
    <w:p>
      <w:pPr>
        <w:spacing w:after="0" w:line="211" w:lineRule="exact"/>
        <w:rPr>
          <w:sz w:val="20"/>
          <w:szCs w:val="20"/>
          <w:color w:val="auto"/>
        </w:rPr>
      </w:pPr>
    </w:p>
    <w:p>
      <w:pPr>
        <w:ind w:left="260"/>
        <w:spacing w:after="0" w:line="259" w:lineRule="auto"/>
        <w:rPr>
          <w:sz w:val="20"/>
          <w:szCs w:val="20"/>
          <w:color w:val="auto"/>
        </w:rPr>
      </w:pPr>
      <w:r>
        <w:rPr>
          <w:rFonts w:ascii="Arial" w:cs="Arial" w:eastAsia="Arial" w:hAnsi="Arial"/>
          <w:sz w:val="18"/>
          <w:szCs w:val="18"/>
          <w:color w:val="auto"/>
        </w:rPr>
        <w:t>The IRS is currently conducting a routine examination of Cohu’s consolidated tax returns for the period 2000 through 2002. The Company expects the IRS examination to be completed in 2004. If the examination is concluded in 2004, any adjustments that result from the IRS examination will be reflected in the Company’s 2004 results of operations. The Company believes that such adjustments, if any, are adequately provided for in the consolidated financial statements.</w:t>
      </w:r>
    </w:p>
    <w:p>
      <w:pPr>
        <w:spacing w:after="0" w:line="18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Investments and Other Intangible Assets</w:t>
      </w:r>
    </w:p>
    <w:p>
      <w:pPr>
        <w:spacing w:after="0" w:line="229" w:lineRule="exact"/>
        <w:rPr>
          <w:rFonts w:ascii="Arial" w:cs="Arial" w:eastAsia="Arial" w:hAnsi="Arial"/>
          <w:sz w:val="18"/>
          <w:szCs w:val="18"/>
          <w:b w:val="1"/>
          <w:bCs w:val="1"/>
          <w:color w:val="auto"/>
        </w:rPr>
      </w:pPr>
    </w:p>
    <w:p>
      <w:pPr>
        <w:ind w:left="2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2001, the FASB issued Statement No. 142</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At March 31, 2004, the Company had goodwill of $8.3 million that resulted from an acquisition completed in July, 2001.</w:t>
      </w:r>
    </w:p>
    <w:p>
      <w:pPr>
        <w:spacing w:after="0" w:line="188" w:lineRule="exact"/>
        <w:rPr>
          <w:rFonts w:ascii="Arial" w:cs="Arial" w:eastAsia="Arial" w:hAnsi="Arial"/>
          <w:sz w:val="18"/>
          <w:szCs w:val="18"/>
          <w:b w:val="1"/>
          <w:bCs w:val="1"/>
          <w:color w:val="auto"/>
        </w:rPr>
      </w:pPr>
    </w:p>
    <w:p>
      <w:pPr>
        <w:ind w:left="2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performed the required annual goodwill impairment test as of October 1, 2003. Cohu did not recognize any goodwill impairment as a result of performing this annual test. A future decline in the fair value of Cohu’s semiconductor equipment business may indicate goodwill impairment that could result in a charge to Cohu’s future operating results.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In August, 2001, the FASB issued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supersedes Statement No.</w:t>
      </w:r>
    </w:p>
    <w:p>
      <w:pPr>
        <w:spacing w:after="0" w:line="46" w:lineRule="exact"/>
        <w:rPr>
          <w:sz w:val="20"/>
          <w:szCs w:val="20"/>
          <w:color w:val="auto"/>
        </w:rPr>
      </w:pPr>
    </w:p>
    <w:p>
      <w:pPr>
        <w:ind w:left="260" w:hanging="9"/>
        <w:spacing w:after="0" w:line="255"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Cohu adopted Statement No. 144 effective January 1, 2002.</w:t>
      </w:r>
    </w:p>
    <w:p>
      <w:pPr>
        <w:spacing w:after="0" w:line="190" w:lineRule="exact"/>
        <w:rPr>
          <w:sz w:val="20"/>
          <w:szCs w:val="20"/>
          <w:color w:val="auto"/>
        </w:rPr>
      </w:pPr>
    </w:p>
    <w:p>
      <w:pPr>
        <w:ind w:left="260" w:right="60"/>
        <w:spacing w:after="0" w:line="279" w:lineRule="auto"/>
        <w:rPr>
          <w:sz w:val="20"/>
          <w:szCs w:val="20"/>
          <w:color w:val="auto"/>
        </w:rPr>
      </w:pPr>
      <w:r>
        <w:rPr>
          <w:rFonts w:ascii="Arial" w:cs="Arial" w:eastAsia="Arial" w:hAnsi="Arial"/>
          <w:sz w:val="17"/>
          <w:szCs w:val="17"/>
          <w:color w:val="auto"/>
        </w:rPr>
        <w:t>In the fourth quarter of 2002, Cohu entered into a $1,700,000 license agreement for certain intellectual property and know-how from LiveTools Technology SA. The Company is amortizing the intangible asset to expense over the three-year exclusive license period. Accumulated amortization at March 31, 2004 and December 31, 2003, was $780,000 and $642,000, respectively. Amortization expense was $138,000 in the three month periods ended March 31, 2004 and 2003. The estimated remaining amortization expense in future periods is 2004 – $412,000; 2005 – $458,000.</w:t>
      </w:r>
    </w:p>
    <w:p>
      <w:pPr>
        <w:spacing w:after="0" w:line="16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229" w:lineRule="exact"/>
        <w:rPr>
          <w:rFonts w:ascii="Arial" w:cs="Arial" w:eastAsia="Arial" w:hAnsi="Arial"/>
          <w:sz w:val="18"/>
          <w:szCs w:val="18"/>
          <w:b w:val="1"/>
          <w:bCs w:val="1"/>
          <w:color w:val="auto"/>
        </w:rPr>
      </w:pPr>
    </w:p>
    <w:p>
      <w:pPr>
        <w:ind w:left="260"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April 10, 2003, Cohu announced that its Delta Design, Inc. subsidiary (“Delta”) was relocating its Littleton, Massachusetts operation to its headquarters facility in Poway, California. The consolidation, that will result in approximately 50 of the 65 employees being terminated, was substantially completed in March, 2004 and the remaining charges to operations for severance and other payroll costs are expected to be minimal. The Company recorded charges to operations in the quarter ended March 31, 2004, totaling $188,000 for severance and one-time termination benefits. These charges are included in cost of sales ($57,000), research and development ($58,000) and selling, general and administrative expense ($73,000). Cumulative charges to operations for severance and other exit costs for the period April, 2003 to March 31, 2004, were $1,056,000.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2004</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reconciles amounts accrued and paid under the Littleton consolidation plan.</w:t>
      </w:r>
    </w:p>
    <w:p>
      <w:pPr>
        <w:spacing w:after="0" w:line="200" w:lineRule="exact"/>
        <w:rPr>
          <w:sz w:val="20"/>
          <w:szCs w:val="20"/>
          <w:color w:val="auto"/>
        </w:rPr>
      </w:pPr>
    </w:p>
    <w:p>
      <w:pPr>
        <w:spacing w:after="0" w:line="22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20" w:type="dxa"/>
            <w:vAlign w:val="bottom"/>
            <w:gridSpan w:val="3"/>
          </w:tcPr>
          <w:p>
            <w:pPr>
              <w:ind w:left="360"/>
              <w:spacing w:after="0"/>
              <w:rPr>
                <w:sz w:val="20"/>
                <w:szCs w:val="20"/>
                <w:color w:val="auto"/>
              </w:rPr>
            </w:pPr>
            <w:r>
              <w:rPr>
                <w:rFonts w:ascii="Arial" w:cs="Arial" w:eastAsia="Arial" w:hAnsi="Arial"/>
                <w:sz w:val="14"/>
                <w:szCs w:val="14"/>
                <w:b w:val="1"/>
                <w:bCs w:val="1"/>
                <w:color w:val="auto"/>
              </w:rPr>
              <w:t>Severance and</w:t>
            </w:r>
          </w:p>
        </w:tc>
        <w:tc>
          <w:tcPr>
            <w:tcW w:w="24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8"/>
              </w:rPr>
              <w:t>Other exit costs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620" w:type="dxa"/>
            <w:vAlign w:val="bottom"/>
            <w:gridSpan w:val="3"/>
          </w:tcPr>
          <w:p>
            <w:pPr>
              <w:ind w:left="420"/>
              <w:spacing w:after="0"/>
              <w:rPr>
                <w:sz w:val="20"/>
                <w:szCs w:val="20"/>
                <w:color w:val="auto"/>
              </w:rPr>
            </w:pPr>
            <w:r>
              <w:rPr>
                <w:rFonts w:ascii="Arial" w:cs="Arial" w:eastAsia="Arial" w:hAnsi="Arial"/>
                <w:sz w:val="14"/>
                <w:szCs w:val="14"/>
                <w:b w:val="1"/>
                <w:bCs w:val="1"/>
                <w:color w:val="auto"/>
              </w:rPr>
              <w:t>other payroll</w:t>
            </w:r>
          </w:p>
        </w:tc>
        <w:tc>
          <w:tcPr>
            <w:tcW w:w="2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Liability at December 31, 2003</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$ 407,000</w:t>
            </w:r>
          </w:p>
        </w:tc>
        <w:tc>
          <w:tcPr>
            <w:tcW w:w="48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$ 407,000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Costs accrued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188,000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188,000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Amounts paid or charged</w:t>
            </w:r>
          </w:p>
        </w:tc>
        <w:tc>
          <w:tcPr>
            <w:tcW w:w="16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(148,000)</w:t>
            </w: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Liability at March 31, 2004</w:t>
            </w:r>
          </w:p>
        </w:tc>
        <w:tc>
          <w:tcPr>
            <w:tcW w:w="50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447,000</w:t>
            </w:r>
          </w:p>
        </w:tc>
        <w:tc>
          <w:tcPr>
            <w:tcW w:w="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447,000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60"/>
        <w:spacing w:after="0" w:line="276" w:lineRule="auto"/>
        <w:rPr>
          <w:sz w:val="20"/>
          <w:szCs w:val="20"/>
          <w:color w:val="auto"/>
        </w:rPr>
      </w:pPr>
      <w:r>
        <w:rPr>
          <w:rFonts w:ascii="Arial" w:cs="Arial" w:eastAsia="Arial" w:hAnsi="Arial"/>
          <w:sz w:val="17"/>
          <w:szCs w:val="17"/>
          <w:color w:val="auto"/>
        </w:rPr>
        <w:t>In April, 2003, Delta completed the relocation of its Columbus, Ohio operations to its facility in Poway, California. The consolidation is expected to reduce costs without impacting the revenue generating activities of Delta. The Company recorded charges to operations in the quarter ended March 31, 2003, totaling $630,000 for severance and one-time termination benefits and $117,000 for contract termination costs primarily related to the leased facility. These charges are included in cost of sales ($47,000), research and development ($570,000) and selling, general and administrative expense ($130,000). Exit-related costs charged to operations subsequent to the quarter ended March 31, 2003 were not significant.</w:t>
      </w:r>
    </w:p>
    <w:p>
      <w:pPr>
        <w:spacing w:after="0" w:line="16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29" w:lineRule="exact"/>
        <w:rPr>
          <w:rFonts w:ascii="Arial" w:cs="Arial" w:eastAsia="Arial" w:hAnsi="Arial"/>
          <w:sz w:val="18"/>
          <w:szCs w:val="18"/>
          <w:b w:val="1"/>
          <w:bCs w:val="1"/>
          <w:color w:val="auto"/>
        </w:rPr>
      </w:pPr>
    </w:p>
    <w:p>
      <w:pPr>
        <w:ind w:left="2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13, 2003, the Company extended the term of a $9.2 million promissory note with TC Kearny Villa, L.P. (“TC”). The 8% non-recourse note was secured by a deed of trust on land and buildings in San Diego, California sold by Cohu to TC in April, 2001. The note amendment extended the due date of the note to March 31, 2005 and provided for principal payments, assuming a 20-year amortization schedule, of $206,000 and $223,000 on April 1, 2003 and 2004, respectively. Interest at 8% was to continue to be paid monthly.</w:t>
      </w:r>
    </w:p>
    <w:p>
      <w:pPr>
        <w:spacing w:after="0" w:line="186" w:lineRule="exact"/>
        <w:rPr>
          <w:rFonts w:ascii="Arial" w:cs="Arial" w:eastAsia="Arial" w:hAnsi="Arial"/>
          <w:sz w:val="18"/>
          <w:szCs w:val="18"/>
          <w:b w:val="1"/>
          <w:bCs w:val="1"/>
          <w:color w:val="auto"/>
        </w:rPr>
      </w:pPr>
    </w:p>
    <w:p>
      <w:pPr>
        <w:ind w:left="2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February, 2004 the Company and TC entered into an agreement whereby the Company released its beneficial interest in the property securing the note receivable in exchange for full payment of the note and $272,000 of accrued interest. The Company received net cash proceeds from TC totaling $9,250,000 on February 19, 2004. The interest received was recorded as income in 2004.</w:t>
      </w:r>
    </w:p>
    <w:p>
      <w:pPr>
        <w:spacing w:after="0" w:line="177" w:lineRule="exact"/>
        <w:rPr>
          <w:rFonts w:ascii="Arial" w:cs="Arial" w:eastAsia="Arial" w:hAnsi="Arial"/>
          <w:sz w:val="18"/>
          <w:szCs w:val="18"/>
          <w:b w:val="1"/>
          <w:bCs w:val="1"/>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Components of comprehensive income (loss), on an after-tax basis where applicable, were as follows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520" w:type="dxa"/>
            <w:vAlign w:val="bottom"/>
            <w:gridSpan w:val="4"/>
          </w:tcPr>
          <w:p>
            <w:pPr>
              <w:jc w:val="right"/>
              <w:ind w:right="86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$2,098</w:t>
            </w:r>
          </w:p>
        </w:tc>
        <w:tc>
          <w:tcPr>
            <w:tcW w:w="22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Change in unrealized gain on investments</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 (loss)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$2,099</w:t>
            </w:r>
          </w:p>
        </w:tc>
        <w:tc>
          <w:tcPr>
            <w:tcW w:w="220" w:type="dxa"/>
            <w:vAlign w:val="bottom"/>
            <w:shd w:val="clear" w:color="auto" w:fill="EEEEEE"/>
          </w:tcPr>
          <w:p>
            <w:pPr>
              <w:spacing w:after="0"/>
              <w:rPr>
                <w:sz w:val="19"/>
                <w:szCs w:val="19"/>
                <w:color w:val="auto"/>
              </w:rPr>
            </w:pP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20" w:right="340"/>
        <w:spacing w:after="0" w:line="277" w:lineRule="auto"/>
        <w:rPr>
          <w:sz w:val="20"/>
          <w:szCs w:val="20"/>
          <w:color w:val="auto"/>
        </w:rPr>
      </w:pPr>
      <w:r>
        <w:rPr>
          <w:rFonts w:ascii="Arial" w:cs="Arial" w:eastAsia="Arial" w:hAnsi="Arial"/>
          <w:sz w:val="18"/>
          <w:szCs w:val="18"/>
          <w:color w:val="auto"/>
        </w:rPr>
        <w:t>Accumulated other comprehensive income totaled $25,000 and $24,000 at March 31, 2004 and December 31, 2003, respectively, and was attributed to after-tax unrealized gains on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229" w:lineRule="exact"/>
        <w:rPr>
          <w:sz w:val="20"/>
          <w:szCs w:val="20"/>
          <w:color w:val="auto"/>
        </w:rPr>
      </w:pPr>
    </w:p>
    <w:p>
      <w:pPr>
        <w:jc w:val="both"/>
        <w:ind w:left="260" w:right="20"/>
        <w:spacing w:after="0" w:line="286" w:lineRule="auto"/>
        <w:rPr>
          <w:sz w:val="20"/>
          <w:szCs w:val="20"/>
          <w:color w:val="auto"/>
        </w:rPr>
      </w:pPr>
      <w:r>
        <w:rPr>
          <w:rFonts w:ascii="Arial" w:cs="Arial" w:eastAsia="Arial" w:hAnsi="Arial"/>
          <w:sz w:val="17"/>
          <w:szCs w:val="17"/>
          <w:color w:val="auto"/>
        </w:rPr>
        <w:t>Cohu is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2004</w:t>
      </w:r>
    </w:p>
    <w:p>
      <w:pPr>
        <w:spacing w:after="0" w:line="207" w:lineRule="exact"/>
        <w:rPr>
          <w:sz w:val="20"/>
          <w:szCs w:val="20"/>
          <w:color w:val="auto"/>
        </w:rPr>
      </w:pPr>
    </w:p>
    <w:p>
      <w:pPr>
        <w:ind w:left="340" w:hanging="327"/>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rFonts w:ascii="Arial" w:cs="Arial" w:eastAsia="Arial" w:hAnsi="Arial"/>
          <w:sz w:val="18"/>
          <w:szCs w:val="18"/>
          <w:b w:val="1"/>
          <w:bCs w:val="1"/>
          <w:color w:val="auto"/>
        </w:rPr>
      </w:pPr>
    </w:p>
    <w:p>
      <w:pPr>
        <w:ind w:left="3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information is presented pursuant to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Intersegment sales were not significant in any period.</w:t>
      </w:r>
    </w:p>
    <w:p>
      <w:pPr>
        <w:spacing w:after="0" w:line="36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8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6"/>
        </w:trPr>
        <w:tc>
          <w:tcPr>
            <w:tcW w:w="58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Net sales by segment:</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Semiconductor equipment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28,701</w:t>
            </w:r>
          </w:p>
        </w:tc>
        <w:tc>
          <w:tcPr>
            <w:tcW w:w="1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$23,894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Television cameras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4,602</w:t>
            </w:r>
          </w:p>
        </w:tc>
        <w:tc>
          <w:tcPr>
            <w:tcW w:w="10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4,195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Metal detection</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1,692</w:t>
            </w:r>
          </w:p>
        </w:tc>
        <w:tc>
          <w:tcPr>
            <w:tcW w:w="1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1,459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Microwave communications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1,531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tcPr>
          <w:p>
            <w:pPr>
              <w:ind w:left="26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35,939</w:t>
            </w: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31,079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8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Segment profit (loss):</w:t>
            </w:r>
          </w:p>
        </w:tc>
        <w:tc>
          <w:tcPr>
            <w:tcW w:w="26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Semiconductor equipment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3,486</w:t>
            </w:r>
          </w:p>
        </w:tc>
        <w:tc>
          <w:tcPr>
            <w:tcW w:w="100" w:type="dxa"/>
            <w:vAlign w:val="bottom"/>
          </w:tcPr>
          <w:p>
            <w:pPr>
              <w:spacing w:after="0"/>
              <w:rPr>
                <w:sz w:val="18"/>
                <w:szCs w:val="18"/>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8"/>
                <w:szCs w:val="18"/>
                <w:color w:val="auto"/>
              </w:rPr>
              <w:t>$ (1,822)</w:t>
            </w:r>
          </w:p>
        </w:tc>
        <w:tc>
          <w:tcPr>
            <w:tcW w:w="0" w:type="dxa"/>
            <w:vAlign w:val="bottom"/>
          </w:tcPr>
          <w:p>
            <w:pPr>
              <w:spacing w:after="0"/>
              <w:rPr>
                <w:sz w:val="1"/>
                <w:szCs w:val="1"/>
                <w:color w:val="auto"/>
              </w:rPr>
            </w:pPr>
          </w:p>
        </w:tc>
      </w:tr>
      <w:tr>
        <w:trPr>
          <w:trHeight w:val="216"/>
        </w:trPr>
        <w:tc>
          <w:tcPr>
            <w:tcW w:w="58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Television cameras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Metal detection</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(145)</w:t>
            </w:r>
          </w:p>
        </w:tc>
        <w:tc>
          <w:tcPr>
            <w:tcW w:w="1880" w:type="dxa"/>
            <w:vAlign w:val="bottom"/>
            <w:gridSpan w:val="5"/>
          </w:tcPr>
          <w:p>
            <w:pPr>
              <w:jc w:val="right"/>
              <w:ind w:right="3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8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Microwave communications</w:t>
            </w:r>
          </w:p>
        </w:tc>
        <w:tc>
          <w:tcPr>
            <w:tcW w:w="26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b w:val="1"/>
                <w:bCs w:val="1"/>
                <w:color w:val="auto"/>
              </w:rPr>
              <w:t>(851)</w:t>
            </w:r>
          </w:p>
        </w:tc>
        <w:tc>
          <w:tcPr>
            <w:tcW w:w="188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260"/>
              <w:spacing w:after="0"/>
              <w:rPr>
                <w:sz w:val="20"/>
                <w:szCs w:val="20"/>
                <w:color w:val="auto"/>
              </w:rPr>
            </w:pPr>
            <w:r>
              <w:rPr>
                <w:rFonts w:ascii="Arial" w:cs="Arial" w:eastAsia="Arial" w:hAnsi="Arial"/>
                <w:sz w:val="18"/>
                <w:szCs w:val="18"/>
                <w:color w:val="auto"/>
              </w:rPr>
              <w:t>Profit (loss) for reportable segments</w:t>
            </w: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rPr>
              <w:t>2,500</w:t>
            </w:r>
          </w:p>
        </w:tc>
        <w:tc>
          <w:tcPr>
            <w:tcW w:w="10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(1,920)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Other unallocated amounts: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(622)</w:t>
            </w:r>
          </w:p>
        </w:tc>
        <w:tc>
          <w:tcPr>
            <w:tcW w:w="1880" w:type="dxa"/>
            <w:vAlign w:val="bottom"/>
            <w:gridSpan w:val="5"/>
          </w:tcPr>
          <w:p>
            <w:pPr>
              <w:jc w:val="right"/>
              <w:ind w:right="3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58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620</w:t>
            </w:r>
          </w:p>
        </w:tc>
        <w:tc>
          <w:tcPr>
            <w:tcW w:w="10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700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rPr>
              <w:t>2,498</w:t>
            </w: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(1,770)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58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w w:val="96"/>
              </w:rPr>
              <w:t>March 31, 2004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66"/>
        </w:trPr>
        <w:tc>
          <w:tcPr>
            <w:tcW w:w="40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Total assets by segment:</w:t>
            </w:r>
          </w:p>
        </w:tc>
        <w:tc>
          <w:tcPr>
            <w:tcW w:w="4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Arial" w:cs="Arial" w:eastAsia="Arial" w:hAnsi="Arial"/>
                <w:sz w:val="18"/>
                <w:szCs w:val="18"/>
                <w:color w:val="auto"/>
              </w:rPr>
              <w:t>Semiconductor equipment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89,216</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89,926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Television cameras</w:t>
            </w:r>
          </w:p>
        </w:tc>
        <w:tc>
          <w:tcPr>
            <w:tcW w:w="4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8,946</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8,266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Arial" w:cs="Arial" w:eastAsia="Arial" w:hAnsi="Arial"/>
                <w:sz w:val="18"/>
                <w:szCs w:val="18"/>
                <w:color w:val="auto"/>
              </w:rPr>
              <w:t>Metal detection</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3,908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Microwave communications</w:t>
            </w:r>
          </w:p>
        </w:tc>
        <w:tc>
          <w:tcPr>
            <w:tcW w:w="4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7,497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7,681</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ind w:left="280"/>
              <w:spacing w:after="0"/>
              <w:rPr>
                <w:sz w:val="20"/>
                <w:szCs w:val="20"/>
                <w:color w:val="auto"/>
              </w:rPr>
            </w:pPr>
            <w:r>
              <w:rPr>
                <w:rFonts w:ascii="Arial" w:cs="Arial" w:eastAsia="Arial" w:hAnsi="Arial"/>
                <w:sz w:val="18"/>
                <w:szCs w:val="18"/>
                <w:color w:val="auto"/>
              </w:rPr>
              <w:t>Total assets for reportable segments</w:t>
            </w: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w w:val="86"/>
              </w:rPr>
              <w:t>109,567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6"/>
              </w:rPr>
              <w:t>109,440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rPr>
              <w:t>Corporate, principally cash and investments and</w:t>
            </w:r>
          </w:p>
        </w:tc>
        <w:tc>
          <w:tcPr>
            <w:tcW w:w="40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119,339</w:t>
            </w: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deferred taxes</w:t>
            </w:r>
          </w:p>
        </w:tc>
        <w:tc>
          <w:tcPr>
            <w:tcW w:w="40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vMerge w:val="continue"/>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50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111,290</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Total consolidated assets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w w:val="86"/>
              </w:rPr>
              <w:t>228,906</w:t>
            </w: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6"/>
              </w:rPr>
              <w:t>220,730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40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Guarantees</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Cohu products are generally sold with a 12-month to 24-month warranty period following sale or installation. Parts and labor are covered under the terms of the warranty agreement. The warranty provision is based on historical experience by product and configuration.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accrued warranty during the three months ended March 31, 2004 and 2003 were as follows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2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$ 3,479</w:t>
            </w:r>
          </w:p>
        </w:tc>
        <w:tc>
          <w:tcPr>
            <w:tcW w:w="32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$ 2,878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Warranty expense accruals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1,406</w:t>
            </w:r>
          </w:p>
        </w:tc>
        <w:tc>
          <w:tcPr>
            <w:tcW w:w="3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1,081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Warranty payments</w:t>
            </w:r>
          </w:p>
        </w:tc>
        <w:tc>
          <w:tcPr>
            <w:tcW w:w="112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(1,255)</w:t>
            </w:r>
          </w:p>
        </w:tc>
        <w:tc>
          <w:tcPr>
            <w:tcW w:w="15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Balance, March 31</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3,630</w:t>
            </w:r>
          </w:p>
        </w:tc>
        <w:tc>
          <w:tcPr>
            <w:tcW w:w="32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2,887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380"/>
          </w:cols>
          <w:pgMar w:left="240" w:top="41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ordinary course of business, Cohu also provides standby letters of credit to certain parties as required. As of March 31, 2004, the maximum potential amount of future payments that Cohu could be required to make under these standby letters of credit is approximately $2.5 million. Cohu has not recorded any liability in connection with these guarantee arrangements beyond that required to appropriately account for the underlying transaction being guaranteed. Cohu does not believe, based on historical experience and information currently available, that it is probable that any amounts will be required to be paid under these arrangements.</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2004</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“intend” and similar expressions are intended to identify such statements. Although the forward-looking statements in this Form 10-Q reflect the good faith judgment of our management,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Cohu’s primary business activity involves the development, manufacture, marketing, sale and servicing of test handling equipment for the global semiconductor industry. During the three-year period ended December 31, 2003, the semiconductor equipment industry experienced a severe business downturn. Our net sales in each of the last three years declined more than 50% from the record 2000 year. This decrease in revenue was generally comparable to most other companies in the semiconductor equipment industry, particularly the “back-end” semiconductor equipment companies that would be considered the closest to Cohu in terms of business cycles.</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three months ended March 31, 2004, Cohu’s semiconductor equipment business, as well as the semiconductor equipment industry, saw significantly improved order bookings and backlog, an indication that the severe three-year industry downturn had ended. Our sales in the first three months of 2004 were down from the fourth quarter of 2003 primarily due to revenue which was recognized in the fourth quarter of 2003 on shipments which had been made earlier in 2003 but were awaiting customer acceptance. Despite this decrease in revenue, our operating results improved in part due to improved sales product mix resulting in a higher gross margin.</w:t>
      </w:r>
    </w:p>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operating results in the last three years have been impacted by charges to cost of sales related to excess and obsolete and lower of cost or market inventory issues. These charges totaled approximately $24.5 million during the three-year period ended December 31, 2003 and were primarily the result of decreases to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and we believe it is likely these conditions will exist for the foreseeable future.</w:t>
      </w:r>
    </w:p>
    <w:p>
      <w:pPr>
        <w:spacing w:after="0" w:line="16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SG&amp;A has been relatively consistent during the last three years while our R&amp;D expense declined in 2003, in part as a result of the closure of our Columbus engineering operation.</w:t>
      </w:r>
    </w:p>
    <w:p>
      <w:pPr>
        <w:spacing w:after="0" w:line="14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non-semiconductor equipment businesses have comprised approximately 20% of our revenues during the last three years. The operating results of these businesses have deteriorated over the last several years and they accounted for a significant portion of our loss from operations in 2003.</w:t>
      </w:r>
    </w:p>
    <w:p>
      <w:pPr>
        <w:spacing w:after="0" w:line="10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financial condition remains very strong with significant cash and short-term investments and no long-term debt. Despite the severe downturn in the semiconductor equipment industry, during the three-year period ended December 31, 2003 we generated $30.7 million of net cash from operating activities and total cash and investments increased from $92.6 million at December 31, 2000 to $116.8 million at March 31, 2004.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the Cohu Annual Report on Form 10-K for the year ended December 31, 2003 filed with the Securities and Exchange Commission, affect the significant judgments and estimates used in the preparation of its consolidated financial statements.</w:t>
      </w:r>
    </w:p>
    <w:p>
      <w:pPr>
        <w:spacing w:after="0" w:line="12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Cohu generally recognizes revenue upon shipment and title passage for established products (i.e., those that have previously satisfied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Cohu maintains an allowance for doubtful accounts for estimated losses resulting from the inability of its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Cohu’s customers deteriorates, resulting in an impairment of their ability to make payments, additional allowances may be required.</w:t>
      </w:r>
    </w:p>
    <w:p>
      <w:pPr>
        <w:spacing w:after="0" w:line="14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Cohu provides for the estimated costs of product warranties in the period sales are recognized. Cohu’s warranty obligation estimates are affected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w:t>
      </w:r>
    </w:p>
    <w:p>
      <w:pPr>
        <w:spacing w:after="0" w:line="10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Cohu records valuation reserves on its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changes to inventory reserves may be required.</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Cohu estimates income taxes based on the various jurisdictions where we conduct business. This requires us to estimate our actual current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a valuation allowance or increasing this allowance in an accounting period results in tax expense in the statement of operations. Cohu must make significant judgments to determine the provision for income taxes, deferred tax assets and liabilities and any valuation allowance to be recorded against net deferred tax assets. Our net deferred tax asset balance as of December 31, 2003 was $3.1 million, net of a valuation allowance of $11.7 million. We recorded the valuation allowance in the fourth quarters of 2002 and 2003 as a result of our recent losses and to reflect uncertainties concerning our ability to generate future taxable income and our corresponding ability to utilize our deferred tax assets. The deferred tax assets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consist primarily of deductible temporary differences, tax credit and net operating loss carryforwards.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At March 31, 2004, intangible assets other than goodwill were evaluated for impairment using undiscounted cash flows expected to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use of the assets as required by FASB Statement No. 144 and we concluded there was no impairment loss. Cohu is required to assess goodwill impairment using the methodology prescribed by FASB Statement No. 142. Statement No. 142 requires that goodwill be tested for impairment on an annual basis and more frequently in certain circumstances. The required annual goodwill impairment test is performed as of October 1 of each year. Cohu did not recognize any goodwill impairment as a result of performing this annual test.</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Cohu is subject to certain contingencies that arise in the ordinary course of its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we assess the likelihood that future events will confirm the existence of a loss or an impairment of an asset. If a loss or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is probable, as defined in Statement No. 5 and the amount of the loss or impairment is reasonably estimable, we accrue a charge to operations in the period such conditions become known.</w:t>
      </w:r>
    </w:p>
    <w:p>
      <w:pPr>
        <w:spacing w:after="0" w:line="16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In January, 2003, the FASB issued FASB Interpretation No. 46 (“FIN 46”),</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 of Variable Interest Entities,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an interpretation of ARB No. 51. </w:t>
      </w:r>
      <w:r>
        <w:rPr>
          <w:rFonts w:ascii="Arial" w:cs="Arial" w:eastAsia="Arial" w:hAnsi="Arial"/>
          <w:sz w:val="18"/>
          <w:szCs w:val="18"/>
          <w:color w:val="auto"/>
        </w:rPr>
        <w:t>FIN 46 was revised in December, 2003 and clarifies the application of ARB 51 to certain entities in which equity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do not have the characteristics of a controlling financial interest or do not have sufficient equity at risk for the entity to finance its activities without additional subordinated financial support. The application of FIN 46 may require that an entity be subject to consolidation even though the investor does not have a controlling financial interest that, under ARB 51, was usually deemed to exist through ownership of a majority voting interest. FIN 46, as revised, is generally effective for all entities subject to the interpretation no later than the end of the first reporting period that ends after March 15, 2004. The Company currently has no investments in entities within the scope of FIN 46 and as a result the application of FIN 46 had no material effect on the Company’s financial statements.</w:t>
      </w:r>
    </w:p>
    <w:p>
      <w:pPr>
        <w:spacing w:after="0" w:line="1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March, 2004, the FASB issued an exposure document entitled </w:t>
      </w:r>
      <w:r>
        <w:rPr>
          <w:rFonts w:ascii="Arial" w:cs="Arial" w:eastAsia="Arial" w:hAnsi="Arial"/>
          <w:sz w:val="16"/>
          <w:szCs w:val="16"/>
          <w:i w:val="1"/>
          <w:iCs w:val="1"/>
          <w:color w:val="auto"/>
        </w:rPr>
        <w:t>Share-Based Payment - an amendment of Statements No. 123 and 95 (Proposed 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Accounting Standards)</w:t>
      </w:r>
      <w:r>
        <w:rPr>
          <w:rFonts w:ascii="Arial" w:cs="Arial" w:eastAsia="Arial" w:hAnsi="Arial"/>
          <w:sz w:val="16"/>
          <w:szCs w:val="16"/>
          <w:color w:val="auto"/>
        </w:rPr>
        <w:t>. The proposed Statement would eliminate the ability to account for share-based compensation transactions using APB</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No. 25 and generally require instead that such transactions be accounted for using a fair-value-based method. This accounting, if approved, will result in significant compensation expense charges to our future results of operations. The proposed Statement, if adopted, would be applied to public entities prospectively for fiscal years beginning after December 15, 2004, as if all share-based compensation awards granted, modified, or settled after December 15, 1994, had been accounted for using the fair-value method of accounting. Retrospective application of the proposed Statement is not permitted.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as a percentage of net sales for the three-month periods ended March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6"/>
                <w:szCs w:val="16"/>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00" w:type="dxa"/>
            <w:vAlign w:val="bottom"/>
            <w:vMerge w:val="restart"/>
          </w:tcPr>
          <w:p>
            <w:pPr>
              <w:spacing w:after="0"/>
              <w:rPr>
                <w:sz w:val="6"/>
                <w:szCs w:val="6"/>
                <w:color w:val="auto"/>
              </w:rPr>
            </w:pPr>
          </w:p>
        </w:tc>
        <w:tc>
          <w:tcPr>
            <w:tcW w:w="30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9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13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100.0%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Cost of sales</w:t>
            </w:r>
          </w:p>
        </w:tc>
        <w:tc>
          <w:tcPr>
            <w:tcW w:w="29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(58.5)%</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(66.6)%</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29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b w:val="1"/>
                <w:bCs w:val="1"/>
                <w:color w:val="auto"/>
              </w:rPr>
              <w:t>41.5%</w:t>
            </w:r>
          </w:p>
        </w:tc>
        <w:tc>
          <w:tcPr>
            <w:tcW w:w="13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33.4%</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(17.2)%</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(22.3)%</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w:t>
            </w:r>
          </w:p>
        </w:tc>
        <w:tc>
          <w:tcPr>
            <w:tcW w:w="2220" w:type="dxa"/>
            <w:vAlign w:val="bottom"/>
            <w:gridSpan w:val="2"/>
            <w:shd w:val="clear" w:color="auto" w:fill="EEEEEE"/>
          </w:tcPr>
          <w:p>
            <w:pPr>
              <w:spacing w:after="0"/>
              <w:rPr>
                <w:sz w:val="18"/>
                <w:szCs w:val="18"/>
                <w:color w:val="auto"/>
              </w:rPr>
            </w:pPr>
          </w:p>
        </w:tc>
        <w:tc>
          <w:tcPr>
            <w:tcW w:w="7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b w:val="1"/>
                <w:bCs w:val="1"/>
                <w:color w:val="auto"/>
                <w:w w:val="98"/>
              </w:rPr>
              <w:t>(19.1)%</w:t>
            </w:r>
          </w:p>
        </w:tc>
        <w:tc>
          <w:tcPr>
            <w:tcW w:w="136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(19.0)%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080" w:type="dxa"/>
            <w:vAlign w:val="bottom"/>
            <w:gridSpan w:val="2"/>
          </w:tcPr>
          <w:p>
            <w:pPr>
              <w:ind w:left="2000"/>
              <w:spacing w:after="0"/>
              <w:rPr>
                <w:sz w:val="20"/>
                <w:szCs w:val="20"/>
                <w:color w:val="auto"/>
              </w:rPr>
            </w:pPr>
            <w:r>
              <w:rPr>
                <w:rFonts w:ascii="Arial" w:cs="Arial" w:eastAsia="Arial" w:hAnsi="Arial"/>
                <w:sz w:val="18"/>
                <w:szCs w:val="18"/>
                <w:color w:val="auto"/>
              </w:rPr>
              <w:t>Income (loss) from operations</w:t>
            </w:r>
          </w:p>
        </w:tc>
        <w:tc>
          <w:tcPr>
            <w:tcW w:w="2220" w:type="dxa"/>
            <w:vAlign w:val="bottom"/>
            <w:gridSpan w:val="2"/>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(7.9)%</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960" w:type="dxa"/>
            <w:vAlign w:val="bottom"/>
            <w:vMerge w:val="restart"/>
          </w:tcPr>
          <w:p>
            <w:pPr>
              <w:jc w:val="right"/>
              <w:ind w:right="1153"/>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2004 Compared to Three Months Ended March 31, 2003</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net sales increased 16% to $35.9 million in 2004, compared to net sales of $31.1 million in 2003. Sales of semiconductor test handling equipment in 2004 increased 20% from the 2003 period and accounted for 80% of consolidated net sales in 2004, versus 77% in 2003. Sales of television cameras and other equipment accounted for 13% of net sales in 2004 and increased 10% when compared to 2003, while the combined sales of metal detection and microwave equipment decreased 12%.</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March 31, 2004, the Company had deferred revenue totaling approximately $16.5 million and deferred profit of $6.9 million. At December 31, 2003, the Company had deferred revenue totaling approximately $9.3 million and deferred profit of $4.1 million. The increase in deferred revenue and profit is primarily related to the deferral of revenue on certain new semiconductor test handlers and microwave communications equipment that have been shipped and installed and are awaiting customer acceptance.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Gross margin as a percentage of net sales increased to 41.5% in 2004 from 33.4% in 2003, primarily as a result of higher margins in the semiconductor equipment business. Within the semiconductor equipment segment, margins increased in 2004, primarily as a result of changes in product mix and increased business volume. Cohu computes the majority of its excess and obsolete inventory reserve requirements using a one-year inventory usage forecast. During 2004 and 2003, we recorded net charges to cost of sales of approximately $1.3 million and $0.5 million, respectively, for excess and obsolete inventory. While we believe our reserves for excess and obsolete inventory are adequate to cover our exposures at March 31, 2004, reductions in customer forecasts or continued modifications to products, including our newest handler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may require additional charges to operations that could negatively impact our gross margin in future periods. Conversely, if our actual inventory usage is greater than our forecasted usage, our gross margin may be favorably impacted in future periods.</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2003, we recorded a charge to cost of sales of approximately $1.7 million as a result of inventory market valuation writedowns. In the first quarter of 2004, we sold certain of this inventory and our gross margin was favorably impacted by approximately $0.7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Research and development expense (“R&amp;D”) as a percentage of net sales was 17.2% in 2004, compared to 22.3% in 2003, decreasing in absolute dollars from $6.9 million in 2003 to $6.2 million in 2004. The decrease in R&amp;D was primarily the result of lower R&amp;D labor and material costs for product development in the semiconductor equipment business resulting in large part from the closure of our Columbus, Ohio operation in April, 2003.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Selling, general and administrative expense (“SG&amp;A”) as a percentage of net sales increased to 19.1% in 2004, from 19.0% in 2003, increasing from $5.9 million in 2003 to $6.9 million in 2004. The increase in SG&amp;A expense was primarily related to increased business volume.</w:t>
      </w:r>
    </w:p>
    <w:p>
      <w:pPr>
        <w:spacing w:after="0" w:line="1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February, 2004, the Company and a foreign sales representative amended a Product Representation Agreement that was originally entered into on April 1, 2003. The amendment reduced the commissions to be paid by the Company to the sales representative on certain previously recorded and future sales. In the quarter ended March 31, 2004, the Company reduced commission expense by $129,000 and $103,000, for commissions previously expensed in 2003 and 2004, respectively. Accordingly, selling, general and administrative expense for the three months ended March 31, 2004 has been reduced by $232,000 as a result of this amendment.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was $0.6 million and $0.7 million in 2004 and 2003, respectively. The decrease in interest income was due to lower interest rates.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provision (benefit) for income taxes expressed as a percentage of pre-tax income was 16.0% in 2004 and (22.6%) in 2003. The provision (benefit) for income taxes is based on the estimated effective tax rate for the entire year and in 2004 is lower than the U.S. federal statutory rate primarily due to the significant deferred tax valuation allowance recorded at December 31, 2003. The estimated effective tax rate is subject to adjustment in subsequent quarterly periods as the Company’s estimates of pretax income or loss for the year are increased or decreased. At December 31, 2003 and March 31, 2004, Cohu assessed the need for a valuation allowance on its deferred tax assets. Realization of the deferred tax assets is dependent upon the Company generating sufficient taxable income, in appropriate tax jurisdictions, in future years, to obtain benefit from the reversal of temporary differences and net operating tax loss and credit carryforwards. At December 31, 2003, the Company had recorded a valuation allowance of approximately $11.7 million against deferred tax assets due to the uncertainties surrounding their realization. The amount of deferred tax assets considered realizable is subject to adjustment in future periods should Cohu determine that estimates of future taxable income are reduced or increased.</w:t>
      </w:r>
    </w:p>
    <w:p>
      <w:pPr>
        <w:spacing w:after="0" w:line="1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IRS is currently conducting a routine examination of Cohu’s consolidated tax returns for the period 2000 through 2002. The Company expects the IRS examination to be completed in 2004. If the examination is concluded in 2004, any adjustments that result from the IRS examination will be reflected in the Company’s 2004 results of operations. The Company believes that such adjustments, if any, are adequately provided for in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9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On April 10, 2003, Cohu announced that its Delta Design subsidiary was relocating its Littleton, Massachusetts operation to its headquarters facility in Poway, California. The consolidation was substantially complete by March 31, 2004. Cohu incurred charges in the first quarter of 2004 totaling approximately $0.2 million for severance and other related exit costs.</w:t>
      </w:r>
    </w:p>
    <w:p>
      <w:pPr>
        <w:spacing w:after="0" w:line="14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April 2003, Cohu’s Delta Design subsidiary completed the relocation of its Columbus, Ohio operations to its headquarters facility in Poway, California. The consolidation is expected to reduce costs without impacting the revenue generating activities of Delta Design. The Company recorded charges to operations in the quarter ended March 31, 2003, totaling $0.6 million for severance and one-time termination benefits and $0.1 million for contract termination costs primarily related to the leased facility. Exit-related costs charged to operations subsequent to the quarter ended March 31, 2003 were not significant.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 2003, Cohu through its Broadcast Microwave Services (BMS) subsidiary, was awarded an $8.5 million contract from the United Arab Emirates</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(UAE) Armed Services to provide microwave communications equipment for a 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Cohu will recognize all revenue and related costs under this contract in the period the system is accepted by the customer. Through March 31, 2004, we had shipped inventory with a sales value of $4.6 million and deferred costs of approximately $3.4 million resulting in deferred profit of approximately $1.2 million under the contract. In addition, at March 31, 2004 we had inventory to be delivered under the contract of approximately $1.5 million and accounts receivable of approximately $2.6 million. Cohu has also provided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customer with a standby letter of credit totaling approximately $2.5 million at March 31, 2004, that may be drawn upon if BMS does not fulfill the terms of the contract. We currently expect equipment and system installation to be completed in 2004. If BMS is unable to successfully complete the installation of the equipment and obtain customer acceptance of the system, the related inventory and receivables may need to be written off, the customer might seek a refund of the $2.0 million in payments made to BMS under the contract and our business, results of operations and financial condition would be materially impacted.</w:t>
      </w:r>
    </w:p>
    <w:p>
      <w:pPr>
        <w:spacing w:after="0" w:line="114" w:lineRule="exact"/>
        <w:rPr>
          <w:sz w:val="20"/>
          <w:szCs w:val="20"/>
          <w:color w:val="auto"/>
        </w:rPr>
      </w:pPr>
    </w:p>
    <w:p>
      <w:pPr>
        <w:ind w:right="2040"/>
        <w:spacing w:after="0" w:line="461" w:lineRule="auto"/>
        <w:rPr>
          <w:sz w:val="20"/>
          <w:szCs w:val="20"/>
          <w:color w:val="auto"/>
        </w:rPr>
      </w:pPr>
      <w:r>
        <w:rPr>
          <w:rFonts w:ascii="Arial" w:cs="Arial" w:eastAsia="Arial" w:hAnsi="Arial"/>
          <w:sz w:val="18"/>
          <w:szCs w:val="18"/>
          <w:color w:val="auto"/>
        </w:rPr>
        <w:t xml:space="preserve">As a result of the factors set forth above, our net income was $2.1 million in 2004, compared to a net loss of $1.4 million in 2003. </w:t>
      </w:r>
      <w:r>
        <w:rPr>
          <w:rFonts w:ascii="Arial" w:cs="Arial" w:eastAsia="Arial" w:hAnsi="Arial"/>
          <w:sz w:val="18"/>
          <w:szCs w:val="18"/>
          <w:b w:val="1"/>
          <w:bCs w:val="1"/>
          <w:color w:val="auto"/>
        </w:rPr>
        <w:t>LIQUIDITY AND CAPITAL RESOURCES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Our net cash flows provided from operating activities in the first three months of 2004 totaled $1.2 million. The major components of cash flows used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 were net income of $2.1 million, the net change in current assets and liabilities totaling $1.9 million, and depreciation and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Net cash used for investing activities included $7.9 million for the purchase of short-term investments, less sales and maturities, and purchases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property, plant and equipment and other assets of $0.8 million offset by a $9.0 million payment on a note receivable. Cash provided by financing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$0.9 million received from the issuance of stock upon the exercise of stock options offset by $1.1 million for the payment of dividends. Cohu has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 million bank line of credit, of which approximately $2.5 million has been allocated to outstanding standby letters of credit, and working capital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$155.8 million at March 31, 2004. We anticipate that present working capital and available borrowings under the line of credit will be sufficient to meet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requirements for at least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ordinary course of business, Cohu provides standby letters of credit instruments to certain parties as required. As of December 31, 2003, the maximum potential amount of future payments that Cohu could be required to make under these standby letters of credit was approximately $2.5 million. Cohu has not recorded any liability in connection with these arrangements beyond that required to appropriately account for the underlying transaction being guaranteed. Cohu does not believe, based on historical experience and information currently available, that it is probable that any amounts will be required to be paid under these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2002 and 2003.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the years ended December 31, 2003, 2002 and 2001, we recorded pretax inventory-related charges of approximately $4.6 million, $4.1 million and $15.9 million, respectively, primarily as a result of changes in customer forecasts.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rely on a limited number of customers for a substantial percentage of our net sales. In the year ended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December 31, 2003, two customers of the semiconductor equipment segment accounted for 57% (53% in 2002, and 44% in 2001) of our net sales. During the past five years, the percentage of Cohu’s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8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that have diminished the importance of installed base as a competitive advantage.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 the cost of our existing products and successfully introduce new lower cost products we expect these competitive conditions to negatively impact our gross margin and operating results for the foreseeable future.</w:t>
      </w:r>
    </w:p>
    <w:p>
      <w:pPr>
        <w:spacing w:after="0" w:line="14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our recently introduced Delta </w:t>
      </w:r>
      <w:r>
        <w:rPr>
          <w:rFonts w:ascii="Arial" w:cs="Arial" w:eastAsia="Arial" w:hAnsi="Arial"/>
          <w:sz w:val="17"/>
          <w:szCs w:val="17"/>
          <w:b w:val="1"/>
          <w:bCs w:val="1"/>
          <w:i w:val="1"/>
          <w:iCs w:val="1"/>
          <w:color w:val="auto"/>
        </w:rPr>
        <w:t>EDGE</w:t>
      </w:r>
      <w:r>
        <w:rPr>
          <w:rFonts w:ascii="Arial" w:cs="Arial" w:eastAsia="Arial" w:hAnsi="Arial"/>
          <w:sz w:val="17"/>
          <w:szCs w:val="17"/>
          <w:color w:val="auto"/>
        </w:rPr>
        <w:t>™ handler, may adversely impact sales or margins of existing products. In addition, the introduction of new products by Cohu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 year period ended December 31, 2003. Future inventory write-offs and increased inventory reserve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requirements could have a material adverse impact on our results of operations and financial condition.</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transition from product development to the manufacture of new semiconductor equipment is a difficult process and delays in product introductions and problems in manufacturing such equipment are common. We have in the past and continue to experience difficulties in manufacturing and volume production of our new test handlers including our latest product offering, 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i w:val="1"/>
          <w:iCs w:val="1"/>
          <w:color w:val="auto"/>
        </w:rPr>
        <w:t>.</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 significant portion of the purchase price was allocated to goodwill and other intangible assets. In the fourth quarter of 2002, Cohu invested $2.5 million in KryoTech, Inc. preferred stock, that was written off in June, 2003, and $1.7 million in intangible assets for certain technology.</w:t>
      </w:r>
    </w:p>
    <w:p>
      <w:pPr>
        <w:spacing w:after="0" w:line="13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and goodwill that could result in significant charges to operating results in future periods. In addition, such acquisitions or investments may result in immediate charges to operating results. Mergers, acquisitions and investments are inherently risky and the inability to effectively manage these risks could materially and adversely affect Cohu’s business, financial condition and results of operations.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21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the past, we have taken remedial measures to address the slowdown in the market for our products. In particular, we reduced our workforce, including reductions in September and October, 2002 and January and March, 2003, delayed salary increases, reduced senior executives’ pay, implemented furloughs, announced facilities consolidations and reduced expense budgets. In January and April, 2003, we announced the consolidation of Delta Design’s Columbus, Ohio and Littleton, Massachusetts operations into our Poway, California facility. Each of these measures could have long-term effects on our business by reducing our pool of technical talent, decreasing or slowing improvements in our products and making it more difficult for us to respond to customers needs.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backlog at March 31, 2004, may not be a reliable indicator of revenues in future periods due to delayed delivery dates or customer requested changes to delivery schedules, order cancellations and delays in recognizing revenue due to accounting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continued in the third and fourth quarter of 2002 and January and March, 2003. In January and April, 2003, we announced the consolidation of Delta Design’s Columbus, Ohio and Littleton, Massachusetts operations into our Poway, California facility.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Sales of gravity-feed IC test handlers used in DRAM testing represented a significant percentage of Cohu’s total semiconductor equipment related revenue during the period 1994 through 1998. Due to changes in IC package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technology, gravity-feed handlers are no longer suitable for handling many types of DRAMs. As a result, we have seen a significant decline in sales of our gravity-feed test handler products. Pick-and-place IC handlers used in DRAM applications account for a significant portion of the worldwide IC handler market and Cohu’s market share in the DRAM segment is negligible. Cohu’s share of the gravity-feed handler market for the last five years has also been negligible, and with the announced closure of our Littleton, Massachusetts operations, we no longer plan to sell gravity feed test handlers. Such handlers are used in numerous non DRAM applications and continue to represent a significant portion of the worldwide test handler market. Because we do not participate in the DRAM and/or gravity-feed market segments, our total available sales market is limited and as a result our business and results of operations have been and will continue to be negatively impacted.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Cohu has operations located in various parts of the world to support our sales and services to the global semiconductor industry. In the fourth quarter of 2003, we established a small manufacturing operation near Manila in the Philippines. Managing geographically dispersed operations presents difficult challenges associated with, among other things, organizational alignment and infrastructure, communications and information technology, inventory control, customer relationship management, terrorist threats and related security matters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3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year ended December 31, 2003, 61% of our total net sales were exported to foreign countries, including 72% of the sales in the semiconductor equipment segment. The majority of our export sales are made to destinations in Asia. Political or economic instability, particularly in Asia, may adversely impact the demand for capital equipment, including equipment of the type manufactured and marketed by Cohu. In addition, we face intense competition from a number of Asian suppliers that have certain advantages over U.S. suppliers, including Cohu.</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and are not profitable.</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19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March 2004, the FASB issued an exposure document entitled </w:t>
      </w:r>
      <w:r>
        <w:rPr>
          <w:rFonts w:ascii="Arial" w:cs="Arial" w:eastAsia="Arial" w:hAnsi="Arial"/>
          <w:sz w:val="16"/>
          <w:szCs w:val="16"/>
          <w:i w:val="1"/>
          <w:iCs w:val="1"/>
          <w:color w:val="auto"/>
        </w:rPr>
        <w:t>Share-Based Payment - an amendment of Statements No. 123 and 95 (Proposed 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Accounting Standards)</w:t>
      </w:r>
      <w:r>
        <w:rPr>
          <w:rFonts w:ascii="Arial" w:cs="Arial" w:eastAsia="Arial" w:hAnsi="Arial"/>
          <w:sz w:val="16"/>
          <w:szCs w:val="16"/>
          <w:color w:val="auto"/>
        </w:rPr>
        <w:t>. The proposed Statement would eliminate the ability to account for share-based compensation transactions using APB</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No. 25 and generally require instead that such transactions be accounted for using a fair-value-based method. This accounting, if approved, will result in significant compensation expense charges to our future results of operations. The proposed Statement, if adopted, would be applied to public entities prospectively for fiscal years beginning after December 15, 2004, as if all share-based compensation awards granted, modified, or settled after December 15, 1994, had been accounted for using the fair-value method of accounting. Retrospective application of the proposed Statement is not permitted.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$30.65 to $9.78.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proposed changes in securities laws and regulations are likely to increase our costs.</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Sarbanes-Oxley Act of 2002 (“SOX”) that became law in July, 2002, requires changes in some of our corporate governance and securities disclosure or compliance practices. SOX also requires the SEC to promulgate new rules on a variety of subjects, in addition to rule proposals already made, and Nasdaq has issued revisions to its requirements for companies that are Nasdaq-listed. In June, 2003 the SEC adopted certain rules as directed by Section 404 of SOX. These rules require that publicly held companies, including Cohu, include in their annual report to shareholders a report of management on the company’s internal control over financial reporting. Our independent auditors will be required to attest to management’s assessment of internal controls over financial reporting. Cohu will be required to comply with this new requirement in its annual report for the year ending December 31, 2004. If our financial reporting controls are not deemed effective, there will be an adverse impact on our reputation that could negatively impact our stock price.</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also expect these developments to increase our legal and accounting compliance costs, and to make some activities more difficult, such as stockholder approval of new stock option plans. We also expect these developments to make it more difficult and expensive for us to obtain director and officer liability insurance, and we may be required to accept reduced coverage or incur substantially higher costs to obtain coverage. These developments could make it more difficult for us to attract and retain qualified members of our board of directors, or qualified executive officers. We are presently evaluating and monitoring regulatory developments and cannot estimate the timing or magnitude of additional costs we may incur as a result.</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outbreak of SARS and bird flu in Asia and geopolitical instability caused by terrorist attacks and threats may adversely impact our operations and sales.</w:t>
      </w:r>
    </w:p>
    <w:p>
      <w:pPr>
        <w:spacing w:after="0" w:line="13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Asian sales and service headquarters is located in Singapore and the majority of our sales are made to destinations in Asia. In addition, we recently organized a business in the Philippines to fabricate certain component parts used in our semiconductor test handlers. Our operations and sales in this region may be adversely impacted by Severe Acute Respiratory Syndrome, or SARS, or the recent outbreak of Asian bird flu, if our business or the businesses of our customers are disrupted by travel restrictions or the illness and quarantine of employees. Furthermore, continued terrorist attacks or threats may cause increased geopolitical instability that may have an adverse effect on the world economy and our business</w:t>
      </w:r>
    </w:p>
    <w:p>
      <w:pPr>
        <w:spacing w:after="0" w:line="1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2003 Annual Report on Form 10-K, that could cause actual results to differ materially from those projected or forecasted. Cohu undertakes no obligation to update the information, including the forward-looking statements, in this Form 10-Q.</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March 31, 2004 our investment portfolio includes fixed-income securities with a fair value of approximately $108.4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Foreign currency exchange risk.</w:t>
      </w:r>
    </w:p>
    <w:p>
      <w:pPr>
        <w:spacing w:after="0" w:line="202"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0" w:type="dxa"/>
            <w:vAlign w:val="bottom"/>
          </w:tcPr>
          <w:p>
            <w:pPr>
              <w:ind w:left="140"/>
              <w:spacing w:after="0"/>
              <w:rPr>
                <w:sz w:val="20"/>
                <w:szCs w:val="20"/>
                <w:color w:val="auto"/>
              </w:rPr>
            </w:pPr>
            <w:r>
              <w:rPr>
                <w:rFonts w:ascii="Arial" w:cs="Arial" w:eastAsia="Arial" w:hAnsi="Arial"/>
                <w:sz w:val="18"/>
                <w:szCs w:val="18"/>
                <w:color w:val="auto"/>
                <w:w w:val="95"/>
              </w:rPr>
              <w:t>Amended and Restated Certificate of Incorporation of Cohu, Inc. incorporated herein by reference to Exhibit 3.1(a)</w:t>
            </w:r>
          </w:p>
        </w:tc>
      </w:tr>
      <w:tr>
        <w:trPr>
          <w:trHeight w:val="230"/>
        </w:trPr>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from the Cohu, Inc. Form 10-Q for the quarterly period ended June 30, 1999</w:t>
            </w:r>
          </w:p>
        </w:tc>
      </w:tr>
      <w:tr>
        <w:trPr>
          <w:trHeight w:val="418"/>
        </w:trPr>
        <w:tc>
          <w:tcPr>
            <w:tcW w:w="640" w:type="dxa"/>
            <w:vAlign w:val="bottom"/>
          </w:tcPr>
          <w:p>
            <w:pPr>
              <w:jc w:val="right"/>
              <w:ind w:right="30"/>
              <w:spacing w:after="0"/>
              <w:rPr>
                <w:sz w:val="20"/>
                <w:szCs w:val="20"/>
                <w:color w:val="auto"/>
              </w:rPr>
            </w:pPr>
            <w:r>
              <w:rPr>
                <w:rFonts w:ascii="Arial" w:cs="Arial" w:eastAsia="Arial" w:hAnsi="Arial"/>
                <w:sz w:val="18"/>
                <w:szCs w:val="18"/>
                <w:color w:val="auto"/>
              </w:rPr>
              <w:t>3.1(a)</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0" w:type="dxa"/>
            <w:vAlign w:val="bottom"/>
          </w:tcPr>
          <w:p>
            <w:pPr>
              <w:ind w:left="140"/>
              <w:spacing w:after="0"/>
              <w:rPr>
                <w:sz w:val="20"/>
                <w:szCs w:val="20"/>
                <w:color w:val="auto"/>
              </w:rPr>
            </w:pPr>
            <w:r>
              <w:rPr>
                <w:rFonts w:ascii="Arial" w:cs="Arial" w:eastAsia="Arial" w:hAnsi="Arial"/>
                <w:sz w:val="18"/>
                <w:szCs w:val="18"/>
                <w:color w:val="auto"/>
                <w:w w:val="93"/>
              </w:rPr>
              <w:t>Certificate of Amendment of Amended and Restated Certificate of Incorporation of Cohu, Inc. incorporated herein by</w:t>
            </w:r>
          </w:p>
        </w:tc>
      </w:tr>
      <w:tr>
        <w:trPr>
          <w:trHeight w:val="230"/>
        </w:trPr>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reference from the Cohu, Inc. Form S-8 filed June 30, 2000, Exhibit 4.1(a)</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0" w:type="dxa"/>
            <w:vAlign w:val="bottom"/>
          </w:tcPr>
          <w:p>
            <w:pPr>
              <w:ind w:left="140"/>
              <w:spacing w:after="0"/>
              <w:rPr>
                <w:sz w:val="20"/>
                <w:szCs w:val="20"/>
                <w:color w:val="auto"/>
              </w:rPr>
            </w:pPr>
            <w:r>
              <w:rPr>
                <w:rFonts w:ascii="Arial" w:cs="Arial" w:eastAsia="Arial" w:hAnsi="Arial"/>
                <w:sz w:val="18"/>
                <w:szCs w:val="18"/>
                <w:color w:val="auto"/>
                <w:w w:val="90"/>
              </w:rPr>
              <w:t>Amended and Restated Bylaws of Cohu, Inc. incorporated herein by reference to Exhibit 3.2 from the Cohu, Inc. Report</w:t>
            </w:r>
          </w:p>
        </w:tc>
      </w:tr>
      <w:tr>
        <w:trPr>
          <w:trHeight w:val="230"/>
        </w:trPr>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on Form 8-K filed with the Securities and Exchange Commission on December 12, 1996</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0" w:type="dxa"/>
            <w:vAlign w:val="bottom"/>
          </w:tcPr>
          <w:p>
            <w:pPr>
              <w:ind w:left="140"/>
              <w:spacing w:after="0"/>
              <w:rPr>
                <w:sz w:val="20"/>
                <w:szCs w:val="20"/>
                <w:color w:val="auto"/>
              </w:rPr>
            </w:pPr>
            <w:r>
              <w:rPr>
                <w:rFonts w:ascii="Arial" w:cs="Arial" w:eastAsia="Arial" w:hAnsi="Arial"/>
                <w:sz w:val="18"/>
                <w:szCs w:val="18"/>
                <w:color w:val="auto"/>
                <w:w w:val="95"/>
              </w:rPr>
              <w:t>Rights Agreement dated November 15, 1996, between Cohu, Inc. and ChaseMellon Shareholder Services, L.L.C.,</w:t>
            </w:r>
          </w:p>
        </w:tc>
      </w:tr>
      <w:tr>
        <w:trPr>
          <w:trHeight w:val="230"/>
        </w:trPr>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w w:val="98"/>
              </w:rPr>
              <w:t>incorporated herein by reference from the Cohu, Inc. Report on Form 8-K filed December 12, 1996, Exhibit 4.1</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31.1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0" w:type="dxa"/>
            <w:vAlign w:val="bottom"/>
          </w:tcPr>
          <w:p>
            <w:pPr>
              <w:ind w:left="1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31.2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0" w:type="dxa"/>
            <w:vAlign w:val="bottom"/>
          </w:tcPr>
          <w:p>
            <w:pPr>
              <w:ind w:left="1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32.1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32.2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2" w:lineRule="exact"/>
        <w:rPr>
          <w:sz w:val="20"/>
          <w:szCs w:val="20"/>
          <w:color w:val="auto"/>
        </w:rPr>
      </w:pPr>
    </w:p>
    <w:p>
      <w:pPr>
        <w:ind w:left="660" w:right="80" w:hanging="30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on Form 8-K: The Company filed a report on Form 8-K with the Securities and Exchange Commission on January 29, 2004. The Form 8-K included the Cohu, Inc. Fourth Quarter 2003 Earnings Release, dated January 28, 2004.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April 23, 2004</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74930</wp:posOffset>
            </wp:positionV>
            <wp:extent cx="24523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April 23, 2004</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74930</wp:posOffset>
            </wp:positionV>
            <wp:extent cx="24523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Finance &amp; Chief Financial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69"/>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24"/>
                <w:szCs w:val="24"/>
                <w:color w:val="auto"/>
              </w:rPr>
            </w:pP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04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800" w:type="dxa"/>
            <w:vAlign w:val="bottom"/>
            <w:tcBorders>
              <w:bottom w:val="single" w:sz="8" w:color="808080"/>
            </w:tcBorders>
          </w:tcPr>
          <w:p>
            <w:pPr>
              <w:spacing w:after="0"/>
              <w:rPr>
                <w:sz w:val="4"/>
                <w:szCs w:val="4"/>
                <w:color w:val="auto"/>
              </w:rPr>
            </w:pPr>
          </w:p>
        </w:tc>
      </w:tr>
      <w:tr>
        <w:trPr>
          <w:trHeight w:val="276"/>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3.1(a)</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Certificate of Amendment of Amended and Restated Certificate of Incorporation of Cohu, Inc. incorporated herein by reference from</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 Cohu, Inc. Form S-8 filed June 30, 2000, Exhibit 4.1(a)</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Bylaws of Cohu, Inc. incorporated herein by reference to Exhibit 3.2 from the Cohu, Inc. Report on Form 8-K</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Rights Agreement dated November 15, 1996, between Cohu, Inc. and ChaseMellon Shareholder Services, L.L.C., incorporated herein</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by reference from the Cohu, Inc. Report on Form 8-K filed December 12, 1996, Exhibit 4.1</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28" w:name="page29"/>
    <w:bookmarkEnd w:id="28"/>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A. Donahue, certify that:</w:t>
      </w:r>
    </w:p>
    <w:p>
      <w:pPr>
        <w:spacing w:after="0" w:line="201" w:lineRule="exact"/>
        <w:rPr>
          <w:sz w:val="20"/>
          <w:szCs w:val="20"/>
          <w:color w:val="auto"/>
        </w:rPr>
      </w:pPr>
    </w:p>
    <w:p>
      <w:pPr>
        <w:ind w:left="960" w:hanging="636"/>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960" w:right="1779" w:hanging="636"/>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960" w:right="1779" w:hanging="636"/>
        <w:spacing w:after="0" w:line="275"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Courier New" w:cs="Courier New" w:eastAsia="Courier New" w:hAnsi="Courier New"/>
          <w:sz w:val="16"/>
          <w:szCs w:val="16"/>
          <w:color w:val="auto"/>
        </w:rPr>
      </w:pPr>
    </w:p>
    <w:p>
      <w:pPr>
        <w:ind w:left="960" w:right="1879" w:hanging="636"/>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960" w:right="1879" w:hanging="636"/>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900" w:right="1999" w:firstLine="4"/>
        <w:spacing w:after="0" w:line="279" w:lineRule="auto"/>
        <w:tabs>
          <w:tab w:leader="none" w:pos="232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23,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Donahue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1440" w:gutter="0" w:footer="0" w:header="0"/>
        </w:sectPr>
      </w:pPr>
    </w:p>
    <w:bookmarkStart w:id="29" w:name="page30"/>
    <w:bookmarkEnd w:id="29"/>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H. Allen, certify that:</w:t>
      </w:r>
    </w:p>
    <w:p>
      <w:pPr>
        <w:spacing w:after="0" w:line="201" w:lineRule="exact"/>
        <w:rPr>
          <w:sz w:val="20"/>
          <w:szCs w:val="20"/>
          <w:color w:val="auto"/>
        </w:rPr>
      </w:pPr>
    </w:p>
    <w:p>
      <w:pPr>
        <w:ind w:left="960" w:hanging="636"/>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960" w:right="1779" w:hanging="636"/>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960" w:right="1779" w:hanging="636"/>
        <w:spacing w:after="0" w:line="275"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Courier New" w:cs="Courier New" w:eastAsia="Courier New" w:hAnsi="Courier New"/>
          <w:sz w:val="16"/>
          <w:szCs w:val="16"/>
          <w:color w:val="auto"/>
        </w:rPr>
      </w:pPr>
    </w:p>
    <w:p>
      <w:pPr>
        <w:ind w:left="960" w:right="1879" w:hanging="636"/>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960" w:right="1879" w:hanging="636"/>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900" w:right="1999" w:firstLine="4"/>
        <w:spacing w:after="0" w:line="279" w:lineRule="auto"/>
        <w:tabs>
          <w:tab w:leader="none" w:pos="232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23,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 &amp; Chief Financial Officer</w:t>
      </w:r>
    </w:p>
    <w:p>
      <w:pPr>
        <w:sectPr>
          <w:pgSz w:w="11900" w:h="16838" w:orient="portrait"/>
          <w:cols w:equalWidth="0" w:num="1">
            <w:col w:w="10219"/>
          </w:cols>
          <w:pgMar w:left="240" w:top="541" w:right="1440" w:bottom="1440" w:gutter="0" w:footer="0" w:header="0"/>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 James A. Donahue, Chief Executive Officer of Cohu, Inc. (the "Registrant"), do hereby certify in accordance with 18 U.S.C. 1350, as adopted pursuant to Section 906 of the Sarbanes-Oxley Act of 2002, that, based on my knowledge:</w:t>
      </w:r>
    </w:p>
    <w:p>
      <w:pPr>
        <w:spacing w:after="0" w:line="178" w:lineRule="exact"/>
        <w:rPr>
          <w:sz w:val="20"/>
          <w:szCs w:val="20"/>
          <w:color w:val="auto"/>
        </w:rPr>
      </w:pPr>
    </w:p>
    <w:p>
      <w:pPr>
        <w:jc w:val="both"/>
        <w:ind w:left="960" w:right="1879" w:hanging="4"/>
        <w:spacing w:after="0" w:line="237" w:lineRule="auto"/>
        <w:tabs>
          <w:tab w:leader="none" w:pos="138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23, 2004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Donahue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Executive Officer</w:t>
      </w:r>
    </w:p>
    <w:p>
      <w:pPr>
        <w:sectPr>
          <w:pgSz w:w="11900" w:h="16838" w:orient="portrait"/>
          <w:cols w:equalWidth="0" w:num="2">
            <w:col w:w="4020" w:space="720"/>
            <w:col w:w="5479"/>
          </w:cols>
          <w:pgMar w:left="240" w:top="339" w:right="1440" w:bottom="1440" w:gutter="0" w:footer="0" w:header="0"/>
          <w:type w:val="continuous"/>
        </w:sectPr>
      </w:pPr>
    </w:p>
    <w:bookmarkStart w:id="31" w:name="page32"/>
    <w:bookmarkEnd w:id="31"/>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 John H. Allen, Chief Financial Officer of Cohu, Inc. (the "Registrant"), do hereby certify in accordance with 18 U.S.C. 1350, as adopted pursuant to Section 906 of the Sarbanes-Oxley Act of 2002, that, based on my knowledge:</w:t>
      </w:r>
    </w:p>
    <w:p>
      <w:pPr>
        <w:spacing w:after="0" w:line="209" w:lineRule="exact"/>
        <w:rPr>
          <w:sz w:val="20"/>
          <w:szCs w:val="20"/>
          <w:color w:val="auto"/>
        </w:rPr>
      </w:pPr>
    </w:p>
    <w:p>
      <w:pPr>
        <w:jc w:val="both"/>
        <w:ind w:left="960" w:right="1879" w:hanging="4"/>
        <w:spacing w:after="0" w:line="237" w:lineRule="auto"/>
        <w:tabs>
          <w:tab w:leader="none" w:pos="138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541"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23, 2004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w:t>
      </w: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4020" w:space="720"/>
        <w:col w:w="547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ü]"/>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decimal"/>
      <w:start w:val="121"/>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decimal"/>
      <w:start w:val="7"/>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2019-12-12T09:02:04Z</dcterms:created>
  <dcterms:modified xsi:type="dcterms:W3CDTF">2019-12-12T09:02:04Z</dcterms:modified>
</cp:coreProperties>
</file>