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AND EXCHANGE COMMISSION</w:t>
      </w: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4300" w:type="dxa"/>
            <w:vAlign w:val="bottom"/>
          </w:tcPr>
          <w:p>
            <w:pPr>
              <w:jc w:val="center"/>
              <w:ind w:right="1676"/>
              <w:spacing w:after="0"/>
              <w:rPr>
                <w:sz w:val="20"/>
                <w:szCs w:val="20"/>
                <w:color w:val="auto"/>
              </w:rPr>
            </w:pPr>
            <w:r>
              <w:rPr>
                <w:rFonts w:ascii="Arial" w:cs="Arial" w:eastAsia="Arial" w:hAnsi="Arial"/>
                <w:sz w:val="18"/>
                <w:szCs w:val="18"/>
                <w:color w:val="auto"/>
                <w:w w:val="92"/>
              </w:rPr>
              <w:t>CURRENT REPORT</w:t>
            </w:r>
          </w:p>
        </w:tc>
        <w:tc>
          <w:tcPr>
            <w:tcW w:w="1420" w:type="dxa"/>
            <w:vAlign w:val="bottom"/>
          </w:tcPr>
          <w:p>
            <w:pPr>
              <w:spacing w:after="0"/>
              <w:rPr>
                <w:sz w:val="20"/>
                <w:szCs w:val="20"/>
                <w:color w:val="auto"/>
              </w:rPr>
            </w:pPr>
          </w:p>
        </w:tc>
      </w:tr>
      <w:tr>
        <w:trPr>
          <w:trHeight w:val="432"/>
        </w:trPr>
        <w:tc>
          <w:tcPr>
            <w:tcW w:w="8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Pursuant to Section 13 or 15(d) of the Securities Exchange Act of 1934</w:t>
            </w:r>
          </w:p>
        </w:tc>
        <w:tc>
          <w:tcPr>
            <w:tcW w:w="1420" w:type="dxa"/>
            <w:vAlign w:val="bottom"/>
          </w:tcPr>
          <w:p>
            <w:pPr>
              <w:spacing w:after="0"/>
              <w:rPr>
                <w:sz w:val="24"/>
                <w:szCs w:val="24"/>
                <w:color w:val="auto"/>
              </w:rPr>
            </w:pP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4300" w:type="dxa"/>
            <w:vAlign w:val="bottom"/>
          </w:tcPr>
          <w:p>
            <w:pPr>
              <w:jc w:val="center"/>
              <w:ind w:left="2836"/>
              <w:spacing w:after="0"/>
              <w:rPr>
                <w:sz w:val="20"/>
                <w:szCs w:val="20"/>
                <w:color w:val="auto"/>
              </w:rPr>
            </w:pPr>
            <w:r>
              <w:rPr>
                <w:rFonts w:ascii="Arial" w:cs="Arial" w:eastAsia="Arial" w:hAnsi="Arial"/>
                <w:sz w:val="18"/>
                <w:szCs w:val="18"/>
                <w:color w:val="auto"/>
                <w:w w:val="91"/>
              </w:rPr>
              <w:t>August 30, 2018</w:t>
            </w:r>
          </w:p>
        </w:tc>
        <w:tc>
          <w:tcPr>
            <w:tcW w:w="1420" w:type="dxa"/>
            <w:vAlign w:val="bottom"/>
          </w:tcPr>
          <w:p>
            <w:pPr>
              <w:spacing w:after="0"/>
              <w:rPr>
                <w:sz w:val="24"/>
                <w:szCs w:val="24"/>
                <w:color w:val="auto"/>
              </w:rPr>
            </w:pPr>
          </w:p>
        </w:tc>
      </w:tr>
      <w:tr>
        <w:trPr>
          <w:trHeight w:val="607"/>
        </w:trPr>
        <w:tc>
          <w:tcPr>
            <w:tcW w:w="4460" w:type="dxa"/>
            <w:vAlign w:val="bottom"/>
          </w:tcPr>
          <w:p>
            <w:pPr>
              <w:spacing w:after="0"/>
              <w:rPr>
                <w:sz w:val="24"/>
                <w:szCs w:val="24"/>
                <w:color w:val="auto"/>
              </w:rPr>
            </w:pPr>
          </w:p>
        </w:tc>
        <w:tc>
          <w:tcPr>
            <w:tcW w:w="4300" w:type="dxa"/>
            <w:vAlign w:val="bottom"/>
          </w:tcPr>
          <w:p>
            <w:pPr>
              <w:jc w:val="center"/>
              <w:ind w:right="1696"/>
              <w:spacing w:after="0"/>
              <w:rPr>
                <w:sz w:val="20"/>
                <w:szCs w:val="20"/>
                <w:color w:val="auto"/>
              </w:rPr>
            </w:pPr>
            <w:r>
              <w:rPr>
                <w:rFonts w:ascii="Arial" w:cs="Arial" w:eastAsia="Arial" w:hAnsi="Arial"/>
                <w:sz w:val="43"/>
                <w:szCs w:val="43"/>
                <w:color w:val="auto"/>
                <w:w w:val="92"/>
              </w:rPr>
              <w:t>Cohu, Inc.</w:t>
            </w:r>
          </w:p>
        </w:tc>
        <w:tc>
          <w:tcPr>
            <w:tcW w:w="1420" w:type="dxa"/>
            <w:vAlign w:val="bottom"/>
          </w:tcPr>
          <w:p>
            <w:pPr>
              <w:spacing w:after="0"/>
              <w:rPr>
                <w:sz w:val="24"/>
                <w:szCs w:val="24"/>
                <w:color w:val="auto"/>
              </w:rPr>
            </w:pPr>
          </w:p>
        </w:tc>
      </w:tr>
      <w:tr>
        <w:trPr>
          <w:trHeight w:val="230"/>
        </w:trPr>
        <w:tc>
          <w:tcPr>
            <w:tcW w:w="8760" w:type="dxa"/>
            <w:vAlign w:val="bottom"/>
            <w:gridSpan w:val="2"/>
          </w:tcPr>
          <w:p>
            <w:pPr>
              <w:jc w:val="right"/>
              <w:ind w:right="1056"/>
              <w:spacing w:after="0"/>
              <w:rPr>
                <w:sz w:val="20"/>
                <w:szCs w:val="20"/>
                <w:color w:val="auto"/>
              </w:rPr>
            </w:pPr>
            <w:r>
              <w:rPr>
                <w:rFonts w:ascii="Arial" w:cs="Arial" w:eastAsia="Arial" w:hAnsi="Arial"/>
                <w:sz w:val="18"/>
                <w:szCs w:val="18"/>
                <w:color w:val="auto"/>
              </w:rPr>
              <w:t>__________________________________________</w:t>
            </w:r>
          </w:p>
        </w:tc>
        <w:tc>
          <w:tcPr>
            <w:tcW w:w="1420" w:type="dxa"/>
            <w:vAlign w:val="bottom"/>
          </w:tcPr>
          <w:p>
            <w:pPr>
              <w:spacing w:after="0"/>
              <w:rPr>
                <w:sz w:val="20"/>
                <w:szCs w:val="20"/>
                <w:color w:val="auto"/>
              </w:rPr>
            </w:pPr>
          </w:p>
        </w:tc>
      </w:tr>
      <w:tr>
        <w:trPr>
          <w:trHeight w:val="432"/>
        </w:trPr>
        <w:tc>
          <w:tcPr>
            <w:tcW w:w="8760" w:type="dxa"/>
            <w:vAlign w:val="bottom"/>
            <w:gridSpan w:val="2"/>
          </w:tcPr>
          <w:p>
            <w:pPr>
              <w:jc w:val="center"/>
              <w:ind w:left="2590"/>
              <w:spacing w:after="0"/>
              <w:rPr>
                <w:sz w:val="20"/>
                <w:szCs w:val="20"/>
                <w:color w:val="auto"/>
              </w:rPr>
            </w:pPr>
            <w:r>
              <w:rPr>
                <w:rFonts w:ascii="Arial" w:cs="Arial" w:eastAsia="Arial" w:hAnsi="Arial"/>
                <w:sz w:val="18"/>
                <w:szCs w:val="18"/>
                <w:color w:val="auto"/>
                <w:w w:val="90"/>
              </w:rPr>
              <w:t>(Exact name of registrant as specified in its charter)</w:t>
            </w:r>
          </w:p>
        </w:tc>
        <w:tc>
          <w:tcPr>
            <w:tcW w:w="1420" w:type="dxa"/>
            <w:vAlign w:val="bottom"/>
          </w:tcPr>
          <w:p>
            <w:pPr>
              <w:spacing w:after="0"/>
              <w:rPr>
                <w:sz w:val="24"/>
                <w:szCs w:val="24"/>
                <w:color w:val="auto"/>
              </w:rPr>
            </w:pPr>
          </w:p>
        </w:tc>
      </w:tr>
      <w:tr>
        <w:trPr>
          <w:trHeight w:val="634"/>
        </w:trPr>
        <w:tc>
          <w:tcPr>
            <w:tcW w:w="4460" w:type="dxa"/>
            <w:vAlign w:val="bottom"/>
          </w:tcPr>
          <w:p>
            <w:pPr>
              <w:jc w:val="center"/>
              <w:ind w:right="550"/>
              <w:spacing w:after="0"/>
              <w:rPr>
                <w:sz w:val="20"/>
                <w:szCs w:val="20"/>
                <w:color w:val="auto"/>
              </w:rPr>
            </w:pPr>
            <w:r>
              <w:rPr>
                <w:rFonts w:ascii="Arial" w:cs="Arial" w:eastAsia="Arial" w:hAnsi="Arial"/>
                <w:sz w:val="18"/>
                <w:szCs w:val="18"/>
                <w:color w:val="auto"/>
                <w:w w:val="92"/>
              </w:rPr>
              <w:t>Delaware</w:t>
            </w:r>
          </w:p>
        </w:tc>
        <w:tc>
          <w:tcPr>
            <w:tcW w:w="4300" w:type="dxa"/>
            <w:vAlign w:val="bottom"/>
          </w:tcPr>
          <w:p>
            <w:pPr>
              <w:jc w:val="right"/>
              <w:ind w:right="2556"/>
              <w:spacing w:after="0"/>
              <w:rPr>
                <w:sz w:val="20"/>
                <w:szCs w:val="20"/>
                <w:color w:val="auto"/>
              </w:rPr>
            </w:pPr>
            <w:r>
              <w:rPr>
                <w:rFonts w:ascii="Arial" w:cs="Arial" w:eastAsia="Arial" w:hAnsi="Arial"/>
                <w:sz w:val="18"/>
                <w:szCs w:val="18"/>
                <w:color w:val="auto"/>
              </w:rPr>
              <w:t>001-04298</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95-1934119</w:t>
            </w:r>
          </w:p>
        </w:tc>
      </w:tr>
      <w:tr>
        <w:trPr>
          <w:trHeight w:val="216"/>
        </w:trPr>
        <w:tc>
          <w:tcPr>
            <w:tcW w:w="4460" w:type="dxa"/>
            <w:vAlign w:val="bottom"/>
          </w:tcPr>
          <w:p>
            <w:pPr>
              <w:jc w:val="right"/>
              <w:ind w:right="1510"/>
              <w:spacing w:after="0"/>
              <w:rPr>
                <w:sz w:val="20"/>
                <w:szCs w:val="20"/>
                <w:color w:val="auto"/>
              </w:rPr>
            </w:pPr>
            <w:r>
              <w:rPr>
                <w:rFonts w:ascii="Arial" w:cs="Arial" w:eastAsia="Arial" w:hAnsi="Arial"/>
                <w:sz w:val="18"/>
                <w:szCs w:val="18"/>
                <w:color w:val="auto"/>
              </w:rPr>
              <w:t>_____________________</w:t>
            </w:r>
          </w:p>
        </w:tc>
        <w:tc>
          <w:tcPr>
            <w:tcW w:w="4300" w:type="dxa"/>
            <w:vAlign w:val="bottom"/>
          </w:tcPr>
          <w:p>
            <w:pPr>
              <w:jc w:val="right"/>
              <w:ind w:right="2356"/>
              <w:spacing w:after="0"/>
              <w:rPr>
                <w:sz w:val="20"/>
                <w:szCs w:val="20"/>
                <w:color w:val="auto"/>
              </w:rPr>
            </w:pPr>
            <w:r>
              <w:rPr>
                <w:rFonts w:ascii="Arial" w:cs="Arial" w:eastAsia="Arial" w:hAnsi="Arial"/>
                <w:sz w:val="18"/>
                <w:szCs w:val="18"/>
                <w:color w:val="auto"/>
              </w:rPr>
              <w:t>_____________</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______________</w:t>
            </w:r>
          </w:p>
        </w:tc>
      </w:tr>
      <w:tr>
        <w:trPr>
          <w:trHeight w:val="216"/>
        </w:trPr>
        <w:tc>
          <w:tcPr>
            <w:tcW w:w="446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w:t>
            </w:r>
          </w:p>
        </w:tc>
        <w:tc>
          <w:tcPr>
            <w:tcW w:w="4300" w:type="dxa"/>
            <w:vAlign w:val="bottom"/>
          </w:tcPr>
          <w:p>
            <w:pPr>
              <w:jc w:val="center"/>
              <w:ind w:right="1696"/>
              <w:spacing w:after="0"/>
              <w:rPr>
                <w:sz w:val="20"/>
                <w:szCs w:val="20"/>
                <w:color w:val="auto"/>
              </w:rPr>
            </w:pPr>
            <w:r>
              <w:rPr>
                <w:rFonts w:ascii="Arial" w:cs="Arial" w:eastAsia="Arial" w:hAnsi="Arial"/>
                <w:sz w:val="18"/>
                <w:szCs w:val="18"/>
                <w:color w:val="auto"/>
                <w:w w:val="93"/>
              </w:rPr>
              <w:t>(Commission</w:t>
            </w: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460" w:type="dxa"/>
            <w:vAlign w:val="bottom"/>
          </w:tcPr>
          <w:p>
            <w:pPr>
              <w:jc w:val="center"/>
              <w:ind w:right="550"/>
              <w:spacing w:after="0"/>
              <w:rPr>
                <w:sz w:val="20"/>
                <w:szCs w:val="20"/>
                <w:color w:val="auto"/>
              </w:rPr>
            </w:pPr>
            <w:r>
              <w:rPr>
                <w:rFonts w:ascii="Arial" w:cs="Arial" w:eastAsia="Arial" w:hAnsi="Arial"/>
                <w:sz w:val="18"/>
                <w:szCs w:val="18"/>
                <w:color w:val="auto"/>
                <w:w w:val="93"/>
              </w:rPr>
              <w:t>of incorporation)</w:t>
            </w:r>
          </w:p>
        </w:tc>
        <w:tc>
          <w:tcPr>
            <w:tcW w:w="4300" w:type="dxa"/>
            <w:vAlign w:val="bottom"/>
          </w:tcPr>
          <w:p>
            <w:pPr>
              <w:jc w:val="center"/>
              <w:ind w:right="1696"/>
              <w:spacing w:after="0"/>
              <w:rPr>
                <w:sz w:val="20"/>
                <w:szCs w:val="20"/>
                <w:color w:val="auto"/>
              </w:rPr>
            </w:pPr>
            <w:r>
              <w:rPr>
                <w:rFonts w:ascii="Arial" w:cs="Arial" w:eastAsia="Arial" w:hAnsi="Arial"/>
                <w:sz w:val="18"/>
                <w:szCs w:val="18"/>
                <w:color w:val="auto"/>
                <w:w w:val="94"/>
              </w:rPr>
              <w:t>File Number)</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460" w:type="dxa"/>
            <w:vAlign w:val="bottom"/>
          </w:tcPr>
          <w:p>
            <w:pPr>
              <w:jc w:val="center"/>
              <w:ind w:right="550"/>
              <w:spacing w:after="0"/>
              <w:rPr>
                <w:sz w:val="20"/>
                <w:szCs w:val="20"/>
                <w:color w:val="auto"/>
              </w:rPr>
            </w:pPr>
            <w:r>
              <w:rPr>
                <w:rFonts w:ascii="Arial" w:cs="Arial" w:eastAsia="Arial" w:hAnsi="Arial"/>
                <w:sz w:val="18"/>
                <w:szCs w:val="18"/>
                <w:color w:val="auto"/>
                <w:w w:val="91"/>
              </w:rPr>
              <w:t>12367 Crosthwaite Circle, Poway,</w:t>
            </w:r>
          </w:p>
        </w:tc>
        <w:tc>
          <w:tcPr>
            <w:tcW w:w="4300" w:type="dxa"/>
            <w:vAlign w:val="bottom"/>
          </w:tcPr>
          <w:p>
            <w:pPr>
              <w:spacing w:after="0"/>
              <w:rPr>
                <w:sz w:val="24"/>
                <w:szCs w:val="24"/>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87"/>
              </w:rPr>
              <w:t>92064</w:t>
            </w:r>
          </w:p>
        </w:tc>
      </w:tr>
      <w:tr>
        <w:trPr>
          <w:trHeight w:val="216"/>
        </w:trPr>
        <w:tc>
          <w:tcPr>
            <w:tcW w:w="4460" w:type="dxa"/>
            <w:vAlign w:val="bottom"/>
          </w:tcPr>
          <w:p>
            <w:pPr>
              <w:jc w:val="center"/>
              <w:ind w:right="550"/>
              <w:spacing w:after="0"/>
              <w:rPr>
                <w:sz w:val="20"/>
                <w:szCs w:val="20"/>
                <w:color w:val="auto"/>
              </w:rPr>
            </w:pPr>
            <w:r>
              <w:rPr>
                <w:rFonts w:ascii="Arial" w:cs="Arial" w:eastAsia="Arial" w:hAnsi="Arial"/>
                <w:sz w:val="18"/>
                <w:szCs w:val="18"/>
                <w:color w:val="auto"/>
                <w:w w:val="97"/>
              </w:rPr>
              <w:t>California</w:t>
            </w:r>
          </w:p>
        </w:tc>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460" w:type="dxa"/>
            <w:vAlign w:val="bottom"/>
          </w:tcPr>
          <w:p>
            <w:pPr>
              <w:jc w:val="right"/>
              <w:ind w:right="970"/>
              <w:spacing w:after="0"/>
              <w:rPr>
                <w:sz w:val="20"/>
                <w:szCs w:val="20"/>
                <w:color w:val="auto"/>
              </w:rPr>
            </w:pPr>
            <w:r>
              <w:rPr>
                <w:rFonts w:ascii="Arial" w:cs="Arial" w:eastAsia="Arial" w:hAnsi="Arial"/>
                <w:sz w:val="18"/>
                <w:szCs w:val="18"/>
                <w:color w:val="auto"/>
              </w:rPr>
              <w:t>_________________________________</w:t>
            </w:r>
          </w:p>
        </w:tc>
        <w:tc>
          <w:tcPr>
            <w:tcW w:w="430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0"/>
              </w:rPr>
              <w:t>___________</w:t>
            </w:r>
          </w:p>
        </w:tc>
      </w:tr>
      <w:tr>
        <w:trPr>
          <w:trHeight w:val="230"/>
        </w:trPr>
        <w:tc>
          <w:tcPr>
            <w:tcW w:w="4460" w:type="dxa"/>
            <w:vAlign w:val="bottom"/>
          </w:tcPr>
          <w:p>
            <w:pPr>
              <w:jc w:val="center"/>
              <w:ind w:right="550"/>
              <w:spacing w:after="0"/>
              <w:rPr>
                <w:sz w:val="20"/>
                <w:szCs w:val="20"/>
                <w:color w:val="auto"/>
              </w:rPr>
            </w:pPr>
            <w:r>
              <w:rPr>
                <w:rFonts w:ascii="Arial" w:cs="Arial" w:eastAsia="Arial" w:hAnsi="Arial"/>
                <w:sz w:val="18"/>
                <w:szCs w:val="18"/>
                <w:color w:val="auto"/>
                <w:w w:val="92"/>
              </w:rPr>
              <w:t>(Address of principal executive offices)</w:t>
            </w:r>
          </w:p>
        </w:tc>
        <w:tc>
          <w:tcPr>
            <w:tcW w:w="4300" w:type="dxa"/>
            <w:vAlign w:val="bottom"/>
          </w:tcPr>
          <w:p>
            <w:pPr>
              <w:spacing w:after="0"/>
              <w:rPr>
                <w:sz w:val="20"/>
                <w:szCs w:val="20"/>
                <w:color w:val="auto"/>
              </w:rPr>
            </w:pP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32"/>
        </w:trPr>
        <w:tc>
          <w:tcPr>
            <w:tcW w:w="4460" w:type="dxa"/>
            <w:vAlign w:val="bottom"/>
          </w:tcPr>
          <w:p>
            <w:pPr>
              <w:ind w:left="380"/>
              <w:spacing w:after="0"/>
              <w:rPr>
                <w:sz w:val="20"/>
                <w:szCs w:val="20"/>
                <w:color w:val="auto"/>
              </w:rPr>
            </w:pPr>
            <w:r>
              <w:rPr>
                <w:rFonts w:ascii="Arial" w:cs="Arial" w:eastAsia="Arial" w:hAnsi="Arial"/>
                <w:sz w:val="18"/>
                <w:szCs w:val="18"/>
                <w:color w:val="auto"/>
                <w:w w:val="97"/>
              </w:rPr>
              <w:t>Registrant’s telephone number, including area code:</w:t>
            </w:r>
          </w:p>
        </w:tc>
        <w:tc>
          <w:tcPr>
            <w:tcW w:w="4300" w:type="dxa"/>
            <w:vAlign w:val="bottom"/>
          </w:tcPr>
          <w:p>
            <w:pPr>
              <w:jc w:val="right"/>
              <w:ind w:right="76"/>
              <w:spacing w:after="0"/>
              <w:rPr>
                <w:sz w:val="20"/>
                <w:szCs w:val="20"/>
                <w:color w:val="auto"/>
              </w:rPr>
            </w:pPr>
            <w:r>
              <w:rPr>
                <w:rFonts w:ascii="Arial" w:cs="Arial" w:eastAsia="Arial" w:hAnsi="Arial"/>
                <w:sz w:val="18"/>
                <w:szCs w:val="18"/>
                <w:color w:val="auto"/>
              </w:rPr>
              <w:t>858-848-8100</w:t>
            </w:r>
          </w:p>
        </w:tc>
        <w:tc>
          <w:tcPr>
            <w:tcW w:w="1420" w:type="dxa"/>
            <w:vAlign w:val="bottom"/>
          </w:tcPr>
          <w:p>
            <w:pPr>
              <w:spacing w:after="0"/>
              <w:rPr>
                <w:sz w:val="24"/>
                <w:szCs w:val="24"/>
                <w:color w:val="auto"/>
              </w:rPr>
            </w:pPr>
          </w:p>
        </w:tc>
      </w:tr>
      <w:tr>
        <w:trPr>
          <w:trHeight w:val="418"/>
        </w:trPr>
        <w:tc>
          <w:tcPr>
            <w:tcW w:w="4460" w:type="dxa"/>
            <w:vAlign w:val="bottom"/>
          </w:tcPr>
          <w:p>
            <w:pPr>
              <w:spacing w:after="0"/>
              <w:rPr>
                <w:sz w:val="24"/>
                <w:szCs w:val="24"/>
                <w:color w:val="auto"/>
              </w:rPr>
            </w:pPr>
          </w:p>
        </w:tc>
        <w:tc>
          <w:tcPr>
            <w:tcW w:w="4300" w:type="dxa"/>
            <w:vAlign w:val="bottom"/>
          </w:tcPr>
          <w:p>
            <w:pPr>
              <w:jc w:val="center"/>
              <w:ind w:right="1696"/>
              <w:spacing w:after="0"/>
              <w:rPr>
                <w:sz w:val="20"/>
                <w:szCs w:val="20"/>
                <w:color w:val="auto"/>
              </w:rPr>
            </w:pPr>
            <w:r>
              <w:rPr>
                <w:rFonts w:ascii="Arial" w:cs="Arial" w:eastAsia="Arial" w:hAnsi="Arial"/>
                <w:sz w:val="18"/>
                <w:szCs w:val="18"/>
                <w:color w:val="auto"/>
                <w:w w:val="94"/>
              </w:rPr>
              <w:t>Not Applicable</w:t>
            </w:r>
          </w:p>
        </w:tc>
        <w:tc>
          <w:tcPr>
            <w:tcW w:w="1420" w:type="dxa"/>
            <w:vAlign w:val="bottom"/>
          </w:tcPr>
          <w:p>
            <w:pPr>
              <w:spacing w:after="0"/>
              <w:rPr>
                <w:sz w:val="24"/>
                <w:szCs w:val="24"/>
                <w:color w:val="auto"/>
              </w:rPr>
            </w:pPr>
          </w:p>
        </w:tc>
      </w:tr>
      <w:tr>
        <w:trPr>
          <w:trHeight w:val="216"/>
        </w:trPr>
        <w:tc>
          <w:tcPr>
            <w:tcW w:w="8760" w:type="dxa"/>
            <w:vAlign w:val="bottom"/>
            <w:gridSpan w:val="2"/>
          </w:tcPr>
          <w:p>
            <w:pPr>
              <w:jc w:val="right"/>
              <w:ind w:right="876"/>
              <w:spacing w:after="0"/>
              <w:rPr>
                <w:sz w:val="20"/>
                <w:szCs w:val="20"/>
                <w:color w:val="auto"/>
              </w:rPr>
            </w:pPr>
            <w:r>
              <w:rPr>
                <w:rFonts w:ascii="Arial" w:cs="Arial" w:eastAsia="Arial" w:hAnsi="Arial"/>
                <w:sz w:val="18"/>
                <w:szCs w:val="18"/>
                <w:color w:val="auto"/>
              </w:rPr>
              <w:t>______________________________________________</w:t>
            </w:r>
          </w:p>
        </w:tc>
        <w:tc>
          <w:tcPr>
            <w:tcW w:w="1420" w:type="dxa"/>
            <w:vAlign w:val="bottom"/>
          </w:tcPr>
          <w:p>
            <w:pPr>
              <w:spacing w:after="0"/>
              <w:rPr>
                <w:sz w:val="18"/>
                <w:szCs w:val="18"/>
                <w:color w:val="auto"/>
              </w:rPr>
            </w:pPr>
          </w:p>
        </w:tc>
      </w:tr>
      <w:tr>
        <w:trPr>
          <w:trHeight w:val="230"/>
        </w:trPr>
        <w:tc>
          <w:tcPr>
            <w:tcW w:w="8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42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520" w:firstLine="8"/>
        <w:spacing w:after="0" w:line="291" w:lineRule="auto"/>
        <w:tabs>
          <w:tab w:leader="none" w:pos="32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 [ ] Soliciting material pursuant to Rule 14a-12 under the Exchange Act (17 CFR 240.14a-12)</w:t>
      </w:r>
    </w:p>
    <w:p>
      <w:pPr>
        <w:jc w:val="both"/>
        <w:ind w:right="2920"/>
        <w:spacing w:after="0" w:line="323" w:lineRule="auto"/>
        <w:rPr>
          <w:rFonts w:ascii="Arial" w:cs="Arial" w:eastAsia="Arial" w:hAnsi="Arial"/>
          <w:sz w:val="16"/>
          <w:szCs w:val="16"/>
          <w:color w:val="auto"/>
        </w:rPr>
      </w:pPr>
      <w:r>
        <w:rPr>
          <w:rFonts w:ascii="Arial" w:cs="Arial" w:eastAsia="Arial" w:hAnsi="Arial"/>
          <w:sz w:val="16"/>
          <w:szCs w:val="16"/>
          <w:color w:val="auto"/>
        </w:rPr>
        <w:t>[ ] Pre-commencement communications pursuant to Rule 14d-2(b) under the Exchange Act (17 CFR 240.14d-2(b)) [ ] Pre-commencement communications pursuant to Rule 13e-4(c) under the Exchange Act (17 CFR 240.13e-4(c))</w:t>
      </w:r>
    </w:p>
    <w:p>
      <w:pPr>
        <w:spacing w:after="0" w:line="13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Cohu, Inc. (“</w:t>
      </w:r>
      <w:r>
        <w:rPr>
          <w:rFonts w:ascii="Arial" w:cs="Arial" w:eastAsia="Arial" w:hAnsi="Arial"/>
          <w:sz w:val="18"/>
          <w:szCs w:val="18"/>
          <w:u w:val="single" w:color="auto"/>
          <w:color w:val="auto"/>
        </w:rPr>
        <w:t>Cohu</w:t>
      </w:r>
      <w:r>
        <w:rPr>
          <w:rFonts w:ascii="Arial" w:cs="Arial" w:eastAsia="Arial" w:hAnsi="Arial"/>
          <w:sz w:val="18"/>
          <w:szCs w:val="18"/>
          <w:color w:val="auto"/>
        </w:rPr>
        <w:t>”), held a special meeting of its stockholders on August 30, 2018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At the Special Meeting, Cohu’s stockholders voted to approve the issuance of Cohu common stock under the Agreement and Plan of Merger, dated as of May 7, 2018, by and among Cohu, a Delaware corporation, Xcerra Corporation, a Massachusetts corporation (“</w:t>
      </w:r>
      <w:r>
        <w:rPr>
          <w:rFonts w:ascii="Arial" w:cs="Arial" w:eastAsia="Arial" w:hAnsi="Arial"/>
          <w:sz w:val="18"/>
          <w:szCs w:val="18"/>
          <w:u w:val="single" w:color="auto"/>
          <w:color w:val="auto"/>
        </w:rPr>
        <w:t>Xcerra</w:t>
      </w:r>
      <w:r>
        <w:rPr>
          <w:rFonts w:ascii="Arial" w:cs="Arial" w:eastAsia="Arial" w:hAnsi="Arial"/>
          <w:sz w:val="18"/>
          <w:szCs w:val="18"/>
          <w:color w:val="auto"/>
        </w:rPr>
        <w:t>”), and Xavier Acquisition Corporation, a Delaware corporation and a wholly owned subsidiary of Cohu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which Merger Sub will merge with and into Xcerra, with Xcerra surviving such merger as a wholly owned subsidiary of Cohu.</w:t>
      </w:r>
    </w:p>
    <w:p>
      <w:pPr>
        <w:spacing w:after="0" w:line="18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At the close of business on July 30, 2018, the record date for the determination of stockholders entitled to vote at the Special Meeting, there were 28,889,265 shares of Cohu common stock outstanding and entitled to vote at the Special Meeting and a total of 24,935,504 shares (86.31%) were represented at the Special Meeting in person or by proxy. For more information on the following proposals, see the joint proxy statement/prospectus filed by Cohu and Xcerra on July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Special Meeting were as follows: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Proposal 1: To approve the issuance of Cohu common stock in connection with the merger of Merger Sub with and into Xcerra with Xcerra continuing as the surviving corporation and a wholly owned subsidiary of Cohu, to the extent such issuance would require approval under NASDAQ Stock Market Rule 5635(a) (the “</w:t>
      </w:r>
      <w:r>
        <w:rPr>
          <w:rFonts w:ascii="Arial" w:cs="Arial" w:eastAsia="Arial" w:hAnsi="Arial"/>
          <w:sz w:val="18"/>
          <w:szCs w:val="18"/>
          <w:u w:val="single" w:color="auto"/>
          <w:color w:val="auto"/>
        </w:rPr>
        <w:t>Stock Issuance Proposal</w:t>
      </w:r>
      <w:r>
        <w:rPr>
          <w:rFonts w:ascii="Arial" w:cs="Arial" w:eastAsia="Arial" w:hAnsi="Arial"/>
          <w:sz w:val="18"/>
          <w:szCs w:val="18"/>
          <w:color w:val="auto"/>
        </w:rPr>
        <w:t>”):</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9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For</w:t>
            </w:r>
          </w:p>
        </w:tc>
        <w:tc>
          <w:tcPr>
            <w:tcW w:w="400" w:type="dxa"/>
            <w:vAlign w:val="bottom"/>
          </w:tcPr>
          <w:p>
            <w:pPr>
              <w:spacing w:after="0"/>
              <w:rPr>
                <w:sz w:val="20"/>
                <w:szCs w:val="20"/>
                <w:color w:val="auto"/>
              </w:rPr>
            </w:pPr>
          </w:p>
        </w:tc>
        <w:tc>
          <w:tcPr>
            <w:tcW w:w="2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Against</w:t>
            </w:r>
          </w:p>
        </w:tc>
        <w:tc>
          <w:tcPr>
            <w:tcW w:w="400" w:type="dxa"/>
            <w:vAlign w:val="bottom"/>
          </w:tcPr>
          <w:p>
            <w:pPr>
              <w:spacing w:after="0"/>
              <w:rPr>
                <w:sz w:val="20"/>
                <w:szCs w:val="20"/>
                <w:color w:val="auto"/>
              </w:rPr>
            </w:pPr>
          </w:p>
        </w:tc>
        <w:tc>
          <w:tcPr>
            <w:tcW w:w="1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Abstain</w:t>
            </w:r>
          </w:p>
        </w:tc>
        <w:tc>
          <w:tcPr>
            <w:tcW w:w="100" w:type="dxa"/>
            <w:vAlign w:val="bottom"/>
          </w:tcPr>
          <w:p>
            <w:pPr>
              <w:spacing w:after="0"/>
              <w:rPr>
                <w:sz w:val="20"/>
                <w:szCs w:val="20"/>
                <w:color w:val="auto"/>
              </w:rPr>
            </w:pPr>
          </w:p>
        </w:tc>
      </w:tr>
      <w:tr>
        <w:trPr>
          <w:trHeight w:val="210"/>
        </w:trPr>
        <w:tc>
          <w:tcPr>
            <w:tcW w:w="2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24,832,024</w:t>
            </w:r>
          </w:p>
        </w:tc>
        <w:tc>
          <w:tcPr>
            <w:tcW w:w="2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15,415</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88,065</w:t>
            </w: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Proposal 2: To approve any adjournment of the Special Meeting, if necessary or appropriate, including to permit further solicitation of proxies if there are not sufficient votes at the time of the Special Meeting to approve the Stock Issuance Proposal:</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19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For</w:t>
            </w:r>
          </w:p>
        </w:tc>
        <w:tc>
          <w:tcPr>
            <w:tcW w:w="400" w:type="dxa"/>
            <w:vAlign w:val="bottom"/>
          </w:tcPr>
          <w:p>
            <w:pPr>
              <w:spacing w:after="0"/>
              <w:rPr>
                <w:sz w:val="20"/>
                <w:szCs w:val="20"/>
                <w:color w:val="auto"/>
              </w:rPr>
            </w:pPr>
          </w:p>
        </w:tc>
        <w:tc>
          <w:tcPr>
            <w:tcW w:w="2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Against</w:t>
            </w:r>
          </w:p>
        </w:tc>
        <w:tc>
          <w:tcPr>
            <w:tcW w:w="400" w:type="dxa"/>
            <w:vAlign w:val="bottom"/>
          </w:tcPr>
          <w:p>
            <w:pPr>
              <w:spacing w:after="0"/>
              <w:rPr>
                <w:sz w:val="20"/>
                <w:szCs w:val="20"/>
                <w:color w:val="auto"/>
              </w:rPr>
            </w:pPr>
          </w:p>
        </w:tc>
        <w:tc>
          <w:tcPr>
            <w:tcW w:w="1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Abstain</w:t>
            </w:r>
          </w:p>
        </w:tc>
        <w:tc>
          <w:tcPr>
            <w:tcW w:w="100" w:type="dxa"/>
            <w:vAlign w:val="bottom"/>
          </w:tcPr>
          <w:p>
            <w:pPr>
              <w:spacing w:after="0"/>
              <w:rPr>
                <w:sz w:val="20"/>
                <w:szCs w:val="20"/>
                <w:color w:val="auto"/>
              </w:rPr>
            </w:pPr>
          </w:p>
        </w:tc>
      </w:tr>
      <w:tr>
        <w:trPr>
          <w:trHeight w:val="210"/>
        </w:trPr>
        <w:tc>
          <w:tcPr>
            <w:tcW w:w="2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23,285,510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1,572,576</w:t>
            </w:r>
          </w:p>
        </w:tc>
        <w:tc>
          <w:tcPr>
            <w:tcW w:w="2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77,418</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press release announcing the stockholder approval of the proposals is attached to this filing as Exhibit 99.1 and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On August 30, 2018, Cohu and Xcerra issued a joint press release announcing (i) the results of the Special Meeting and (ii) the results of the special meeting of stockholders of Xcerra held that day. A copy of the press release is attached hereto as Exhibit 99.1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pending and potential litigation relating to the proposed transaction that has been, or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w:t>
      </w:r>
    </w:p>
    <w:p>
      <w:pPr>
        <w:spacing w:after="0" w:line="12" w:lineRule="exact"/>
        <w:rPr>
          <w:sz w:val="20"/>
          <w:szCs w:val="20"/>
          <w:color w:val="auto"/>
        </w:rPr>
      </w:pPr>
    </w:p>
    <w:p>
      <w:pPr>
        <w:jc w:val="both"/>
        <w:ind w:firstLine="8"/>
        <w:spacing w:after="0" w:line="287"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such other factors as are set forth in (A) Cohu’s periodic public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 but not limited to those described under the heading “Risk Factors” in Cohu’s Form 10-K for the fiscal year ended December 30, 2017, (B) Xcerra’s periodic public filings with the SEC, including but not limited to those described under the heading “Risk Factors” in Xcerra’s Form 10-K for the fiscal year ended July 31, 2017, (C) in the Registration Statement on Form S-4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has been filed by Cohu with the SEC containing a prospectus with respect to the Cohu common stock to be issued in the proposed transaction and a joint proxy statement of Cohu and Xcerra in connection with the proposed transaction (the “</w:t>
      </w:r>
      <w:r>
        <w:rPr>
          <w:rFonts w:ascii="Arial" w:cs="Arial" w:eastAsia="Arial" w:hAnsi="Arial"/>
          <w:sz w:val="16"/>
          <w:szCs w:val="16"/>
          <w:u w:val="single" w:color="auto"/>
          <w:color w:val="auto"/>
        </w:rPr>
        <w:t>Joint Proxy Statement/Prospectus</w:t>
      </w:r>
      <w:r>
        <w:rPr>
          <w:rFonts w:ascii="Arial" w:cs="Arial" w:eastAsia="Arial" w:hAnsi="Arial"/>
          <w:sz w:val="16"/>
          <w:szCs w:val="16"/>
          <w:color w:val="auto"/>
        </w:rPr>
        <w:t>”) that is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which was subsequently amended on July 26, 2018. The Registration Statement was declared effective by the SEC on July 30, 2018. Each of Cohu and Xcerra commenced mailing the definitive Joint Proxy Statement/Prospectus to its respective stockholders on July 30, 2018. This communication is not a substitute for the Registration Statement, the definitive Joint Proxy Statement/Prospectus or any other documents that Xcerra or Cohu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Xcerra and Cohu with the SEC at the SEC’s website at www.sec.gov. In addition, investors and security holders may obtain free copies of the documents filed with the SEC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 or by visiting the Cohu Investor Relations page on its corporate website at https://cohu.gcs-web.com or by contacting Cohu Investor Relations by telephone at (858) 848-8106 or by mail at Cohu Corporate Headquarters, 12367 Crosthwaite Circle, Poway, CA 92064, attention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Xcerra stockholders or Cohu stockholders generally, is set forth in the Joint Proxy Statement/Prospectus filed with the SEC.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Xcerra Investor Relations page on its corporate website at </w:t>
      </w:r>
      <w:r>
        <w:rPr>
          <w:rFonts w:ascii="Arial" w:cs="Arial" w:eastAsia="Arial" w:hAnsi="Arial"/>
          <w:sz w:val="17"/>
          <w:szCs w:val="17"/>
          <w:u w:val="single" w:color="auto"/>
          <w:color w:val="auto"/>
        </w:rPr>
        <w:t>https://Xcerra.com/investors</w:t>
      </w:r>
      <w:r>
        <w:rPr>
          <w:rFonts w:ascii="Arial" w:cs="Arial" w:eastAsia="Arial" w:hAnsi="Arial"/>
          <w:sz w:val="17"/>
          <w:szCs w:val="17"/>
          <w:color w:val="auto"/>
        </w:rPr>
        <w:t xml:space="preserve">. Information concerning Cohu’s directors and executive officers and their beneficial ownership of Cohu’s common stock is set forth in the Registration Statement, Cohu’s annual proxy statement on Schedule 14A filed with the SEC on April 3, 2018, and in its Annual Report on Form 10-K for the year ended December 30, 2017, and is supplemented by other public filings made, and to be made, with the SEC by Cohu. These documents are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visiting the Cohu Investor Relations page on its corporate website at </w:t>
      </w:r>
      <w:r>
        <w:rPr>
          <w:rFonts w:ascii="Arial" w:cs="Arial" w:eastAsia="Arial" w:hAnsi="Arial"/>
          <w:sz w:val="17"/>
          <w:szCs w:val="17"/>
          <w:u w:val="single" w:color="auto"/>
          <w:color w:val="auto"/>
        </w:rPr>
        <w:t>https://Cohu.gcs-web.com</w:t>
      </w:r>
      <w:r>
        <w:rPr>
          <w:rFonts w:ascii="Arial" w:cs="Arial" w:eastAsia="Arial" w:hAnsi="Arial"/>
          <w:sz w:val="17"/>
          <w:szCs w:val="17"/>
          <w:color w:val="auto"/>
        </w:rPr>
        <w:t xml:space="preserve">.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t>
      </w:r>
      <w:r>
        <w:rPr>
          <w:rFonts w:ascii="Arial" w:cs="Arial" w:eastAsia="Arial" w:hAnsi="Arial"/>
          <w:sz w:val="17"/>
          <w:szCs w:val="17"/>
          <w:u w:val="single" w:color="auto"/>
          <w:color w:val="auto"/>
        </w:rPr>
        <w:t>www.sec.gov.</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report are listed in Item 8.01 above and in the Index of Exhibits that precedes the signature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40" w:type="dxa"/>
            <w:vAlign w:val="bottom"/>
            <w:gridSpan w:val="2"/>
          </w:tcPr>
          <w:p>
            <w:pPr>
              <w:ind w:left="3680"/>
              <w:spacing w:after="0"/>
              <w:rPr>
                <w:sz w:val="20"/>
                <w:szCs w:val="20"/>
                <w:color w:val="auto"/>
              </w:rPr>
            </w:pPr>
            <w:r>
              <w:rPr>
                <w:rFonts w:ascii="Arial" w:cs="Arial" w:eastAsia="Arial" w:hAnsi="Arial"/>
                <w:sz w:val="18"/>
                <w:szCs w:val="18"/>
                <w:b w:val="1"/>
                <w:bCs w:val="1"/>
                <w:color w:val="auto"/>
              </w:rPr>
              <w:t>Index of Exhibits</w:t>
            </w:r>
          </w:p>
        </w:tc>
      </w:tr>
      <w:tr>
        <w:trPr>
          <w:trHeight w:val="414"/>
        </w:trPr>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34"/>
        </w:trPr>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NO.</w:t>
            </w:r>
          </w:p>
        </w:tc>
        <w:tc>
          <w:tcPr>
            <w:tcW w:w="560" w:type="dxa"/>
            <w:vAlign w:val="bottom"/>
          </w:tcPr>
          <w:p>
            <w:pPr>
              <w:spacing w:after="0"/>
              <w:rPr>
                <w:sz w:val="20"/>
                <w:szCs w:val="20"/>
                <w:color w:val="auto"/>
              </w:rPr>
            </w:pPr>
          </w:p>
        </w:tc>
        <w:tc>
          <w:tcPr>
            <w:tcW w:w="10040" w:type="dxa"/>
            <w:vAlign w:val="bottom"/>
            <w:tcBorders>
              <w:bottom w:val="single" w:sz="8" w:color="auto"/>
            </w:tcBorders>
            <w:gridSpan w:val="2"/>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04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Press Release of Cohu, Inc. and Xcerra Corporation, dated August 30, 2018</w:t>
              </w:r>
            </w:hyperlink>
          </w:p>
        </w:tc>
      </w:tr>
      <w:tr>
        <w:trPr>
          <w:trHeight w:val="595"/>
        </w:trPr>
        <w:tc>
          <w:tcPr>
            <w:tcW w:w="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60" w:type="dxa"/>
            <w:vAlign w:val="bottom"/>
            <w:tcBorders>
              <w:top w:val="single" w:sz="8" w:color="0000EE"/>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 August 30, 2018</w:t>
            </w: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Cohu, Inc.</w:t>
            </w:r>
          </w:p>
        </w:tc>
      </w:tr>
      <w:tr>
        <w:trPr>
          <w:trHeight w:val="216"/>
        </w:trPr>
        <w:tc>
          <w:tcPr>
            <w:tcW w:w="3660" w:type="dxa"/>
            <w:vAlign w:val="bottom"/>
          </w:tcPr>
          <w:p>
            <w:pPr>
              <w:spacing w:after="0"/>
              <w:rPr>
                <w:sz w:val="18"/>
                <w:szCs w:val="18"/>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By:</w:t>
            </w:r>
          </w:p>
        </w:tc>
      </w:tr>
      <w:tr>
        <w:trPr>
          <w:trHeight w:val="230"/>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r>
      <w:tr>
        <w:trPr>
          <w:trHeight w:val="195"/>
        </w:trPr>
        <w:tc>
          <w:tcPr>
            <w:tcW w:w="3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Pr>
          <w:p>
            <w:pPr>
              <w:spacing w:after="0" w:line="195" w:lineRule="exact"/>
              <w:rPr>
                <w:sz w:val="20"/>
                <w:szCs w:val="20"/>
                <w:color w:val="auto"/>
              </w:rPr>
            </w:pPr>
            <w:r>
              <w:rPr>
                <w:rFonts w:ascii="Arial" w:cs="Arial" w:eastAsia="Arial" w:hAnsi="Arial"/>
                <w:sz w:val="18"/>
                <w:szCs w:val="18"/>
                <w:color w:val="auto"/>
              </w:rPr>
              <w:t>Name:Jeffrey D. Jones</w:t>
            </w:r>
          </w:p>
        </w:tc>
      </w:tr>
      <w:tr>
        <w:trPr>
          <w:trHeight w:val="230"/>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Title: VP Finance and Chief Financial Officer</w:t>
            </w:r>
          </w:p>
        </w:tc>
      </w:tr>
    </w:tbl>
    <w:p>
      <w:pPr>
        <w:sectPr>
          <w:pgSz w:w="11900" w:h="16838" w:orient="portrait"/>
          <w:cols w:equalWidth="0" w:num="1">
            <w:col w:w="11420"/>
          </w:cols>
          <w:pgMar w:left="240" w:top="36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154940</wp:posOffset>
            </wp:positionV>
            <wp:extent cx="3593465" cy="173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9346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and Xcerra Shareholders Approve Proposals Related to Cohu’s Planned Acquisition of Xcerra</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POWAY, Calif., and NORWOOD, Mass., August 30, 2018 -- Cohu, Inc. (NASDAQ: COHU), and Xcerra Corporation (NASDAQ: XCRA) today announced that the respective shareholders of Cohu and Xcerra have voted to approve proposals related to the previously announced Agreement and Plan of Merger, dated as of May 7, 2018, by and among Cohu, Xcerra Acquisition Corp. and Xcerra, pursuant to which Cohu will acquire Xcerra.</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special meetings held earlier today, the holders of approximately 86.0% of Cohu’s common stock outstanding and entitled to vote at Cohu’s special meeting voted in favor of the issuance of Cohu common stock in connection with the proposed acquisition of Xcerra, and the holders of approximately 70.3% of Xcerra’s common stock outstanding and entitled to vote at Xcerra’s special meeting voted to approve the transactions contemplated by the definitive merger agreement.</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transaction is expected to close in the fourth quarter of 2018, subject to the satisfaction or waiver of customary closing conditions. Upon the completion of the proposed transaction, Xcerra shareholders will be entitled to receive $9.00 in cash and 0.2109 of a share of Cohu common stock, subject to the terms of the definitive merger agreement, and Xcerra’s common stock will no longer be publicly traded and will be delisted from the NASDAQ Global Select Market.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and thermal sub-systems used by global semiconductor manufacturers and test subcontractors.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Xcerra</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Xcerra is comprised of four businesses in the semiconductor and electronics manufacturing test markets: atg-Luther &amp; Maelzer, Everett Charles Technologies, LTX-Credence and Multitest. The combination of these businesses creates a company with a broad spectrum of semiconductor and PCB test expertise that drives innovative new products and services, and the ability to deliver to customers fully integrated semiconductor test cell solutions. Xcerra addresses the broad, divergent requirements of the mobility, industrial, automotive and consumer end markets, offering a comprehensive portfolio of solutions and technologies, and a global network of strategically deployed applications and support resources. Additional information can be found at www.Xcerra.com or at each product group’s website; www.atg-lm.com, www.ectinfo.com, www.ltxc.com and www.multitest.com.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Certain statements contained in this filing may be considered forward-looking statements within the meaning of the U.S. Private Securities Litigation Reform Act of 1995, including statements regarding the proposed transaction involving Cohu and Xcerra and the ability to consummate the proposed transaction.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pending and potential litigation relating to the proposed transaction that has been, or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(xii) continued availability of capital and financing and rating agency actions; (xiii) legislative, regulatory and economic developments; (xiv) unpredictability and severity of catastrophic events, including, but not limited to, acts of terrorism or outbreak of war or hostilities, as well as management’s response to any of the aforementioned factors; and</w:t>
      </w:r>
    </w:p>
    <w:p>
      <w:pPr>
        <w:spacing w:after="0" w:line="12" w:lineRule="exact"/>
        <w:rPr>
          <w:sz w:val="20"/>
          <w:szCs w:val="20"/>
          <w:color w:val="auto"/>
        </w:rPr>
      </w:pPr>
    </w:p>
    <w:p>
      <w:pPr>
        <w:ind w:right="20" w:firstLine="8"/>
        <w:spacing w:after="0" w:line="287" w:lineRule="auto"/>
        <w:tabs>
          <w:tab w:leader="none" w:pos="345"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other factors as are set forth in (A) Cohu’s periodic public filings with the Securities and Exchange Commission (the “SEC”), including but not limited to those described under the heading “Risk Factors” in Cohu’s Form 10-K for the fiscal year ended December 30, 2017, (B) Xcerra’s periodic public filings with the SEC, including but not limited to those described under the heading “Risk Factors” in Xcerra’s Form 10-K for the fiscal year ended July 31, 2017, (C) in the Registration Statement on Form S-4 (the “Registration Statement”) that has been filed by Cohu with the SEC containing a prospectus with respect to the Cohu common stock to be issued in the proposed transaction and a joint proxy statement of Cohu and Xcerra in connection with the proposed transaction (the “Joint Proxy Statement/Prospectus”) that is contained therein, and (D) the other filings made by Cohu or Xcerra with the SEC from time to time, which are available via the SEC’s website at www.sec.gov. Neither Cohu nor Xcerra can give any assurance that the conditions to the proposed transaction will be satisfied. Except as required by applicable law, neither Cohu nor Xcerra undertakes any obligation to revise or update any forward-looking statement, or to make any other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Cohu stockholders or Xcerra stockholders generally, is set forth in the Joint Proxy Statement/Prospectus filed with the SEC. Information concerning Cohu’s directors and executive officers and their beneficial ownership of Cohu’s common stock is set forth in Cohu’s Registration Statement on Form S-4, its annual proxy statement on Schedule 14A filed with the SEC on April 3, 2018, and in its Annual Report on Form 10-K for the year ended December 30, 2017. These documents are available free of charge at the SEC’s website at www.sec.gov or by visiting the Cohu Investor Relations page on its corporate website at https://Cohu.gcs-web.com.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www.sec.gov or by visiting the Xcerra Investor Relations page on its corporate website at https://Xcerra.com/investors.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which was subsequently amended on July 26, 2018, and declared effective by the SEC on July 30, 2018. The definitive Joint Proxy Statement/Prospectus was first delivered to the stockholders of Cohu and Xcerra on or around July 30, 2018. This communication is not a substitute for the Registration Statement, the definitive Joint Proxy Statement/Prospectus or any other documents that Cohu or Xcerra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Cohu and Xcerra with the SEC at the SEC’s website at www.sec.gov. In addition, investors and security holders may obtain free copies of the documents filed with the SEC by visiting the Cohu Investor Relations page on its corporate website at https://cohu.gcs-web.com or by contacting Cohu Investor Relations by telephone at (858) 848-8106 or by mail at Cohu Corporate Headquarters, 12367 Crosthwaite Circle, Poway, CA 92064, attention Jeffrey D. Jones, or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1)"/>
      <w:numFmt w:val="lowerRoman"/>
      <w:start w:val="15"/>
    </w:lvl>
  </w:abstractNum>
  <w:abstractNum w:abstractNumId="2">
    <w:nsid w:val="19495CFF"/>
    <w:multiLevelType w:val="hybridMultilevel"/>
    <w:lvl w:ilvl="0">
      <w:lvlJc w:val="left"/>
      <w:lvlText w:val="(%1)"/>
      <w:numFmt w:val="lowerRoman"/>
      <w:start w:val="1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2019-12-28T19:47:50Z</dcterms:created>
  <dcterms:modified xsi:type="dcterms:W3CDTF">2019-12-28T19:47:50Z</dcterms:modified>
</cp:coreProperties>
</file>