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2"/>
          <w:szCs w:val="22"/>
          <w:color w:val="auto"/>
        </w:rPr>
        <w:t>UNITED STATES</w:t>
      </w:r>
    </w:p>
    <w:p>
      <w:pPr>
        <w:jc w:val="center"/>
        <w:ind w:right="-179"/>
        <w:spacing w:after="0" w:line="238" w:lineRule="auto"/>
        <w:rPr>
          <w:sz w:val="20"/>
          <w:szCs w:val="20"/>
          <w:color w:val="auto"/>
        </w:rPr>
      </w:pPr>
      <w:r>
        <w:rPr>
          <w:rFonts w:ascii="Arial" w:cs="Arial" w:eastAsia="Arial" w:hAnsi="Arial"/>
          <w:sz w:val="22"/>
          <w:szCs w:val="22"/>
          <w:color w:val="auto"/>
        </w:rPr>
        <w:t>SECURITIES AND EXCHANGE COMMISSION</w:t>
      </w:r>
    </w:p>
    <w:p>
      <w:pPr>
        <w:jc w:val="center"/>
        <w:ind w:right="-179"/>
        <w:spacing w:after="0"/>
        <w:rPr>
          <w:sz w:val="20"/>
          <w:szCs w:val="20"/>
          <w:color w:val="auto"/>
        </w:rPr>
      </w:pPr>
      <w:r>
        <w:rPr>
          <w:rFonts w:ascii="Arial" w:cs="Arial" w:eastAsia="Arial" w:hAnsi="Arial"/>
          <w:sz w:val="22"/>
          <w:szCs w:val="22"/>
          <w:color w:val="auto"/>
        </w:rPr>
        <w:t>Washington, D.C. 20549</w:t>
      </w:r>
    </w:p>
    <w:p>
      <w:pPr>
        <w:spacing w:after="0" w:line="176" w:lineRule="exact"/>
        <w:rPr>
          <w:sz w:val="24"/>
          <w:szCs w:val="24"/>
          <w:color w:val="auto"/>
        </w:rPr>
      </w:pPr>
    </w:p>
    <w:p>
      <w:pPr>
        <w:jc w:val="center"/>
        <w:ind w:right="-179"/>
        <w:spacing w:after="0"/>
        <w:rPr>
          <w:sz w:val="20"/>
          <w:szCs w:val="20"/>
          <w:color w:val="auto"/>
        </w:rPr>
      </w:pPr>
      <w:r>
        <w:rPr>
          <w:rFonts w:ascii="Arial" w:cs="Arial" w:eastAsia="Arial" w:hAnsi="Arial"/>
          <w:sz w:val="32"/>
          <w:szCs w:val="32"/>
          <w:color w:val="auto"/>
        </w:rPr>
        <w:t>FORM 8-K</w:t>
      </w:r>
    </w:p>
    <w:p>
      <w:pPr>
        <w:spacing w:after="0" w:line="23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p>
      <w:pPr>
        <w:spacing w:after="0"/>
        <w:tabs>
          <w:tab w:leader="none" w:pos="82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August 3, 2023</w:t>
      </w:r>
    </w:p>
    <w:p>
      <w:pPr>
        <w:spacing w:after="0" w:line="208" w:lineRule="exact"/>
        <w:rPr>
          <w:sz w:val="24"/>
          <w:szCs w:val="24"/>
          <w:color w:val="auto"/>
        </w:rPr>
      </w:pPr>
    </w:p>
    <w:p>
      <w:pPr>
        <w:jc w:val="center"/>
        <w:ind w:right="-179"/>
        <w:spacing w:after="0"/>
        <w:rPr>
          <w:sz w:val="20"/>
          <w:szCs w:val="20"/>
          <w:color w:val="auto"/>
        </w:rPr>
      </w:pPr>
      <w:r>
        <w:rPr>
          <w:rFonts w:ascii="Arial" w:cs="Arial" w:eastAsia="Arial" w:hAnsi="Arial"/>
          <w:sz w:val="43"/>
          <w:szCs w:val="43"/>
          <w:color w:val="auto"/>
        </w:rPr>
        <w:t>Cohu, Inc.</w:t>
      </w:r>
    </w:p>
    <w:p>
      <w:pPr>
        <w:spacing w:after="0" w:line="38"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__________________________________________</w:t>
      </w:r>
    </w:p>
    <w:p>
      <w:pPr>
        <w:spacing w:after="0" w:line="20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3100" w:type="dxa"/>
            <w:vAlign w:val="bottom"/>
            <w:gridSpan w:val="2"/>
          </w:tcPr>
          <w:p>
            <w:pPr>
              <w:jc w:val="center"/>
              <w:ind w:right="2150"/>
              <w:spacing w:after="0"/>
              <w:rPr>
                <w:sz w:val="20"/>
                <w:szCs w:val="20"/>
                <w:color w:val="auto"/>
              </w:rPr>
            </w:pPr>
            <w:r>
              <w:rPr>
                <w:rFonts w:ascii="Arial" w:cs="Arial" w:eastAsia="Arial" w:hAnsi="Arial"/>
                <w:sz w:val="18"/>
                <w:szCs w:val="18"/>
                <w:color w:val="auto"/>
                <w:w w:val="92"/>
              </w:rPr>
              <w:t>Delaware</w:t>
            </w:r>
          </w:p>
        </w:tc>
        <w:tc>
          <w:tcPr>
            <w:tcW w:w="2680" w:type="dxa"/>
            <w:vAlign w:val="bottom"/>
            <w:gridSpan w:val="2"/>
          </w:tcPr>
          <w:p>
            <w:pPr>
              <w:jc w:val="center"/>
              <w:ind w:right="700"/>
              <w:spacing w:after="0"/>
              <w:rPr>
                <w:sz w:val="20"/>
                <w:szCs w:val="20"/>
                <w:color w:val="auto"/>
              </w:rPr>
            </w:pPr>
            <w:r>
              <w:rPr>
                <w:rFonts w:ascii="Arial" w:cs="Arial" w:eastAsia="Arial" w:hAnsi="Arial"/>
                <w:sz w:val="18"/>
                <w:szCs w:val="18"/>
                <w:color w:val="auto"/>
                <w:w w:val="90"/>
              </w:rPr>
              <w:t>001-04298</w:t>
            </w:r>
          </w:p>
        </w:tc>
        <w:tc>
          <w:tcPr>
            <w:tcW w:w="2820" w:type="dxa"/>
            <w:vAlign w:val="bottom"/>
          </w:tcPr>
          <w:p>
            <w:pPr>
              <w:jc w:val="center"/>
              <w:ind w:left="990"/>
              <w:spacing w:after="0"/>
              <w:rPr>
                <w:sz w:val="20"/>
                <w:szCs w:val="20"/>
                <w:color w:val="auto"/>
              </w:rPr>
            </w:pPr>
            <w:r>
              <w:rPr>
                <w:rFonts w:ascii="Arial" w:cs="Arial" w:eastAsia="Arial" w:hAnsi="Arial"/>
                <w:sz w:val="18"/>
                <w:szCs w:val="18"/>
                <w:color w:val="auto"/>
                <w:w w:val="89"/>
              </w:rPr>
              <w:t>95-1934119</w:t>
            </w:r>
          </w:p>
        </w:tc>
      </w:tr>
      <w:tr>
        <w:trPr>
          <w:trHeight w:val="216"/>
        </w:trPr>
        <w:tc>
          <w:tcPr>
            <w:tcW w:w="4640" w:type="dxa"/>
            <w:vAlign w:val="bottom"/>
            <w:gridSpan w:val="3"/>
          </w:tcPr>
          <w:p>
            <w:pPr>
              <w:jc w:val="right"/>
              <w:ind w:right="1630"/>
              <w:spacing w:after="0"/>
              <w:rPr>
                <w:sz w:val="20"/>
                <w:szCs w:val="20"/>
                <w:color w:val="auto"/>
              </w:rPr>
            </w:pPr>
            <w:r>
              <w:rPr>
                <w:rFonts w:ascii="Arial" w:cs="Arial" w:eastAsia="Arial" w:hAnsi="Arial"/>
                <w:sz w:val="18"/>
                <w:szCs w:val="18"/>
                <w:color w:val="auto"/>
              </w:rPr>
              <w:t>_____________________</w:t>
            </w:r>
          </w:p>
        </w:tc>
        <w:tc>
          <w:tcPr>
            <w:tcW w:w="2680" w:type="dxa"/>
            <w:vAlign w:val="bottom"/>
            <w:gridSpan w:val="2"/>
          </w:tcPr>
          <w:p>
            <w:pPr>
              <w:jc w:val="center"/>
              <w:ind w:right="720"/>
              <w:spacing w:after="0"/>
              <w:rPr>
                <w:sz w:val="20"/>
                <w:szCs w:val="20"/>
                <w:color w:val="auto"/>
              </w:rPr>
            </w:pPr>
            <w:r>
              <w:rPr>
                <w:rFonts w:ascii="Arial" w:cs="Arial" w:eastAsia="Arial" w:hAnsi="Arial"/>
                <w:sz w:val="18"/>
                <w:szCs w:val="18"/>
                <w:color w:val="auto"/>
                <w:w w:val="89"/>
              </w:rPr>
              <w:t>_____________</w:t>
            </w:r>
          </w:p>
        </w:tc>
        <w:tc>
          <w:tcPr>
            <w:tcW w:w="2820" w:type="dxa"/>
            <w:vAlign w:val="bottom"/>
          </w:tcPr>
          <w:p>
            <w:pPr>
              <w:jc w:val="center"/>
              <w:ind w:left="990"/>
              <w:spacing w:after="0"/>
              <w:rPr>
                <w:sz w:val="20"/>
                <w:szCs w:val="20"/>
                <w:color w:val="auto"/>
              </w:rPr>
            </w:pPr>
            <w:r>
              <w:rPr>
                <w:rFonts w:ascii="Arial" w:cs="Arial" w:eastAsia="Arial" w:hAnsi="Arial"/>
                <w:sz w:val="18"/>
                <w:szCs w:val="18"/>
                <w:color w:val="auto"/>
                <w:w w:val="89"/>
              </w:rPr>
              <w:t>______________</w:t>
            </w:r>
          </w:p>
        </w:tc>
      </w:tr>
      <w:tr>
        <w:trPr>
          <w:trHeight w:val="216"/>
        </w:trPr>
        <w:tc>
          <w:tcPr>
            <w:tcW w:w="4640" w:type="dxa"/>
            <w:vAlign w:val="bottom"/>
            <w:gridSpan w:val="3"/>
          </w:tcPr>
          <w:p>
            <w:pPr>
              <w:jc w:val="center"/>
              <w:ind w:right="610"/>
              <w:spacing w:after="0"/>
              <w:rPr>
                <w:sz w:val="20"/>
                <w:szCs w:val="20"/>
                <w:color w:val="auto"/>
              </w:rPr>
            </w:pPr>
            <w:r>
              <w:rPr>
                <w:rFonts w:ascii="Arial" w:cs="Arial" w:eastAsia="Arial" w:hAnsi="Arial"/>
                <w:sz w:val="18"/>
                <w:szCs w:val="18"/>
                <w:color w:val="auto"/>
                <w:w w:val="92"/>
              </w:rPr>
              <w:t>(State or other jurisdiction</w:t>
            </w:r>
          </w:p>
        </w:tc>
        <w:tc>
          <w:tcPr>
            <w:tcW w:w="2680" w:type="dxa"/>
            <w:vAlign w:val="bottom"/>
            <w:gridSpan w:val="2"/>
          </w:tcPr>
          <w:p>
            <w:pPr>
              <w:jc w:val="center"/>
              <w:ind w:right="720"/>
              <w:spacing w:after="0"/>
              <w:rPr>
                <w:sz w:val="20"/>
                <w:szCs w:val="20"/>
                <w:color w:val="auto"/>
              </w:rPr>
            </w:pPr>
            <w:r>
              <w:rPr>
                <w:rFonts w:ascii="Arial" w:cs="Arial" w:eastAsia="Arial" w:hAnsi="Arial"/>
                <w:sz w:val="18"/>
                <w:szCs w:val="18"/>
                <w:color w:val="auto"/>
                <w:w w:val="91"/>
              </w:rPr>
              <w:t>(Commission</w:t>
            </w:r>
          </w:p>
        </w:tc>
        <w:tc>
          <w:tcPr>
            <w:tcW w:w="2820" w:type="dxa"/>
            <w:vAlign w:val="bottom"/>
          </w:tcPr>
          <w:p>
            <w:pPr>
              <w:jc w:val="center"/>
              <w:ind w:left="990"/>
              <w:spacing w:after="0"/>
              <w:rPr>
                <w:sz w:val="20"/>
                <w:szCs w:val="20"/>
                <w:color w:val="auto"/>
              </w:rPr>
            </w:pPr>
            <w:r>
              <w:rPr>
                <w:rFonts w:ascii="Arial" w:cs="Arial" w:eastAsia="Arial" w:hAnsi="Arial"/>
                <w:sz w:val="18"/>
                <w:szCs w:val="18"/>
                <w:color w:val="auto"/>
                <w:w w:val="92"/>
              </w:rPr>
              <w:t>(I.R.S. Employer</w:t>
            </w:r>
          </w:p>
        </w:tc>
      </w:tr>
      <w:tr>
        <w:trPr>
          <w:trHeight w:val="230"/>
        </w:trPr>
        <w:tc>
          <w:tcPr>
            <w:tcW w:w="4640" w:type="dxa"/>
            <w:vAlign w:val="bottom"/>
            <w:gridSpan w:val="3"/>
          </w:tcPr>
          <w:p>
            <w:pPr>
              <w:jc w:val="center"/>
              <w:ind w:right="610"/>
              <w:spacing w:after="0"/>
              <w:rPr>
                <w:sz w:val="20"/>
                <w:szCs w:val="20"/>
                <w:color w:val="auto"/>
              </w:rPr>
            </w:pPr>
            <w:r>
              <w:rPr>
                <w:rFonts w:ascii="Arial" w:cs="Arial" w:eastAsia="Arial" w:hAnsi="Arial"/>
                <w:sz w:val="18"/>
                <w:szCs w:val="18"/>
                <w:color w:val="auto"/>
                <w:w w:val="93"/>
              </w:rPr>
              <w:t>of incorporation)</w:t>
            </w:r>
          </w:p>
        </w:tc>
        <w:tc>
          <w:tcPr>
            <w:tcW w:w="2680" w:type="dxa"/>
            <w:vAlign w:val="bottom"/>
            <w:gridSpan w:val="2"/>
          </w:tcPr>
          <w:p>
            <w:pPr>
              <w:jc w:val="center"/>
              <w:ind w:right="700"/>
              <w:spacing w:after="0"/>
              <w:rPr>
                <w:sz w:val="20"/>
                <w:szCs w:val="20"/>
                <w:color w:val="auto"/>
              </w:rPr>
            </w:pPr>
            <w:r>
              <w:rPr>
                <w:rFonts w:ascii="Arial" w:cs="Arial" w:eastAsia="Arial" w:hAnsi="Arial"/>
                <w:sz w:val="18"/>
                <w:szCs w:val="18"/>
                <w:color w:val="auto"/>
                <w:w w:val="94"/>
              </w:rPr>
              <w:t>File Number)</w:t>
            </w:r>
          </w:p>
        </w:tc>
        <w:tc>
          <w:tcPr>
            <w:tcW w:w="2820" w:type="dxa"/>
            <w:vAlign w:val="bottom"/>
          </w:tcPr>
          <w:p>
            <w:pPr>
              <w:jc w:val="center"/>
              <w:ind w:left="9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640" w:type="dxa"/>
            <w:vAlign w:val="bottom"/>
            <w:gridSpan w:val="3"/>
          </w:tcPr>
          <w:p>
            <w:pPr>
              <w:jc w:val="center"/>
              <w:ind w:right="590"/>
              <w:spacing w:after="0"/>
              <w:rPr>
                <w:sz w:val="20"/>
                <w:szCs w:val="20"/>
                <w:color w:val="auto"/>
              </w:rPr>
            </w:pPr>
            <w:r>
              <w:rPr>
                <w:rFonts w:ascii="Arial" w:cs="Arial" w:eastAsia="Arial" w:hAnsi="Arial"/>
                <w:sz w:val="18"/>
                <w:szCs w:val="18"/>
                <w:color w:val="auto"/>
                <w:w w:val="92"/>
              </w:rPr>
              <w:t>12367 Crosthwaite Circle, Poway, California</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20" w:type="dxa"/>
            <w:vAlign w:val="bottom"/>
          </w:tcPr>
          <w:p>
            <w:pPr>
              <w:jc w:val="center"/>
              <w:ind w:left="990"/>
              <w:spacing w:after="0"/>
              <w:rPr>
                <w:sz w:val="20"/>
                <w:szCs w:val="20"/>
                <w:color w:val="auto"/>
              </w:rPr>
            </w:pPr>
            <w:r>
              <w:rPr>
                <w:rFonts w:ascii="Arial" w:cs="Arial" w:eastAsia="Arial" w:hAnsi="Arial"/>
                <w:sz w:val="18"/>
                <w:szCs w:val="18"/>
                <w:color w:val="auto"/>
                <w:w w:val="91"/>
              </w:rPr>
              <w:t>92064</w:t>
            </w:r>
          </w:p>
        </w:tc>
      </w:tr>
      <w:tr>
        <w:trPr>
          <w:trHeight w:val="216"/>
        </w:trPr>
        <w:tc>
          <w:tcPr>
            <w:tcW w:w="4640" w:type="dxa"/>
            <w:vAlign w:val="bottom"/>
            <w:gridSpan w:val="3"/>
          </w:tcPr>
          <w:p>
            <w:pPr>
              <w:jc w:val="right"/>
              <w:ind w:right="1090"/>
              <w:spacing w:after="0"/>
              <w:rPr>
                <w:sz w:val="20"/>
                <w:szCs w:val="20"/>
                <w:color w:val="auto"/>
              </w:rPr>
            </w:pPr>
            <w:r>
              <w:rPr>
                <w:rFonts w:ascii="Arial" w:cs="Arial" w:eastAsia="Arial" w:hAnsi="Arial"/>
                <w:sz w:val="18"/>
                <w:szCs w:val="18"/>
                <w:color w:val="auto"/>
              </w:rPr>
              <w:t>_________________________________</w:t>
            </w: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20" w:type="dxa"/>
            <w:vAlign w:val="bottom"/>
          </w:tcPr>
          <w:p>
            <w:pPr>
              <w:jc w:val="center"/>
              <w:ind w:left="990"/>
              <w:spacing w:after="0"/>
              <w:rPr>
                <w:sz w:val="20"/>
                <w:szCs w:val="20"/>
                <w:color w:val="auto"/>
              </w:rPr>
            </w:pPr>
            <w:r>
              <w:rPr>
                <w:rFonts w:ascii="Arial" w:cs="Arial" w:eastAsia="Arial" w:hAnsi="Arial"/>
                <w:sz w:val="18"/>
                <w:szCs w:val="18"/>
                <w:color w:val="auto"/>
                <w:w w:val="88"/>
              </w:rPr>
              <w:t>___________</w:t>
            </w:r>
          </w:p>
        </w:tc>
      </w:tr>
      <w:tr>
        <w:trPr>
          <w:trHeight w:val="230"/>
        </w:trPr>
        <w:tc>
          <w:tcPr>
            <w:tcW w:w="4640" w:type="dxa"/>
            <w:vAlign w:val="bottom"/>
            <w:gridSpan w:val="3"/>
          </w:tcPr>
          <w:p>
            <w:pPr>
              <w:jc w:val="center"/>
              <w:ind w:right="610"/>
              <w:spacing w:after="0"/>
              <w:rPr>
                <w:sz w:val="20"/>
                <w:szCs w:val="20"/>
                <w:color w:val="auto"/>
              </w:rPr>
            </w:pPr>
            <w:r>
              <w:rPr>
                <w:rFonts w:ascii="Arial" w:cs="Arial" w:eastAsia="Arial" w:hAnsi="Arial"/>
                <w:sz w:val="18"/>
                <w:szCs w:val="18"/>
                <w:color w:val="auto"/>
                <w:w w:val="92"/>
              </w:rPr>
              <w:t>(Address of principal executive offices)</w:t>
            </w:r>
          </w:p>
        </w:tc>
        <w:tc>
          <w:tcPr>
            <w:tcW w:w="1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20" w:type="dxa"/>
            <w:vAlign w:val="bottom"/>
          </w:tcPr>
          <w:p>
            <w:pPr>
              <w:jc w:val="center"/>
              <w:ind w:left="1010"/>
              <w:spacing w:after="0"/>
              <w:rPr>
                <w:sz w:val="20"/>
                <w:szCs w:val="20"/>
                <w:color w:val="auto"/>
              </w:rPr>
            </w:pPr>
            <w:r>
              <w:rPr>
                <w:rFonts w:ascii="Arial" w:cs="Arial" w:eastAsia="Arial" w:hAnsi="Arial"/>
                <w:sz w:val="18"/>
                <w:szCs w:val="18"/>
                <w:color w:val="auto"/>
                <w:w w:val="94"/>
              </w:rPr>
              <w:t>(Zip Code)</w:t>
            </w:r>
          </w:p>
        </w:tc>
      </w:tr>
      <w:tr>
        <w:trPr>
          <w:trHeight w:val="432"/>
        </w:trPr>
        <w:tc>
          <w:tcPr>
            <w:tcW w:w="4640" w:type="dxa"/>
            <w:vAlign w:val="bottom"/>
            <w:gridSpan w:val="3"/>
          </w:tcPr>
          <w:p>
            <w:pPr>
              <w:jc w:val="center"/>
              <w:ind w:right="610"/>
              <w:spacing w:after="0"/>
              <w:rPr>
                <w:sz w:val="20"/>
                <w:szCs w:val="20"/>
                <w:color w:val="auto"/>
              </w:rPr>
            </w:pPr>
            <w:r>
              <w:rPr>
                <w:rFonts w:ascii="Arial" w:cs="Arial" w:eastAsia="Arial" w:hAnsi="Arial"/>
                <w:sz w:val="18"/>
                <w:szCs w:val="18"/>
                <w:color w:val="auto"/>
                <w:w w:val="89"/>
              </w:rPr>
              <w:t>Registrant’s telephone number, including area code:</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20" w:type="dxa"/>
            <w:vAlign w:val="bottom"/>
          </w:tcPr>
          <w:p>
            <w:pPr>
              <w:jc w:val="center"/>
              <w:ind w:left="990"/>
              <w:spacing w:after="0"/>
              <w:rPr>
                <w:sz w:val="20"/>
                <w:szCs w:val="20"/>
                <w:color w:val="auto"/>
              </w:rPr>
            </w:pPr>
            <w:r>
              <w:rPr>
                <w:rFonts w:ascii="Arial" w:cs="Arial" w:eastAsia="Arial" w:hAnsi="Arial"/>
                <w:sz w:val="18"/>
                <w:szCs w:val="18"/>
                <w:color w:val="auto"/>
                <w:w w:val="90"/>
              </w:rPr>
              <w:t>858-848-8100</w:t>
            </w:r>
          </w:p>
        </w:tc>
      </w:tr>
      <w:tr>
        <w:trPr>
          <w:trHeight w:val="418"/>
        </w:trPr>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80" w:type="dxa"/>
            <w:vAlign w:val="bottom"/>
            <w:gridSpan w:val="2"/>
          </w:tcPr>
          <w:p>
            <w:pPr>
              <w:jc w:val="center"/>
              <w:ind w:right="700"/>
              <w:spacing w:after="0"/>
              <w:rPr>
                <w:sz w:val="20"/>
                <w:szCs w:val="20"/>
                <w:color w:val="auto"/>
              </w:rPr>
            </w:pPr>
            <w:r>
              <w:rPr>
                <w:rFonts w:ascii="Arial" w:cs="Arial" w:eastAsia="Arial" w:hAnsi="Arial"/>
                <w:sz w:val="18"/>
                <w:szCs w:val="18"/>
                <w:color w:val="auto"/>
                <w:w w:val="94"/>
              </w:rPr>
              <w:t>Not Applicable</w:t>
            </w:r>
          </w:p>
        </w:tc>
        <w:tc>
          <w:tcPr>
            <w:tcW w:w="2820" w:type="dxa"/>
            <w:vAlign w:val="bottom"/>
          </w:tcPr>
          <w:p>
            <w:pPr>
              <w:spacing w:after="0"/>
              <w:rPr>
                <w:sz w:val="24"/>
                <w:szCs w:val="24"/>
                <w:color w:val="auto"/>
              </w:rPr>
            </w:pPr>
          </w:p>
        </w:tc>
      </w:tr>
      <w:tr>
        <w:trPr>
          <w:trHeight w:val="216"/>
        </w:trPr>
        <w:tc>
          <w:tcPr>
            <w:tcW w:w="10140" w:type="dxa"/>
            <w:vAlign w:val="bottom"/>
            <w:gridSpan w:val="6"/>
          </w:tcPr>
          <w:p>
            <w:pPr>
              <w:jc w:val="center"/>
              <w:ind w:left="1030"/>
              <w:spacing w:after="0"/>
              <w:rPr>
                <w:sz w:val="20"/>
                <w:szCs w:val="20"/>
                <w:color w:val="auto"/>
              </w:rPr>
            </w:pPr>
            <w:r>
              <w:rPr>
                <w:rFonts w:ascii="Arial" w:cs="Arial" w:eastAsia="Arial" w:hAnsi="Arial"/>
                <w:sz w:val="18"/>
                <w:szCs w:val="18"/>
                <w:color w:val="auto"/>
                <w:w w:val="89"/>
              </w:rPr>
              <w:t>______________________________________________</w:t>
            </w:r>
          </w:p>
        </w:tc>
      </w:tr>
      <w:tr>
        <w:trPr>
          <w:trHeight w:val="230"/>
        </w:trPr>
        <w:tc>
          <w:tcPr>
            <w:tcW w:w="1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240" w:type="dxa"/>
            <w:vAlign w:val="bottom"/>
            <w:gridSpan w:val="4"/>
          </w:tcPr>
          <w:p>
            <w:pPr>
              <w:jc w:val="center"/>
              <w:ind w:right="1690"/>
              <w:spacing w:after="0"/>
              <w:rPr>
                <w:sz w:val="20"/>
                <w:szCs w:val="20"/>
                <w:color w:val="auto"/>
              </w:rPr>
            </w:pPr>
            <w:r>
              <w:rPr>
                <w:rFonts w:ascii="Arial" w:cs="Arial" w:eastAsia="Arial" w:hAnsi="Arial"/>
                <w:sz w:val="18"/>
                <w:szCs w:val="18"/>
                <w:color w:val="auto"/>
                <w:w w:val="89"/>
              </w:rPr>
              <w:t>Former name or former address, if changed since last report</w:t>
            </w:r>
          </w:p>
        </w:tc>
      </w:tr>
      <w:tr>
        <w:trPr>
          <w:trHeight w:val="432"/>
        </w:trPr>
        <w:tc>
          <w:tcPr>
            <w:tcW w:w="46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91"/>
        </w:trPr>
        <w:tc>
          <w:tcPr>
            <w:tcW w:w="15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1740" w:type="dxa"/>
            <w:vAlign w:val="bottom"/>
          </w:tcPr>
          <w:p>
            <w:pPr>
              <w:spacing w:after="0"/>
              <w:rPr>
                <w:sz w:val="24"/>
                <w:szCs w:val="24"/>
                <w:color w:val="auto"/>
              </w:rPr>
            </w:pPr>
          </w:p>
        </w:tc>
        <w:tc>
          <w:tcPr>
            <w:tcW w:w="2680" w:type="dxa"/>
            <w:vAlign w:val="bottom"/>
            <w:gridSpan w:val="2"/>
          </w:tcPr>
          <w:p>
            <w:pPr>
              <w:jc w:val="center"/>
              <w:ind w:right="1320"/>
              <w:spacing w:after="0"/>
              <w:rPr>
                <w:sz w:val="20"/>
                <w:szCs w:val="20"/>
                <w:color w:val="auto"/>
              </w:rPr>
            </w:pPr>
            <w:r>
              <w:rPr>
                <w:rFonts w:ascii="Arial" w:cs="Arial" w:eastAsia="Arial" w:hAnsi="Arial"/>
                <w:sz w:val="18"/>
                <w:szCs w:val="18"/>
                <w:color w:val="auto"/>
                <w:w w:val="92"/>
              </w:rPr>
              <w:t>Trading Symbol(s)</w:t>
            </w:r>
          </w:p>
        </w:tc>
        <w:tc>
          <w:tcPr>
            <w:tcW w:w="2820" w:type="dxa"/>
            <w:vAlign w:val="bottom"/>
          </w:tcPr>
          <w:p>
            <w:pPr>
              <w:jc w:val="center"/>
              <w:spacing w:after="0"/>
              <w:rPr>
                <w:sz w:val="20"/>
                <w:szCs w:val="20"/>
                <w:color w:val="auto"/>
              </w:rPr>
            </w:pPr>
            <w:r>
              <w:rPr>
                <w:rFonts w:ascii="Arial" w:cs="Arial" w:eastAsia="Arial" w:hAnsi="Arial"/>
                <w:sz w:val="18"/>
                <w:szCs w:val="18"/>
                <w:color w:val="auto"/>
                <w:w w:val="90"/>
              </w:rPr>
              <w:t>Name of exchange on which registered</w:t>
            </w:r>
          </w:p>
        </w:tc>
      </w:tr>
      <w:tr>
        <w:trPr>
          <w:trHeight w:val="20"/>
        </w:trPr>
        <w:tc>
          <w:tcPr>
            <w:tcW w:w="1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r>
        <w:trPr>
          <w:trHeight w:val="237"/>
        </w:trPr>
        <w:tc>
          <w:tcPr>
            <w:tcW w:w="4640" w:type="dxa"/>
            <w:vAlign w:val="bottom"/>
            <w:gridSpan w:val="3"/>
          </w:tcPr>
          <w:p>
            <w:pPr>
              <w:jc w:val="center"/>
              <w:ind w:right="110"/>
              <w:spacing w:after="0"/>
              <w:rPr>
                <w:sz w:val="20"/>
                <w:szCs w:val="20"/>
                <w:color w:val="auto"/>
              </w:rPr>
            </w:pPr>
            <w:r>
              <w:rPr>
                <w:rFonts w:ascii="Arial" w:cs="Arial" w:eastAsia="Arial" w:hAnsi="Arial"/>
                <w:sz w:val="18"/>
                <w:szCs w:val="18"/>
                <w:color w:val="auto"/>
                <w:w w:val="90"/>
              </w:rPr>
              <w:t>Common Stock, $1.00 par value</w:t>
            </w:r>
          </w:p>
        </w:tc>
        <w:tc>
          <w:tcPr>
            <w:tcW w:w="2680" w:type="dxa"/>
            <w:vAlign w:val="bottom"/>
            <w:gridSpan w:val="2"/>
          </w:tcPr>
          <w:p>
            <w:pPr>
              <w:jc w:val="center"/>
              <w:ind w:right="1320"/>
              <w:spacing w:after="0"/>
              <w:rPr>
                <w:sz w:val="20"/>
                <w:szCs w:val="20"/>
                <w:color w:val="auto"/>
              </w:rPr>
            </w:pPr>
            <w:r>
              <w:rPr>
                <w:rFonts w:ascii="Arial" w:cs="Arial" w:eastAsia="Arial" w:hAnsi="Arial"/>
                <w:sz w:val="18"/>
                <w:szCs w:val="18"/>
                <w:color w:val="auto"/>
                <w:w w:val="98"/>
              </w:rPr>
              <w:t>COHU</w:t>
            </w:r>
          </w:p>
        </w:tc>
        <w:tc>
          <w:tcPr>
            <w:tcW w:w="282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42"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On August 3, 2023, Cohu, Inc. (the “Company”) issued a press release regarding its financial results for the second quarter ended July 1, 2023. The Company’s press release is attached as Exhibit 99.1 to this Current Report on Form 8-K and incorporated by reference herein.</w:t>
      </w:r>
    </w:p>
    <w:p>
      <w:pPr>
        <w:spacing w:after="0" w:line="14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Included within this current report are non-GAAP financial measures, including non-GAAP Gross Margin/Profit, Income and Income (adjusted earnings) per share, Operating Income, Operating Expense, effective tax rate, free cash flow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manufacturing transition and severance costs, acquisition-related costs and associated professional fees, restructuring costs, inventory step-up, depreciation of purchase accounting adjustments to property, plant and equipment, employer payroll taxes related to accelerated vesting share-based awards, amortization of cloud-based software implementation costs (Adjusted EBITDA only) and loss on extinguishment of debt (Adjusted EBITDA only). Reconciliations of GAAP to non-GAAP amounts for the periods presented herein are provided in schedules accompanying this release and should be considered together with the Condensed Consolidated Statements of Operations. With respect to any forward-looking non-GAAP figures, we are unable to provide without unreasonable efforts, at this time, a GAAP to non-GAAP reconciliation of any forward-looking figures due to their inherent uncertainty.</w:t>
      </w:r>
    </w:p>
    <w:p>
      <w:pPr>
        <w:spacing w:after="0" w:line="18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Certain statements contained in this current report may be considered forward-looking statements within the meaning of the U.S. Private Securities Litigation Reform Act of 1995, including statements regarding continuing improvements in operational performance; aligning investments with major trends in industrial automation, autonomous vehicles, mobility, increased processing and sensing power; expanding our factory footprint in the Philippines; future growth in recurring; test interface design wins with expanded manufacturing in Asia; other design wins within the handler group; expansion of the Diamondx platform for analog testing; strategy to expand served addressable markets and deliver long-term growth; growth into adjacent areas, including service; resiliency of recurring business; expanding our software business including DI-Core; expanding Cohu’s differentiated product portfolio; new customer application gains; estimated test cell utilization; thermal handler demand for hyperscaling; Cohu’s FY2023 and FY2024 outlook; revenue growth with expected market condition improvements; % of incremental revenue expected to fall to operating income; expense controls; Cohu’s third quarter 2023 sales forecast, orders, guidance, sales mix, non-GAAP operating expenses, gross margin, operating income, adjusted EBITDA, effective tax rate, free cash flow, cap ex, cash and/or shares outstanding; estimated minimum cash needed; estimated EBITDA breakeven point; Cohu’s Mid-Term Financial Targets; any future Term Loan B principal reduction; the amount, timing or manner of any share repurchases;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 w:name="page3"/>
    <w:bookmarkEnd w:id="2"/>
    <w:p>
      <w:pPr>
        <w:spacing w:after="0" w:line="286" w:lineRule="auto"/>
        <w:rPr>
          <w:sz w:val="20"/>
          <w:szCs w:val="20"/>
          <w:color w:val="auto"/>
        </w:rPr>
      </w:pPr>
      <w:r>
        <w:rPr>
          <w:rFonts w:ascii="Arial" w:cs="Arial" w:eastAsia="Arial" w:hAnsi="Arial"/>
          <w:sz w:val="16"/>
          <w:szCs w:val="16"/>
          <w:color w:val="auto"/>
        </w:rPr>
        <w:t>Actual results and future business conditions could differ materially from those contained in any forward-looking statement as a result of various factors, including, without limitation: cyclical COVID-19 pandemic impacts; new product investments and product enhancements which may not be commercially successful; inability to effectively manage multiple manufacturing sites in Asia and secure reliable and cost-effective raw materials; failure of sole source contract manufacturer; ongoing inflationary pressures on material and operational costs coupled with rising interest rates; economic recession; instability of financial institutions where we maintain cash deposits and potential loss of uninsured cash deposits; the semiconductor industry is seasonal, cyclical, volatile and unpredictable; the semiconductor equipment industry is intensely competitive; rapid technological changes and product introductions and transitions; a limited number of customers account for a substantial percentage of net sales; significant exports to foreign countries with economic and political instability and competition from a number of Asia-based manufacturers; loss of key personnel; reliance on foreign locations and geopolitical instability in such locations critical to Cohu and its customers; natural disasters, war and climate-related changes; increasingly restrictive trade and export regulations impacting our ability to sell products, specifically within China; significant goodwill and other intangibles as percentage of our total assets; risks associated with the MCT acquisition, such as integration and synergies, and other risks associated with additional potential acquisitions, investments and divestitures; levels of debt; financial or operating results that are below forecast or credit rating changes impacting our stock price or financing ability; law/regulatory and including tax law changes; significant volatility in our stock price; and the risk of cybersecurity breaches.</w:t>
      </w:r>
    </w:p>
    <w:p>
      <w:pPr>
        <w:spacing w:after="0" w:line="17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and other risks and uncertainties are discussed more fully in Cohu’s filings with the SEC, including our most recent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 listed below is being furnished with this Current Report on Form 8-K.</w:t>
      </w:r>
    </w:p>
    <w:p>
      <w:pPr>
        <w:spacing w:after="0" w:line="225" w:lineRule="exact"/>
        <w:rPr>
          <w:sz w:val="20"/>
          <w:szCs w:val="20"/>
          <w:color w:val="auto"/>
        </w:rPr>
      </w:pPr>
    </w:p>
    <w:p>
      <w:pPr>
        <w:ind w:right="9900" w:firstLine="8"/>
        <w:spacing w:after="0" w:line="530"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 Exhibit No. - 99.1</w:t>
      </w:r>
    </w:p>
    <w:p>
      <w:pPr>
        <w:ind w:right="5740"/>
        <w:spacing w:after="0" w:line="500" w:lineRule="auto"/>
        <w:rPr>
          <w:rFonts w:ascii="Arial" w:cs="Arial" w:eastAsia="Arial" w:hAnsi="Arial"/>
          <w:sz w:val="17"/>
          <w:szCs w:val="17"/>
          <w:color w:val="auto"/>
        </w:rPr>
      </w:pPr>
      <w:r>
        <w:rPr>
          <w:rFonts w:ascii="Arial" w:cs="Arial" w:eastAsia="Arial" w:hAnsi="Arial"/>
          <w:sz w:val="18"/>
          <w:szCs w:val="18"/>
          <w:u w:val="single" w:color="auto"/>
          <w:color w:val="0000EE"/>
        </w:rPr>
        <w:t xml:space="preserve">Second Quarter 2023 Earnings Release, dated August 3, 2023, of Cohu, Inc. </w:t>
      </w:r>
      <w:r>
        <w:rPr>
          <w:rFonts w:ascii="Arial" w:cs="Arial" w:eastAsia="Arial" w:hAnsi="Arial"/>
          <w:sz w:val="18"/>
          <w:szCs w:val="18"/>
          <w:color w:val="000000"/>
        </w:rPr>
        <w:t>Exhibit No. - 104</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5460" w:val="left"/>
          <w:tab w:leader="none" w:pos="6400" w:val="left"/>
        </w:tabs>
        <w:rPr>
          <w:sz w:val="20"/>
          <w:szCs w:val="20"/>
          <w:color w:val="auto"/>
        </w:rPr>
      </w:pPr>
      <w:r>
        <w:rPr>
          <w:rFonts w:ascii="Arial" w:cs="Arial" w:eastAsia="Arial" w:hAnsi="Arial"/>
          <w:sz w:val="18"/>
          <w:szCs w:val="18"/>
          <w:color w:val="auto"/>
        </w:rPr>
        <w:t>August 3, 2023</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/s/ Jeffrey D. Jones</w:t>
      </w:r>
    </w:p>
    <w:p>
      <w:pPr>
        <w:spacing w:after="0" w:line="23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Name: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-130175</wp:posOffset>
            </wp:positionV>
            <wp:extent cx="3171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Title: Senior VP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120" w:type="dxa"/>
            <w:vAlign w:val="bottom"/>
          </w:tcPr>
          <w:p>
            <w:pPr>
              <w:ind w:left="2020"/>
              <w:spacing w:after="0"/>
              <w:rPr>
                <w:sz w:val="20"/>
                <w:szCs w:val="20"/>
                <w:color w:val="auto"/>
              </w:rPr>
            </w:pPr>
            <w:r>
              <w:rPr>
                <w:rFonts w:ascii="Arial" w:cs="Arial" w:eastAsia="Arial" w:hAnsi="Arial"/>
                <w:sz w:val="18"/>
                <w:szCs w:val="18"/>
                <w:color w:val="auto"/>
              </w:rPr>
              <w:t>Exhibit Index</w:t>
            </w:r>
          </w:p>
        </w:tc>
      </w:tr>
      <w:tr>
        <w:trPr>
          <w:trHeight w:val="648"/>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340" w:type="dxa"/>
            <w:vAlign w:val="bottom"/>
          </w:tcPr>
          <w:p>
            <w:pPr>
              <w:spacing w:after="0"/>
              <w:rPr>
                <w:sz w:val="24"/>
                <w:szCs w:val="24"/>
                <w:color w:val="auto"/>
              </w:rPr>
            </w:pPr>
          </w:p>
        </w:tc>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426"/>
        </w:trPr>
        <w:tc>
          <w:tcPr>
            <w:tcW w:w="278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8120" w:type="dxa"/>
            <w:vAlign w:val="bottom"/>
          </w:tcPr>
          <w:p>
            <w:pPr>
              <w:ind w:left="40"/>
              <w:spacing w:after="0"/>
              <w:rPr>
                <w:sz w:val="20"/>
                <w:szCs w:val="20"/>
                <w:color w:val="auto"/>
              </w:rPr>
            </w:pPr>
            <w:r>
              <w:rPr>
                <w:rFonts w:ascii="Arial" w:cs="Arial" w:eastAsia="Arial" w:hAnsi="Arial"/>
                <w:sz w:val="18"/>
                <w:szCs w:val="18"/>
                <w:color w:val="auto"/>
              </w:rPr>
              <w:t>Second Quarter 2023 Earnings Release, dated August 3, 2023, of Cohu, Inc.</w:t>
            </w:r>
          </w:p>
        </w:tc>
      </w:tr>
      <w:tr>
        <w:trPr>
          <w:trHeight w:val="432"/>
        </w:trPr>
        <w:tc>
          <w:tcPr>
            <w:tcW w:w="2780" w:type="dxa"/>
            <w:vAlign w:val="bottom"/>
          </w:tcPr>
          <w:p>
            <w:pPr>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8120" w:type="dxa"/>
            <w:vAlign w:val="bottom"/>
          </w:tcPr>
          <w:p>
            <w:pPr>
              <w:ind w:left="40"/>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240"/>
          </w:cols>
          <w:pgMar w:left="320" w:top="58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154305</wp:posOffset>
            </wp:positionV>
            <wp:extent cx="3163570" cy="625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6357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-121920</wp:posOffset>
            </wp:positionV>
            <wp:extent cx="25400" cy="8229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400" cy="822960"/>
                    </a:xfrm>
                    <a:prstGeom prst="rect">
                      <a:avLst/>
                    </a:prstGeom>
                    <a:noFill/>
                  </pic:spPr>
                </pic:pic>
              </a:graphicData>
            </a:graphic>
          </wp:anchor>
        </w:drawing>
      </w:r>
    </w:p>
    <w:p>
      <w:pPr>
        <w:spacing w:after="0" w:line="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12367 CROSTHWAITE CIRCLE</w:t>
      </w:r>
    </w:p>
    <w:p>
      <w:pPr>
        <w:spacing w:after="0" w:line="9"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POWAY, CA 92064</w:t>
      </w:r>
    </w:p>
    <w:p>
      <w:pPr>
        <w:spacing w:after="0" w:line="9"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FAX (858) 848-8185</w:t>
      </w:r>
    </w:p>
    <w:p>
      <w:pPr>
        <w:spacing w:after="0" w:line="9"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PHONE (858) 858-8100</w:t>
      </w:r>
    </w:p>
    <w:p>
      <w:pPr>
        <w:spacing w:after="0" w:line="9"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www.cohu.com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Reports Second Quarter 2023 Results</w:t>
      </w:r>
    </w:p>
    <w:p>
      <w:pPr>
        <w:spacing w:after="0" w:line="229" w:lineRule="exact"/>
        <w:rPr>
          <w:sz w:val="20"/>
          <w:szCs w:val="20"/>
          <w:color w:val="auto"/>
        </w:rPr>
      </w:pPr>
    </w:p>
    <w:p>
      <w:pPr>
        <w:ind w:left="580" w:hanging="320"/>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Second quarter revenue $168.9 million</w:t>
      </w:r>
    </w:p>
    <w:p>
      <w:pPr>
        <w:spacing w:after="0" w:line="225" w:lineRule="exact"/>
        <w:rPr>
          <w:rFonts w:ascii="Arial" w:cs="Arial" w:eastAsia="Arial" w:hAnsi="Arial"/>
          <w:sz w:val="18"/>
          <w:szCs w:val="18"/>
          <w:color w:val="auto"/>
        </w:rPr>
      </w:pPr>
    </w:p>
    <w:p>
      <w:pPr>
        <w:ind w:left="580" w:hanging="320"/>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Gross margin of 47.6%; non-GAAP gross margin of 47.8%</w:t>
      </w:r>
    </w:p>
    <w:p>
      <w:pPr>
        <w:spacing w:after="0" w:line="225" w:lineRule="exact"/>
        <w:rPr>
          <w:rFonts w:ascii="Arial" w:cs="Arial" w:eastAsia="Arial" w:hAnsi="Arial"/>
          <w:sz w:val="18"/>
          <w:szCs w:val="18"/>
          <w:color w:val="auto"/>
        </w:rPr>
      </w:pPr>
    </w:p>
    <w:p>
      <w:pPr>
        <w:ind w:left="580" w:hanging="320"/>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Improving thermal handler demand for hyperscaling</w:t>
      </w:r>
    </w:p>
    <w:p>
      <w:pPr>
        <w:spacing w:after="0" w:line="225"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POWAY, Calif., August 3, 2023 -- Cohu, Inc. (NASDAQ: COHU), a global supplier of equipment and services optimizing semiconductor manufacturing yield and productivity, today reported fiscal 2023 second quarter net sales of $168.9 million and GAAP income of $10.6 million or $0.22 per share. Net sales for the first six months of 2023 were $348.3 million and GAAP income was $26.3 million or $0.55 per share.</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Cohu also reported non-GAAP results, with second quarter 2023 income of $22.8 million or $0.48 per share and income of $49.8 million or $1.04 per share for the first six months of 2023.</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370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8"/>
                <w:szCs w:val="18"/>
                <w:b w:val="1"/>
                <w:bCs w:val="1"/>
                <w:color w:val="auto"/>
              </w:rPr>
              <w:t>GAAP Results</w:t>
            </w: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w w:val="94"/>
              </w:rPr>
              <w:t>Q2 FY 2023</w:t>
            </w:r>
          </w:p>
        </w:tc>
        <w:tc>
          <w:tcPr>
            <w:tcW w:w="220" w:type="dxa"/>
            <w:vAlign w:val="bottom"/>
            <w:tcBorders>
              <w:top w:val="single" w:sz="8" w:color="auto"/>
            </w:tcBorders>
            <w:vMerge w:val="restart"/>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w w:val="92"/>
              </w:rPr>
              <w:t>Q1 FY 2023</w:t>
            </w: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w w:val="94"/>
              </w:rPr>
              <w:t>Q2 FY 2022</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b w:val="1"/>
                <w:bCs w:val="1"/>
                <w:color w:val="auto"/>
                <w:w w:val="91"/>
              </w:rPr>
              <w:t>6 Months 2023</w:t>
            </w:r>
          </w:p>
        </w:tc>
        <w:tc>
          <w:tcPr>
            <w:tcW w:w="100" w:type="dxa"/>
            <w:vAlign w:val="bottom"/>
            <w:tcBorders>
              <w:top w:val="single" w:sz="8" w:color="auto"/>
            </w:tcBorders>
            <w:vMerge w:val="restart"/>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b w:val="1"/>
                <w:bCs w:val="1"/>
                <w:color w:val="auto"/>
                <w:w w:val="91"/>
              </w:rPr>
              <w:t>6 Months 2022</w:t>
            </w:r>
          </w:p>
        </w:tc>
        <w:tc>
          <w:tcPr>
            <w:tcW w:w="120" w:type="dxa"/>
            <w:vAlign w:val="bottom"/>
            <w:tcBorders>
              <w:top w:val="single" w:sz="8" w:color="auto"/>
              <w:right w:val="single" w:sz="8" w:color="auto"/>
            </w:tcBorders>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700" w:type="dxa"/>
            <w:vAlign w:val="bottom"/>
            <w:tcBorders>
              <w:left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560" w:type="dxa"/>
            <w:vAlign w:val="bottom"/>
            <w:gridSpan w:val="2"/>
          </w:tcPr>
          <w:p>
            <w:pPr>
              <w:spacing w:after="0"/>
              <w:rPr>
                <w:sz w:val="18"/>
                <w:szCs w:val="18"/>
                <w:color w:val="auto"/>
              </w:rPr>
            </w:pPr>
          </w:p>
        </w:tc>
        <w:tc>
          <w:tcPr>
            <w:tcW w:w="880" w:type="dxa"/>
            <w:vAlign w:val="bottom"/>
            <w:tcBorders>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6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348.3</w:t>
            </w:r>
          </w:p>
        </w:tc>
        <w:tc>
          <w:tcPr>
            <w:tcW w:w="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216"/>
        </w:trPr>
        <w:tc>
          <w:tcPr>
            <w:tcW w:w="37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28.8</w:t>
            </w:r>
          </w:p>
        </w:tc>
        <w:tc>
          <w:tcPr>
            <w:tcW w:w="6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4"/>
        </w:trPr>
        <w:tc>
          <w:tcPr>
            <w:tcW w:w="3700" w:type="dxa"/>
            <w:vAlign w:val="bottom"/>
            <w:tcBorders>
              <w:left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3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660" w:type="dxa"/>
            <w:vAlign w:val="bottom"/>
            <w:tcBorders>
              <w:bottom w:val="single" w:sz="8" w:color="auto"/>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0.55</w:t>
            </w:r>
          </w:p>
        </w:tc>
        <w:tc>
          <w:tcPr>
            <w:tcW w:w="560" w:type="dxa"/>
            <w:vAlign w:val="bottom"/>
            <w:tcBorders>
              <w:bottom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8"/>
        </w:trPr>
        <w:tc>
          <w:tcPr>
            <w:tcW w:w="3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0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Non-GAAP Results</w:t>
            </w:r>
          </w:p>
        </w:tc>
        <w:tc>
          <w:tcPr>
            <w:tcW w:w="120" w:type="dxa"/>
            <w:vAlign w:val="bottom"/>
          </w:tcPr>
          <w:p>
            <w:pPr>
              <w:spacing w:after="0"/>
              <w:rPr>
                <w:sz w:val="18"/>
                <w:szCs w:val="18"/>
                <w:color w:val="auto"/>
              </w:rPr>
            </w:pPr>
          </w:p>
        </w:tc>
        <w:tc>
          <w:tcPr>
            <w:tcW w:w="10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4"/>
              </w:rPr>
              <w:t>Q2 FY 2023</w:t>
            </w:r>
          </w:p>
        </w:tc>
        <w:tc>
          <w:tcPr>
            <w:tcW w:w="2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2"/>
              </w:rPr>
              <w:t>Q1 FY 2023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4"/>
              </w:rPr>
              <w:t>Q2 FY 2022</w:t>
            </w:r>
          </w:p>
        </w:tc>
        <w:tc>
          <w:tcPr>
            <w:tcW w:w="220" w:type="dxa"/>
            <w:vAlign w:val="bottom"/>
          </w:tcPr>
          <w:p>
            <w:pPr>
              <w:spacing w:after="0"/>
              <w:rPr>
                <w:sz w:val="18"/>
                <w:szCs w:val="18"/>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1"/>
              </w:rPr>
              <w:t>6 Months 2023</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1"/>
              </w:rPr>
              <w:t>6 Months 2022</w:t>
            </w:r>
          </w:p>
        </w:tc>
        <w:tc>
          <w:tcPr>
            <w:tcW w:w="120" w:type="dxa"/>
            <w:vAlign w:val="bottom"/>
            <w:tcBorders>
              <w:right w:val="single" w:sz="8" w:color="auto"/>
            </w:tcBorders>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00" w:type="dxa"/>
            <w:vAlign w:val="bottom"/>
            <w:tcBorders>
              <w:left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560" w:type="dxa"/>
            <w:vAlign w:val="bottom"/>
            <w:gridSpan w:val="2"/>
          </w:tcPr>
          <w:p>
            <w:pPr>
              <w:spacing w:after="0"/>
              <w:rPr>
                <w:sz w:val="18"/>
                <w:szCs w:val="18"/>
                <w:color w:val="auto"/>
              </w:rPr>
            </w:pPr>
          </w:p>
        </w:tc>
        <w:tc>
          <w:tcPr>
            <w:tcW w:w="880" w:type="dxa"/>
            <w:vAlign w:val="bottom"/>
            <w:tcBorders>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6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3"/>
        </w:trPr>
        <w:tc>
          <w:tcPr>
            <w:tcW w:w="3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Net income per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6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1.04</w:t>
            </w:r>
          </w:p>
        </w:tc>
        <w:tc>
          <w:tcPr>
            <w:tcW w:w="56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-1132840</wp:posOffset>
            </wp:positionV>
            <wp:extent cx="675513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5130"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-147320</wp:posOffset>
            </wp:positionV>
            <wp:extent cx="675513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55130" cy="137160"/>
                    </a:xfrm>
                    <a:prstGeom prst="rect">
                      <a:avLst/>
                    </a:prstGeom>
                    <a:noFill/>
                  </pic:spPr>
                </pic:pic>
              </a:graphicData>
            </a:graphic>
          </wp:anchor>
        </w:drawing>
      </w:r>
    </w:p>
    <w:p>
      <w:pPr>
        <w:spacing w:after="0" w:line="178" w:lineRule="exact"/>
        <w:rPr>
          <w:sz w:val="20"/>
          <w:szCs w:val="20"/>
          <w:color w:val="auto"/>
        </w:rPr>
      </w:pPr>
    </w:p>
    <w:p>
      <w:pPr>
        <w:jc w:val="both"/>
        <w:ind w:right="680"/>
        <w:spacing w:after="0" w:line="308" w:lineRule="auto"/>
        <w:rPr>
          <w:sz w:val="20"/>
          <w:szCs w:val="20"/>
          <w:color w:val="auto"/>
        </w:rPr>
      </w:pPr>
      <w:r>
        <w:rPr>
          <w:rFonts w:ascii="Arial" w:cs="Arial" w:eastAsia="Arial" w:hAnsi="Arial"/>
          <w:sz w:val="17"/>
          <w:szCs w:val="17"/>
          <w:color w:val="auto"/>
        </w:rPr>
        <w:t>Total cash and investments at the end of second quarter 2023 were $372.3 million and our Term Loan B principal amount was $31.1 million. Cohu repurchased 77,203 shares of its common stock in the second quarter for an aggregate amount of approximately $2.7 million.</w:t>
      </w:r>
    </w:p>
    <w:p>
      <w:pPr>
        <w:spacing w:after="0" w:line="14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“Second quarter gross margin and profitability were strong driven by a resilient recurring business model which has achieved a 3-year compound revenue growth rate of 7%,” said Cohu President and CEO Luis Müller. “We are focused on expanding our product portfolio and winning new customer applications, positioning the company to deliver revenue growth when market conditions improve.”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Cohu expects third quarter 2023 sales to be approximately $150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 xml:space="preserve">The Company will host a live conference call and webcast with slides to discuss second quarter 2023 results at 5:30 a.m. Pacific Time/8:30 a.m. Eastern Time on August 3, 2023. Interested parties may listen live via webcast on Cohu’s investor relations website at </w:t>
      </w:r>
      <w:r>
        <w:rPr>
          <w:rFonts w:ascii="Arial" w:cs="Arial" w:eastAsia="Arial" w:hAnsi="Arial"/>
          <w:sz w:val="18"/>
          <w:szCs w:val="18"/>
          <w:u w:val="single" w:color="auto"/>
          <w:color w:val="auto"/>
        </w:rPr>
        <w:t>https://edge.media-server.com/mmc/p/6n5z34zd</w:t>
      </w:r>
      <w:r>
        <w:rPr>
          <w:rFonts w:ascii="Arial" w:cs="Arial" w:eastAsia="Arial" w:hAnsi="Arial"/>
          <w:sz w:val="18"/>
          <w:szCs w:val="18"/>
          <w:color w:val="auto"/>
        </w:rPr>
        <w:t>.</w:t>
      </w:r>
    </w:p>
    <w:p>
      <w:pPr>
        <w:spacing w:after="0" w:line="18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 xml:space="preserve">To participate via telephone and join the call live, please register in advance at </w:t>
      </w:r>
      <w:r>
        <w:rPr>
          <w:rFonts w:ascii="Arial" w:cs="Arial" w:eastAsia="Arial" w:hAnsi="Arial"/>
          <w:sz w:val="16"/>
          <w:szCs w:val="16"/>
          <w:u w:val="single" w:color="auto"/>
          <w:color w:val="auto"/>
        </w:rPr>
        <w:t>https://register.vevent.com/register/BIb169876ee747489baab528b612fd969e</w:t>
      </w:r>
      <w:r>
        <w:rPr>
          <w:rFonts w:ascii="Arial" w:cs="Arial" w:eastAsia="Arial" w:hAnsi="Arial"/>
          <w:sz w:val="16"/>
          <w:szCs w:val="16"/>
          <w:color w:val="auto"/>
        </w:rPr>
        <w:t xml:space="preserve"> to receive the dial-in number along with a unique PIN number that can be used to access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Cohu:</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Cohu (NASDAQ: COHU) is a global technology leader supplying test, automation, inspection and metrology products and services to the semiconductor industry. Cohu’s differentiated and broad product portfolio enables optimized yield and productivity, accelerating customers’ manufacturing time-to-market. Additional information can be found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Included within this press release and accompanying materials are non-GAAP financial measures, including non-GAAP Gross Margin/Profit, Income and Income (adjusted earnings) per share, Operating Income, Operating Expense, effective tax rate, free cash flow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manufacturing transition and severance costs, acquisition-related costs and associated professional fees, restructuring costs, inventory step-up, depreciation of purchase accounting adjustments to property, plant and equipment, employer payroll taxes related to accelerated vesting share-based awards, amortization of cloud-based software implementation costs (Adjusted EBITDA </w:t>
      </w:r>
      <w:r>
        <w:rPr>
          <w:rFonts w:ascii="Arial" w:cs="Arial" w:eastAsia="Arial" w:hAnsi="Arial"/>
          <w:sz w:val="17"/>
          <w:szCs w:val="17"/>
          <w:u w:val="single" w:color="auto"/>
          <w:color w:val="auto"/>
        </w:rPr>
        <w:t>only</w:t>
      </w:r>
      <w:r>
        <w:rPr>
          <w:rFonts w:ascii="Arial" w:cs="Arial" w:eastAsia="Arial" w:hAnsi="Arial"/>
          <w:sz w:val="17"/>
          <w:szCs w:val="17"/>
          <w:color w:val="auto"/>
        </w:rPr>
        <w:t xml:space="preserve">) and loss on extinguishment of debt (Adjusted EBITDA </w:t>
      </w:r>
      <w:r>
        <w:rPr>
          <w:rFonts w:ascii="Arial" w:cs="Arial" w:eastAsia="Arial" w:hAnsi="Arial"/>
          <w:sz w:val="17"/>
          <w:szCs w:val="17"/>
          <w:u w:val="single" w:color="auto"/>
          <w:color w:val="auto"/>
        </w:rPr>
        <w:t>only</w:t>
      </w:r>
      <w:r>
        <w:rPr>
          <w:rFonts w:ascii="Arial" w:cs="Arial" w:eastAsia="Arial" w:hAnsi="Arial"/>
          <w:sz w:val="17"/>
          <w:szCs w:val="17"/>
          <w:color w:val="auto"/>
        </w:rPr>
        <w:t>). Reconciliations of GAAP to non-GAAP amounts for the periods presented herein are provided in schedules accompanying this release and should be considered together with the Condensed Consolidated Statements of Operations. With respect to any forward-looking non-GAAP figures, we are unable to provide without unreasonable efforts, at this time, a GAAP to non-GAAP reconciliation of any forward-looking figures due to their inherent uncertainty.</w:t>
      </w:r>
    </w:p>
    <w:p>
      <w:pPr>
        <w:spacing w:after="0" w:line="18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Certain statements contained in this release and accompanying materials may be considered forward-looking statements within the meaning of the U.S. Private Securities Litigation Reform Act of 1995, including statements regarding continuing improvements in operational performance; aligning investments with major trends in industrial automation, autonomous vehicles, mobility, increased processing and sensing power; expanding our factory footprint in the Philippines; future growth in recurring; test interface design wins with expanded manufacturing in Asia; other design wins within the handler group; expansion of the Diamondx platform for analog testing; strategy to expand served addressable markets and deliver long-term growth; growth into adjacent areas, including service; resiliency of recurring business; expanding our software business including DI-Core; expanding Cohu’s differentiated product portfolio; new customer application gains; estimated test cell utilization; thermal handler demand for hyperscaling; Cohu’s FY2023 and FY2024 outlook; revenue growth with expected market condition improvements; % of incremental revenue expected to fall to operating income; expense controls; Cohu’s third quarter 2023 sales forecast, orders, guidance, sales mix, non-GAAP operating expenses, gross margin, operating income, adjusted EBITDA, effective tax rate, free cash flow, cap ex, cash and/or shares outstanding; estimated minimum cash needed; estimated EBITDA breakeven point; Cohu’s Mid-Term Financial Targets; any future Term Loan B principal reduction; the amount, timing or manner of any share repurchases;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spacing w:after="0" w:line="286" w:lineRule="auto"/>
        <w:rPr>
          <w:sz w:val="20"/>
          <w:szCs w:val="20"/>
          <w:color w:val="auto"/>
        </w:rPr>
      </w:pPr>
      <w:r>
        <w:rPr>
          <w:rFonts w:ascii="Arial" w:cs="Arial" w:eastAsia="Arial" w:hAnsi="Arial"/>
          <w:sz w:val="16"/>
          <w:szCs w:val="16"/>
          <w:color w:val="auto"/>
        </w:rPr>
        <w:t>Actual results and future business conditions could differ materially from those contained in any forward-looking statement as a result of various factors, including, without limitation: cyclical COVID-19 pandemic impacts; new product investments and product enhancements which may not be commercially successful; inability to effectively manage multiple manufacturing sites in Asia and secure reliable and cost-effective raw materials; failure of sole source contract manufacturer; ongoing inflationary pressures on material and operational costs coupled with rising interest rates; economic recession; instability of financial institutions where we maintain cash deposits and potential loss of uninsured cash deposits; the semiconductor industry is seasonal, cyclical, volatile and unpredictable; the semiconductor equipment industry is intensely competitive; rapid technological changes and product introductions and transitions; a limited number of customers account for a substantial percentage of net sales; significant exports to foreign countries with economic and political instability and competition from a number of Asia-based manufacturers; loss of key personnel; reliance on foreign locations and geopolitical instability in such locations critical to Cohu and its customers; natural disasters, war and climate-related changes; increasingly restrictive trade and export regulations impacting our ability to sell products, specifically within China; significant goodwill and other intangibles as percentage of our total assets; risks associated with the MCT acquisition, such as integration and synergies, and other risks associated with additional potential acquisitions, investments and divestitures; levels of debt; financial or operating results that are below forecast or credit rating changes impacting our stock price or financing ability; law/regulatory and including tax law changes; significant volatility in our stock price; and the risk of cybersecurity breaches.</w:t>
      </w:r>
    </w:p>
    <w:p>
      <w:pPr>
        <w:spacing w:after="0" w:line="17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and other risks and uncertainties are discussed more fully in Cohu’s filings with the SEC, including our most recent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press releases and other information of interest to investors, please visit Cohu’s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 -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858-848-8106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5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5"/>
          </w:tcPr>
          <w:p>
            <w:pPr>
              <w:jc w:val="right"/>
              <w:ind w:right="600"/>
              <w:spacing w:after="0"/>
              <w:rPr>
                <w:sz w:val="20"/>
                <w:szCs w:val="20"/>
                <w:color w:val="auto"/>
              </w:rPr>
            </w:pPr>
            <w:r>
              <w:rPr>
                <w:rFonts w:ascii="Arial" w:cs="Arial" w:eastAsia="Arial" w:hAnsi="Arial"/>
                <w:sz w:val="18"/>
                <w:szCs w:val="18"/>
                <w:color w:val="auto"/>
                <w:w w:val="97"/>
              </w:rPr>
              <w:t xml:space="preserve">Three Months Ended </w:t>
            </w:r>
            <w:r>
              <w:rPr>
                <w:rFonts w:ascii="Arial" w:cs="Arial" w:eastAsia="Arial" w:hAnsi="Arial"/>
                <w:sz w:val="29"/>
                <w:szCs w:val="29"/>
                <w:color w:val="auto"/>
                <w:w w:val="97"/>
                <w:vertAlign w:val="superscript"/>
              </w:rPr>
              <w:t>(1)</w:t>
            </w:r>
          </w:p>
        </w:tc>
        <w:tc>
          <w:tcPr>
            <w:tcW w:w="220" w:type="dxa"/>
            <w:vAlign w:val="bottom"/>
          </w:tcPr>
          <w:p>
            <w:pPr>
              <w:spacing w:after="0"/>
              <w:rPr>
                <w:sz w:val="24"/>
                <w:szCs w:val="24"/>
                <w:color w:val="auto"/>
              </w:rPr>
            </w:pPr>
          </w:p>
        </w:tc>
        <w:tc>
          <w:tcPr>
            <w:tcW w:w="2420" w:type="dxa"/>
            <w:vAlign w:val="bottom"/>
            <w:gridSpan w:val="6"/>
          </w:tcPr>
          <w:p>
            <w:pPr>
              <w:jc w:val="right"/>
              <w:ind w:right="600"/>
              <w:spacing w:after="0"/>
              <w:rPr>
                <w:sz w:val="20"/>
                <w:szCs w:val="20"/>
                <w:color w:val="auto"/>
              </w:rPr>
            </w:pPr>
            <w:r>
              <w:rPr>
                <w:rFonts w:ascii="Arial" w:cs="Arial" w:eastAsia="Arial" w:hAnsi="Arial"/>
                <w:sz w:val="18"/>
                <w:szCs w:val="18"/>
                <w:color w:val="auto"/>
              </w:rPr>
              <w:t xml:space="preserve">Six Months Ended </w:t>
            </w:r>
            <w:r>
              <w:rPr>
                <w:rFonts w:ascii="Arial" w:cs="Arial" w:eastAsia="Arial" w:hAnsi="Arial"/>
                <w:sz w:val="29"/>
                <w:szCs w:val="29"/>
                <w:color w:val="auto"/>
                <w:vertAlign w:val="superscript"/>
              </w:rPr>
              <w:t>(1)</w:t>
            </w:r>
          </w:p>
        </w:tc>
      </w:tr>
      <w:tr>
        <w:trPr>
          <w:trHeight w:val="230"/>
        </w:trPr>
        <w:tc>
          <w:tcPr>
            <w:tcW w:w="5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July 1,</w:t>
            </w:r>
          </w:p>
        </w:tc>
        <w:tc>
          <w:tcPr>
            <w:tcW w:w="18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June 25,</w:t>
            </w:r>
          </w:p>
        </w:tc>
        <w:tc>
          <w:tcPr>
            <w:tcW w:w="22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July 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June 25,</w:t>
            </w:r>
          </w:p>
        </w:tc>
      </w:tr>
      <w:tr>
        <w:trPr>
          <w:trHeight w:val="234"/>
        </w:trPr>
        <w:tc>
          <w:tcPr>
            <w:tcW w:w="5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line="235" w:lineRule="exact"/>
              <w:rPr>
                <w:sz w:val="20"/>
                <w:szCs w:val="20"/>
                <w:color w:val="auto"/>
              </w:rPr>
            </w:pPr>
            <w:r>
              <w:rPr>
                <w:rFonts w:ascii="Arial" w:cs="Arial" w:eastAsia="Arial" w:hAnsi="Arial"/>
                <w:sz w:val="17"/>
                <w:szCs w:val="17"/>
                <w:b w:val="1"/>
                <w:bCs w:val="1"/>
                <w:color w:val="auto"/>
                <w:w w:val="99"/>
              </w:rPr>
              <w:t xml:space="preserve">2023 </w:t>
            </w:r>
            <w:r>
              <w:rPr>
                <w:rFonts w:ascii="Arial" w:cs="Arial" w:eastAsia="Arial" w:hAnsi="Arial"/>
                <w:sz w:val="27"/>
                <w:szCs w:val="27"/>
                <w:b w:val="1"/>
                <w:bCs w:val="1"/>
                <w:color w:val="auto"/>
                <w:w w:val="99"/>
                <w:vertAlign w:val="superscript"/>
              </w:rPr>
              <w:t>(2)</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r>
      <w:tr>
        <w:trPr>
          <w:trHeight w:val="209"/>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168,921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217,226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348,292</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414,983</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Cost and expenses: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 (excluding amortization)</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88,576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116,273</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181,729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222,874</w:t>
            </w: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22,466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23,160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44,976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46,266</w:t>
            </w: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32,798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32,531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66,987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63,777</w:t>
            </w: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Amortization of purchased intangible assets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9,006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8,341</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17,760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16,876</w:t>
            </w: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583</w:t>
            </w: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153,262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180,312</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312,756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350,376</w:t>
            </w:r>
          </w:p>
        </w:tc>
      </w:tr>
      <w:tr>
        <w:trPr>
          <w:trHeight w:val="209"/>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15,659</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36,914</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64,607</w:t>
            </w:r>
          </w:p>
        </w:tc>
        <w:tc>
          <w:tcPr>
            <w:tcW w:w="12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Other (expense) income:</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(727)</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(1,900)</w:t>
            </w: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2,732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5,450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419</w:t>
            </w: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transaction gain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(645)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1,491</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(1,085)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2,635</w:t>
            </w: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(232)</w:t>
            </w: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before taxes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17,019</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37,666</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37,677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65,529</w:t>
            </w:r>
          </w:p>
        </w:tc>
        <w:tc>
          <w:tcPr>
            <w:tcW w:w="12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Income tax provision</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6,435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8,898</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11,408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15,192</w:t>
            </w:r>
          </w:p>
        </w:tc>
      </w:tr>
      <w:tr>
        <w:trPr>
          <w:trHeight w:val="249"/>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10,584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28,768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26,269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50,337</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197"/>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per share: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0.22</w:t>
            </w:r>
          </w:p>
        </w:tc>
        <w:tc>
          <w:tcPr>
            <w:tcW w:w="2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0.59</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0.55</w:t>
            </w:r>
          </w:p>
        </w:tc>
        <w:tc>
          <w:tcPr>
            <w:tcW w:w="140" w:type="dxa"/>
            <w:vAlign w:val="bottom"/>
          </w:tcPr>
          <w:p>
            <w:pPr>
              <w:spacing w:after="0"/>
              <w:rPr>
                <w:sz w:val="18"/>
                <w:szCs w:val="18"/>
                <w:color w:val="auto"/>
              </w:rPr>
            </w:pP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r>
      <w:tr>
        <w:trPr>
          <w:trHeight w:val="20"/>
        </w:trPr>
        <w:tc>
          <w:tcPr>
            <w:tcW w:w="5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586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0.22</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0.59</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0.55</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97"/>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shares used in computing income per share: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47,618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48,475</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47,481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48,626</w:t>
            </w:r>
          </w:p>
        </w:tc>
      </w:tr>
      <w:tr>
        <w:trPr>
          <w:trHeight w:val="20"/>
        </w:trPr>
        <w:tc>
          <w:tcPr>
            <w:tcW w:w="5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586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48,028</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48,928</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48,099</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49,248</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35"/>
        </w:trPr>
        <w:tc>
          <w:tcPr>
            <w:tcW w:w="58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pacing w:after="0" w:line="40" w:lineRule="exact"/>
        <w:rPr>
          <w:sz w:val="20"/>
          <w:szCs w:val="20"/>
          <w:color w:val="auto"/>
        </w:rPr>
      </w:pPr>
    </w:p>
    <w:p>
      <w:pPr>
        <w:ind w:left="420" w:hanging="32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three- and six-month periods ended July 1, 2023 and June 25, 2022 were both comprised of 13 weeks and 26 weeks, respectively.</w:t>
      </w:r>
    </w:p>
    <w:p>
      <w:pPr>
        <w:spacing w:after="0" w:line="23" w:lineRule="exact"/>
        <w:rPr>
          <w:rFonts w:ascii="Arial" w:cs="Arial" w:eastAsia="Arial" w:hAnsi="Arial"/>
          <w:sz w:val="18"/>
          <w:szCs w:val="18"/>
          <w:color w:val="auto"/>
        </w:rPr>
      </w:pPr>
    </w:p>
    <w:p>
      <w:pPr>
        <w:ind w:left="420" w:right="80" w:hanging="322"/>
        <w:spacing w:after="0" w:line="260"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January 30, 2023 the Company completed the acquisition of MCT Worldwide, LLC (“MCT”) and the results of its operations have been included since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July 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December 31,</w:t>
            </w:r>
          </w:p>
        </w:tc>
      </w:tr>
      <w:tr>
        <w:trPr>
          <w:trHeight w:val="234"/>
        </w:trPr>
        <w:tc>
          <w:tcPr>
            <w:tcW w:w="78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r>
      <w:tr>
        <w:trPr>
          <w:trHeight w:val="209"/>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investments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372,317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385,576</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144,137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176,148</w:t>
            </w: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173,753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170,141</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32,084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32,986</w:t>
            </w:r>
          </w:p>
        </w:tc>
      </w:tr>
      <w:tr>
        <w:trPr>
          <w:trHeight w:val="209"/>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722,291</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764,851</w:t>
            </w: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Property, plant &amp; equipment, net</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66,626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65,011</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224,291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213,539</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135,300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140,104</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 of use assets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22,804</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19,718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21,105</w:t>
            </w:r>
          </w:p>
        </w:tc>
      </w:tr>
      <w:tr>
        <w:trPr>
          <w:trHeight w:val="25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1,188,065</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1,227,414</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196"/>
        </w:trPr>
        <w:tc>
          <w:tcPr>
            <w:tcW w:w="7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&amp;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1,907</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Current installments of long-term debt</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4,529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4,404</w:t>
            </w: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profit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8,022</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128,068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146,539</w:t>
            </w:r>
          </w:p>
        </w:tc>
      </w:tr>
      <w:tr>
        <w:trPr>
          <w:trHeight w:val="209"/>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138,402</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160,872</w:t>
            </w: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36,457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72,664</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19,209</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43,635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45,828</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Cohu stockholders’ equity</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953,393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928,841</w:t>
            </w:r>
          </w:p>
        </w:tc>
      </w:tr>
      <w:tr>
        <w:trPr>
          <w:trHeight w:val="20"/>
        </w:trPr>
        <w:tc>
          <w:tcPr>
            <w:tcW w:w="78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7860" w:type="dxa"/>
            <w:vAlign w:val="bottom"/>
          </w:tcPr>
          <w:p>
            <w:pPr>
              <w:ind w:left="340"/>
              <w:spacing w:after="0"/>
              <w:rPr>
                <w:sz w:val="20"/>
                <w:szCs w:val="20"/>
                <w:color w:val="auto"/>
              </w:rPr>
            </w:pPr>
            <w:r>
              <w:rPr>
                <w:rFonts w:ascii="Arial" w:cs="Arial" w:eastAsia="Arial" w:hAnsi="Arial"/>
                <w:sz w:val="18"/>
                <w:szCs w:val="18"/>
                <w:color w:val="auto"/>
              </w:rPr>
              <w:t>Total liabilities &amp; stockholders’ equity</w:t>
            </w:r>
          </w:p>
        </w:tc>
        <w:tc>
          <w:tcPr>
            <w:tcW w:w="280" w:type="dxa"/>
            <w:vAlign w:val="bottom"/>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1,188,065</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1,227,414</w:t>
            </w:r>
          </w:p>
        </w:tc>
      </w:tr>
      <w:tr>
        <w:trPr>
          <w:trHeight w:val="20"/>
        </w:trPr>
        <w:tc>
          <w:tcPr>
            <w:tcW w:w="7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55"/>
        </w:trPr>
        <w:tc>
          <w:tcPr>
            <w:tcW w:w="7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4"/>
          </w:tcPr>
          <w:p>
            <w:pPr>
              <w:ind w:left="80"/>
              <w:spacing w:after="0"/>
              <w:rPr>
                <w:sz w:val="20"/>
                <w:szCs w:val="20"/>
                <w:color w:val="auto"/>
              </w:rPr>
            </w:pPr>
            <w:r>
              <w:rPr>
                <w:rFonts w:ascii="Arial" w:cs="Arial" w:eastAsia="Arial" w:hAnsi="Arial"/>
                <w:sz w:val="18"/>
                <w:szCs w:val="18"/>
                <w:color w:val="auto"/>
                <w:w w:val="96"/>
              </w:rPr>
              <w:t>Three Months Ended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July 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April 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June 25,</w:t>
            </w:r>
          </w:p>
        </w:tc>
      </w:tr>
      <w:tr>
        <w:trPr>
          <w:trHeight w:val="230"/>
        </w:trPr>
        <w:tc>
          <w:tcPr>
            <w:tcW w:w="6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r>
      <w:tr>
        <w:trPr>
          <w:trHeight w:val="210"/>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 - GAAP basis (a)</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36,914</w:t>
            </w:r>
          </w:p>
        </w:tc>
        <w:tc>
          <w:tcPr>
            <w:tcW w:w="12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Non-GAAP adjustments: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 included in (b):</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Cost of sales (COS)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172</w:t>
            </w:r>
          </w:p>
        </w:tc>
      </w:tr>
      <w:tr>
        <w:trPr>
          <w:trHeight w:val="216"/>
        </w:trPr>
        <w:tc>
          <w:tcPr>
            <w:tcW w:w="6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Research and development (R&amp;D)</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826</w:t>
            </w: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Selling, general and administrative (SG&amp;A)</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2,935</w:t>
            </w:r>
          </w:p>
        </w:tc>
      </w:tr>
      <w:tr>
        <w:trPr>
          <w:trHeight w:val="209"/>
        </w:trPr>
        <w:tc>
          <w:tcPr>
            <w:tcW w:w="620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3,933</w:t>
            </w:r>
          </w:p>
        </w:tc>
        <w:tc>
          <w:tcPr>
            <w:tcW w:w="12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Amortization of purchased intangible assets (c)</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8,341</w:t>
            </w:r>
          </w:p>
        </w:tc>
      </w:tr>
      <w:tr>
        <w:trPr>
          <w:trHeight w:val="216"/>
        </w:trPr>
        <w:tc>
          <w:tcPr>
            <w:tcW w:w="62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 related to inventory adjustments in COS (d)</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Restructuring charges (d)</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r>
      <w:tr>
        <w:trPr>
          <w:trHeight w:val="216"/>
        </w:trPr>
        <w:tc>
          <w:tcPr>
            <w:tcW w:w="62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Manufacturing and sales transition costs included in (e):</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COS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R&amp;D</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SG&amp;A</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620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Inventory step-up included in COS (f)</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costs included in SG&amp;A (g)</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Depreciation of PP&amp;E step-up included in SG&amp;A (h)</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62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 - non-GAAP basis (i)</w:t>
            </w: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49,009</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197"/>
        </w:trPr>
        <w:tc>
          <w:tcPr>
            <w:tcW w:w="6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1340" w:type="dxa"/>
            <w:vAlign w:val="bottom"/>
            <w:gridSpan w:val="2"/>
          </w:tcPr>
          <w:p>
            <w:pPr>
              <w:spacing w:after="0"/>
              <w:rPr>
                <w:sz w:val="17"/>
                <w:szCs w:val="17"/>
                <w:color w:val="auto"/>
              </w:rPr>
            </w:pPr>
          </w:p>
        </w:tc>
      </w:tr>
      <w:tr>
        <w:trPr>
          <w:trHeight w:val="216"/>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 GAAP basis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10,584</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15,685</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28,768</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Non-GAAP adjustments (as scheduled above)</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12,095</w:t>
            </w:r>
          </w:p>
        </w:tc>
      </w:tr>
      <w:tr>
        <w:trPr>
          <w:trHeight w:val="216"/>
        </w:trPr>
        <w:tc>
          <w:tcPr>
            <w:tcW w:w="62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effect of non-GAAP adjustments (j)</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(1,134)</w:t>
            </w:r>
          </w:p>
        </w:tc>
      </w:tr>
      <w:tr>
        <w:trPr>
          <w:trHeight w:val="20"/>
        </w:trPr>
        <w:tc>
          <w:tcPr>
            <w:tcW w:w="62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8"/>
                <w:szCs w:val="18"/>
                <w:color w:val="auto"/>
              </w:rPr>
              <w:t>Net income - non-GAAP basis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22,840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26,945</w:t>
            </w:r>
          </w:p>
        </w:tc>
        <w:tc>
          <w:tcPr>
            <w:tcW w:w="140" w:type="dxa"/>
            <w:vAlign w:val="bottom"/>
          </w:tcPr>
          <w:p>
            <w:pPr>
              <w:spacing w:after="0"/>
              <w:rPr>
                <w:sz w:val="18"/>
                <w:szCs w:val="18"/>
                <w:color w:val="auto"/>
              </w:rPr>
            </w:pP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39,729</w:t>
            </w:r>
          </w:p>
        </w:tc>
      </w:tr>
      <w:tr>
        <w:trPr>
          <w:trHeight w:val="20"/>
        </w:trPr>
        <w:tc>
          <w:tcPr>
            <w:tcW w:w="6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20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spacing w:after="0"/>
              <w:rPr>
                <w:sz w:val="17"/>
                <w:szCs w:val="17"/>
                <w:color w:val="auto"/>
              </w:rPr>
            </w:pPr>
          </w:p>
        </w:tc>
        <w:tc>
          <w:tcPr>
            <w:tcW w:w="1340" w:type="dxa"/>
            <w:vAlign w:val="bottom"/>
            <w:gridSpan w:val="2"/>
            <w:shd w:val="clear" w:color="auto" w:fill="CCEEFF"/>
          </w:tcPr>
          <w:p>
            <w:pPr>
              <w:spacing w:after="0"/>
              <w:rPr>
                <w:sz w:val="17"/>
                <w:szCs w:val="17"/>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GAAP net income per share - diluted</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0.22</w:t>
            </w:r>
          </w:p>
        </w:tc>
        <w:tc>
          <w:tcPr>
            <w:tcW w:w="14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0.33</w:t>
            </w:r>
          </w:p>
        </w:tc>
        <w:tc>
          <w:tcPr>
            <w:tcW w:w="140" w:type="dxa"/>
            <w:vAlign w:val="bottom"/>
          </w:tcPr>
          <w:p>
            <w:pPr>
              <w:spacing w:after="0"/>
              <w:rPr>
                <w:sz w:val="18"/>
                <w:szCs w:val="18"/>
                <w:color w:val="auto"/>
              </w:rPr>
            </w:pP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0.59</w:t>
            </w:r>
          </w:p>
        </w:tc>
      </w:tr>
      <w:tr>
        <w:trPr>
          <w:trHeight w:val="216"/>
        </w:trPr>
        <w:tc>
          <w:tcPr>
            <w:tcW w:w="6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Non-GAAP net income per share - diluted (k)</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0.48</w:t>
            </w:r>
          </w:p>
        </w:tc>
        <w:tc>
          <w:tcPr>
            <w:tcW w:w="140" w:type="dxa"/>
            <w:vAlign w:val="bottom"/>
          </w:tcPr>
          <w:p>
            <w:pPr>
              <w:spacing w:after="0"/>
              <w:rPr>
                <w:sz w:val="20"/>
                <w:szCs w:val="20"/>
                <w:color w:val="auto"/>
              </w:rPr>
            </w:pP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0.56</w:t>
            </w:r>
          </w:p>
        </w:tc>
        <w:tc>
          <w:tcPr>
            <w:tcW w:w="140" w:type="dxa"/>
            <w:vAlign w:val="bottom"/>
          </w:tcPr>
          <w:p>
            <w:pPr>
              <w:spacing w:after="0"/>
              <w:rPr>
                <w:sz w:val="20"/>
                <w:szCs w:val="20"/>
                <w:color w:val="auto"/>
              </w:rPr>
            </w:pP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activities including employee headcount reductions and other organizational changes to align our business strategies in light of the merger with Xcerra and the acquisition of MCT. Restructuring costs have been excluded because such expense is not used by Management to assess the core profitability of Cohu’s business operations. Acquisition costs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171" w:lineRule="exact"/>
        <w:rPr>
          <w:sz w:val="20"/>
          <w:szCs w:val="20"/>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9.3%, 11.1% and 17.0% of net sales, respectively.</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compensation expense for employee stock options, stock units and our employee stock purchase plan.</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the amortization of acquired intangible assets.</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restructuring costs incurred related to the integration of MCT and Xcerra.</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the manufacturing transition and severance costs.</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amortization of inventory step up charges related to MCT acquisition.</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professional fees and other direct incremental expenses incurred related to acquisitions.</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depreciation of PP&amp;E step up charges related to MCT acquisition.</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17.7%, 19.1% and 22.6% of net sales, respectively.</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adjust the provision for income taxes related to the adjustments described above based on applicable tax rates.</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periods presented were computed using the number of GAAP diluted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gridSpan w:val="7"/>
          </w:tcPr>
          <w:p>
            <w:pPr>
              <w:jc w:val="right"/>
              <w:ind w:right="1100"/>
              <w:spacing w:after="0"/>
              <w:rPr>
                <w:sz w:val="20"/>
                <w:szCs w:val="20"/>
                <w:color w:val="auto"/>
              </w:rPr>
            </w:pPr>
            <w:r>
              <w:rPr>
                <w:rFonts w:ascii="Arial" w:cs="Arial" w:eastAsia="Arial" w:hAnsi="Arial"/>
                <w:sz w:val="18"/>
                <w:szCs w:val="18"/>
                <w:color w:val="auto"/>
              </w:rPr>
              <w:t>Six Months Ended</w:t>
            </w:r>
          </w:p>
        </w:tc>
      </w:tr>
      <w:tr>
        <w:trPr>
          <w:trHeight w:val="216"/>
        </w:trPr>
        <w:tc>
          <w:tcPr>
            <w:tcW w:w="7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8"/>
                <w:szCs w:val="18"/>
                <w:color w:val="auto"/>
                <w:w w:val="92"/>
              </w:rPr>
              <w:t>July 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June 25,</w:t>
            </w:r>
          </w:p>
        </w:tc>
      </w:tr>
      <w:tr>
        <w:trPr>
          <w:trHeight w:val="230"/>
        </w:trPr>
        <w:tc>
          <w:tcPr>
            <w:tcW w:w="7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 GAAP basis (a)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64,607</w:t>
            </w:r>
          </w:p>
        </w:tc>
        <w:tc>
          <w:tcPr>
            <w:tcW w:w="12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Non-GAAP adjustments: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included in (b):</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20" w:type="dxa"/>
            <w:vAlign w:val="bottom"/>
          </w:tcPr>
          <w:p>
            <w:pPr>
              <w:ind w:left="340"/>
              <w:spacing w:after="0"/>
              <w:rPr>
                <w:sz w:val="20"/>
                <w:szCs w:val="20"/>
                <w:color w:val="auto"/>
              </w:rPr>
            </w:pPr>
            <w:r>
              <w:rPr>
                <w:rFonts w:ascii="Arial" w:cs="Arial" w:eastAsia="Arial" w:hAnsi="Arial"/>
                <w:sz w:val="18"/>
                <w:szCs w:val="18"/>
                <w:color w:val="auto"/>
              </w:rPr>
              <w:t>Cost of sales (COS)</w:t>
            </w:r>
          </w:p>
        </w:tc>
        <w:tc>
          <w:tcPr>
            <w:tcW w:w="3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317</w:t>
            </w:r>
          </w:p>
        </w:tc>
      </w:tr>
      <w:tr>
        <w:trPr>
          <w:trHeight w:val="216"/>
        </w:trPr>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(R&amp;D)</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1,578</w:t>
            </w:r>
          </w:p>
        </w:tc>
      </w:tr>
      <w:tr>
        <w:trPr>
          <w:trHeight w:val="216"/>
        </w:trPr>
        <w:tc>
          <w:tcPr>
            <w:tcW w:w="7820" w:type="dxa"/>
            <w:vAlign w:val="bottom"/>
          </w:tcPr>
          <w:p>
            <w:pPr>
              <w:ind w:left="340"/>
              <w:spacing w:after="0"/>
              <w:rPr>
                <w:sz w:val="20"/>
                <w:szCs w:val="20"/>
                <w:color w:val="auto"/>
              </w:rPr>
            </w:pPr>
            <w:r>
              <w:rPr>
                <w:rFonts w:ascii="Arial" w:cs="Arial" w:eastAsia="Arial" w:hAnsi="Arial"/>
                <w:sz w:val="18"/>
                <w:szCs w:val="18"/>
                <w:color w:val="auto"/>
              </w:rPr>
              <w:t>Selling, general and administrative (SG&amp;A)</w:t>
            </w:r>
          </w:p>
        </w:tc>
        <w:tc>
          <w:tcPr>
            <w:tcW w:w="3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6,265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5,460</w:t>
            </w:r>
          </w:p>
        </w:tc>
      </w:tr>
      <w:tr>
        <w:trPr>
          <w:trHeight w:val="209"/>
        </w:trPr>
        <w:tc>
          <w:tcPr>
            <w:tcW w:w="78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7,355</w:t>
            </w:r>
          </w:p>
        </w:tc>
        <w:tc>
          <w:tcPr>
            <w:tcW w:w="120" w:type="dxa"/>
            <w:vAlign w:val="bottom"/>
            <w:shd w:val="clear" w:color="auto" w:fill="CCEEFF"/>
          </w:tcPr>
          <w:p>
            <w:pPr>
              <w:spacing w:after="0"/>
              <w:rPr>
                <w:sz w:val="18"/>
                <w:szCs w:val="18"/>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Amortization of purchased intangible assets (c)</w:t>
            </w:r>
          </w:p>
        </w:tc>
        <w:tc>
          <w:tcPr>
            <w:tcW w:w="3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17,760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16,876</w:t>
            </w:r>
          </w:p>
        </w:tc>
      </w:tr>
      <w:tr>
        <w:trPr>
          <w:trHeight w:val="216"/>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charges related to inventory adjustments in COS (d)</w:t>
            </w:r>
          </w:p>
        </w:tc>
        <w:tc>
          <w:tcPr>
            <w:tcW w:w="3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(361)</w:t>
            </w: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Restructuring charges (d)</w:t>
            </w:r>
          </w:p>
        </w:tc>
        <w:tc>
          <w:tcPr>
            <w:tcW w:w="3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583</w:t>
            </w:r>
          </w:p>
        </w:tc>
      </w:tr>
      <w:tr>
        <w:trPr>
          <w:trHeight w:val="216"/>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Manufacturing and sales transition costs included in (e):</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20" w:type="dxa"/>
            <w:vAlign w:val="bottom"/>
          </w:tcPr>
          <w:p>
            <w:pPr>
              <w:ind w:left="340"/>
              <w:spacing w:after="0"/>
              <w:rPr>
                <w:sz w:val="20"/>
                <w:szCs w:val="20"/>
                <w:color w:val="auto"/>
              </w:rPr>
            </w:pPr>
            <w:r>
              <w:rPr>
                <w:rFonts w:ascii="Arial" w:cs="Arial" w:eastAsia="Arial" w:hAnsi="Arial"/>
                <w:sz w:val="18"/>
                <w:szCs w:val="18"/>
                <w:color w:val="auto"/>
              </w:rPr>
              <w:t>COS</w:t>
            </w:r>
          </w:p>
        </w:tc>
        <w:tc>
          <w:tcPr>
            <w:tcW w:w="320" w:type="dxa"/>
            <w:vAlign w:val="bottom"/>
          </w:tcPr>
          <w:p>
            <w:pPr>
              <w:spacing w:after="0"/>
              <w:rPr>
                <w:sz w:val="18"/>
                <w:szCs w:val="18"/>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R&amp;D</w:t>
            </w:r>
          </w:p>
        </w:tc>
        <w:tc>
          <w:tcPr>
            <w:tcW w:w="3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tcPr>
          <w:p>
            <w:pPr>
              <w:ind w:left="340"/>
              <w:spacing w:after="0"/>
              <w:rPr>
                <w:sz w:val="20"/>
                <w:szCs w:val="20"/>
                <w:color w:val="auto"/>
              </w:rPr>
            </w:pPr>
            <w:r>
              <w:rPr>
                <w:rFonts w:ascii="Arial" w:cs="Arial" w:eastAsia="Arial" w:hAnsi="Arial"/>
                <w:sz w:val="18"/>
                <w:szCs w:val="18"/>
                <w:color w:val="auto"/>
              </w:rPr>
              <w:t>SG&amp;A</w:t>
            </w:r>
          </w:p>
        </w:tc>
        <w:tc>
          <w:tcPr>
            <w:tcW w:w="3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78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r>
      <w:tr>
        <w:trPr>
          <w:trHeight w:val="216"/>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 step-up included in COS (f)</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Acquisition costs included in SG&amp;A (g)</w:t>
            </w:r>
          </w:p>
        </w:tc>
        <w:tc>
          <w:tcPr>
            <w:tcW w:w="3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of PP&amp;E step-up included in SG&amp;A (h)</w:t>
            </w:r>
          </w:p>
        </w:tc>
        <w:tc>
          <w:tcPr>
            <w:tcW w:w="3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Payroll taxes related to accelerated vesting of share-based awards included in SG&amp;A (i)</w:t>
            </w:r>
          </w:p>
        </w:tc>
        <w:tc>
          <w:tcPr>
            <w:tcW w:w="3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r>
      <w:tr>
        <w:trPr>
          <w:trHeight w:val="216"/>
        </w:trPr>
        <w:tc>
          <w:tcPr>
            <w:tcW w:w="78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7820" w:type="dxa"/>
            <w:vAlign w:val="bottom"/>
          </w:tcPr>
          <w:p>
            <w:pPr>
              <w:spacing w:after="0"/>
              <w:rPr>
                <w:sz w:val="20"/>
                <w:szCs w:val="20"/>
                <w:color w:val="auto"/>
              </w:rPr>
            </w:pPr>
            <w:r>
              <w:rPr>
                <w:rFonts w:ascii="Arial" w:cs="Arial" w:eastAsia="Arial" w:hAnsi="Arial"/>
                <w:sz w:val="18"/>
                <w:szCs w:val="18"/>
                <w:color w:val="auto"/>
              </w:rPr>
              <w:t>Income from operations - non-GAAP basis (j)</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64,105</w:t>
            </w:r>
          </w:p>
        </w:tc>
        <w:tc>
          <w:tcPr>
            <w:tcW w:w="140" w:type="dxa"/>
            <w:vAlign w:val="bottom"/>
          </w:tcPr>
          <w:p>
            <w:pPr>
              <w:spacing w:after="0"/>
              <w:rPr>
                <w:sz w:val="18"/>
                <w:szCs w:val="18"/>
                <w:color w:val="auto"/>
              </w:rPr>
            </w:pP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89,192</w:t>
            </w:r>
          </w:p>
        </w:tc>
      </w:tr>
      <w:tr>
        <w:trPr>
          <w:trHeight w:val="20"/>
        </w:trPr>
        <w:tc>
          <w:tcPr>
            <w:tcW w:w="7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spacing w:after="0"/>
              <w:rPr>
                <w:sz w:val="17"/>
                <w:szCs w:val="17"/>
                <w:color w:val="auto"/>
              </w:rPr>
            </w:pPr>
          </w:p>
        </w:tc>
        <w:tc>
          <w:tcPr>
            <w:tcW w:w="1380" w:type="dxa"/>
            <w:vAlign w:val="bottom"/>
            <w:gridSpan w:val="2"/>
            <w:shd w:val="clear" w:color="auto" w:fill="CCEEFF"/>
          </w:tcPr>
          <w:p>
            <w:pPr>
              <w:spacing w:after="0"/>
              <w:rPr>
                <w:sz w:val="17"/>
                <w:szCs w:val="17"/>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Net income - GAAP basis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26,269</w:t>
            </w:r>
          </w:p>
        </w:tc>
        <w:tc>
          <w:tcPr>
            <w:tcW w:w="140" w:type="dxa"/>
            <w:vAlign w:val="bottom"/>
          </w:tcPr>
          <w:p>
            <w:pPr>
              <w:spacing w:after="0"/>
              <w:rPr>
                <w:sz w:val="18"/>
                <w:szCs w:val="18"/>
                <w:color w:val="auto"/>
              </w:rPr>
            </w:pP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50,337</w:t>
            </w:r>
          </w:p>
        </w:tc>
      </w:tr>
      <w:tr>
        <w:trPr>
          <w:trHeight w:val="216"/>
        </w:trPr>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Non-GAAP adjustments (as scheduled above)</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24,585</w:t>
            </w:r>
          </w:p>
        </w:tc>
      </w:tr>
      <w:tr>
        <w:trPr>
          <w:trHeight w:val="216"/>
        </w:trPr>
        <w:tc>
          <w:tcPr>
            <w:tcW w:w="7820" w:type="dxa"/>
            <w:vAlign w:val="bottom"/>
          </w:tcPr>
          <w:p>
            <w:pPr>
              <w:ind w:left="340"/>
              <w:spacing w:after="0"/>
              <w:rPr>
                <w:sz w:val="20"/>
                <w:szCs w:val="20"/>
                <w:color w:val="auto"/>
              </w:rPr>
            </w:pPr>
            <w:r>
              <w:rPr>
                <w:rFonts w:ascii="Arial" w:cs="Arial" w:eastAsia="Arial" w:hAnsi="Arial"/>
                <w:sz w:val="18"/>
                <w:szCs w:val="18"/>
                <w:color w:val="auto"/>
              </w:rPr>
              <w:t>Tax effect of non-GAAP adjustments (k)</w:t>
            </w:r>
          </w:p>
        </w:tc>
        <w:tc>
          <w:tcPr>
            <w:tcW w:w="320" w:type="dxa"/>
            <w:vAlign w:val="bottom"/>
          </w:tcPr>
          <w:p>
            <w:pPr>
              <w:spacing w:after="0"/>
              <w:rPr>
                <w:sz w:val="18"/>
                <w:szCs w:val="18"/>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(5,053)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(2,617)</w:t>
            </w:r>
          </w:p>
        </w:tc>
      </w:tr>
      <w:tr>
        <w:trPr>
          <w:trHeight w:val="249"/>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income - non-GAAP basis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49,785</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72,305</w:t>
            </w:r>
          </w:p>
        </w:tc>
        <w:tc>
          <w:tcPr>
            <w:tcW w:w="120" w:type="dxa"/>
            <w:vAlign w:val="bottom"/>
            <w:shd w:val="clear" w:color="auto" w:fill="CCEEFF"/>
          </w:tcPr>
          <w:p>
            <w:pPr>
              <w:spacing w:after="0"/>
              <w:rPr>
                <w:sz w:val="21"/>
                <w:szCs w:val="21"/>
                <w:color w:val="auto"/>
              </w:rPr>
            </w:pPr>
          </w:p>
        </w:tc>
      </w:tr>
      <w:tr>
        <w:trPr>
          <w:trHeight w:val="197"/>
        </w:trPr>
        <w:tc>
          <w:tcPr>
            <w:tcW w:w="78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per share - diluted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r>
      <w:tr>
        <w:trPr>
          <w:trHeight w:val="216"/>
        </w:trPr>
        <w:tc>
          <w:tcPr>
            <w:tcW w:w="7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Non-GAAP income per share - diluted (l)</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3"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activities including employee headcount reductions and other organizational changes to align our business strategies in light of the merger with Xcerra and the acquisition of MCT. Restructuring costs have been excluded because such expense is not used by Management to assess the core profitability of Cohu’s business operations. PP&amp;E step-up costs have been excluded by management as they are unrelated to the core operating activities of the Company. Acquisition costs have been excluded by management as they are unrelated to the core operating activities of the Company and the frequency and variability in the nature of the charges can vary significantly from period to period. Employer payroll taxes related to accelerated severance stock-based compensation are dependent on the Company's stock price and the timing and size of the vesting of their restricted stock, over which management has limited to no control, and as such management does not believe it correlates to the company's operation of the business.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190" w:lineRule="exact"/>
        <w:rPr>
          <w:sz w:val="20"/>
          <w:szCs w:val="20"/>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10.2% and 15.6% of net sales, respectively.</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compensation expense for employee stock options, stock units and our employee stock purchase plan.</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the amortization of acquired intangible assets.</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restructuring costs incurred related to the integration of MCT and Xcerra.</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the manufacturing transition and severance costs.</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amortization of inventory step up charges related to MCT acquisition.</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professional fees and other direct incremental expenses incurred related to acquisitions.</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the property, plant &amp; equipment step-up depreciation accelerated related to the acquisition of MCT.</w:t>
      </w:r>
    </w:p>
    <w:p>
      <w:pPr>
        <w:spacing w:after="0" w:line="36" w:lineRule="exact"/>
        <w:rPr>
          <w:rFonts w:ascii="Arial" w:cs="Arial" w:eastAsia="Arial" w:hAnsi="Arial"/>
          <w:sz w:val="18"/>
          <w:szCs w:val="18"/>
          <w:color w:val="auto"/>
        </w:rPr>
      </w:pPr>
    </w:p>
    <w:p>
      <w:pPr>
        <w:ind w:left="500" w:right="560" w:hanging="330"/>
        <w:spacing w:after="0" w:line="258"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the impact of employer payroll taxes associated with the acceleration of Pascal Rondé share-based awards under the terms of his separation agreement.</w:t>
      </w:r>
    </w:p>
    <w:p>
      <w:pPr>
        <w:spacing w:after="0" w:line="1"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18.4% and 21.5% of net sales, respectively.</w:t>
      </w:r>
    </w:p>
    <w:p>
      <w:pPr>
        <w:spacing w:after="0" w:line="21"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adjust the provision for income taxes related to the adjustments described above based on applicable tax rates.</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periods presented were computed using the number of GAAP diluted shares outstanding.</w:t>
      </w:r>
    </w:p>
    <w:p>
      <w:pPr>
        <w:sectPr>
          <w:pgSz w:w="11900" w:h="16838" w:orient="portrait"/>
          <w:cols w:equalWidth="0" w:num="1">
            <w:col w:w="11240"/>
          </w:cols>
          <w:pgMar w:left="320" w:top="580" w:right="339" w:bottom="0" w:gutter="0" w:footer="0" w:header="0"/>
        </w:sectPr>
      </w:pPr>
    </w:p>
    <w:bookmarkStart w:id="12" w:name="page13"/>
    <w:bookmarkEnd w:id="12"/>
    <w:p>
      <w:pPr>
        <w:spacing w:after="0"/>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4"/>
          </w:tcPr>
          <w:p>
            <w:pPr>
              <w:ind w:left="40"/>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July 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April 1,</w:t>
            </w:r>
          </w:p>
        </w:tc>
        <w:tc>
          <w:tcPr>
            <w:tcW w:w="28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June 25,</w:t>
            </w:r>
          </w:p>
        </w:tc>
      </w:tr>
      <w:tr>
        <w:trPr>
          <w:trHeight w:val="230"/>
        </w:trPr>
        <w:tc>
          <w:tcPr>
            <w:tcW w:w="6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0"/>
                <w:szCs w:val="20"/>
                <w:color w:val="auto"/>
              </w:rPr>
            </w:pPr>
          </w:p>
        </w:tc>
      </w:tr>
      <w:tr>
        <w:trPr>
          <w:trHeight w:val="210"/>
        </w:trPr>
        <w:tc>
          <w:tcPr>
            <w:tcW w:w="6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Reconciliation</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Gross profit - GAAP basis (excluding amortization) </w:t>
            </w:r>
            <w:r>
              <w:rPr>
                <w:rFonts w:ascii="Arial" w:cs="Arial" w:eastAsia="Arial" w:hAnsi="Arial"/>
                <w:sz w:val="25"/>
                <w:szCs w:val="25"/>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80,345</w:t>
            </w:r>
          </w:p>
        </w:tc>
        <w:tc>
          <w:tcPr>
            <w:tcW w:w="20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86,218</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100,953</w:t>
            </w:r>
          </w:p>
        </w:tc>
        <w:tc>
          <w:tcPr>
            <w:tcW w:w="140" w:type="dxa"/>
            <w:vAlign w:val="bottom"/>
          </w:tcPr>
          <w:p>
            <w:pPr>
              <w:spacing w:after="0"/>
              <w:rPr>
                <w:sz w:val="18"/>
                <w:szCs w:val="18"/>
                <w:color w:val="auto"/>
              </w:rPr>
            </w:pPr>
          </w:p>
        </w:tc>
      </w:tr>
      <w:tr>
        <w:trPr>
          <w:trHeight w:val="216"/>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Non-GAAP adjustments to cost of sales (as scheduled above)</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0"/>
        </w:trPr>
        <w:tc>
          <w:tcPr>
            <w:tcW w:w="612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Gross profit - Non-GAAP basis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80,697</w:t>
            </w: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86,512</w:t>
            </w: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100,939</w:t>
            </w:r>
          </w:p>
        </w:tc>
        <w:tc>
          <w:tcPr>
            <w:tcW w:w="140" w:type="dxa"/>
            <w:vAlign w:val="bottom"/>
            <w:tcBorders>
              <w:top w:val="single" w:sz="8" w:color="CCEEFF"/>
            </w:tcBorders>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61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r>
      <w:tr>
        <w:trPr>
          <w:trHeight w:val="209"/>
        </w:trPr>
        <w:tc>
          <w:tcPr>
            <w:tcW w:w="6120" w:type="dxa"/>
            <w:vAlign w:val="bottom"/>
          </w:tcPr>
          <w:p>
            <w:pPr>
              <w:spacing w:after="0"/>
              <w:rPr>
                <w:sz w:val="20"/>
                <w:szCs w:val="20"/>
                <w:color w:val="auto"/>
              </w:rPr>
            </w:pPr>
            <w:r>
              <w:rPr>
                <w:rFonts w:ascii="Arial" w:cs="Arial" w:eastAsia="Arial" w:hAnsi="Arial"/>
                <w:sz w:val="18"/>
                <w:szCs w:val="18"/>
                <w:color w:val="auto"/>
              </w:rPr>
              <w:t>As a percentage of net sales: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GAAP gross profit</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Non-GAAP gross profit</w:t>
            </w:r>
          </w:p>
        </w:tc>
        <w:tc>
          <w:tcPr>
            <w:tcW w:w="3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47.8%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c>
          <w:tcPr>
            <w:tcW w:w="2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46.5%</w:t>
            </w:r>
          </w:p>
        </w:tc>
      </w:tr>
      <w:tr>
        <w:trPr>
          <w:trHeight w:val="216"/>
        </w:trPr>
        <w:tc>
          <w:tcPr>
            <w:tcW w:w="6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b w:val="1"/>
                <w:bCs w:val="1"/>
                <w:color w:val="auto"/>
              </w:rPr>
              <w:t>Adjusted EBITDA Reconciliation</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 GAAP Basis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10,584</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28,768</w:t>
            </w:r>
          </w:p>
        </w:tc>
        <w:tc>
          <w:tcPr>
            <w:tcW w:w="140" w:type="dxa"/>
            <w:vAlign w:val="bottom"/>
            <w:shd w:val="clear" w:color="auto" w:fill="CCEEFF"/>
          </w:tcPr>
          <w:p>
            <w:pPr>
              <w:spacing w:after="0"/>
              <w:rPr>
                <w:sz w:val="18"/>
                <w:szCs w:val="18"/>
                <w:color w:val="auto"/>
              </w:rPr>
            </w:pP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6,435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4,973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8,898</w:t>
            </w:r>
          </w:p>
        </w:tc>
        <w:tc>
          <w:tcPr>
            <w:tcW w:w="140" w:type="dxa"/>
            <w:vAlign w:val="bottom"/>
          </w:tcPr>
          <w:p>
            <w:pPr>
              <w:spacing w:after="0"/>
              <w:rPr>
                <w:sz w:val="18"/>
                <w:szCs w:val="18"/>
                <w:color w:val="auto"/>
              </w:rPr>
            </w:pPr>
          </w:p>
        </w:tc>
      </w:tr>
      <w:tr>
        <w:trPr>
          <w:trHeight w:val="216"/>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40" w:type="dxa"/>
            <w:vAlign w:val="bottom"/>
            <w:shd w:val="clear" w:color="auto" w:fill="CCEEFF"/>
          </w:tcPr>
          <w:p>
            <w:pPr>
              <w:spacing w:after="0"/>
              <w:rPr>
                <w:sz w:val="18"/>
                <w:szCs w:val="18"/>
                <w:color w:val="auto"/>
              </w:rPr>
            </w:pP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(2,732)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(2,718)</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r>
      <w:tr>
        <w:trPr>
          <w:trHeight w:val="216"/>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8,341</w:t>
            </w:r>
          </w:p>
        </w:tc>
        <w:tc>
          <w:tcPr>
            <w:tcW w:w="140" w:type="dxa"/>
            <w:vAlign w:val="bottom"/>
            <w:shd w:val="clear" w:color="auto" w:fill="CCEEFF"/>
          </w:tcPr>
          <w:p>
            <w:pPr>
              <w:spacing w:after="0"/>
              <w:rPr>
                <w:sz w:val="18"/>
                <w:szCs w:val="18"/>
                <w:color w:val="auto"/>
              </w:rPr>
            </w:pP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3,361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3,337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3,191</w:t>
            </w:r>
          </w:p>
        </w:tc>
        <w:tc>
          <w:tcPr>
            <w:tcW w:w="140" w:type="dxa"/>
            <w:vAlign w:val="bottom"/>
          </w:tcPr>
          <w:p>
            <w:pPr>
              <w:spacing w:after="0"/>
              <w:rPr>
                <w:sz w:val="18"/>
                <w:szCs w:val="18"/>
                <w:color w:val="auto"/>
              </w:rPr>
            </w:pPr>
          </w:p>
        </w:tc>
      </w:tr>
      <w:tr>
        <w:trPr>
          <w:trHeight w:val="216"/>
        </w:trPr>
        <w:tc>
          <w:tcPr>
            <w:tcW w:w="612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 xml:space="preserve">Amortization of cloud-based software implementation costs </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40" w:type="dxa"/>
            <w:vAlign w:val="bottom"/>
            <w:shd w:val="clear" w:color="auto" w:fill="CCEEFF"/>
          </w:tcPr>
          <w:p>
            <w:pPr>
              <w:spacing w:after="0"/>
              <w:rPr>
                <w:sz w:val="18"/>
                <w:szCs w:val="18"/>
                <w:color w:val="auto"/>
              </w:rPr>
            </w:pP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8"/>
                <w:szCs w:val="18"/>
                <w:color w:val="auto"/>
              </w:rPr>
            </w:pPr>
          </w:p>
        </w:tc>
      </w:tr>
      <w:tr>
        <w:trPr>
          <w:trHeight w:val="216"/>
        </w:trPr>
        <w:tc>
          <w:tcPr>
            <w:tcW w:w="6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non-GAAP adjustments (as scheduled above)</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5,554</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10"/>
        </w:trPr>
        <w:tc>
          <w:tcPr>
            <w:tcW w:w="612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33,313</w:t>
            </w:r>
          </w:p>
        </w:tc>
        <w:tc>
          <w:tcPr>
            <w:tcW w:w="20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37,782</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54,169</w:t>
            </w:r>
          </w:p>
        </w:tc>
        <w:tc>
          <w:tcPr>
            <w:tcW w:w="14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1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r>
      <w:tr>
        <w:trPr>
          <w:trHeight w:val="210"/>
        </w:trPr>
        <w:tc>
          <w:tcPr>
            <w:tcW w:w="6120" w:type="dxa"/>
            <w:vAlign w:val="bottom"/>
          </w:tcPr>
          <w:p>
            <w:pPr>
              <w:ind w:left="180"/>
              <w:spacing w:after="0"/>
              <w:rPr>
                <w:sz w:val="20"/>
                <w:szCs w:val="20"/>
                <w:color w:val="auto"/>
              </w:rPr>
            </w:pPr>
            <w:r>
              <w:rPr>
                <w:rFonts w:ascii="Arial" w:cs="Arial" w:eastAsia="Arial" w:hAnsi="Arial"/>
                <w:sz w:val="18"/>
                <w:szCs w:val="18"/>
                <w:color w:val="auto"/>
              </w:rPr>
              <w:t>As a percentage of net sales: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 GAAP Basis</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Adjusted EBITDA</w:t>
            </w:r>
          </w:p>
        </w:tc>
        <w:tc>
          <w:tcPr>
            <w:tcW w:w="3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2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24.9%</w:t>
            </w:r>
          </w:p>
        </w:tc>
      </w:tr>
      <w:tr>
        <w:trPr>
          <w:trHeight w:val="216"/>
        </w:trPr>
        <w:tc>
          <w:tcPr>
            <w:tcW w:w="6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b w:val="1"/>
                <w:bCs w:val="1"/>
                <w:color w:val="auto"/>
              </w:rPr>
              <w:t>Operating Expense Reconciliation</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Expense - GAAP basis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64,686</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64,039</w:t>
            </w:r>
          </w:p>
        </w:tc>
        <w:tc>
          <w:tcPr>
            <w:tcW w:w="140" w:type="dxa"/>
            <w:vAlign w:val="bottom"/>
            <w:shd w:val="clear" w:color="auto" w:fill="CCEEFF"/>
          </w:tcPr>
          <w:p>
            <w:pPr>
              <w:spacing w:after="0"/>
              <w:rPr>
                <w:sz w:val="18"/>
                <w:szCs w:val="18"/>
                <w:color w:val="auto"/>
              </w:rPr>
            </w:pP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Non-GAAP adjustments to operating expenses (as scheduled above)</w:t>
            </w:r>
          </w:p>
        </w:tc>
        <w:tc>
          <w:tcPr>
            <w:tcW w:w="3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(13,900)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(14,023)</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(12,109)</w:t>
            </w:r>
          </w:p>
        </w:tc>
      </w:tr>
      <w:tr>
        <w:trPr>
          <w:trHeight w:val="250"/>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 - Non-GAAP basis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50,786</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52,318</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51,930</w:t>
            </w:r>
          </w:p>
        </w:tc>
        <w:tc>
          <w:tcPr>
            <w:tcW w:w="14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3" w:lineRule="exact"/>
        <w:rPr>
          <w:sz w:val="20"/>
          <w:szCs w:val="20"/>
          <w:color w:val="auto"/>
        </w:rPr>
      </w:pPr>
    </w:p>
    <w:p>
      <w:pPr>
        <w:ind w:left="280" w:hanging="237"/>
        <w:spacing w:after="0"/>
        <w:tabs>
          <w:tab w:leader="none" w:pos="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Excludes amortization of $7,102, $6,891 and $6,544 for the three months ending July 01, 2023, April 01, 2023 and June 25, 2022, respectively.</w:t>
      </w:r>
    </w:p>
    <w:p>
      <w:pPr>
        <w:spacing w:after="0" w:line="34" w:lineRule="exact"/>
        <w:rPr>
          <w:rFonts w:ascii="Arial" w:cs="Arial" w:eastAsia="Arial" w:hAnsi="Arial"/>
          <w:sz w:val="17"/>
          <w:szCs w:val="17"/>
          <w:color w:val="auto"/>
        </w:rPr>
      </w:pPr>
    </w:p>
    <w:p>
      <w:pPr>
        <w:ind w:left="280" w:hanging="237"/>
        <w:spacing w:after="0"/>
        <w:tabs>
          <w:tab w:leader="none" w:pos="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amortization of capitalized implementation costs related to cloud-based software arrangements that are included within SG&amp;A.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20" w:type="dxa"/>
            <w:vAlign w:val="bottom"/>
            <w:gridSpan w:val="6"/>
          </w:tcPr>
          <w:p>
            <w:pPr>
              <w:jc w:val="right"/>
              <w:ind w:right="1120"/>
              <w:spacing w:after="0"/>
              <w:rPr>
                <w:sz w:val="20"/>
                <w:szCs w:val="20"/>
                <w:color w:val="auto"/>
              </w:rPr>
            </w:pPr>
            <w:r>
              <w:rPr>
                <w:rFonts w:ascii="Arial" w:cs="Arial" w:eastAsia="Arial" w:hAnsi="Arial"/>
                <w:sz w:val="18"/>
                <w:szCs w:val="18"/>
                <w:color w:val="auto"/>
              </w:rPr>
              <w:t>Six Months Ended</w:t>
            </w:r>
          </w:p>
        </w:tc>
      </w:tr>
      <w:tr>
        <w:trPr>
          <w:trHeight w:val="216"/>
        </w:trPr>
        <w:tc>
          <w:tcPr>
            <w:tcW w:w="6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July 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June 25,</w:t>
            </w:r>
          </w:p>
        </w:tc>
      </w:tr>
      <w:tr>
        <w:trPr>
          <w:trHeight w:val="230"/>
        </w:trPr>
        <w:tc>
          <w:tcPr>
            <w:tcW w:w="65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0"/>
                <w:szCs w:val="20"/>
                <w:color w:val="auto"/>
              </w:rPr>
            </w:pPr>
          </w:p>
        </w:tc>
      </w:tr>
      <w:tr>
        <w:trPr>
          <w:trHeight w:val="209"/>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Reconciliation</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54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Gross profit - GAAP basis (excluding amortization) </w:t>
            </w:r>
            <w:r>
              <w:rPr>
                <w:rFonts w:ascii="Arial" w:cs="Arial" w:eastAsia="Arial" w:hAnsi="Arial"/>
                <w:sz w:val="25"/>
                <w:szCs w:val="25"/>
                <w:color w:val="auto"/>
                <w:vertAlign w:val="superscript"/>
              </w:rPr>
              <w:t>(1)</w:t>
            </w:r>
          </w:p>
        </w:tc>
        <w:tc>
          <w:tcPr>
            <w:tcW w:w="1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166,563</w:t>
            </w:r>
          </w:p>
        </w:tc>
        <w:tc>
          <w:tcPr>
            <w:tcW w:w="20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192,109</w:t>
            </w:r>
          </w:p>
        </w:tc>
        <w:tc>
          <w:tcPr>
            <w:tcW w:w="140" w:type="dxa"/>
            <w:vAlign w:val="bottom"/>
          </w:tcPr>
          <w:p>
            <w:pPr>
              <w:spacing w:after="0"/>
              <w:rPr>
                <w:sz w:val="18"/>
                <w:szCs w:val="18"/>
                <w:color w:val="auto"/>
              </w:rPr>
            </w:pPr>
          </w:p>
        </w:tc>
      </w:tr>
      <w:tr>
        <w:trPr>
          <w:trHeight w:val="216"/>
        </w:trPr>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Non-GAAP adjustments to cost of sales (as scheduled above)</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r>
      <w:tr>
        <w:trPr>
          <w:trHeight w:val="20"/>
        </w:trPr>
        <w:tc>
          <w:tcPr>
            <w:tcW w:w="65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6540" w:type="dxa"/>
            <w:vAlign w:val="bottom"/>
          </w:tcPr>
          <w:p>
            <w:pPr>
              <w:ind w:left="180"/>
              <w:spacing w:after="0"/>
              <w:rPr>
                <w:sz w:val="20"/>
                <w:szCs w:val="20"/>
                <w:color w:val="auto"/>
              </w:rPr>
            </w:pPr>
            <w:r>
              <w:rPr>
                <w:rFonts w:ascii="Arial" w:cs="Arial" w:eastAsia="Arial" w:hAnsi="Arial"/>
                <w:sz w:val="18"/>
                <w:szCs w:val="18"/>
                <w:color w:val="auto"/>
              </w:rPr>
              <w:t>Gross profit - Non-GAAP basis</w:t>
            </w:r>
          </w:p>
        </w:tc>
        <w:tc>
          <w:tcPr>
            <w:tcW w:w="1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167,209</w:t>
            </w:r>
          </w:p>
        </w:tc>
        <w:tc>
          <w:tcPr>
            <w:tcW w:w="20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192,065</w:t>
            </w:r>
          </w:p>
        </w:tc>
        <w:tc>
          <w:tcPr>
            <w:tcW w:w="14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65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r>
      <w:tr>
        <w:trPr>
          <w:trHeight w:val="209"/>
        </w:trPr>
        <w:tc>
          <w:tcPr>
            <w:tcW w:w="6540" w:type="dxa"/>
            <w:vAlign w:val="bottom"/>
          </w:tcPr>
          <w:p>
            <w:pPr>
              <w:ind w:left="340"/>
              <w:spacing w:after="0"/>
              <w:rPr>
                <w:sz w:val="20"/>
                <w:szCs w:val="20"/>
                <w:color w:val="auto"/>
              </w:rPr>
            </w:pPr>
            <w:r>
              <w:rPr>
                <w:rFonts w:ascii="Arial" w:cs="Arial" w:eastAsia="Arial" w:hAnsi="Arial"/>
                <w:sz w:val="18"/>
                <w:szCs w:val="18"/>
                <w:color w:val="auto"/>
              </w:rPr>
              <w:t>As a percentage of net sales:</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GAAP gross profit</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color w:val="auto"/>
              </w:rPr>
              <w:t>Non-GAAP gross profit</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46.3%</w:t>
            </w:r>
          </w:p>
        </w:tc>
      </w:tr>
      <w:tr>
        <w:trPr>
          <w:trHeight w:val="216"/>
        </w:trPr>
        <w:tc>
          <w:tcPr>
            <w:tcW w:w="6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b w:val="1"/>
                <w:bCs w:val="1"/>
                <w:color w:val="auto"/>
              </w:rPr>
              <w:t>Adjusted EBITDA Reconciliation</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 GAAP Basis</w:t>
            </w:r>
          </w:p>
        </w:tc>
        <w:tc>
          <w:tcPr>
            <w:tcW w:w="1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26,269</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50,337</w:t>
            </w:r>
          </w:p>
        </w:tc>
        <w:tc>
          <w:tcPr>
            <w:tcW w:w="140" w:type="dxa"/>
            <w:vAlign w:val="bottom"/>
            <w:shd w:val="clear" w:color="auto" w:fill="CCEEFF"/>
          </w:tcPr>
          <w:p>
            <w:pPr>
              <w:spacing w:after="0"/>
              <w:rPr>
                <w:sz w:val="18"/>
                <w:szCs w:val="18"/>
                <w:color w:val="auto"/>
              </w:rPr>
            </w:pP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11,408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15,192</w:t>
            </w:r>
          </w:p>
        </w:tc>
        <w:tc>
          <w:tcPr>
            <w:tcW w:w="140" w:type="dxa"/>
            <w:vAlign w:val="bottom"/>
          </w:tcPr>
          <w:p>
            <w:pPr>
              <w:spacing w:after="0"/>
              <w:rPr>
                <w:sz w:val="18"/>
                <w:szCs w:val="18"/>
                <w:color w:val="auto"/>
              </w:rPr>
            </w:pPr>
          </w:p>
        </w:tc>
      </w:tr>
      <w:tr>
        <w:trPr>
          <w:trHeight w:val="216"/>
        </w:trPr>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40" w:type="dxa"/>
            <w:vAlign w:val="bottom"/>
            <w:shd w:val="clear" w:color="auto" w:fill="CCEEFF"/>
          </w:tcPr>
          <w:p>
            <w:pPr>
              <w:spacing w:after="0"/>
              <w:rPr>
                <w:sz w:val="18"/>
                <w:szCs w:val="18"/>
                <w:color w:val="auto"/>
              </w:rPr>
            </w:pP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(5,450)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r>
      <w:tr>
        <w:trPr>
          <w:trHeight w:val="216"/>
        </w:trPr>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16,876</w:t>
            </w:r>
          </w:p>
        </w:tc>
        <w:tc>
          <w:tcPr>
            <w:tcW w:w="140" w:type="dxa"/>
            <w:vAlign w:val="bottom"/>
            <w:shd w:val="clear" w:color="auto" w:fill="CCEEFF"/>
          </w:tcPr>
          <w:p>
            <w:pPr>
              <w:spacing w:after="0"/>
              <w:rPr>
                <w:sz w:val="18"/>
                <w:szCs w:val="18"/>
                <w:color w:val="auto"/>
              </w:rPr>
            </w:pP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6,698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6,323</w:t>
            </w:r>
          </w:p>
        </w:tc>
        <w:tc>
          <w:tcPr>
            <w:tcW w:w="140" w:type="dxa"/>
            <w:vAlign w:val="bottom"/>
          </w:tcPr>
          <w:p>
            <w:pPr>
              <w:spacing w:after="0"/>
              <w:rPr>
                <w:sz w:val="18"/>
                <w:szCs w:val="18"/>
                <w:color w:val="auto"/>
              </w:rPr>
            </w:pPr>
          </w:p>
        </w:tc>
      </w:tr>
      <w:tr>
        <w:trPr>
          <w:trHeight w:val="216"/>
        </w:trPr>
        <w:tc>
          <w:tcPr>
            <w:tcW w:w="654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 xml:space="preserve">Amortization of cloud-based software implementation costs </w:t>
            </w:r>
            <w:r>
              <w:rPr>
                <w:rFonts w:ascii="Arial" w:cs="Arial" w:eastAsia="Arial" w:hAnsi="Arial"/>
                <w:sz w:val="25"/>
                <w:szCs w:val="25"/>
                <w:color w:val="auto"/>
                <w:vertAlign w:val="superscript"/>
              </w:rPr>
              <w:t>(2)</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40" w:type="dxa"/>
            <w:vAlign w:val="bottom"/>
            <w:shd w:val="clear" w:color="auto" w:fill="CCEEFF"/>
          </w:tcPr>
          <w:p>
            <w:pPr>
              <w:spacing w:after="0"/>
              <w:rPr>
                <w:sz w:val="18"/>
                <w:szCs w:val="18"/>
                <w:color w:val="auto"/>
              </w:rPr>
            </w:pP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8"/>
                <w:szCs w:val="18"/>
                <w:color w:val="auto"/>
              </w:rPr>
            </w:pPr>
          </w:p>
        </w:tc>
      </w:tr>
      <w:tr>
        <w:trPr>
          <w:trHeight w:val="216"/>
        </w:trPr>
        <w:tc>
          <w:tcPr>
            <w:tcW w:w="6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non-GAAP adjustments (as scheduled above)</w:t>
            </w:r>
          </w:p>
        </w:tc>
        <w:tc>
          <w:tcPr>
            <w:tcW w:w="1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10,786</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7,709</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9"/>
        </w:trPr>
        <w:tc>
          <w:tcPr>
            <w:tcW w:w="654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1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71,095</w:t>
            </w:r>
          </w:p>
        </w:tc>
        <w:tc>
          <w:tcPr>
            <w:tcW w:w="20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99,106</w:t>
            </w:r>
          </w:p>
        </w:tc>
        <w:tc>
          <w:tcPr>
            <w:tcW w:w="14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5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r>
      <w:tr>
        <w:trPr>
          <w:trHeight w:val="209"/>
        </w:trPr>
        <w:tc>
          <w:tcPr>
            <w:tcW w:w="6540" w:type="dxa"/>
            <w:vAlign w:val="bottom"/>
          </w:tcPr>
          <w:p>
            <w:pPr>
              <w:ind w:left="180"/>
              <w:spacing w:after="0"/>
              <w:rPr>
                <w:sz w:val="20"/>
                <w:szCs w:val="20"/>
                <w:color w:val="auto"/>
              </w:rPr>
            </w:pPr>
            <w:r>
              <w:rPr>
                <w:rFonts w:ascii="Arial" w:cs="Arial" w:eastAsia="Arial" w:hAnsi="Arial"/>
                <w:sz w:val="18"/>
                <w:szCs w:val="18"/>
                <w:color w:val="auto"/>
              </w:rPr>
              <w:t>As a percentage of net sales:</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 GAAP Basis</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color w:val="auto"/>
              </w:rPr>
              <w:t>Adjusted EBITDA</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23.9%</w:t>
            </w:r>
          </w:p>
        </w:tc>
      </w:tr>
      <w:tr>
        <w:trPr>
          <w:trHeight w:val="216"/>
        </w:trPr>
        <w:tc>
          <w:tcPr>
            <w:tcW w:w="6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b w:val="1"/>
                <w:bCs w:val="1"/>
                <w:color w:val="auto"/>
              </w:rPr>
              <w:t>Operating Expense Reconciliation</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Expense - GAAP basis</w:t>
            </w:r>
          </w:p>
        </w:tc>
        <w:tc>
          <w:tcPr>
            <w:tcW w:w="1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131,027</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127,502</w:t>
            </w:r>
          </w:p>
        </w:tc>
        <w:tc>
          <w:tcPr>
            <w:tcW w:w="140" w:type="dxa"/>
            <w:vAlign w:val="bottom"/>
            <w:shd w:val="clear" w:color="auto" w:fill="CCEEFF"/>
          </w:tcPr>
          <w:p>
            <w:pPr>
              <w:spacing w:after="0"/>
              <w:rPr>
                <w:sz w:val="18"/>
                <w:szCs w:val="18"/>
                <w:color w:val="auto"/>
              </w:rPr>
            </w:pP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color w:val="auto"/>
              </w:rPr>
              <w:t>Non-GAAP adjustments to operating expenses (as scheduled above)</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(27,923)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(24,629)</w:t>
            </w:r>
          </w:p>
        </w:tc>
      </w:tr>
      <w:tr>
        <w:trPr>
          <w:trHeight w:val="20"/>
        </w:trPr>
        <w:tc>
          <w:tcPr>
            <w:tcW w:w="6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ectPr>
          <w:pgSz w:w="11900" w:h="16838" w:orient="portrait"/>
          <w:cols w:equalWidth="0" w:num="1">
            <w:col w:w="11240"/>
          </w:cols>
          <w:pgMar w:left="320" w:top="580" w:right="339" w:bottom="0" w:gutter="0" w:footer="0" w:header="0"/>
        </w:sectPr>
      </w:pPr>
    </w:p>
    <w:bookmarkStart w:id="14" w:name="page15"/>
    <w:bookmarkEnd w:id="14"/>
    <w:p>
      <w:pPr>
        <w:ind w:left="103"/>
        <w:spacing w:after="0"/>
        <w:tabs>
          <w:tab w:leader="none" w:pos="7723" w:val="left"/>
          <w:tab w:leader="none" w:pos="8643" w:val="left"/>
          <w:tab w:leader="none" w:pos="9483" w:val="left"/>
          <w:tab w:leader="none" w:pos="10403" w:val="left"/>
        </w:tabs>
        <w:rPr>
          <w:sz w:val="20"/>
          <w:szCs w:val="20"/>
          <w:color w:val="auto"/>
        </w:rPr>
      </w:pPr>
      <w:r>
        <w:rPr>
          <w:rFonts w:ascii="Arial" w:cs="Arial" w:eastAsia="Arial" w:hAnsi="Arial"/>
          <w:sz w:val="18"/>
          <w:szCs w:val="18"/>
          <w:color w:val="auto"/>
        </w:rPr>
        <w:t>Operating Expenses - Non-GAAP basis</w:t>
      </w:r>
      <w:r>
        <w:rPr>
          <w:sz w:val="20"/>
          <w:szCs w:val="20"/>
          <w:color w:val="auto"/>
        </w:rPr>
        <w:tab/>
      </w:r>
      <w:r>
        <w:rPr>
          <w:rFonts w:ascii="Arial" w:cs="Arial" w:eastAsia="Arial" w:hAnsi="Arial"/>
          <w:sz w:val="36"/>
          <w:szCs w:val="36"/>
          <w:color w:val="auto"/>
          <w:vertAlign w:val="superscript"/>
        </w:rPr>
        <w:t>$</w:t>
      </w:r>
      <w:r>
        <w:rPr>
          <w:sz w:val="20"/>
          <w:szCs w:val="20"/>
          <w:color w:val="auto"/>
        </w:rPr>
        <w:tab/>
      </w:r>
      <w:r>
        <w:rPr>
          <w:rFonts w:ascii="Arial" w:cs="Arial" w:eastAsia="Arial" w:hAnsi="Arial"/>
          <w:sz w:val="36"/>
          <w:szCs w:val="36"/>
          <w:color w:val="auto"/>
          <w:vertAlign w:val="superscript"/>
        </w:rPr>
        <w:t>103,104</w:t>
      </w:r>
      <w:r>
        <w:rPr>
          <w:rFonts w:ascii="Arial" w:cs="Arial" w:eastAsia="Arial" w:hAnsi="Arial"/>
          <w:sz w:val="36"/>
          <w:szCs w:val="36"/>
          <w:color w:val="auto"/>
        </w:rPr>
        <w:tab/>
      </w:r>
      <w:r>
        <w:rPr>
          <w:rFonts w:ascii="Arial" w:cs="Arial" w:eastAsia="Arial" w:hAnsi="Arial"/>
          <w:sz w:val="36"/>
          <w:szCs w:val="36"/>
          <w:color w:val="auto"/>
          <w:vertAlign w:val="superscript"/>
        </w:rPr>
        <w:t>$</w:t>
      </w:r>
      <w:r>
        <w:rPr>
          <w:sz w:val="20"/>
          <w:szCs w:val="20"/>
          <w:color w:val="auto"/>
        </w:rPr>
        <w:tab/>
      </w:r>
      <w:r>
        <w:rPr>
          <w:rFonts w:ascii="Arial" w:cs="Arial" w:eastAsia="Arial" w:hAnsi="Arial"/>
          <w:sz w:val="24"/>
          <w:szCs w:val="24"/>
          <w:color w:val="auto"/>
          <w:vertAlign w:val="superscript"/>
        </w:rPr>
        <w:t>102,873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-253365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80645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ind w:left="283" w:hanging="283"/>
        <w:spacing w:after="0"/>
        <w:tabs>
          <w:tab w:leader="none" w:pos="283"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amortization of $13,993 and $13,240 for the six months ending July 01, 2023 and June 25, 2022, respectively.</w:t>
      </w:r>
    </w:p>
    <w:p>
      <w:pPr>
        <w:spacing w:after="0" w:line="23" w:lineRule="exact"/>
        <w:rPr>
          <w:rFonts w:ascii="Arial" w:cs="Arial" w:eastAsia="Arial" w:hAnsi="Arial"/>
          <w:sz w:val="18"/>
          <w:szCs w:val="18"/>
          <w:color w:val="auto"/>
        </w:rPr>
      </w:pPr>
    </w:p>
    <w:p>
      <w:pPr>
        <w:ind w:left="283" w:hanging="283"/>
        <w:spacing w:after="0"/>
        <w:tabs>
          <w:tab w:leader="none" w:pos="283"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amortization of capitalized implementation costs related to cloud-based software arrangements that are included within SG&amp;A.</w:t>
      </w:r>
    </w:p>
    <w:sectPr>
      <w:pgSz w:w="11900" w:h="16838" w:orient="portrait"/>
      <w:cols w:equalWidth="0" w:num="1">
        <w:col w:w="11003"/>
      </w:cols>
      <w:pgMar w:left="397" w:top="12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2023-08-03T07:15:06Z</dcterms:created>
  <dcterms:modified xsi:type="dcterms:W3CDTF">2023-08-03T07:15:06Z</dcterms:modified>
</cp:coreProperties>
</file>