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color w:val="auto"/>
        </w:rPr>
        <w:t>UNITED STATES</w:t>
      </w:r>
    </w:p>
    <w:p>
      <w:pPr>
        <w:jc w:val="center"/>
        <w:ind w:right="-17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79"/>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2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00" w:type="dxa"/>
            <w:vAlign w:val="bottom"/>
          </w:tcPr>
          <w:p>
            <w:pPr>
              <w:ind w:left="360"/>
              <w:spacing w:after="0"/>
              <w:rPr>
                <w:sz w:val="20"/>
                <w:szCs w:val="20"/>
                <w:color w:val="auto"/>
              </w:rPr>
            </w:pPr>
            <w:r>
              <w:rPr>
                <w:rFonts w:ascii="Arial" w:cs="Arial" w:eastAsia="Arial" w:hAnsi="Arial"/>
                <w:sz w:val="18"/>
                <w:szCs w:val="18"/>
                <w:color w:val="auto"/>
              </w:rPr>
              <w:t>March 10, 2023</w:t>
            </w:r>
          </w:p>
        </w:tc>
      </w:tr>
      <w:tr>
        <w:trPr>
          <w:trHeight w:val="738"/>
        </w:trPr>
        <w:tc>
          <w:tcPr>
            <w:tcW w:w="4220" w:type="dxa"/>
            <w:vAlign w:val="bottom"/>
          </w:tcPr>
          <w:p>
            <w:pPr>
              <w:spacing w:after="0"/>
              <w:rPr>
                <w:sz w:val="24"/>
                <w:szCs w:val="24"/>
                <w:color w:val="auto"/>
              </w:rPr>
            </w:pPr>
          </w:p>
        </w:tc>
        <w:tc>
          <w:tcPr>
            <w:tcW w:w="3620" w:type="dxa"/>
            <w:vAlign w:val="bottom"/>
            <w:gridSpan w:val="2"/>
          </w:tcPr>
          <w:p>
            <w:pPr>
              <w:jc w:val="center"/>
              <w:ind w:right="820"/>
              <w:spacing w:after="0"/>
              <w:rPr>
                <w:sz w:val="20"/>
                <w:szCs w:val="20"/>
                <w:color w:val="auto"/>
              </w:rPr>
            </w:pPr>
            <w:r>
              <w:rPr>
                <w:rFonts w:ascii="Arial" w:cs="Arial" w:eastAsia="Arial" w:hAnsi="Arial"/>
                <w:sz w:val="43"/>
                <w:szCs w:val="43"/>
                <w:color w:val="auto"/>
                <w:w w:val="91"/>
              </w:rPr>
              <w:t>Cohu, Inc.</w:t>
            </w:r>
          </w:p>
        </w:tc>
        <w:tc>
          <w:tcPr>
            <w:tcW w:w="2100" w:type="dxa"/>
            <w:vAlign w:val="bottom"/>
          </w:tcPr>
          <w:p>
            <w:pPr>
              <w:spacing w:after="0"/>
              <w:rPr>
                <w:sz w:val="24"/>
                <w:szCs w:val="24"/>
                <w:color w:val="auto"/>
              </w:rPr>
            </w:pPr>
          </w:p>
        </w:tc>
      </w:tr>
      <w:tr>
        <w:trPr>
          <w:trHeight w:val="248"/>
        </w:trPr>
        <w:tc>
          <w:tcPr>
            <w:tcW w:w="4220" w:type="dxa"/>
            <w:vAlign w:val="bottom"/>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479"/>
        </w:trPr>
        <w:tc>
          <w:tcPr>
            <w:tcW w:w="7840" w:type="dxa"/>
            <w:vAlign w:val="bottom"/>
            <w:gridSpan w:val="3"/>
          </w:tcPr>
          <w:p>
            <w:pPr>
              <w:jc w:val="center"/>
              <w:ind w:left="3310"/>
              <w:spacing w:after="0"/>
              <w:rPr>
                <w:sz w:val="20"/>
                <w:szCs w:val="20"/>
                <w:color w:val="auto"/>
              </w:rPr>
            </w:pPr>
            <w:r>
              <w:rPr>
                <w:rFonts w:ascii="Arial" w:cs="Arial" w:eastAsia="Arial" w:hAnsi="Arial"/>
                <w:sz w:val="18"/>
                <w:szCs w:val="18"/>
                <w:color w:val="auto"/>
                <w:w w:val="90"/>
              </w:rPr>
              <w:t>(Exact name of registrant as specified in its charter)</w:t>
            </w:r>
          </w:p>
        </w:tc>
        <w:tc>
          <w:tcPr>
            <w:tcW w:w="2100" w:type="dxa"/>
            <w:vAlign w:val="bottom"/>
          </w:tcPr>
          <w:p>
            <w:pPr>
              <w:spacing w:after="0"/>
              <w:rPr>
                <w:sz w:val="24"/>
                <w:szCs w:val="24"/>
                <w:color w:val="auto"/>
              </w:rPr>
            </w:pPr>
          </w:p>
        </w:tc>
      </w:tr>
      <w:tr>
        <w:trPr>
          <w:trHeight w:val="634"/>
        </w:trPr>
        <w:tc>
          <w:tcPr>
            <w:tcW w:w="4220" w:type="dxa"/>
            <w:vAlign w:val="bottom"/>
          </w:tcPr>
          <w:p>
            <w:pPr>
              <w:jc w:val="center"/>
              <w:ind w:left="230"/>
              <w:spacing w:after="0"/>
              <w:rPr>
                <w:sz w:val="20"/>
                <w:szCs w:val="20"/>
                <w:color w:val="auto"/>
              </w:rPr>
            </w:pPr>
            <w:r>
              <w:rPr>
                <w:rFonts w:ascii="Arial" w:cs="Arial" w:eastAsia="Arial" w:hAnsi="Arial"/>
                <w:sz w:val="18"/>
                <w:szCs w:val="18"/>
                <w:color w:val="auto"/>
                <w:w w:val="92"/>
              </w:rPr>
              <w:t>Delaware</w:t>
            </w:r>
          </w:p>
        </w:tc>
        <w:tc>
          <w:tcPr>
            <w:tcW w:w="2800" w:type="dxa"/>
            <w:vAlign w:val="bottom"/>
          </w:tcPr>
          <w:p>
            <w:pPr>
              <w:jc w:val="right"/>
              <w:ind w:right="589"/>
              <w:spacing w:after="0"/>
              <w:rPr>
                <w:sz w:val="20"/>
                <w:szCs w:val="20"/>
                <w:color w:val="auto"/>
              </w:rPr>
            </w:pPr>
            <w:r>
              <w:rPr>
                <w:rFonts w:ascii="Arial" w:cs="Arial" w:eastAsia="Arial" w:hAnsi="Arial"/>
                <w:sz w:val="18"/>
                <w:szCs w:val="18"/>
                <w:color w:val="auto"/>
              </w:rPr>
              <w:t>001-04298</w:t>
            </w:r>
          </w:p>
        </w:tc>
        <w:tc>
          <w:tcPr>
            <w:tcW w:w="820" w:type="dxa"/>
            <w:vAlign w:val="bottom"/>
          </w:tcPr>
          <w:p>
            <w:pPr>
              <w:spacing w:after="0"/>
              <w:rPr>
                <w:sz w:val="24"/>
                <w:szCs w:val="24"/>
                <w:color w:val="auto"/>
              </w:rPr>
            </w:pPr>
          </w:p>
        </w:tc>
        <w:tc>
          <w:tcPr>
            <w:tcW w:w="2100" w:type="dxa"/>
            <w:vAlign w:val="bottom"/>
          </w:tcPr>
          <w:p>
            <w:pPr>
              <w:jc w:val="center"/>
              <w:ind w:left="670"/>
              <w:spacing w:after="0"/>
              <w:rPr>
                <w:sz w:val="20"/>
                <w:szCs w:val="20"/>
                <w:color w:val="auto"/>
              </w:rPr>
            </w:pPr>
            <w:r>
              <w:rPr>
                <w:rFonts w:ascii="Arial" w:cs="Arial" w:eastAsia="Arial" w:hAnsi="Arial"/>
                <w:sz w:val="18"/>
                <w:szCs w:val="18"/>
                <w:color w:val="auto"/>
                <w:w w:val="89"/>
              </w:rPr>
              <w:t>95-1934119</w:t>
            </w:r>
          </w:p>
        </w:tc>
      </w:tr>
      <w:tr>
        <w:trPr>
          <w:trHeight w:val="216"/>
        </w:trPr>
        <w:tc>
          <w:tcPr>
            <w:tcW w:w="4220" w:type="dxa"/>
            <w:vAlign w:val="bottom"/>
          </w:tcPr>
          <w:p>
            <w:pPr>
              <w:jc w:val="right"/>
              <w:ind w:right="910"/>
              <w:spacing w:after="0"/>
              <w:rPr>
                <w:sz w:val="20"/>
                <w:szCs w:val="20"/>
                <w:color w:val="auto"/>
              </w:rPr>
            </w:pPr>
            <w:r>
              <w:rPr>
                <w:rFonts w:ascii="Arial" w:cs="Arial" w:eastAsia="Arial" w:hAnsi="Arial"/>
                <w:sz w:val="18"/>
                <w:szCs w:val="18"/>
                <w:color w:val="auto"/>
              </w:rPr>
              <w:t>_____________________</w:t>
            </w:r>
          </w:p>
        </w:tc>
        <w:tc>
          <w:tcPr>
            <w:tcW w:w="2800" w:type="dxa"/>
            <w:vAlign w:val="bottom"/>
          </w:tcPr>
          <w:p>
            <w:pPr>
              <w:jc w:val="right"/>
              <w:ind w:right="409"/>
              <w:spacing w:after="0"/>
              <w:rPr>
                <w:sz w:val="20"/>
                <w:szCs w:val="20"/>
                <w:color w:val="auto"/>
              </w:rPr>
            </w:pPr>
            <w:r>
              <w:rPr>
                <w:rFonts w:ascii="Arial" w:cs="Arial" w:eastAsia="Arial" w:hAnsi="Arial"/>
                <w:sz w:val="18"/>
                <w:szCs w:val="18"/>
                <w:color w:val="auto"/>
              </w:rPr>
              <w:t>_____________</w:t>
            </w:r>
          </w:p>
        </w:tc>
        <w:tc>
          <w:tcPr>
            <w:tcW w:w="820" w:type="dxa"/>
            <w:vAlign w:val="bottom"/>
          </w:tcPr>
          <w:p>
            <w:pPr>
              <w:spacing w:after="0"/>
              <w:rPr>
                <w:sz w:val="18"/>
                <w:szCs w:val="18"/>
                <w:color w:val="auto"/>
              </w:rPr>
            </w:pPr>
          </w:p>
        </w:tc>
        <w:tc>
          <w:tcPr>
            <w:tcW w:w="2100" w:type="dxa"/>
            <w:vAlign w:val="bottom"/>
          </w:tcPr>
          <w:p>
            <w:pPr>
              <w:jc w:val="center"/>
              <w:ind w:left="670"/>
              <w:spacing w:after="0"/>
              <w:rPr>
                <w:sz w:val="20"/>
                <w:szCs w:val="20"/>
                <w:color w:val="auto"/>
              </w:rPr>
            </w:pPr>
            <w:r>
              <w:rPr>
                <w:rFonts w:ascii="Arial" w:cs="Arial" w:eastAsia="Arial" w:hAnsi="Arial"/>
                <w:sz w:val="18"/>
                <w:szCs w:val="18"/>
                <w:color w:val="auto"/>
                <w:w w:val="89"/>
              </w:rPr>
              <w:t>______________</w:t>
            </w:r>
          </w:p>
        </w:tc>
      </w:tr>
      <w:tr>
        <w:trPr>
          <w:trHeight w:val="216"/>
        </w:trPr>
        <w:tc>
          <w:tcPr>
            <w:tcW w:w="4220" w:type="dxa"/>
            <w:vAlign w:val="bottom"/>
          </w:tcPr>
          <w:p>
            <w:pPr>
              <w:jc w:val="center"/>
              <w:ind w:left="230"/>
              <w:spacing w:after="0"/>
              <w:rPr>
                <w:sz w:val="20"/>
                <w:szCs w:val="20"/>
                <w:color w:val="auto"/>
              </w:rPr>
            </w:pPr>
            <w:r>
              <w:rPr>
                <w:rFonts w:ascii="Arial" w:cs="Arial" w:eastAsia="Arial" w:hAnsi="Arial"/>
                <w:sz w:val="18"/>
                <w:szCs w:val="18"/>
                <w:color w:val="auto"/>
                <w:w w:val="92"/>
              </w:rPr>
              <w:t>(State or other jurisdiction</w:t>
            </w:r>
          </w:p>
        </w:tc>
        <w:tc>
          <w:tcPr>
            <w:tcW w:w="3620" w:type="dxa"/>
            <w:vAlign w:val="bottom"/>
            <w:gridSpan w:val="2"/>
          </w:tcPr>
          <w:p>
            <w:pPr>
              <w:ind w:left="1220"/>
              <w:spacing w:after="0"/>
              <w:rPr>
                <w:sz w:val="20"/>
                <w:szCs w:val="20"/>
                <w:color w:val="auto"/>
              </w:rPr>
            </w:pPr>
            <w:r>
              <w:rPr>
                <w:rFonts w:ascii="Arial" w:cs="Arial" w:eastAsia="Arial" w:hAnsi="Arial"/>
                <w:sz w:val="18"/>
                <w:szCs w:val="18"/>
                <w:color w:val="auto"/>
              </w:rPr>
              <w:t>(Commission</w:t>
            </w:r>
          </w:p>
        </w:tc>
        <w:tc>
          <w:tcPr>
            <w:tcW w:w="2100" w:type="dxa"/>
            <w:vAlign w:val="bottom"/>
          </w:tcPr>
          <w:p>
            <w:pPr>
              <w:jc w:val="center"/>
              <w:ind w:left="690"/>
              <w:spacing w:after="0"/>
              <w:rPr>
                <w:sz w:val="20"/>
                <w:szCs w:val="20"/>
                <w:color w:val="auto"/>
              </w:rPr>
            </w:pPr>
            <w:r>
              <w:rPr>
                <w:rFonts w:ascii="Arial" w:cs="Arial" w:eastAsia="Arial" w:hAnsi="Arial"/>
                <w:sz w:val="18"/>
                <w:szCs w:val="18"/>
                <w:color w:val="auto"/>
                <w:w w:val="93"/>
              </w:rPr>
              <w:t>(I.R.S. Employer</w:t>
            </w:r>
          </w:p>
        </w:tc>
      </w:tr>
      <w:tr>
        <w:trPr>
          <w:trHeight w:val="230"/>
        </w:trPr>
        <w:tc>
          <w:tcPr>
            <w:tcW w:w="4220" w:type="dxa"/>
            <w:vAlign w:val="bottom"/>
          </w:tcPr>
          <w:p>
            <w:pPr>
              <w:jc w:val="center"/>
              <w:ind w:left="230"/>
              <w:spacing w:after="0"/>
              <w:rPr>
                <w:sz w:val="20"/>
                <w:szCs w:val="20"/>
                <w:color w:val="auto"/>
              </w:rPr>
            </w:pPr>
            <w:r>
              <w:rPr>
                <w:rFonts w:ascii="Arial" w:cs="Arial" w:eastAsia="Arial" w:hAnsi="Arial"/>
                <w:sz w:val="18"/>
                <w:szCs w:val="18"/>
                <w:color w:val="auto"/>
                <w:w w:val="93"/>
              </w:rPr>
              <w:t>of incorporation)</w:t>
            </w:r>
          </w:p>
        </w:tc>
        <w:tc>
          <w:tcPr>
            <w:tcW w:w="3620" w:type="dxa"/>
            <w:vAlign w:val="bottom"/>
            <w:gridSpan w:val="2"/>
          </w:tcPr>
          <w:p>
            <w:pPr>
              <w:ind w:left="1220"/>
              <w:spacing w:after="0"/>
              <w:rPr>
                <w:sz w:val="20"/>
                <w:szCs w:val="20"/>
                <w:color w:val="auto"/>
              </w:rPr>
            </w:pPr>
            <w:r>
              <w:rPr>
                <w:rFonts w:ascii="Arial" w:cs="Arial" w:eastAsia="Arial" w:hAnsi="Arial"/>
                <w:sz w:val="18"/>
                <w:szCs w:val="18"/>
                <w:color w:val="auto"/>
              </w:rPr>
              <w:t>File Number)</w:t>
            </w:r>
          </w:p>
        </w:tc>
        <w:tc>
          <w:tcPr>
            <w:tcW w:w="2100" w:type="dxa"/>
            <w:vAlign w:val="bottom"/>
          </w:tcPr>
          <w:p>
            <w:pPr>
              <w:jc w:val="center"/>
              <w:ind w:left="6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220" w:type="dxa"/>
            <w:vAlign w:val="bottom"/>
          </w:tcPr>
          <w:p>
            <w:pPr>
              <w:jc w:val="center"/>
              <w:ind w:left="230"/>
              <w:spacing w:after="0"/>
              <w:rPr>
                <w:sz w:val="20"/>
                <w:szCs w:val="20"/>
                <w:color w:val="auto"/>
              </w:rPr>
            </w:pPr>
            <w:r>
              <w:rPr>
                <w:rFonts w:ascii="Arial" w:cs="Arial" w:eastAsia="Arial" w:hAnsi="Arial"/>
                <w:sz w:val="18"/>
                <w:szCs w:val="18"/>
                <w:color w:val="auto"/>
                <w:w w:val="91"/>
              </w:rPr>
              <w:t>12367 Crosthwaite Circle, Poway, California</w:t>
            </w:r>
          </w:p>
        </w:tc>
        <w:tc>
          <w:tcPr>
            <w:tcW w:w="2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00" w:type="dxa"/>
            <w:vAlign w:val="bottom"/>
          </w:tcPr>
          <w:p>
            <w:pPr>
              <w:jc w:val="center"/>
              <w:ind w:left="690"/>
              <w:spacing w:after="0"/>
              <w:rPr>
                <w:sz w:val="20"/>
                <w:szCs w:val="20"/>
                <w:color w:val="auto"/>
              </w:rPr>
            </w:pPr>
            <w:r>
              <w:rPr>
                <w:rFonts w:ascii="Arial" w:cs="Arial" w:eastAsia="Arial" w:hAnsi="Arial"/>
                <w:sz w:val="18"/>
                <w:szCs w:val="18"/>
                <w:color w:val="auto"/>
                <w:w w:val="87"/>
              </w:rPr>
              <w:t>92064</w:t>
            </w:r>
          </w:p>
        </w:tc>
      </w:tr>
      <w:tr>
        <w:trPr>
          <w:trHeight w:val="216"/>
        </w:trPr>
        <w:tc>
          <w:tcPr>
            <w:tcW w:w="4220" w:type="dxa"/>
            <w:vAlign w:val="bottom"/>
          </w:tcPr>
          <w:p>
            <w:pPr>
              <w:jc w:val="right"/>
              <w:ind w:right="370"/>
              <w:spacing w:after="0"/>
              <w:rPr>
                <w:sz w:val="20"/>
                <w:szCs w:val="20"/>
                <w:color w:val="auto"/>
              </w:rPr>
            </w:pPr>
            <w:r>
              <w:rPr>
                <w:rFonts w:ascii="Arial" w:cs="Arial" w:eastAsia="Arial" w:hAnsi="Arial"/>
                <w:sz w:val="18"/>
                <w:szCs w:val="18"/>
                <w:color w:val="auto"/>
              </w:rPr>
              <w:t>_________________________________</w:t>
            </w:r>
          </w:p>
        </w:tc>
        <w:tc>
          <w:tcPr>
            <w:tcW w:w="2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00" w:type="dxa"/>
            <w:vAlign w:val="bottom"/>
          </w:tcPr>
          <w:p>
            <w:pPr>
              <w:jc w:val="center"/>
              <w:ind w:left="690"/>
              <w:spacing w:after="0"/>
              <w:rPr>
                <w:sz w:val="20"/>
                <w:szCs w:val="20"/>
                <w:color w:val="auto"/>
              </w:rPr>
            </w:pPr>
            <w:r>
              <w:rPr>
                <w:rFonts w:ascii="Arial" w:cs="Arial" w:eastAsia="Arial" w:hAnsi="Arial"/>
                <w:sz w:val="18"/>
                <w:szCs w:val="18"/>
                <w:color w:val="auto"/>
                <w:w w:val="90"/>
              </w:rPr>
              <w:t>___________</w:t>
            </w:r>
          </w:p>
        </w:tc>
      </w:tr>
      <w:tr>
        <w:trPr>
          <w:trHeight w:val="230"/>
        </w:trPr>
        <w:tc>
          <w:tcPr>
            <w:tcW w:w="4220" w:type="dxa"/>
            <w:vAlign w:val="bottom"/>
          </w:tcPr>
          <w:p>
            <w:pPr>
              <w:jc w:val="center"/>
              <w:ind w:left="230"/>
              <w:spacing w:after="0"/>
              <w:rPr>
                <w:sz w:val="20"/>
                <w:szCs w:val="20"/>
                <w:color w:val="auto"/>
              </w:rPr>
            </w:pPr>
            <w:r>
              <w:rPr>
                <w:rFonts w:ascii="Arial" w:cs="Arial" w:eastAsia="Arial" w:hAnsi="Arial"/>
                <w:sz w:val="18"/>
                <w:szCs w:val="18"/>
                <w:color w:val="auto"/>
                <w:w w:val="92"/>
              </w:rPr>
              <w:t>(Address of principal executive offices)</w:t>
            </w:r>
          </w:p>
        </w:tc>
        <w:tc>
          <w:tcPr>
            <w:tcW w:w="2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00" w:type="dxa"/>
            <w:vAlign w:val="bottom"/>
          </w:tcPr>
          <w:p>
            <w:pPr>
              <w:jc w:val="center"/>
              <w:ind w:left="690"/>
              <w:spacing w:after="0"/>
              <w:rPr>
                <w:sz w:val="20"/>
                <w:szCs w:val="20"/>
                <w:color w:val="auto"/>
              </w:rPr>
            </w:pPr>
            <w:r>
              <w:rPr>
                <w:rFonts w:ascii="Arial" w:cs="Arial" w:eastAsia="Arial" w:hAnsi="Arial"/>
                <w:sz w:val="18"/>
                <w:szCs w:val="18"/>
                <w:color w:val="auto"/>
                <w:w w:val="94"/>
              </w:rPr>
              <w:t>(Zip Code)</w:t>
            </w:r>
          </w:p>
        </w:tc>
      </w:tr>
      <w:tr>
        <w:trPr>
          <w:trHeight w:val="432"/>
        </w:trPr>
        <w:tc>
          <w:tcPr>
            <w:tcW w:w="4220" w:type="dxa"/>
            <w:vAlign w:val="bottom"/>
          </w:tcPr>
          <w:p>
            <w:pPr>
              <w:jc w:val="center"/>
              <w:ind w:left="230"/>
              <w:spacing w:after="0"/>
              <w:rPr>
                <w:sz w:val="20"/>
                <w:szCs w:val="20"/>
                <w:color w:val="auto"/>
              </w:rPr>
            </w:pPr>
            <w:r>
              <w:rPr>
                <w:rFonts w:ascii="Arial" w:cs="Arial" w:eastAsia="Arial" w:hAnsi="Arial"/>
                <w:sz w:val="18"/>
                <w:szCs w:val="18"/>
                <w:color w:val="auto"/>
                <w:w w:val="89"/>
              </w:rPr>
              <w:t>Registrant’s telephone number, including area code:</w:t>
            </w:r>
          </w:p>
        </w:tc>
        <w:tc>
          <w:tcPr>
            <w:tcW w:w="2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00" w:type="dxa"/>
            <w:vAlign w:val="bottom"/>
          </w:tcPr>
          <w:p>
            <w:pPr>
              <w:jc w:val="center"/>
              <w:ind w:left="670"/>
              <w:spacing w:after="0"/>
              <w:rPr>
                <w:sz w:val="20"/>
                <w:szCs w:val="20"/>
                <w:color w:val="auto"/>
              </w:rPr>
            </w:pPr>
            <w:r>
              <w:rPr>
                <w:rFonts w:ascii="Arial" w:cs="Arial" w:eastAsia="Arial" w:hAnsi="Arial"/>
                <w:sz w:val="18"/>
                <w:szCs w:val="18"/>
                <w:color w:val="auto"/>
                <w:w w:val="90"/>
              </w:rPr>
              <w:t>858-848-8100</w:t>
            </w:r>
          </w:p>
        </w:tc>
      </w:tr>
      <w:tr>
        <w:trPr>
          <w:trHeight w:val="432"/>
        </w:trPr>
        <w:tc>
          <w:tcPr>
            <w:tcW w:w="4220" w:type="dxa"/>
            <w:vAlign w:val="bottom"/>
          </w:tcPr>
          <w:p>
            <w:pPr>
              <w:spacing w:after="0"/>
              <w:rPr>
                <w:sz w:val="24"/>
                <w:szCs w:val="24"/>
                <w:color w:val="auto"/>
              </w:rPr>
            </w:pPr>
          </w:p>
        </w:tc>
        <w:tc>
          <w:tcPr>
            <w:tcW w:w="3620" w:type="dxa"/>
            <w:vAlign w:val="bottom"/>
            <w:gridSpan w:val="2"/>
          </w:tcPr>
          <w:p>
            <w:pPr>
              <w:jc w:val="center"/>
              <w:ind w:right="800"/>
              <w:spacing w:after="0"/>
              <w:rPr>
                <w:sz w:val="20"/>
                <w:szCs w:val="20"/>
                <w:color w:val="auto"/>
              </w:rPr>
            </w:pPr>
            <w:r>
              <w:rPr>
                <w:rFonts w:ascii="Arial" w:cs="Arial" w:eastAsia="Arial" w:hAnsi="Arial"/>
                <w:sz w:val="18"/>
                <w:szCs w:val="18"/>
                <w:color w:val="auto"/>
                <w:w w:val="94"/>
              </w:rPr>
              <w:t>Not Applicable</w:t>
            </w:r>
          </w:p>
        </w:tc>
        <w:tc>
          <w:tcPr>
            <w:tcW w:w="2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91"/>
        </w:trPr>
        <w:tc>
          <w:tcPr>
            <w:tcW w:w="15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500" w:type="dxa"/>
            <w:vAlign w:val="bottom"/>
          </w:tcPr>
          <w:p>
            <w:pPr>
              <w:spacing w:after="0"/>
              <w:rPr>
                <w:sz w:val="24"/>
                <w:szCs w:val="24"/>
                <w:color w:val="auto"/>
              </w:rPr>
            </w:pPr>
          </w:p>
        </w:tc>
        <w:tc>
          <w:tcPr>
            <w:tcW w:w="2920" w:type="dxa"/>
            <w:vAlign w:val="bottom"/>
            <w:gridSpan w:val="3"/>
          </w:tcPr>
          <w:p>
            <w:pPr>
              <w:jc w:val="center"/>
              <w:ind w:right="1080"/>
              <w:spacing w:after="0"/>
              <w:rPr>
                <w:sz w:val="20"/>
                <w:szCs w:val="20"/>
                <w:color w:val="auto"/>
              </w:rPr>
            </w:pPr>
            <w:r>
              <w:rPr>
                <w:rFonts w:ascii="Arial" w:cs="Arial" w:eastAsia="Arial" w:hAnsi="Arial"/>
                <w:sz w:val="18"/>
                <w:szCs w:val="18"/>
                <w:color w:val="auto"/>
                <w:w w:val="92"/>
              </w:rPr>
              <w:t>Trading Symbol(s)</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Name of exchange on which registered</w:t>
            </w:r>
          </w:p>
        </w:tc>
      </w:tr>
      <w:tr>
        <w:trPr>
          <w:trHeight w:val="20"/>
        </w:trPr>
        <w:tc>
          <w:tcPr>
            <w:tcW w:w="1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37"/>
        </w:trPr>
        <w:tc>
          <w:tcPr>
            <w:tcW w:w="4400" w:type="dxa"/>
            <w:vAlign w:val="bottom"/>
            <w:gridSpan w:val="3"/>
          </w:tcPr>
          <w:p>
            <w:pPr>
              <w:jc w:val="center"/>
              <w:spacing w:after="0"/>
              <w:rPr>
                <w:sz w:val="20"/>
                <w:szCs w:val="20"/>
                <w:color w:val="auto"/>
              </w:rPr>
            </w:pPr>
            <w:r>
              <w:rPr>
                <w:rFonts w:ascii="Arial" w:cs="Arial" w:eastAsia="Arial" w:hAnsi="Arial"/>
                <w:sz w:val="18"/>
                <w:szCs w:val="18"/>
                <w:color w:val="auto"/>
                <w:w w:val="90"/>
              </w:rPr>
              <w:t>Common Stock, $1.00 par value</w:t>
            </w:r>
          </w:p>
        </w:tc>
        <w:tc>
          <w:tcPr>
            <w:tcW w:w="240" w:type="dxa"/>
            <w:vAlign w:val="bottom"/>
          </w:tcPr>
          <w:p>
            <w:pPr>
              <w:spacing w:after="0"/>
              <w:rPr>
                <w:sz w:val="20"/>
                <w:szCs w:val="20"/>
                <w:color w:val="auto"/>
              </w:rPr>
            </w:pPr>
          </w:p>
        </w:tc>
        <w:tc>
          <w:tcPr>
            <w:tcW w:w="2680" w:type="dxa"/>
            <w:vAlign w:val="bottom"/>
            <w:gridSpan w:val="2"/>
          </w:tcPr>
          <w:p>
            <w:pPr>
              <w:jc w:val="center"/>
              <w:ind w:right="1340"/>
              <w:spacing w:after="0"/>
              <w:rPr>
                <w:sz w:val="20"/>
                <w:szCs w:val="20"/>
                <w:color w:val="auto"/>
              </w:rPr>
            </w:pPr>
            <w:r>
              <w:rPr>
                <w:rFonts w:ascii="Arial" w:cs="Arial" w:eastAsia="Arial" w:hAnsi="Arial"/>
                <w:sz w:val="18"/>
                <w:szCs w:val="18"/>
                <w:color w:val="auto"/>
                <w:w w:val="94"/>
              </w:rPr>
              <w:t>COHU</w:t>
            </w:r>
          </w:p>
        </w:tc>
        <w:tc>
          <w:tcPr>
            <w:tcW w:w="28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2"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Cohu, Inc. (the “Company”) is aware of media reports indicating that Silicon Valley Bank (“SVB”) has been closed by the California Department of Financial Protection and Innovation, which appointed the Federal Deposit Insurance Corporation as receiver. On March 10, 2023, the Company announced that it has deposit accounts with SVB with an aggregate balance of approximately $12.3 million, which is approximately 3.8% of the Company’s total cash and investments.</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information contained in this Item 7.01 is being furnished and shall not be deemed “filed” for the purposes of Section 18 of the Securities Exchange Act of 1934, as amended (the “Exchange Act”), or otherwise subject to the liabilities of that section. The information in this Item 7.01 shall not be incorporated by reference into any filing under the Securities Act of 1933, as amended, or the Exchange Act, except as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noted in Item 7.01 above the Company is aware of media reports indicating that SVB has been closed by the California Department of Financial Protection and Innovation, which appointed the Federal Deposit Insurance Corporation as receiver. On March 10, 2023, the Company announced that it has deposit accounts with SVB with an aggregate balance of approximately $12.3 million, which is approximately 3.8% of the Company’s total cash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400" w:val="left"/>
          <w:tab w:leader="none" w:pos="6420" w:val="left"/>
        </w:tabs>
        <w:rPr>
          <w:sz w:val="20"/>
          <w:szCs w:val="20"/>
          <w:color w:val="auto"/>
        </w:rPr>
      </w:pPr>
      <w:r>
        <w:rPr>
          <w:rFonts w:ascii="Arial" w:cs="Arial" w:eastAsia="Arial" w:hAnsi="Arial"/>
          <w:sz w:val="18"/>
          <w:szCs w:val="18"/>
          <w:color w:val="auto"/>
        </w:rPr>
        <w:t>March 10, 2023</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/s/ Jeffrey D. Jones</w:t>
      </w:r>
    </w:p>
    <w:p>
      <w:pPr>
        <w:spacing w:after="0" w:line="239"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-130175</wp:posOffset>
            </wp:positionV>
            <wp:extent cx="58204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Title: Senior VP Finance and Chief Financial Officer</w:t>
      </w:r>
    </w:p>
    <w:sectPr>
      <w:pgSz w:w="11900" w:h="16838" w:orient="portrait"/>
      <w:cols w:equalWidth="0" w:num="1">
        <w:col w:w="11200"/>
      </w:cols>
      <w:pgMar w:left="320" w:top="5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2023-03-10T17:43:06Z</dcterms:created>
  <dcterms:modified xsi:type="dcterms:W3CDTF">2023-03-10T17:43:06Z</dcterms:modified>
</cp:coreProperties>
</file>