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BOHRSON CHRISTOPHER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17087 VIA DEL CAMPO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COHU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COHU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Sr VP &amp; Chief Customer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DIEGO</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92127</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7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Performance Stock Units</w:t>
            </w:r>
          </w:p>
        </w:tc>
        <w:tc>
          <w:tcPr>
            <w:tcW w:w="1820" w:type="dxa"/>
            <w:vAlign w:val="bottom"/>
            <w:tcBorders>
              <w:bottom w:val="single" w:sz="8" w:color="2C2C2C"/>
            </w:tcBorders>
            <w:gridSpan w:val="3"/>
          </w:tcPr>
          <w:p>
            <w:pPr>
              <w:jc w:val="center"/>
              <w:ind w:left="707"/>
              <w:spacing w:after="0"/>
              <w:rPr>
                <w:sz w:val="20"/>
                <w:szCs w:val="20"/>
                <w:color w:val="auto"/>
              </w:rPr>
            </w:pPr>
            <w:r>
              <w:rPr>
                <w:rFonts w:ascii="Times New Roman" w:cs="Times New Roman" w:eastAsia="Times New Roman" w:hAnsi="Times New Roman"/>
                <w:sz w:val="17"/>
                <w:szCs w:val="17"/>
                <w:color w:val="0000FF"/>
              </w:rPr>
              <w:t>03/10/2026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3"/>
              </w:rPr>
              <w:t>17,979</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jc w:val="center"/>
              <w:ind w:left="49"/>
              <w:spacing w:after="0"/>
              <w:rPr>
                <w:sz w:val="20"/>
                <w:szCs w:val="20"/>
                <w:color w:val="auto"/>
              </w:rPr>
            </w:pPr>
            <w:r>
              <w:rPr>
                <w:rFonts w:ascii="Times New Roman" w:cs="Times New Roman" w:eastAsia="Times New Roman" w:hAnsi="Times New Roman"/>
                <w:sz w:val="17"/>
                <w:szCs w:val="17"/>
                <w:color w:val="0000FF"/>
              </w:rPr>
              <w:t>185,216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Restricted Stock Units</w:t>
            </w:r>
          </w:p>
        </w:tc>
        <w:tc>
          <w:tcPr>
            <w:tcW w:w="1820" w:type="dxa"/>
            <w:vAlign w:val="bottom"/>
            <w:tcBorders>
              <w:bottom w:val="single" w:sz="8" w:color="2C2C2C"/>
            </w:tcBorders>
            <w:gridSpan w:val="3"/>
          </w:tcPr>
          <w:p>
            <w:pPr>
              <w:jc w:val="center"/>
              <w:ind w:left="707"/>
              <w:spacing w:after="0"/>
              <w:rPr>
                <w:sz w:val="20"/>
                <w:szCs w:val="20"/>
                <w:color w:val="auto"/>
              </w:rPr>
            </w:pPr>
            <w:r>
              <w:rPr>
                <w:rFonts w:ascii="Times New Roman" w:cs="Times New Roman" w:eastAsia="Times New Roman" w:hAnsi="Times New Roman"/>
                <w:sz w:val="17"/>
                <w:szCs w:val="17"/>
                <w:color w:val="0000FF"/>
              </w:rPr>
              <w:t>03/10/2026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3"/>
              </w:rPr>
              <w:t>17,979</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jc w:val="center"/>
              <w:ind w:left="49"/>
              <w:spacing w:after="0"/>
              <w:rPr>
                <w:sz w:val="20"/>
                <w:szCs w:val="20"/>
                <w:color w:val="auto"/>
              </w:rPr>
            </w:pPr>
            <w:r>
              <w:rPr>
                <w:rFonts w:ascii="Times New Roman" w:cs="Times New Roman" w:eastAsia="Times New Roman" w:hAnsi="Times New Roman"/>
                <w:sz w:val="17"/>
                <w:szCs w:val="17"/>
                <w:color w:val="0000FF"/>
              </w:rPr>
              <w:t>203,195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727"/>
              <w:spacing w:after="0"/>
              <w:rPr>
                <w:sz w:val="20"/>
                <w:szCs w:val="20"/>
                <w:color w:val="auto"/>
              </w:rPr>
            </w:pPr>
            <w:r>
              <w:rPr>
                <w:rFonts w:ascii="Times New Roman" w:cs="Times New Roman" w:eastAsia="Times New Roman" w:hAnsi="Times New Roman"/>
                <w:sz w:val="17"/>
                <w:szCs w:val="17"/>
                <w:color w:val="0000FF"/>
              </w:rPr>
              <w:t>03/11/2026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3"/>
              </w:rPr>
              <w:t>4,088</w:t>
            </w:r>
            <w:r>
              <w:rPr>
                <w:rFonts w:ascii="Times New Roman" w:cs="Times New Roman" w:eastAsia="Times New Roman" w:hAnsi="Times New Roman"/>
                <w:sz w:val="22"/>
                <w:szCs w:val="22"/>
                <w:color w:val="008000"/>
                <w:w w:val="93"/>
                <w:vertAlign w:val="superscript"/>
              </w:rPr>
              <w:t>(3)</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jc w:val="center"/>
              <w:ind w:left="69"/>
              <w:spacing w:after="0"/>
              <w:rPr>
                <w:sz w:val="20"/>
                <w:szCs w:val="20"/>
                <w:color w:val="auto"/>
              </w:rPr>
            </w:pPr>
            <w:r>
              <w:rPr>
                <w:rFonts w:ascii="Times New Roman" w:cs="Times New Roman" w:eastAsia="Times New Roman" w:hAnsi="Times New Roman"/>
                <w:sz w:val="17"/>
                <w:szCs w:val="17"/>
                <w:color w:val="0000FF"/>
                <w:w w:val="96"/>
              </w:rPr>
              <w:t>199,107</w:t>
            </w:r>
            <w:r>
              <w:rPr>
                <w:rFonts w:ascii="Times New Roman" w:cs="Times New Roman" w:eastAsia="Times New Roman" w:hAnsi="Times New Roman"/>
                <w:sz w:val="22"/>
                <w:szCs w:val="22"/>
                <w:color w:val="008000"/>
                <w:w w:val="96"/>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Stock Units (also referred to as RSUs) that will be converted on a one-for-one basis into shares of Cohu, Inc. Common Stock upon vesting. These performance stock units will be earned only after the certification of achievement of specified performance goals (total shareholder return). Provided such goals are achieved and subject to continued service through the vesting date, performance is scheduled and measured in full on the third anniversary of the date of grant. The number of shares shown is the target award level. The actual number of shares that may vest ranges from 0% to 200% of the target amount, depending on achievement of specified performance goals.</w:t>
      </w:r>
    </w:p>
    <w:p>
      <w:pPr>
        <w:spacing w:after="0" w:line="24"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Cohu, Inc. Common Stock upon vesting. The RSUs vest in four equal annual installments beginning with the anniversary of the date of grant (assuming continued service through the vesting dates).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were automatically withheld upon vesting of Restricted Stock Units (RSUs) to cover tax obligations in a transaction exempt under Rule 16(b)-3.</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135,861 RSUs (excluding the impact of shares that will be withheld to cover tax obligations) previously reported that in the future will be converted on a one-for-one basis into shares of Cohu, Inc. Common Stock immediately upon the vesting dates (assuming continued service through the vesting dates and achievement of specified performance goals).</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D. Jones,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03/12/2026</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1398" TargetMode="External"/><Relationship Id="rId14"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2026-03-12T17:25:22Z</dcterms:created>
  <dcterms:modified xsi:type="dcterms:W3CDTF">2026-03-12T17:25:22Z</dcterms:modified>
</cp:coreProperties>
</file>