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color w:val="auto"/>
        </w:rPr>
        <w:t>FORM 8-K</w:t>
      </w:r>
    </w:p>
    <w:p>
      <w:pPr>
        <w:spacing w:after="0" w:line="2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22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7"/>
          <w:szCs w:val="17"/>
          <w:color w:val="auto"/>
        </w:rPr>
        <w:t>November 3, 2019</w:t>
      </w:r>
    </w:p>
    <w:p>
      <w:pPr>
        <w:spacing w:after="0" w:line="2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color w:val="auto"/>
        </w:rPr>
        <w:t>Cohu, Inc.</w:t>
      </w:r>
    </w:p>
    <w:p>
      <w:pPr>
        <w:spacing w:after="0" w:line="50"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43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980" w:type="dxa"/>
            <w:vAlign w:val="bottom"/>
          </w:tcPr>
          <w:p>
            <w:pPr>
              <w:spacing w:after="0"/>
              <w:rPr>
                <w:sz w:val="20"/>
                <w:szCs w:val="20"/>
                <w:color w:val="auto"/>
              </w:rPr>
            </w:pPr>
          </w:p>
        </w:tc>
      </w:tr>
      <w:tr>
        <w:trPr>
          <w:trHeight w:val="414"/>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438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001-04298</w:t>
            </w:r>
          </w:p>
        </w:tc>
        <w:tc>
          <w:tcPr>
            <w:tcW w:w="1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95-1934119</w:t>
            </w:r>
          </w:p>
        </w:tc>
      </w:tr>
      <w:tr>
        <w:trPr>
          <w:trHeight w:val="216"/>
        </w:trPr>
        <w:tc>
          <w:tcPr>
            <w:tcW w:w="37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_____________________</w:t>
            </w:r>
          </w:p>
        </w:tc>
        <w:tc>
          <w:tcPr>
            <w:tcW w:w="438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_____________</w:t>
            </w:r>
          </w:p>
        </w:tc>
        <w:tc>
          <w:tcPr>
            <w:tcW w:w="1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______________</w:t>
            </w:r>
          </w:p>
        </w:tc>
      </w:tr>
      <w:tr>
        <w:trPr>
          <w:trHeight w:val="216"/>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3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(Commission</w:t>
            </w:r>
          </w:p>
        </w:tc>
        <w:tc>
          <w:tcPr>
            <w:tcW w:w="19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3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File Number)</w:t>
            </w:r>
          </w:p>
        </w:tc>
        <w:tc>
          <w:tcPr>
            <w:tcW w:w="1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12367 Crosthwaite Circle, Poway, California</w:t>
            </w:r>
          </w:p>
        </w:tc>
        <w:tc>
          <w:tcPr>
            <w:tcW w:w="4380" w:type="dxa"/>
            <w:vAlign w:val="bottom"/>
          </w:tcPr>
          <w:p>
            <w:pPr>
              <w:spacing w:after="0"/>
              <w:rPr>
                <w:sz w:val="24"/>
                <w:szCs w:val="24"/>
                <w:color w:val="auto"/>
              </w:rPr>
            </w:pPr>
          </w:p>
        </w:tc>
        <w:tc>
          <w:tcPr>
            <w:tcW w:w="19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7"/>
              </w:rPr>
              <w:t>92064</w:t>
            </w:r>
          </w:p>
        </w:tc>
      </w:tr>
      <w:tr>
        <w:trPr>
          <w:trHeight w:val="216"/>
        </w:trPr>
        <w:tc>
          <w:tcPr>
            <w:tcW w:w="37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4380" w:type="dxa"/>
            <w:vAlign w:val="bottom"/>
          </w:tcPr>
          <w:p>
            <w:pPr>
              <w:spacing w:after="0"/>
              <w:rPr>
                <w:sz w:val="18"/>
                <w:szCs w:val="18"/>
                <w:color w:val="auto"/>
              </w:rPr>
            </w:pPr>
          </w:p>
        </w:tc>
        <w:tc>
          <w:tcPr>
            <w:tcW w:w="19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___________</w:t>
            </w:r>
          </w:p>
        </w:tc>
      </w:tr>
      <w:tr>
        <w:trPr>
          <w:trHeight w:val="234"/>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380" w:type="dxa"/>
            <w:vAlign w:val="bottom"/>
          </w:tcPr>
          <w:p>
            <w:pPr>
              <w:spacing w:after="0"/>
              <w:rPr>
                <w:sz w:val="20"/>
                <w:szCs w:val="20"/>
                <w:color w:val="auto"/>
              </w:rPr>
            </w:pPr>
          </w:p>
        </w:tc>
        <w:tc>
          <w:tcPr>
            <w:tcW w:w="19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(Zip Code)</w:t>
            </w:r>
          </w:p>
        </w:tc>
      </w:tr>
      <w:tr>
        <w:trPr>
          <w:trHeight w:val="459"/>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4380" w:type="dxa"/>
            <w:vAlign w:val="bottom"/>
          </w:tcPr>
          <w:p>
            <w:pPr>
              <w:spacing w:after="0"/>
              <w:rPr>
                <w:sz w:val="24"/>
                <w:szCs w:val="24"/>
                <w:color w:val="auto"/>
              </w:rPr>
            </w:pPr>
          </w:p>
        </w:tc>
        <w:tc>
          <w:tcPr>
            <w:tcW w:w="1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858-848-8100</w:t>
            </w:r>
          </w:p>
        </w:tc>
      </w:tr>
      <w:tr>
        <w:trPr>
          <w:trHeight w:val="432"/>
        </w:trPr>
        <w:tc>
          <w:tcPr>
            <w:tcW w:w="3780" w:type="dxa"/>
            <w:vAlign w:val="bottom"/>
          </w:tcPr>
          <w:p>
            <w:pPr>
              <w:spacing w:after="0"/>
              <w:rPr>
                <w:sz w:val="24"/>
                <w:szCs w:val="24"/>
                <w:color w:val="auto"/>
              </w:rPr>
            </w:pPr>
          </w:p>
        </w:tc>
        <w:tc>
          <w:tcPr>
            <w:tcW w:w="43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Not Applicable</w:t>
            </w:r>
          </w:p>
        </w:tc>
        <w:tc>
          <w:tcPr>
            <w:tcW w:w="1980" w:type="dxa"/>
            <w:vAlign w:val="bottom"/>
          </w:tcPr>
          <w:p>
            <w:pPr>
              <w:spacing w:after="0"/>
              <w:rPr>
                <w:sz w:val="24"/>
                <w:szCs w:val="24"/>
                <w:color w:val="auto"/>
              </w:rPr>
            </w:pPr>
          </w:p>
        </w:tc>
      </w:tr>
    </w:tbl>
    <w:p>
      <w:pPr>
        <w:ind w:left="3640"/>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392"/>
        </w:trPr>
        <w:tc>
          <w:tcPr>
            <w:tcW w:w="1540" w:type="dxa"/>
            <w:vAlign w:val="bottom"/>
          </w:tcPr>
          <w:p>
            <w:pPr>
              <w:spacing w:after="0"/>
              <w:rPr>
                <w:sz w:val="24"/>
                <w:szCs w:val="24"/>
                <w:color w:val="auto"/>
              </w:rPr>
            </w:pPr>
          </w:p>
        </w:tc>
        <w:tc>
          <w:tcPr>
            <w:tcW w:w="318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color w:val="auto"/>
              </w:rPr>
              <w:t>Title of Each Class</w:t>
            </w:r>
          </w:p>
        </w:tc>
        <w:tc>
          <w:tcPr>
            <w:tcW w:w="2760" w:type="dxa"/>
            <w:vAlign w:val="bottom"/>
            <w:tcBorders>
              <w:bottom w:val="single" w:sz="8" w:color="auto"/>
            </w:tcBorders>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37"/>
        </w:trPr>
        <w:tc>
          <w:tcPr>
            <w:tcW w:w="47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Common Stock, $1.00 par value</w:t>
            </w:r>
          </w:p>
        </w:tc>
        <w:tc>
          <w:tcPr>
            <w:tcW w:w="276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rPr>
              <w:t>COHU</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7"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Act of 1934.</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43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November 3, 2019, Cohu, Inc. (the “Company”) issued a press release regarding its financial results for the third quarter ended September 28, 2019. The Company’s press release is attached as Exhibit 99.1 to this Current Report on Form 8-K and incorporated by reference herein.</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Information:</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to financial results determined in accordance with generally accepted accounting principles (“GAAP”), this press release refers to financial information determined by methods other than in accordance with GAAP, including non-GAAP Gross Margin/Profit, Income and Income (adjusted earnings) per share, Operating Income, Operating Expense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acquired intangible assets including favorable/unfavorable lease adjustments, restructuring costs, manufacturing and sales transition and severance costs, acquisition-related costs and associated professional fees, fair value adjustment to contingent consideration, depreciation of purchase accounting adjustments to property, plant and equipment and purchase accounting inventory step-up included in cost of sales. Reconciliations of GAAP to non-GAAP amounts for the periods presented herein are provided in schedules accompanying this release and should be considered together with the Condensed Consolidated Statements of Operations. With respect to forward looking non-GAAP figures, we are unable to provide without unreasonable efforts, at this time, a GAAP to non-GAAP reconciliation of any forward-looking figures due to their inherent uncertainty.</w:t>
      </w:r>
    </w:p>
    <w:p>
      <w:pPr>
        <w:spacing w:after="0" w:line="19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contained in this release and accompanying materials may be considered forward-looking statements within the meaning of the U.S. Private Securities Litigation Reform Act of 1995, including statements regarding integration and cost synergy savings, timing and targets; additional cost savings and expense reductions; new products and solutions; 5G and automotive growth, demand and opportunities; anticipated increase in sales for mobile 5G RF device test in 2020 driven by customers in China and the U.S.; forecasted strength in automotive ADAS segment; and future sales from key RF test design-win at leading U.S. mobile customer; leadership in RF test; RF tester market size and market growth; other incremental sales opportunities; growth through selling complete solutions; semiconductor and semi-test market conditions in 2019 and expectations for 2020; business model for FY’20 and mid-term model; the company’s fourth quarter 2019 sales forecast, guidance, non-GAAP operating expenses, gross margin, adjusted EBITDA and effective tax rate, and cash and shares outstanding; minimum cash required to operate business; and any other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risks associated with acquisitions; inventory, goodwill and other asset write-downs; our ability to convert new products into production on a timely basis and to support product development and meet customer delivery and acceptance requirements for new products; our reliance on third-party contract manufacturers and suppliers; failure to obtain customer acceptance resulting in the inability to recognize revenue and accounts receivable collection problems; revenue recognition impacts due to ASC 606; market demand and adoption of our new products; customer orders may be canceled or delayed; the concentration of our revenues from a limited number of customers; intense competition in the semiconductor equipment industry; our reliance on patents and intellectual property; compliance with U.S. export regulations; impacts from the Tax Cuts and Jobs Act of 2017 and ongoing tax examinations; geopolitical issues, trade wars and Huawei export restrictions; ERP system implementation issues; the seasonal, volatile and unpredictable nature of capital expenditures by semiconductor manufacturers and the late 2018 and 2019 significantly weakened demand in this market; ongoing weakness in Greater China market; rapid technological change; and significant risks associated with the Xcerra acquisition including but not limited to (i) the ability of Cohu and Xcerra to integrate their businesses successfully and to achieve anticipated synergies and cost savings, (ii) the possibility that other anticipated benefits of the acquisition will not be realized, (iii) litigation relating to the acquisition that still could be instituted against Cohu and/or Xcerra, (iv) the possibility that restructuring charges will significantly exceed estimates, (v) the ability of Cohu or Xcerra to retain, attract and hire key personnel, (vi) potential adverse reactions or changes to relationships with customers, employees, suppliers or other parties resulting from the acquisition, (vii) potential disruptions, expenses and lost revenue associated with the transition to direct sales in China and Taiwan; (viii) the discovery of liabilities, product return issues or deficiencies associated with Xcerra that were not identified in advance, (ix) potential failures to maintain adequate internal controls over financial reporting given the significant increase in size, number of employees, global operations and complexity of Cohu’s business, (x) mandatory ongoing impairment evaluation of goodwill and other intangibles whereby Cohu could be required to write off some or all of this goodwill and other intangibles, (xi) the adverse impact to Cohu’s operating results and potential inability to pay cash dividends due to interest expense on the financing debt, rising interest rates, and any restrictions on operations related to such debt, and (xii) continued availability of capital and financing and rating agency downgrade actions, and limited market access given our high debt levels. These and other risks and uncertainties are discussed more fully in Cohu’s filings with the Securities and Exchange Commission,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color w:val="auto"/>
        </w:rPr>
        <w:t>For press releases and other information of interest to investors, please visit Cohu’s website at www.cohu.com.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listed below is being furnished with this Current Report on Form 8-K.</w:t>
      </w:r>
    </w:p>
    <w:p>
      <w:pPr>
        <w:spacing w:after="0" w:line="225" w:lineRule="exact"/>
        <w:rPr>
          <w:sz w:val="20"/>
          <w:szCs w:val="20"/>
          <w:color w:val="auto"/>
        </w:rPr>
      </w:pPr>
    </w:p>
    <w:p>
      <w:pPr>
        <w:ind w:right="8899" w:firstLine="8"/>
        <w:spacing w:after="0" w:line="501"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Exhibit No. - 99.1</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 </w:t>
      </w:r>
      <w:hyperlink w:anchor="page6">
        <w:r>
          <w:rPr>
            <w:rFonts w:ascii="Times New Roman" w:cs="Times New Roman" w:eastAsia="Times New Roman" w:hAnsi="Times New Roman"/>
            <w:sz w:val="18"/>
            <w:szCs w:val="18"/>
            <w:u w:val="single" w:color="auto"/>
            <w:color w:val="0000EE"/>
          </w:rPr>
          <w:t>Third Quarter 2019 Earnings Release, dated November 3, 2019, of Cohu,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Cohu, Inc.</w:t>
      </w:r>
    </w:p>
    <w:p>
      <w:pPr>
        <w:spacing w:after="0" w:line="223"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i w:val="1"/>
          <w:iCs w:val="1"/>
          <w:color w:val="auto"/>
        </w:rPr>
        <w:t>November 4, 2019</w:t>
      </w:r>
      <w:r>
        <w:rPr>
          <w:sz w:val="20"/>
          <w:szCs w:val="20"/>
          <w:color w:val="auto"/>
        </w:rPr>
        <w:tab/>
      </w:r>
      <w:r>
        <w:rPr>
          <w:rFonts w:ascii="Times New Roman" w:cs="Times New Roman" w:eastAsia="Times New Roman" w:hAnsi="Times New Roman"/>
          <w:sz w:val="17"/>
          <w:szCs w:val="17"/>
          <w:i w:val="1"/>
          <w:iCs w:val="1"/>
          <w:color w:val="auto"/>
        </w:rPr>
        <w:t>By:</w:t>
      </w:r>
    </w:p>
    <w:p>
      <w:pPr>
        <w:spacing w:after="0" w:line="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/s/ Jeffrey D. Jones</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Name: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Title: VP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576"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78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Exhibit Index</w:t>
            </w:r>
          </w:p>
        </w:tc>
        <w:tc>
          <w:tcPr>
            <w:tcW w:w="0" w:type="dxa"/>
            <w:vAlign w:val="bottom"/>
          </w:tcPr>
          <w:p>
            <w:pPr>
              <w:spacing w:after="0"/>
              <w:rPr>
                <w:sz w:val="1"/>
                <w:szCs w:val="1"/>
                <w:color w:val="auto"/>
              </w:rPr>
            </w:pPr>
          </w:p>
        </w:tc>
      </w:tr>
      <w:tr>
        <w:trPr>
          <w:trHeight w:val="648"/>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40" w:type="dxa"/>
            <w:vAlign w:val="bottom"/>
          </w:tcPr>
          <w:p>
            <w:pPr>
              <w:spacing w:after="0"/>
              <w:rPr>
                <w:sz w:val="24"/>
                <w:szCs w:val="24"/>
                <w:color w:val="auto"/>
              </w:rPr>
            </w:pPr>
          </w:p>
        </w:tc>
        <w:tc>
          <w:tcPr>
            <w:tcW w:w="87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300" w:type="dxa"/>
            <w:vAlign w:val="bottom"/>
            <w:tcBorders>
              <w:bottom w:val="single" w:sz="8" w:color="auto"/>
            </w:tcBorders>
          </w:tcPr>
          <w:p>
            <w:pPr>
              <w:spacing w:after="0"/>
              <w:rPr>
                <w:sz w:val="18"/>
                <w:szCs w:val="18"/>
                <w:color w:val="auto"/>
              </w:rPr>
            </w:pPr>
          </w:p>
        </w:tc>
        <w:tc>
          <w:tcPr>
            <w:tcW w:w="340" w:type="dxa"/>
            <w:vAlign w:val="bottom"/>
            <w:vMerge w:val="restart"/>
          </w:tcPr>
          <w:p>
            <w:pPr>
              <w:spacing w:after="0"/>
              <w:rPr>
                <w:sz w:val="18"/>
                <w:szCs w:val="18"/>
                <w:color w:val="auto"/>
              </w:rPr>
            </w:pPr>
          </w:p>
        </w:tc>
        <w:tc>
          <w:tcPr>
            <w:tcW w:w="8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vMerge w:val="continue"/>
          </w:tcPr>
          <w:p>
            <w:pPr>
              <w:spacing w:after="0"/>
              <w:rPr>
                <w:sz w:val="19"/>
                <w:szCs w:val="19"/>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Description – Third Quarter 2019 Earnings Release, dated November 3, 2019, of Cohu, Inc.</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ind w:left="103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157480</wp:posOffset>
            </wp:positionV>
            <wp:extent cx="3129915" cy="634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-119380</wp:posOffset>
            </wp:positionV>
            <wp:extent cx="26035" cy="823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035" cy="823595"/>
                    </a:xfrm>
                    <a:prstGeom prst="rect">
                      <a:avLst/>
                    </a:prstGeom>
                    <a:noFill/>
                  </pic:spPr>
                </pic:pic>
              </a:graphicData>
            </a:graphic>
          </wp:anchor>
        </w:drawing>
      </w:r>
    </w:p>
    <w:p>
      <w:pPr>
        <w:spacing w:after="0" w:line="7"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color w:val="auto"/>
        </w:rPr>
        <w:t>12367 CROSTHWAITE CIRCLE</w:t>
      </w:r>
    </w:p>
    <w:p>
      <w:pPr>
        <w:spacing w:after="0" w:line="9"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color w:val="auto"/>
        </w:rPr>
        <w:t>POWAY, CA 92064</w:t>
      </w:r>
    </w:p>
    <w:p>
      <w:pPr>
        <w:spacing w:after="0" w:line="9"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color w:val="auto"/>
        </w:rPr>
        <w:t>FAX (858) 848-8185</w:t>
      </w:r>
    </w:p>
    <w:p>
      <w:pPr>
        <w:spacing w:after="0" w:line="9"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color w:val="auto"/>
        </w:rPr>
        <w:t>PHONE (858) 858-8100</w:t>
      </w:r>
    </w:p>
    <w:p>
      <w:pPr>
        <w:spacing w:after="0" w:line="9"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color w:val="auto"/>
        </w:rPr>
        <w:t>www.cohu.com</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Reports Third Quarter 2019 Results</w:t>
      </w:r>
    </w:p>
    <w:p>
      <w:pPr>
        <w:spacing w:after="0" w:line="227" w:lineRule="exact"/>
        <w:rPr>
          <w:sz w:val="20"/>
          <w:szCs w:val="20"/>
          <w:color w:val="auto"/>
        </w:rPr>
      </w:pPr>
    </w:p>
    <w:p>
      <w:pPr>
        <w:ind w:left="480" w:hanging="242"/>
        <w:spacing w:after="0"/>
        <w:tabs>
          <w:tab w:leader="none" w:pos="4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Key RF tester design-win at leading U.S. mobile customer</w:t>
      </w:r>
    </w:p>
    <w:p>
      <w:pPr>
        <w:spacing w:after="0" w:line="225" w:lineRule="exact"/>
        <w:rPr>
          <w:rFonts w:ascii="Times New Roman" w:cs="Times New Roman" w:eastAsia="Times New Roman" w:hAnsi="Times New Roman"/>
          <w:sz w:val="18"/>
          <w:szCs w:val="18"/>
          <w:i w:val="1"/>
          <w:iCs w:val="1"/>
          <w:color w:val="auto"/>
        </w:rPr>
      </w:pPr>
    </w:p>
    <w:p>
      <w:pPr>
        <w:ind w:left="480" w:hanging="242"/>
        <w:spacing w:after="0"/>
        <w:tabs>
          <w:tab w:leader="none" w:pos="4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5G demand driving increase in RF test cell utilization</w:t>
      </w:r>
    </w:p>
    <w:p>
      <w:pPr>
        <w:spacing w:after="0" w:line="225" w:lineRule="exact"/>
        <w:rPr>
          <w:rFonts w:ascii="Times New Roman" w:cs="Times New Roman" w:eastAsia="Times New Roman" w:hAnsi="Times New Roman"/>
          <w:sz w:val="18"/>
          <w:szCs w:val="18"/>
          <w:i w:val="1"/>
          <w:iCs w:val="1"/>
          <w:color w:val="auto"/>
        </w:rPr>
      </w:pPr>
    </w:p>
    <w:p>
      <w:pPr>
        <w:ind w:left="480" w:hanging="242"/>
        <w:spacing w:after="0"/>
        <w:tabs>
          <w:tab w:leader="none" w:pos="4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Third quarter GAAP gross margin of 41.1%; non-GAAP gross margin of 42.3%</w:t>
      </w:r>
    </w:p>
    <w:p>
      <w:pPr>
        <w:spacing w:after="0" w:line="227"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8"/>
          <w:szCs w:val="18"/>
          <w:color w:val="auto"/>
        </w:rPr>
        <w:t xml:space="preserve">POWAY, Calif., November 3, 2019 -- Cohu, Inc. (NASDAQ: COHU), a global leader in back-end semiconductor equipment and services, today reported fiscal 2019 third quarter net sales of $143.5 million and GAAP loss of $10.5 million or $0.25 per share. Net sales for the first nine months of 2019 were $441.3 million and GAAP loss was $52.7 million or $1.28 per share. </w:t>
      </w:r>
      <w:r>
        <w:rPr>
          <w:rFonts w:ascii="Times New Roman" w:cs="Times New Roman" w:eastAsia="Times New Roman" w:hAnsi="Times New Roman"/>
          <w:sz w:val="30"/>
          <w:szCs w:val="30"/>
          <w:color w:val="auto"/>
          <w:vertAlign w:val="superscript"/>
        </w:rPr>
        <w:t>(1)</w:t>
      </w:r>
    </w:p>
    <w:p>
      <w:pPr>
        <w:spacing w:after="0" w:line="5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color w:val="auto"/>
        </w:rPr>
        <w:t xml:space="preserve">Cohu also reported non-GAAP results, with third quarter 2019 income of $4.9 million or $0.12 per share and income of $4.3 million or $0.10 per share for the first nine months of 2019. </w:t>
      </w:r>
      <w:r>
        <w:rPr>
          <w:rFonts w:ascii="Times New Roman" w:cs="Times New Roman" w:eastAsia="Times New Roman" w:hAnsi="Times New Roman"/>
          <w:sz w:val="30"/>
          <w:szCs w:val="30"/>
          <w:color w:val="auto"/>
          <w:vertAlign w:val="superscript"/>
        </w:rPr>
        <w:t>(1)</w:t>
      </w:r>
    </w:p>
    <w:p>
      <w:pPr>
        <w:spacing w:after="0" w:line="36" w:lineRule="exact"/>
        <w:rPr>
          <w:sz w:val="20"/>
          <w:szCs w:val="20"/>
          <w:color w:val="auto"/>
        </w:rPr>
      </w:pPr>
    </w:p>
    <w:tbl>
      <w:tblPr>
        <w:tblLayout w:type="fixed"/>
        <w:tblInd w:w="10" w:type="dxa"/>
        <w:tblCellMar>
          <w:top w:w="0" w:type="dxa"/>
          <w:left w:w="0" w:type="dxa"/>
          <w:bottom w:w="0" w:type="dxa"/>
          <w:right w:w="0" w:type="dxa"/>
        </w:tblCellMar>
      </w:tblPr>
      <w:tr>
        <w:trPr>
          <w:trHeight w:val="466"/>
        </w:trPr>
        <w:tc>
          <w:tcPr>
            <w:tcW w:w="3700" w:type="dxa"/>
            <w:vAlign w:val="bottom"/>
            <w:tcBorders>
              <w:top w:val="single" w:sz="8" w:color="auto"/>
              <w:lef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GAAP Results </w:t>
            </w:r>
            <w:r>
              <w:rPr>
                <w:rFonts w:ascii="Times New Roman" w:cs="Times New Roman" w:eastAsia="Times New Roman" w:hAnsi="Times New Roman"/>
                <w:sz w:val="30"/>
                <w:szCs w:val="30"/>
                <w:b w:val="1"/>
                <w:bCs w:val="1"/>
                <w:color w:val="auto"/>
                <w:vertAlign w:val="superscript"/>
              </w:rPr>
              <w:t>(1)</w:t>
            </w: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Q3 FY</w:t>
            </w: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Q2 FY</w:t>
            </w: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Q3 FY</w:t>
            </w: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9 Months</w:t>
            </w: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right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9 Months</w:t>
            </w:r>
          </w:p>
        </w:tc>
        <w:tc>
          <w:tcPr>
            <w:tcW w:w="0" w:type="dxa"/>
            <w:vAlign w:val="bottom"/>
          </w:tcPr>
          <w:p>
            <w:pPr>
              <w:spacing w:after="0"/>
              <w:rPr>
                <w:sz w:val="1"/>
                <w:szCs w:val="1"/>
                <w:color w:val="auto"/>
              </w:rPr>
            </w:pPr>
          </w:p>
        </w:tc>
      </w:tr>
      <w:tr>
        <w:trPr>
          <w:trHeight w:val="214"/>
        </w:trPr>
        <w:tc>
          <w:tcPr>
            <w:tcW w:w="370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00" w:type="dxa"/>
            <w:vAlign w:val="bottom"/>
            <w:tcBorders>
              <w:lef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00" w:type="dxa"/>
            <w:vAlign w:val="bottom"/>
            <w:tcBorders>
              <w:lef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sales</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281.1</w:t>
            </w: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Income (loss)</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(loss) per share</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370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Non-GAAP Results </w:t>
            </w:r>
            <w:r>
              <w:rPr>
                <w:rFonts w:ascii="Times New Roman" w:cs="Times New Roman" w:eastAsia="Times New Roman" w:hAnsi="Times New Roman"/>
                <w:sz w:val="30"/>
                <w:szCs w:val="30"/>
                <w:b w:val="1"/>
                <w:bCs w:val="1"/>
                <w:color w:val="auto"/>
                <w:vertAlign w:val="superscript"/>
              </w:rPr>
              <w:t>(1)</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Q3 FY</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Q2 FY</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Q3 FY</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9 Months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right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9 Months</w:t>
            </w:r>
          </w:p>
        </w:tc>
        <w:tc>
          <w:tcPr>
            <w:tcW w:w="0" w:type="dxa"/>
            <w:vAlign w:val="bottom"/>
          </w:tcPr>
          <w:p>
            <w:pPr>
              <w:spacing w:after="0"/>
              <w:rPr>
                <w:sz w:val="1"/>
                <w:szCs w:val="1"/>
                <w:color w:val="auto"/>
              </w:rPr>
            </w:pPr>
          </w:p>
        </w:tc>
      </w:tr>
      <w:tr>
        <w:trPr>
          <w:trHeight w:val="214"/>
        </w:trPr>
        <w:tc>
          <w:tcPr>
            <w:tcW w:w="370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00" w:type="dxa"/>
            <w:vAlign w:val="bottom"/>
            <w:tcBorders>
              <w:lef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00" w:type="dxa"/>
            <w:vAlign w:val="bottom"/>
            <w:tcBorders>
              <w:lef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34"/>
        </w:trPr>
        <w:tc>
          <w:tcPr>
            <w:tcW w:w="370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Income per share</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198"/>
        </w:trPr>
        <w:tc>
          <w:tcPr>
            <w:tcW w:w="370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620" w:firstLine="170"/>
        <w:spacing w:after="0" w:line="501" w:lineRule="auto"/>
        <w:tabs>
          <w:tab w:leader="none" w:pos="48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presented are from continuing operations. FY 2019 results include Xcerra Corporation acquired on October 1, 2018. Total cash and investments at the end of third quarter 2019 were $145.7 million.</w:t>
      </w:r>
    </w:p>
    <w:p>
      <w:pPr>
        <w:ind w:right="100"/>
        <w:spacing w:after="0" w:line="258" w:lineRule="auto"/>
        <w:rPr>
          <w:sz w:val="20"/>
          <w:szCs w:val="20"/>
          <w:color w:val="auto"/>
        </w:rPr>
      </w:pPr>
      <w:r>
        <w:rPr>
          <w:rFonts w:ascii="Times New Roman" w:cs="Times New Roman" w:eastAsia="Times New Roman" w:hAnsi="Times New Roman"/>
          <w:sz w:val="18"/>
          <w:szCs w:val="18"/>
          <w:color w:val="auto"/>
        </w:rPr>
        <w:t>“Cohu delivered stronger than expected non-GAAP profitability on sales of $143.5 million, despite continued softness in the automotive and industrial segments, which are historically our largest served markets. We also captured a key design-win at a leading U.S. mobile customer, broadening our leadership in RF test,” said Cohu President and CEO Luis Müller. “Lower analog IC demand is expected to remain a near-term headwind to handler sales, while automotive ADAS is forecasted to strengthen. After two quarters of market disruption primarily caused by U.S.-China trade disputes, we anticipate an increase in sales for mobile 5G RF device test in 2020 driven by customers in China and the U.S.”</w:t>
      </w:r>
    </w:p>
    <w:p>
      <w:pPr>
        <w:spacing w:after="0" w:line="1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Cohu expects fourth quarter 2019 sales to be between $134 million and $144 million. Cohu's Board of Directors approved a quarterly cash dividend of $0.06 per share payable on January 2, 2020 to shareholders of record on November 15,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company will host a live conference call and webcast with slides to discuss third quarter 2019 results at 5:30 a.m. Pacific Time/8:30 a.m. Eastern Time on November 4, 2019. Interested investors and analysts are invited to dial into the conference call by using 1-866-434-5330 (domestic) or +1-213-660-0873 (international) and entering the pass code 6992639. Webcast access will be available on the Investor Information section of the company’s website at </w:t>
      </w:r>
      <w:r>
        <w:rPr>
          <w:rFonts w:ascii="Times New Roman" w:cs="Times New Roman" w:eastAsia="Times New Roman" w:hAnsi="Times New Roman"/>
          <w:sz w:val="18"/>
          <w:szCs w:val="18"/>
          <w:u w:val="single" w:color="auto"/>
          <w:color w:val="auto"/>
        </w:rPr>
        <w:t>www.cohu.com</w:t>
      </w:r>
      <w:r>
        <w:rPr>
          <w:rFonts w:ascii="Times New Roman" w:cs="Times New Roman" w:eastAsia="Times New Roman" w:hAnsi="Times New Roman"/>
          <w:sz w:val="18"/>
          <w:szCs w:val="18"/>
          <w:color w:val="auto"/>
        </w:rPr>
        <w:t>. Replays of the call can be accessed at www.cohu.com.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044"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Cohu:</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Cohu (NASDAQ: COHU) is a global leader in back-end semiconductor equipment and services, delivering leading-edge solutions for the manufacturing of semiconductors and printed circuit boards. Additional information can be found at </w:t>
      </w:r>
      <w:r>
        <w:rPr>
          <w:rFonts w:ascii="Times New Roman" w:cs="Times New Roman" w:eastAsia="Times New Roman" w:hAnsi="Times New Roman"/>
          <w:sz w:val="18"/>
          <w:szCs w:val="18"/>
          <w:u w:val="single" w:color="auto"/>
          <w:color w:val="auto"/>
        </w:rPr>
        <w:t>www.cohu.com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Information:</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Included within this press release and accompanying materials are non-GAAP financial measures, including non-GAAP Gross Margin/Profit, Income and Income (adjusted earnings) per share, Operating Income, Operating Expense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acquired intangible assets including favorable/unfavorable lease adjustments, restructuring costs, manufacturing and sales transition and severance costs, acquisition-related costs and associated professional fees, fair value adjustment to contingent consideration, depreciation of purchase accounting adjustments to property, plant and equipment and purchase accounting inventory step-up included in cost of sales. Reconciliations of GAAP to non-GAAP amounts for the periods presented herein are provided in schedules accompanying this release and should be considered together with the Condensed Consolidated Statements of Operations. With respect to forward looking non-GAAP figures, we are unable to provide without unreasonable efforts, at this time, a GAAP to non-GAAP reconciliation of any forward-looking figures due to their inherent uncertainty.</w:t>
      </w:r>
    </w:p>
    <w:p>
      <w:pPr>
        <w:spacing w:after="0" w:line="18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Use of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contained in this release and accompanying materials may be considered forward-looking statements within the meaning of the U.S. Private Securities Litigation Reform Act of 1995, including statements regarding integration and cost synergy savings, timing and targets; additional cost savings and expense reductions; new products and solutions; 5G and automotive growth, demand and opportunities; anticipated increase in sales for mobile 5G RF device test in 2020 driven by customers in China and the U.S.; forecasted strength in automotive ADAS segment; any future sales from key RF test design-win at leading U.S. mobile customer; leadership in RF test; RF tester market size and market growth; other incremental sales opportunities; growth through selling complete solutions; semiconductor and semi-test market conditions in 2019 and expectations for 2020; business model for FY’20 and mid-term model; the company’s fourth quarter 2019 sales forecast, guidance, non-GAAP operating expenses, gross margin, adjusted EBITDA and effective tax rate, and cash and shares outstanding; minimum cash required to operate business; and any other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risks associated with acquisitions; inventory, goodwill and other asset write-downs; our ability to convert new products into production on a timely basis and to support product development and meet customer delivery and acceptance requirements for new products; our reliance on third-party contract manufacturers and suppliers; failure to obtain customer acceptance resulting in the inability to recognize revenue and accounts receivable collection problems; revenue recognition impacts due to ASC 606; market demand and adoption of our new products; customer orders may be canceled or delayed; the concentration of our revenues from a limited number of customers; intense competition in the semiconductor equipment industry; our reliance on patents and intellectual property; compliance with U.S. export regulations; impacts from the Tax Cuts and Jobs Act of 2017 and ongoing tax examinations; geopolitical issues, trade wars and Huawei export restrictions; ERP system implementation issues; the seasonal, volatile and unpredictable nature of capital expenditures by semiconductor manufacturers and the late 2018 and 2019 significantly weakened demand in this market; ongoing weakness in Greater China market; rapid technological change; and significant risks associated with the Xcerra acquisition including but not limited to (i) the ability of Cohu and Xcerra to integrate their businesses successfully and to achieve anticipated synergies and cost savings, (ii) the possibility that other anticipated benefits of the acquisition will not be realized, (iii) litigation relating to the acquisition that still could be instituted against Cohu and/or Xcerra, (iv) the possibility that restructuring charges will significantly exceed estimates, (v) the ability of Cohu or Xcerra to retain, attract and hire key personnel, (vi) potential adverse reactions or changes to relationships with customers, employees, suppliers or other parties resulting from the acquisition, (vii) potential disruptions, expenses and lost revenue associated with the transition to direct sales in China and Taiwan; (viii) the discovery of liabilities, product return issues or deficiencies associated with Xcerra that were not identified in advance, (ix) potential failures to maintain adequate internal controls over financial reporting given the significant increase in size, number of employees, global operations and complexity of Cohu’s business, (x) mandatory ongoing impairment evaluation of goodwill and other intangibles whereby Cohu could be required to write off some or all of this goodwill and other intangibles, (xi) the adverse impact to Cohu’s operating results and potential inability to pay cash dividends due to interest expense on the financing debt, rising interest rates, and any restrictions on operations related to such debt, and (xii) continued availability of capital and financing and rating agency downgrade actions, and limited market access given our high debt levels. These and other risks and uncertainties are discussed more fully in Cohu’s filings with the Securities and Exchange Commission,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press releases and other information of interest to investors, please visit Cohu’s website at www.cohu.com.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858-848-8106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76" w:right="259" w:bottom="99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COHU, INC.</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(Unaudited)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6"/>
            <w:vMerge w:val="restart"/>
          </w:tcPr>
          <w:p>
            <w:pPr>
              <w:jc w:val="right"/>
              <w:ind w:right="540"/>
              <w:spacing w:after="0"/>
              <w:rPr>
                <w:sz w:val="20"/>
                <w:szCs w:val="20"/>
                <w:color w:val="auto"/>
              </w:rPr>
            </w:pPr>
            <w:r>
              <w:rPr>
                <w:rFonts w:ascii="Times New Roman" w:cs="Times New Roman" w:eastAsia="Times New Roman" w:hAnsi="Times New Roman"/>
                <w:sz w:val="18"/>
                <w:szCs w:val="18"/>
                <w:color w:val="auto"/>
              </w:rPr>
              <w:t xml:space="preserve">Three Months Ended </w:t>
            </w:r>
            <w:r>
              <w:rPr>
                <w:rFonts w:ascii="Times New Roman" w:cs="Times New Roman" w:eastAsia="Times New Roman" w:hAnsi="Times New Roman"/>
                <w:sz w:val="30"/>
                <w:szCs w:val="30"/>
                <w:color w:val="auto"/>
                <w:vertAlign w:val="superscript"/>
              </w:rPr>
              <w:t>(1)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18"/>
                <w:szCs w:val="18"/>
                <w:color w:val="auto"/>
              </w:rPr>
              <w:t xml:space="preserve">Nine Months Ended </w:t>
            </w:r>
            <w:r>
              <w:rPr>
                <w:rFonts w:ascii="Times New Roman" w:cs="Times New Roman" w:eastAsia="Times New Roman" w:hAnsi="Times New Roman"/>
                <w:sz w:val="30"/>
                <w:szCs w:val="30"/>
                <w:color w:val="auto"/>
                <w:vertAlign w:val="superscript"/>
              </w:rPr>
              <w:t>(1)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6"/>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8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September 29,</w:t>
            </w:r>
          </w:p>
        </w:tc>
        <w:tc>
          <w:tcPr>
            <w:tcW w:w="8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September 29,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143,498</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86,164</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441,318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auto"/>
              </w:rPr>
              <w:t xml:space="preserve">Cost of sales (excludes amortization shown below) </w:t>
            </w:r>
            <w:r>
              <w:rPr>
                <w:rFonts w:ascii="Times New Roman" w:cs="Times New Roman" w:eastAsia="Times New Roman" w:hAnsi="Times New Roman"/>
                <w:sz w:val="29"/>
                <w:szCs w:val="29"/>
                <w:color w:val="auto"/>
                <w:vertAlign w:val="superscript"/>
              </w:rPr>
              <w:t>(2)</w:t>
            </w:r>
          </w:p>
        </w:tc>
        <w:tc>
          <w:tcPr>
            <w:tcW w:w="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84,565</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51,142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265,564</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163,742</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65,324</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33,914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auto"/>
              </w:rPr>
              <w:t xml:space="preserve">Selling, general and administrative </w:t>
            </w:r>
            <w:r>
              <w:rPr>
                <w:rFonts w:ascii="Times New Roman" w:cs="Times New Roman" w:eastAsia="Times New Roman" w:hAnsi="Times New Roman"/>
                <w:sz w:val="29"/>
                <w:szCs w:val="29"/>
                <w:color w:val="auto"/>
                <w:vertAlign w:val="superscript"/>
              </w:rPr>
              <w:t>(3)</w:t>
            </w:r>
          </w:p>
        </w:tc>
        <w:tc>
          <w:tcPr>
            <w:tcW w:w="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33,690</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15,899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108,404</w:t>
            </w: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29,975</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Restructuring charges</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10,720</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149,521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79,153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479,987</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(6,023)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(38,669)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(15,789)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603</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transaction gain (loss)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1,302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(loss) from continuing operations before taxes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(9,203)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(52,553)</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(10,480)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(52,714)</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24,573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 xml:space="preserve">Discontinued operations: </w:t>
            </w:r>
            <w:r>
              <w:rPr>
                <w:rFonts w:ascii="Times New Roman" w:cs="Times New Roman" w:eastAsia="Times New Roman" w:hAnsi="Times New Roman"/>
                <w:sz w:val="28"/>
                <w:szCs w:val="28"/>
                <w:color w:val="auto"/>
                <w:vertAlign w:val="superscript"/>
              </w:rPr>
              <w:t>(4)</w:t>
            </w:r>
          </w:p>
        </w:tc>
        <w:tc>
          <w:tcPr>
            <w:tcW w:w="26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before taxes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400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342</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(10,326)</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(52,372)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Cohu</w:t>
            </w:r>
          </w:p>
        </w:tc>
        <w:tc>
          <w:tcPr>
            <w:tcW w:w="5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(10,468)</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4,803</w:t>
            </w:r>
          </w:p>
        </w:tc>
        <w:tc>
          <w:tcPr>
            <w:tcW w:w="1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(52,434)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24,573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per share:</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(loss) from continuing operations before noncontrolling interest</w:t>
            </w:r>
          </w:p>
        </w:tc>
        <w:tc>
          <w:tcPr>
            <w:tcW w:w="5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(0.25)</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0.17</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 (loss) attributable to Cohu</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(0.25)</w:t>
            </w: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0.17</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(loss) from continuing operations before noncontrolling interest</w:t>
            </w:r>
          </w:p>
        </w:tc>
        <w:tc>
          <w:tcPr>
            <w:tcW w:w="5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(0.25)</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0.16</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(loss) attributable to Cohu</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(0.25)</w:t>
            </w: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0.16</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Weighted average shares used in computing income (loss) per share: </w:t>
            </w:r>
            <w:r>
              <w:rPr>
                <w:rFonts w:ascii="Times New Roman" w:cs="Times New Roman" w:eastAsia="Times New Roman" w:hAnsi="Times New Roman"/>
                <w:sz w:val="29"/>
                <w:szCs w:val="29"/>
                <w:color w:val="auto"/>
                <w:vertAlign w:val="superscript"/>
              </w:rPr>
              <w:t>(5)</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41,229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28,948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41,075</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41,229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29,770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41,075</w:t>
            </w:r>
          </w:p>
        </w:tc>
        <w:tc>
          <w:tcPr>
            <w:tcW w:w="100" w:type="dxa"/>
            <w:vAlign w:val="bottom"/>
          </w:tcPr>
          <w:p>
            <w:pPr>
              <w:spacing w:after="0"/>
              <w:rPr>
                <w:sz w:val="17"/>
                <w:szCs w:val="17"/>
                <w:color w:val="auto"/>
              </w:rPr>
            </w:pPr>
          </w:p>
        </w:tc>
        <w:tc>
          <w:tcPr>
            <w:tcW w:w="12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29,650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9" w:lineRule="exact"/>
        <w:rPr>
          <w:sz w:val="20"/>
          <w:szCs w:val="20"/>
          <w:color w:val="auto"/>
        </w:rPr>
      </w:pPr>
    </w:p>
    <w:p>
      <w:pPr>
        <w:ind w:left="500" w:right="100" w:hanging="330"/>
        <w:spacing w:after="0" w:line="257"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and nine-month periods ended September 28, 2019 and September 29, 2018 were both comprised of 13 weeks and 39 weeks, respectively. The Company’s results for the three- and nine-month periods ended September 28, 2019, include the results of Xcerra which was acquired on October 1, 2018.</w:t>
      </w:r>
    </w:p>
    <w:p>
      <w:pPr>
        <w:spacing w:after="0" w:line="1" w:lineRule="exact"/>
        <w:rPr>
          <w:rFonts w:ascii="Times New Roman" w:cs="Times New Roman" w:eastAsia="Times New Roman" w:hAnsi="Times New Roman"/>
          <w:sz w:val="18"/>
          <w:szCs w:val="18"/>
          <w:color w:val="auto"/>
        </w:rPr>
      </w:pPr>
    </w:p>
    <w:p>
      <w:pPr>
        <w:ind w:left="500" w:right="540" w:hanging="330"/>
        <w:spacing w:after="0" w:line="250"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conjunction with the acquisition of Xcerra the Company assessed the need to realign its historical financial statement presentation and certain statement of operations classifications were reclassified to conform to current period presentation. The changes made were as follows:</w:t>
      </w:r>
    </w:p>
    <w:p>
      <w:pPr>
        <w:ind w:left="660" w:hanging="166"/>
        <w:spacing w:after="0" w:line="25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intangibles previously were presented in cost of sales and SG&amp;A. These amounts are now presented as a separate line item “Amortization of purchased intangible assets” within operating expenses. Amounts associated with purchased intangible assets that previously would have been included in cost of sales are $7.6 million and $22.9 million for the three- and nine-month periods ended September 28, 2019, respectively. Amounts previously presented in cost of sales that have been reclassified to conform with the Company’s revised presentation for the three- and nine-month periods ended September 29, 2018 are $0.6 million and $2.0 million, respectively.</w:t>
      </w:r>
    </w:p>
    <w:p>
      <w:pPr>
        <w:spacing w:after="0" w:line="2" w:lineRule="exact"/>
        <w:rPr>
          <w:rFonts w:ascii="Times New Roman" w:cs="Times New Roman" w:eastAsia="Times New Roman" w:hAnsi="Times New Roman"/>
          <w:sz w:val="18"/>
          <w:szCs w:val="18"/>
          <w:color w:val="auto"/>
        </w:rPr>
      </w:pPr>
    </w:p>
    <w:p>
      <w:pPr>
        <w:ind w:left="660" w:right="40" w:hanging="166"/>
        <w:spacing w:after="0" w:line="25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gains and losses associated with foreign currency translation and remeasurement were included within SG&amp;A which resulted in fluctuations in expenses as foreign exchange rates change. These amounts will now be presented within foreign transaction gain (loss) and other as it will provide investors more insight into the Company’s operating expenses.</w:t>
      </w:r>
    </w:p>
    <w:p>
      <w:pPr>
        <w:spacing w:after="0" w:line="1" w:lineRule="exact"/>
        <w:rPr>
          <w:rFonts w:ascii="Times New Roman" w:cs="Times New Roman" w:eastAsia="Times New Roman" w:hAnsi="Times New Roman"/>
          <w:sz w:val="18"/>
          <w:szCs w:val="18"/>
          <w:color w:val="auto"/>
        </w:rPr>
      </w:pPr>
    </w:p>
    <w:p>
      <w:pPr>
        <w:ind w:left="500" w:right="60" w:hanging="330"/>
        <w:spacing w:after="0" w:line="250"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 for the nine-month period ended September 28, 2019 includes Xcerra transaction costs totaling $0.4 million. No acquisition costs were incurred during the three-month period ended September 28, 2019. For the three- and nine-month periods ended September 29, 2018 Xcerra transaction costs were $1.0 million and $5.2 million, respectively.</w:t>
      </w:r>
    </w:p>
    <w:p>
      <w:pPr>
        <w:spacing w:after="0" w:line="1" w:lineRule="exact"/>
        <w:rPr>
          <w:rFonts w:ascii="Times New Roman" w:cs="Times New Roman" w:eastAsia="Times New Roman" w:hAnsi="Times New Roman"/>
          <w:sz w:val="18"/>
          <w:szCs w:val="18"/>
          <w:color w:val="auto"/>
        </w:rPr>
      </w:pPr>
    </w:p>
    <w:p>
      <w:pPr>
        <w:ind w:left="500" w:right="340" w:hanging="330"/>
        <w:spacing w:after="0" w:line="250"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 2018, the Company made the decision to sell the fixtures business acquired from Xcerra, and, as a result, the operating results of the fixtures business have been presented as discontinued operations.</w:t>
      </w:r>
    </w:p>
    <w:p>
      <w:pPr>
        <w:ind w:left="500" w:right="60" w:hanging="330"/>
        <w:spacing w:after="0" w:line="253"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nine-month periods ended September 28, 2019, potentially dilutive securities were excluded from the per share computations due to their antidilutive effect. The Company has utilized the "control number" concept in the computation of diluted earnings per share to determine whether a potential common stock instrument is dilutive. The control number used is income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ectPr>
          <w:pgSz w:w="11900" w:h="16838" w:orient="portrait"/>
          <w:cols w:equalWidth="0" w:num="1">
            <w:col w:w="11420"/>
          </w:cols>
          <w:pgMar w:left="240" w:top="360" w:right="239" w:bottom="0" w:gutter="0" w:footer="0" w:header="0"/>
        </w:sectPr>
      </w:pPr>
    </w:p>
    <w:bookmarkStart w:id="8" w:name="page9"/>
    <w:bookmarkEnd w:id="8"/>
    <w:p>
      <w:pPr>
        <w:spacing w:after="0" w:line="253" w:lineRule="auto"/>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18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December 29,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investments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145,667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126,474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133,923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21,798</w:t>
            </w: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2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3,733</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431,595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&amp; equipment, net</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70,439</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235,903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282,488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Operating lease right of use assets </w:t>
            </w:r>
            <w:r>
              <w:rPr>
                <w:rFonts w:ascii="Times New Roman" w:cs="Times New Roman" w:eastAsia="Times New Roman" w:hAnsi="Times New Roman"/>
                <w:sz w:val="29"/>
                <w:szCs w:val="29"/>
                <w:b w:val="1"/>
                <w:bCs w:val="1"/>
                <w:color w:val="auto"/>
                <w:vertAlign w:val="superscript"/>
              </w:rPr>
              <w:t>(1)</w:t>
            </w:r>
          </w:p>
        </w:tc>
        <w:tc>
          <w:tcPr>
            <w:tcW w:w="2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34,096</w:t>
            </w: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16,958</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130</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1,071,609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1,134,002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&amp; Stockholders’ Equity:</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installments of long-term debt</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profit</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124,451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564</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139,349</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160,589</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344,920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Non-current operating lease liabilities </w:t>
            </w:r>
            <w:r>
              <w:rPr>
                <w:rFonts w:ascii="Times New Roman" w:cs="Times New Roman" w:eastAsia="Times New Roman" w:hAnsi="Times New Roman"/>
                <w:sz w:val="29"/>
                <w:szCs w:val="29"/>
                <w:b w:val="1"/>
                <w:bCs w:val="1"/>
                <w:color w:val="auto"/>
                <w:vertAlign w:val="superscript"/>
              </w:rPr>
              <w:t>(1)</w:t>
            </w:r>
          </w:p>
        </w:tc>
        <w:tc>
          <w:tcPr>
            <w:tcW w:w="2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29,396</w:t>
            </w: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66,513</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 of discontinued operations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Cohu stockholders’ equity</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491,753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(356)</w:t>
            </w:r>
          </w:p>
        </w:tc>
        <w:tc>
          <w:tcPr>
            <w:tcW w:w="1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&amp; stockholders’ equity</w:t>
            </w:r>
          </w:p>
        </w:tc>
        <w:tc>
          <w:tcPr>
            <w:tcW w:w="2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1,071,609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1,134,002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9" w:lineRule="exact"/>
        <w:rPr>
          <w:sz w:val="20"/>
          <w:szCs w:val="20"/>
          <w:color w:val="auto"/>
        </w:rPr>
      </w:pPr>
    </w:p>
    <w:p>
      <w:pPr>
        <w:ind w:left="500" w:right="200" w:hanging="330"/>
        <w:spacing w:after="0" w:line="266"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Cohu adopted ASU 2016-02, Leases (Topic 842), as of December 30, 2018. Upon adoption, we recorded operating lease assets and operating lease liabilities based on the present value of future lease obligations. We applied the practical expedient available in this guidance, which does not require the restatement of prior year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COHU, INC.</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9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Supplemental Reconciliation of GAAP Results to Non-GAAP Financial Measures (Unaudited)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28,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June 29,</w:t>
            </w:r>
          </w:p>
        </w:tc>
        <w:tc>
          <w:tcPr>
            <w:tcW w:w="160" w:type="dxa"/>
            <w:vAlign w:val="bottom"/>
          </w:tcPr>
          <w:p>
            <w:pPr>
              <w:spacing w:after="0"/>
              <w:rPr>
                <w:sz w:val="19"/>
                <w:szCs w:val="19"/>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September 29,</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3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center"/>
              <w:ind w:right="350"/>
              <w:spacing w:after="0" w:line="271" w:lineRule="exact"/>
              <w:rPr>
                <w:sz w:val="20"/>
                <w:szCs w:val="20"/>
                <w:color w:val="auto"/>
              </w:rPr>
            </w:pPr>
            <w:r>
              <w:rPr>
                <w:rFonts w:ascii="Times New Roman" w:cs="Times New Roman" w:eastAsia="Times New Roman" w:hAnsi="Times New Roman"/>
                <w:sz w:val="18"/>
                <w:szCs w:val="18"/>
                <w:color w:val="auto"/>
              </w:rPr>
              <w:t xml:space="preserve">2019 </w:t>
            </w:r>
            <w:r>
              <w:rPr>
                <w:rFonts w:ascii="Times New Roman" w:cs="Times New Roman" w:eastAsia="Times New Roman" w:hAnsi="Times New Roman"/>
                <w:sz w:val="30"/>
                <w:szCs w:val="30"/>
                <w:color w:val="auto"/>
                <w:vertAlign w:val="superscript"/>
              </w:rPr>
              <w:t>(1)</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90"/>
              <w:spacing w:after="0" w:line="271" w:lineRule="exact"/>
              <w:rPr>
                <w:sz w:val="20"/>
                <w:szCs w:val="20"/>
                <w:color w:val="auto"/>
              </w:rPr>
            </w:pPr>
            <w:r>
              <w:rPr>
                <w:rFonts w:ascii="Times New Roman" w:cs="Times New Roman" w:eastAsia="Times New Roman" w:hAnsi="Times New Roman"/>
                <w:sz w:val="18"/>
                <w:szCs w:val="18"/>
                <w:color w:val="auto"/>
              </w:rPr>
              <w:t xml:space="preserve">2019 </w:t>
            </w:r>
            <w:r>
              <w:rPr>
                <w:rFonts w:ascii="Times New Roman" w:cs="Times New Roman" w:eastAsia="Times New Roman" w:hAnsi="Times New Roman"/>
                <w:sz w:val="30"/>
                <w:szCs w:val="30"/>
                <w:color w:val="auto"/>
                <w:vertAlign w:val="superscript"/>
              </w:rPr>
              <w:t>(1)</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 - GAAP basis (a)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(6,023)</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 included in (b):</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Cost of sales (COS)</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Research and development (R&amp;D)</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Selling, general and administrative (SG&amp;A)</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2,678</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3,662</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purchased intangible assets (c)</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9,969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9,987</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Restructuring charges related to inventory adjustments in COS (d)</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(1,259)</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charges included in operating expenses (d):</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8,545</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Manufacturing and sales transition costs included in (e):</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SG&amp;A</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1,148</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 to contingent consideration included in SG&amp;A (f)</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costs included in SG&amp;A (g)</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PP&amp;E step-up included in SG&amp;A (h)</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 non-GAAP basis (i)</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11,205</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8,858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11,579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 - GAAP basis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(10,480)</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Non-GAAP adjustments (as scheduled above)</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17,228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23,520</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effect of non-GAAP adjustments (j)</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(3,348)</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continuing operations - non-GAAP basis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4,912</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GAAP income (loss) from continuing operations per share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(0.25)</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Non-GAAP income from continuing operations per share - diluted (k)</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0.12</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operating results from Xcerra acquired on October 1, 2018</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Manufacturing and sales transition costs relate principally to expenses incurred as a result of moving certain manufacturing activities to Asia and incremental costs incurred related to the buildup of a direct sales force for certain equipment sales in Asia.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Acquisition costs, fair value adjustment to contingent consideration, adjustments for inventory step-up costs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9" w:lineRule="exact"/>
        <w:rPr>
          <w:sz w:val="20"/>
          <w:szCs w:val="20"/>
          <w:color w:val="auto"/>
        </w:rPr>
      </w:pPr>
    </w:p>
    <w:p>
      <w:pPr>
        <w:ind w:left="500" w:hanging="330"/>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(9.8)% and 8.1% of net sales, respectively.</w:t>
      </w:r>
    </w:p>
    <w:p>
      <w:pPr>
        <w:spacing w:after="0" w:line="17"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compensation expense for employee stock options, stock units and our employee stock purchase plan.</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amortization of acquired intangible assets.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restructuring costs incurred related to the integration of Xcerra.</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manufacturing and sales transition and severance costs.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fair value adjustment to contingent consideration related to the acquisition of Kita.</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professional fees and other direct incremental expenses incurred related to acquisitions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accelerated depreciation from the property, plant &amp; equipment step-up related to the acquisition of Xcerra.</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5.9% and 13.4% of net sales, respectively.</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adjust the provision for income taxes related to the adjustments described above based on applicable tax rates.</w:t>
      </w:r>
    </w:p>
    <w:p>
      <w:pPr>
        <w:spacing w:after="0" w:line="36" w:lineRule="exact"/>
        <w:rPr>
          <w:rFonts w:ascii="Times New Roman" w:cs="Times New Roman" w:eastAsia="Times New Roman" w:hAnsi="Times New Roman"/>
          <w:sz w:val="18"/>
          <w:szCs w:val="18"/>
          <w:color w:val="auto"/>
        </w:rPr>
      </w:pPr>
    </w:p>
    <w:p>
      <w:pPr>
        <w:ind w:left="500" w:right="140" w:hanging="330"/>
        <w:spacing w:after="0" w:line="261"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September 28, 2019 and June 29, 2019 were computed using 41,587 and 41,534 shares outstanding respectively, as the effect of dilutive securities was excluded from GAAP diluted common shares due to the reported net loss under GAAP, but are included for non-GAAP diluted common shares since the Company has non-GAAP net income. All other periods presented were computed using number of GAAP diluted shares outstanding for each period.</w:t>
      </w:r>
    </w:p>
    <w:p>
      <w:pPr>
        <w:sectPr>
          <w:pgSz w:w="11900" w:h="16838" w:orient="portrait"/>
          <w:cols w:equalWidth="0" w:num="1">
            <w:col w:w="11420"/>
          </w:cols>
          <w:pgMar w:left="240" w:top="360" w:right="239" w:bottom="0" w:gutter="0" w:footer="0" w:header="0"/>
        </w:sectPr>
      </w:pPr>
    </w:p>
    <w:bookmarkStart w:id="11" w:name="page12"/>
    <w:bookmarkEnd w:id="11"/>
    <w:p>
      <w:pPr>
        <w:spacing w:after="0" w:line="261" w:lineRule="auto"/>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COHU, INC.</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Reconciliation of GAAP Results to Non-GAAP Financial Measures (Unaudited)</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40" w:type="dxa"/>
            <w:vAlign w:val="bottom"/>
            <w:gridSpan w:val="6"/>
            <w:vMerge w:val="restart"/>
          </w:tcPr>
          <w:p>
            <w:pPr>
              <w:jc w:val="right"/>
              <w:ind w:right="104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4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September 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September 29,</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6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center"/>
              <w:ind w:right="370"/>
              <w:spacing w:after="0" w:line="271" w:lineRule="exact"/>
              <w:rPr>
                <w:sz w:val="20"/>
                <w:szCs w:val="20"/>
                <w:color w:val="auto"/>
              </w:rPr>
            </w:pPr>
            <w:r>
              <w:rPr>
                <w:rFonts w:ascii="Times New Roman" w:cs="Times New Roman" w:eastAsia="Times New Roman" w:hAnsi="Times New Roman"/>
                <w:sz w:val="18"/>
                <w:szCs w:val="18"/>
                <w:color w:val="auto"/>
              </w:rPr>
              <w:t xml:space="preserve">2019 </w:t>
            </w:r>
            <w:r>
              <w:rPr>
                <w:rFonts w:ascii="Times New Roman" w:cs="Times New Roman" w:eastAsia="Times New Roman" w:hAnsi="Times New Roman"/>
                <w:sz w:val="30"/>
                <w:szCs w:val="30"/>
                <w:color w:val="auto"/>
                <w:vertAlign w:val="superscript"/>
              </w:rPr>
              <w:t>(1)</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 - GAAP basis (a)</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(38,669)</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 included in (b):</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Cost of sales (COS)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Research and development (R&amp;D)</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Selling, general and administrative (SG&amp;A)</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purchased intangible assets (c)</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29,975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charges related to inventory adjustments in COS (d)</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Restructuring charges included in operating expenses (d):</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Restructuring charges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Manufacturing and sales transition costs included in (e):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SG&amp;A</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 to contingent consideration included in SG&amp;A (f)</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costs included in SG&amp;A (g)</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 step-up included in COS (h)</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PP&amp;E step-up included in SG&amp;A (i)</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from operations - non-GAAP basis (j)</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25,898</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44,309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 - GAAP basis</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(52,714)</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Non-GAAP adjustments (as scheduled above)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64,567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effect of non-GAAP adjustments (k)</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continuing operations - non-GAAP basis</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4,311</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GAAP income (loss) per share from continuing operations - diluted</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Non-GAAP income per share - diluted (l)</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operating results from Xcerra acquired on October 1, 2018</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Manufacturing and sales transition costs relate principally to expenses incurred as a result of moving certain manufacturing activities to Asia and incremental costs incurred related to the buildup of a direct sales force for certain equipment sales in Asia.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Acquisition costs, fair value adjustment to contingent consideration, adjustments for inventory step-up costs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9" w:lineRule="exact"/>
        <w:rPr>
          <w:sz w:val="20"/>
          <w:szCs w:val="20"/>
          <w:color w:val="auto"/>
        </w:rPr>
      </w:pPr>
    </w:p>
    <w:p>
      <w:pPr>
        <w:ind w:left="500" w:hanging="330"/>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and 10.4% of net sales, respectively.</w:t>
      </w:r>
    </w:p>
    <w:p>
      <w:pPr>
        <w:spacing w:after="0" w:line="17"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compensation expense for employee stock options, stock units and our employee stock purchase plan.</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amortization of acquired intangible assets.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restructuring costs incurred related to the integration of Xcerra.</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manufacturing and sales transition and severance costs.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fair value adjustment to contingent consideration related to the acquisition of Kita.</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professional fees and other direct incremental expenses incurred related to the acquisitions.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inventory step-up costs incurred related to acquisitions.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property, plant &amp; equipment step-up depreciation accelerated related to the acquisition of Xcerra.</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and 15.8% of net sales, respectively.</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adjust the provision for income taxes related to the adjustments described above based on applicable tax rates.</w:t>
      </w:r>
    </w:p>
    <w:p>
      <w:pPr>
        <w:spacing w:after="0" w:line="36" w:lineRule="exact"/>
        <w:rPr>
          <w:rFonts w:ascii="Times New Roman" w:cs="Times New Roman" w:eastAsia="Times New Roman" w:hAnsi="Times New Roman"/>
          <w:sz w:val="18"/>
          <w:szCs w:val="18"/>
          <w:color w:val="auto"/>
        </w:rPr>
      </w:pPr>
    </w:p>
    <w:p>
      <w:pPr>
        <w:ind w:left="500" w:right="260" w:hanging="330"/>
        <w:spacing w:after="0" w:line="313" w:lineRule="auto"/>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nine months ended September 28, 2019 were computed using 41,527 shares outstanding as the effect of dilutive securities was excluded from GAAP diluted common shares due to the reported net loss under GAAP, but are included for non-GAAP diluted common shares since the Company</w:t>
      </w:r>
    </w:p>
    <w:p>
      <w:pPr>
        <w:sectPr>
          <w:pgSz w:w="11900" w:h="16838" w:orient="portrait"/>
          <w:cols w:equalWidth="0" w:num="1">
            <w:col w:w="11420"/>
          </w:cols>
          <w:pgMar w:left="240" w:top="360" w:right="239" w:bottom="0" w:gutter="0" w:footer="0" w:header="0"/>
        </w:sectPr>
      </w:pPr>
    </w:p>
    <w:bookmarkStart w:id="13" w:name="page14"/>
    <w:bookmarkEnd w:id="13"/>
    <w:p>
      <w:pPr>
        <w:spacing w:after="0" w:line="282" w:lineRule="auto"/>
        <w:rPr>
          <w:sz w:val="20"/>
          <w:szCs w:val="20"/>
          <w:color w:val="auto"/>
        </w:rPr>
      </w:pPr>
      <w:r>
        <w:rPr>
          <w:rFonts w:ascii="Times New Roman" w:cs="Times New Roman" w:eastAsia="Times New Roman" w:hAnsi="Times New Roman"/>
          <w:sz w:val="18"/>
          <w:szCs w:val="18"/>
          <w:color w:val="auto"/>
        </w:rPr>
        <w:t>has non-GAAP net income. The nine months ended September 29, 2018 was computed using the number of GAAP diluted shares outstanding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200025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740" w:top="121" w:right="3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COHU, INC.</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Supplemental Reconciliation of GAAP Results to Non-GAAP Financial Measures (Unaudited)</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September 28,</w:t>
            </w:r>
          </w:p>
        </w:tc>
        <w:tc>
          <w:tcPr>
            <w:tcW w:w="260" w:type="dxa"/>
            <w:vAlign w:val="bottom"/>
          </w:tcPr>
          <w:p>
            <w:pPr>
              <w:spacing w:after="0"/>
              <w:rPr>
                <w:sz w:val="19"/>
                <w:szCs w:val="19"/>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June 29,</w:t>
            </w:r>
          </w:p>
        </w:tc>
        <w:tc>
          <w:tcPr>
            <w:tcW w:w="140" w:type="dxa"/>
            <w:vAlign w:val="bottom"/>
          </w:tcPr>
          <w:p>
            <w:pPr>
              <w:spacing w:after="0"/>
              <w:rPr>
                <w:sz w:val="19"/>
                <w:szCs w:val="19"/>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September 29,</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1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70"/>
              <w:spacing w:after="0" w:line="271" w:lineRule="exact"/>
              <w:rPr>
                <w:sz w:val="20"/>
                <w:szCs w:val="20"/>
                <w:color w:val="auto"/>
              </w:rPr>
            </w:pPr>
            <w:r>
              <w:rPr>
                <w:rFonts w:ascii="Times New Roman" w:cs="Times New Roman" w:eastAsia="Times New Roman" w:hAnsi="Times New Roman"/>
                <w:sz w:val="18"/>
                <w:szCs w:val="18"/>
                <w:color w:val="auto"/>
              </w:rPr>
              <w:t xml:space="preserve">2019 </w:t>
            </w:r>
            <w:r>
              <w:rPr>
                <w:rFonts w:ascii="Times New Roman" w:cs="Times New Roman" w:eastAsia="Times New Roman" w:hAnsi="Times New Roman"/>
                <w:sz w:val="30"/>
                <w:szCs w:val="30"/>
                <w:color w:val="auto"/>
                <w:vertAlign w:val="superscript"/>
              </w:rPr>
              <w:t>(1)</w:t>
            </w:r>
          </w:p>
        </w:tc>
        <w:tc>
          <w:tcPr>
            <w:tcW w:w="3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2019 </w:t>
            </w:r>
            <w:r>
              <w:rPr>
                <w:rFonts w:ascii="Times New Roman" w:cs="Times New Roman" w:eastAsia="Times New Roman" w:hAnsi="Times New Roman"/>
                <w:sz w:val="30"/>
                <w:szCs w:val="30"/>
                <w:color w:val="auto"/>
                <w:vertAlign w:val="superscript"/>
              </w:rPr>
              <w:t>(1)</w:t>
            </w:r>
          </w:p>
        </w:tc>
        <w:tc>
          <w:tcPr>
            <w:tcW w:w="3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Reconciliation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60" w:type="dxa"/>
            <w:vAlign w:val="bottom"/>
          </w:tcPr>
          <w:p>
            <w:pPr>
              <w:ind w:left="160"/>
              <w:spacing w:after="0" w:line="256" w:lineRule="exact"/>
              <w:rPr>
                <w:sz w:val="20"/>
                <w:szCs w:val="20"/>
                <w:color w:val="auto"/>
              </w:rPr>
            </w:pPr>
            <w:r>
              <w:rPr>
                <w:rFonts w:ascii="Times New Roman" w:cs="Times New Roman" w:eastAsia="Times New Roman" w:hAnsi="Times New Roman"/>
                <w:sz w:val="18"/>
                <w:szCs w:val="18"/>
                <w:color w:val="auto"/>
              </w:rPr>
              <w:t xml:space="preserve">Gross profit - GAAP basis (excluding amortization) </w:t>
            </w:r>
            <w:r>
              <w:rPr>
                <w:rFonts w:ascii="Times New Roman" w:cs="Times New Roman" w:eastAsia="Times New Roman" w:hAnsi="Times New Roman"/>
                <w:sz w:val="29"/>
                <w:szCs w:val="29"/>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58,933</w:t>
            </w:r>
          </w:p>
        </w:tc>
        <w:tc>
          <w:tcPr>
            <w:tcW w:w="320" w:type="dxa"/>
            <w:vAlign w:val="bottom"/>
          </w:tcPr>
          <w:p>
            <w:pPr>
              <w:spacing w:after="0"/>
              <w:rPr>
                <w:sz w:val="22"/>
                <w:szCs w:val="22"/>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62,406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Non-GAAP adjustments to cost of sales (as scheduled above)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(491)</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profit - Non-GAAP basis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60,675</w:t>
            </w:r>
          </w:p>
        </w:tc>
        <w:tc>
          <w:tcPr>
            <w:tcW w:w="3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61,915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right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GAAP gross profit</w:t>
            </w:r>
          </w:p>
        </w:tc>
        <w:tc>
          <w:tcPr>
            <w:tcW w:w="16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41.1%</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Non-GAAP gross profit</w:t>
            </w:r>
          </w:p>
        </w:tc>
        <w:tc>
          <w:tcPr>
            <w:tcW w:w="1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42.3%</w:t>
            </w:r>
          </w:p>
        </w:tc>
        <w:tc>
          <w:tcPr>
            <w:tcW w:w="2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(loss) attributable to Cohu - GAAP Basis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(10,468)</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(19,323)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6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(916)</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5,282</w:t>
            </w: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9,987</w:t>
            </w: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5,102</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non-GAAP adjustments (as scheduled above)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11,866</w:t>
            </w: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16,121</w:t>
            </w:r>
          </w:p>
        </w:tc>
        <w:tc>
          <w:tcPr>
            <w:tcW w:w="3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11,783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12,725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6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 (loss) attributable to Cohu - GAAP Basis</w:t>
            </w:r>
          </w:p>
        </w:tc>
        <w:tc>
          <w:tcPr>
            <w:tcW w:w="16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 Reconciliation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Expense - GAAP basis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64,956</w:t>
            </w:r>
          </w:p>
        </w:tc>
        <w:tc>
          <w:tcPr>
            <w:tcW w:w="3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77,068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Non-GAAP adjustments to operating expenses (as scheduled above)</w:t>
            </w:r>
          </w:p>
        </w:tc>
        <w:tc>
          <w:tcPr>
            <w:tcW w:w="16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(15,486)</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(24,011)</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Expenses - Non-GAAP basis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49,470</w:t>
            </w:r>
          </w:p>
        </w:tc>
        <w:tc>
          <w:tcPr>
            <w:tcW w:w="3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53,057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p>
      <w:pPr>
        <w:ind w:left="500" w:hanging="330"/>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operating results from Xcerra acquired on October 1, 2018</w:t>
      </w:r>
    </w:p>
    <w:p>
      <w:pPr>
        <w:spacing w:after="0" w:line="36" w:lineRule="exact"/>
        <w:rPr>
          <w:rFonts w:ascii="Times New Roman" w:cs="Times New Roman" w:eastAsia="Times New Roman" w:hAnsi="Times New Roman"/>
          <w:sz w:val="18"/>
          <w:szCs w:val="18"/>
          <w:color w:val="auto"/>
        </w:rPr>
      </w:pPr>
    </w:p>
    <w:p>
      <w:pPr>
        <w:ind w:left="500" w:right="160" w:hanging="330"/>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amortization of $7,597 for the three months ending September 28, 2019, $7,625 for the three months ending June 29, 2019 and $644 for the three months ended September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6"/>
          </w:tcPr>
          <w:p>
            <w:pPr>
              <w:jc w:val="right"/>
              <w:ind w:right="108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September 28,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September 29,</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9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50"/>
              <w:spacing w:after="0" w:line="271" w:lineRule="exact"/>
              <w:rPr>
                <w:sz w:val="20"/>
                <w:szCs w:val="20"/>
                <w:color w:val="auto"/>
              </w:rPr>
            </w:pPr>
            <w:r>
              <w:rPr>
                <w:rFonts w:ascii="Times New Roman" w:cs="Times New Roman" w:eastAsia="Times New Roman" w:hAnsi="Times New Roman"/>
                <w:sz w:val="18"/>
                <w:szCs w:val="18"/>
                <w:color w:val="auto"/>
              </w:rPr>
              <w:t xml:space="preserve">2019 </w:t>
            </w:r>
            <w:r>
              <w:rPr>
                <w:rFonts w:ascii="Times New Roman" w:cs="Times New Roman" w:eastAsia="Times New Roman" w:hAnsi="Times New Roman"/>
                <w:sz w:val="30"/>
                <w:szCs w:val="30"/>
                <w:color w:val="auto"/>
                <w:vertAlign w:val="superscript"/>
              </w:rPr>
              <w:t>(1)</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Reconciliation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60" w:type="dxa"/>
            <w:vAlign w:val="bottom"/>
          </w:tcPr>
          <w:p>
            <w:pPr>
              <w:ind w:left="160"/>
              <w:spacing w:after="0" w:line="256" w:lineRule="exact"/>
              <w:rPr>
                <w:sz w:val="20"/>
                <w:szCs w:val="20"/>
                <w:color w:val="auto"/>
              </w:rPr>
            </w:pPr>
            <w:r>
              <w:rPr>
                <w:rFonts w:ascii="Times New Roman" w:cs="Times New Roman" w:eastAsia="Times New Roman" w:hAnsi="Times New Roman"/>
                <w:sz w:val="18"/>
                <w:szCs w:val="18"/>
                <w:color w:val="auto"/>
              </w:rPr>
              <w:t xml:space="preserve">Gross profit - GAAP basis (excluding amortization) </w:t>
            </w:r>
            <w:r>
              <w:rPr>
                <w:rFonts w:ascii="Times New Roman" w:cs="Times New Roman" w:eastAsia="Times New Roman" w:hAnsi="Times New Roman"/>
                <w:sz w:val="29"/>
                <w:szCs w:val="29"/>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175,754</w:t>
            </w:r>
          </w:p>
        </w:tc>
        <w:tc>
          <w:tcPr>
            <w:tcW w:w="26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Non-GAAP adjustments to cost of sales (as scheduled above)</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2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profit - Non-GAAP basis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183,869</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GAAP gross profit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Non-GAAP gross profit</w:t>
            </w:r>
          </w:p>
        </w:tc>
        <w:tc>
          <w:tcPr>
            <w:tcW w:w="1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(loss) attributable to Cohu - GAAP Basis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(52,434)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15,353</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non-GAAP adjustments (as scheduled above)</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37,627</w:t>
            </w:r>
          </w:p>
        </w:tc>
        <w:tc>
          <w:tcPr>
            <w:tcW w:w="2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49,688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6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CCEEFF"/>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 (loss) attributable to Cohu - GAAP Basis</w:t>
            </w:r>
          </w:p>
        </w:tc>
        <w:tc>
          <w:tcPr>
            <w:tcW w:w="16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 Reconciliation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Expense - GAAP basis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214,423</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Non-GAAP adjustments to operating expenses (as scheduled above)</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(56,452)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Operating Expenses -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157,971</w:t>
            </w: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73,488</w:t>
            </w: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p>
      <w:pPr>
        <w:ind w:left="500" w:hanging="330"/>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operating results from Xcerra acquired on October 1, 2018</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amortization of $22,863 for the nine months ending September 28, 2019 and $1,959 for the nine months ended September 29,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lvl w:ilvl="1">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2019-12-28T03:39:42Z</dcterms:created>
  <dcterms:modified xsi:type="dcterms:W3CDTF">2019-12-28T03:39:42Z</dcterms:modified>
</cp:coreProperties>
</file>