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84" w:lineRule="exact"/>
        <w:rPr>
          <w:sz w:val="24"/>
          <w:szCs w:val="24"/>
          <w:color w:val="auto"/>
        </w:rPr>
      </w:pPr>
    </w:p>
    <w:p>
      <w:pPr>
        <w:ind w:left="1380" w:right="1060" w:hanging="1034"/>
        <w:spacing w:after="0" w:line="438" w:lineRule="auto"/>
        <w:tabs>
          <w:tab w:leader="none" w:pos="137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29, 2014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jc w:val="center"/>
        <w:ind w:left="4520" w:right="1060" w:hanging="4174"/>
        <w:spacing w:after="0" w:line="421" w:lineRule="auto"/>
        <w:tabs>
          <w:tab w:leader="none" w:pos="137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1-4298</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COHU, INC.</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2" w:lineRule="exact"/>
        <w:rPr>
          <w:sz w:val="24"/>
          <w:szCs w:val="24"/>
          <w:color w:val="auto"/>
        </w:rPr>
      </w:pPr>
    </w:p>
    <w:tbl>
      <w:tblPr>
        <w:tblLayout w:type="fixed"/>
        <w:tblInd w:w="1220" w:type="dxa"/>
        <w:tblCellMar>
          <w:top w:w="0" w:type="dxa"/>
          <w:left w:w="0" w:type="dxa"/>
          <w:bottom w:w="0" w:type="dxa"/>
          <w:right w:w="0" w:type="dxa"/>
        </w:tblCellMar>
      </w:tblPr>
      <w:tr>
        <w:trPr>
          <w:trHeight w:val="222"/>
        </w:trPr>
        <w:tc>
          <w:tcPr>
            <w:tcW w:w="4760" w:type="dxa"/>
            <w:vAlign w:val="bottom"/>
          </w:tcPr>
          <w:p>
            <w:pPr>
              <w:jc w:val="center"/>
              <w:ind w:right="1332"/>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ind w:left="1352"/>
              <w:spacing w:after="0"/>
              <w:rPr>
                <w:sz w:val="20"/>
                <w:szCs w:val="20"/>
                <w:color w:val="auto"/>
              </w:rPr>
            </w:pPr>
            <w:r>
              <w:rPr>
                <w:rFonts w:ascii="Arial" w:cs="Arial" w:eastAsia="Arial" w:hAnsi="Arial"/>
                <w:sz w:val="18"/>
                <w:szCs w:val="18"/>
                <w:b w:val="1"/>
                <w:bCs w:val="1"/>
                <w:color w:val="auto"/>
                <w:w w:val="87"/>
              </w:rPr>
              <w:t>95-1934119</w:t>
            </w:r>
          </w:p>
        </w:tc>
      </w:tr>
      <w:tr>
        <w:trPr>
          <w:trHeight w:val="216"/>
        </w:trPr>
        <w:tc>
          <w:tcPr>
            <w:tcW w:w="4760" w:type="dxa"/>
            <w:vAlign w:val="bottom"/>
          </w:tcPr>
          <w:p>
            <w:pPr>
              <w:jc w:val="center"/>
              <w:ind w:right="1332"/>
              <w:spacing w:after="0"/>
              <w:rPr>
                <w:sz w:val="20"/>
                <w:szCs w:val="20"/>
                <w:color w:val="auto"/>
              </w:rPr>
            </w:pPr>
            <w:r>
              <w:rPr>
                <w:rFonts w:ascii="Arial" w:cs="Arial" w:eastAsia="Arial" w:hAnsi="Arial"/>
                <w:sz w:val="18"/>
                <w:szCs w:val="18"/>
                <w:i w:val="1"/>
                <w:iCs w:val="1"/>
                <w:color w:val="auto"/>
                <w:w w:val="91"/>
              </w:rPr>
              <w:t>(State or other jurisdiction of</w:t>
            </w:r>
          </w:p>
        </w:tc>
        <w:tc>
          <w:tcPr>
            <w:tcW w:w="3920" w:type="dxa"/>
            <w:vAlign w:val="bottom"/>
          </w:tcPr>
          <w:p>
            <w:pPr>
              <w:jc w:val="center"/>
              <w:ind w:left="133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222"/>
        </w:trPr>
        <w:tc>
          <w:tcPr>
            <w:tcW w:w="4760" w:type="dxa"/>
            <w:vAlign w:val="bottom"/>
          </w:tcPr>
          <w:p>
            <w:pPr>
              <w:jc w:val="center"/>
              <w:ind w:right="1332"/>
              <w:spacing w:after="0"/>
              <w:rPr>
                <w:sz w:val="20"/>
                <w:szCs w:val="20"/>
                <w:color w:val="auto"/>
              </w:rPr>
            </w:pPr>
            <w:r>
              <w:rPr>
                <w:rFonts w:ascii="Arial" w:cs="Arial" w:eastAsia="Arial" w:hAnsi="Arial"/>
                <w:sz w:val="18"/>
                <w:szCs w:val="18"/>
                <w:i w:val="1"/>
                <w:iCs w:val="1"/>
                <w:color w:val="auto"/>
                <w:w w:val="93"/>
              </w:rPr>
              <w:t>incorporation or organization)</w:t>
            </w:r>
          </w:p>
        </w:tc>
        <w:tc>
          <w:tcPr>
            <w:tcW w:w="3920" w:type="dxa"/>
            <w:vAlign w:val="bottom"/>
          </w:tcPr>
          <w:p>
            <w:pPr>
              <w:spacing w:after="0"/>
              <w:rPr>
                <w:sz w:val="19"/>
                <w:szCs w:val="19"/>
                <w:color w:val="auto"/>
              </w:rPr>
            </w:pPr>
          </w:p>
        </w:tc>
      </w:tr>
      <w:tr>
        <w:trPr>
          <w:trHeight w:val="439"/>
        </w:trPr>
        <w:tc>
          <w:tcPr>
            <w:tcW w:w="4760" w:type="dxa"/>
            <w:vAlign w:val="bottom"/>
          </w:tcPr>
          <w:p>
            <w:pPr>
              <w:jc w:val="center"/>
              <w:ind w:right="1332"/>
              <w:spacing w:after="0"/>
              <w:rPr>
                <w:sz w:val="20"/>
                <w:szCs w:val="20"/>
                <w:color w:val="auto"/>
              </w:rPr>
            </w:pPr>
            <w:r>
              <w:rPr>
                <w:rFonts w:ascii="Arial" w:cs="Arial" w:eastAsia="Arial" w:hAnsi="Arial"/>
                <w:sz w:val="18"/>
                <w:szCs w:val="18"/>
                <w:b w:val="1"/>
                <w:bCs w:val="1"/>
                <w:color w:val="auto"/>
                <w:w w:val="89"/>
              </w:rPr>
              <w:t>12367 Crosthwaite Circle, Poway, California</w:t>
            </w:r>
          </w:p>
        </w:tc>
        <w:tc>
          <w:tcPr>
            <w:tcW w:w="3920" w:type="dxa"/>
            <w:vAlign w:val="bottom"/>
          </w:tcPr>
          <w:p>
            <w:pPr>
              <w:jc w:val="center"/>
              <w:ind w:left="1332"/>
              <w:spacing w:after="0"/>
              <w:rPr>
                <w:sz w:val="20"/>
                <w:szCs w:val="20"/>
                <w:color w:val="auto"/>
              </w:rPr>
            </w:pPr>
            <w:r>
              <w:rPr>
                <w:rFonts w:ascii="Arial" w:cs="Arial" w:eastAsia="Arial" w:hAnsi="Arial"/>
                <w:sz w:val="18"/>
                <w:szCs w:val="18"/>
                <w:b w:val="1"/>
                <w:bCs w:val="1"/>
                <w:color w:val="auto"/>
                <w:w w:val="89"/>
              </w:rPr>
              <w:t>92064-6817</w:t>
            </w:r>
          </w:p>
        </w:tc>
      </w:tr>
      <w:tr>
        <w:trPr>
          <w:trHeight w:val="222"/>
        </w:trPr>
        <w:tc>
          <w:tcPr>
            <w:tcW w:w="4760" w:type="dxa"/>
            <w:vAlign w:val="bottom"/>
          </w:tcPr>
          <w:p>
            <w:pPr>
              <w:jc w:val="center"/>
              <w:ind w:right="133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3920" w:type="dxa"/>
            <w:vAlign w:val="bottom"/>
          </w:tcPr>
          <w:p>
            <w:pPr>
              <w:jc w:val="center"/>
              <w:ind w:left="1332"/>
              <w:spacing w:after="0"/>
              <w:rPr>
                <w:sz w:val="20"/>
                <w:szCs w:val="20"/>
                <w:color w:val="auto"/>
              </w:rPr>
            </w:pPr>
            <w:r>
              <w:rPr>
                <w:rFonts w:ascii="Arial" w:cs="Arial" w:eastAsia="Arial" w:hAnsi="Arial"/>
                <w:sz w:val="18"/>
                <w:szCs w:val="18"/>
                <w:i w:val="1"/>
                <w:iCs w:val="1"/>
                <w:color w:val="auto"/>
                <w:w w:val="91"/>
              </w:rPr>
              <w:t>(Zip Code)</w:t>
            </w:r>
          </w:p>
        </w:tc>
      </w:tr>
    </w:tbl>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77" w:lineRule="exact"/>
        <w:rPr>
          <w:sz w:val="24"/>
          <w:szCs w:val="24"/>
          <w:color w:val="auto"/>
        </w:rPr>
      </w:pPr>
    </w:p>
    <w:p>
      <w:pPr>
        <w:ind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00"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80" w:firstLine="17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0"/>
        <w:spacing w:after="0" w:line="207" w:lineRule="exact"/>
        <w:tabs>
          <w:tab w:leader="none" w:pos="2640" w:val="left"/>
          <w:tab w:leader="none" w:pos="4720" w:val="left"/>
          <w:tab w:leader="none" w:pos="7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180" w:right="2980" w:firstLine="10"/>
        <w:spacing w:after="0" w:line="27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March 29, 2014 the Registrant had 25,248,318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29,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9"/>
            <w:vMerge w:val="restart"/>
          </w:tcPr>
          <w:p>
            <w:pPr>
              <w:spacing w:after="0"/>
              <w:rPr>
                <w:sz w:val="20"/>
                <w:szCs w:val="20"/>
                <w:color w:val="auto"/>
              </w:rPr>
            </w:pPr>
            <w:r>
              <w:rPr>
                <w:rFonts w:ascii="Arial" w:cs="Arial" w:eastAsia="Arial" w:hAnsi="Arial"/>
                <w:sz w:val="18"/>
                <w:szCs w:val="18"/>
                <w:b w:val="1"/>
                <w:bCs w:val="1"/>
                <w:color w:val="0000EE"/>
                <w:w w:val="92"/>
              </w:rPr>
              <w:t>Part I Financial Information</w:t>
            </w:r>
          </w:p>
        </w:tc>
        <w:tc>
          <w:tcPr>
            <w:tcW w:w="8360" w:type="dxa"/>
            <w:vAlign w:val="bottom"/>
            <w:gridSpan w:val="11"/>
            <w:vMerge w:val="restart"/>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Number</w:t>
            </w:r>
          </w:p>
        </w:tc>
        <w:tc>
          <w:tcPr>
            <w:tcW w:w="0" w:type="dxa"/>
            <w:vAlign w:val="bottom"/>
          </w:tcPr>
          <w:p>
            <w:pPr>
              <w:spacing w:after="0"/>
              <w:rPr>
                <w:sz w:val="1"/>
                <w:szCs w:val="1"/>
                <w:color w:val="auto"/>
              </w:rPr>
            </w:pPr>
          </w:p>
        </w:tc>
      </w:tr>
      <w:tr>
        <w:trPr>
          <w:trHeight w:val="161"/>
        </w:trPr>
        <w:tc>
          <w:tcPr>
            <w:tcW w:w="2160" w:type="dxa"/>
            <w:vAlign w:val="bottom"/>
            <w:tcBorders>
              <w:bottom w:val="single" w:sz="8" w:color="0000EE"/>
            </w:tcBorders>
            <w:gridSpan w:val="9"/>
            <w:vMerge w:val="continue"/>
          </w:tcPr>
          <w:p>
            <w:pPr>
              <w:spacing w:after="0"/>
              <w:rPr>
                <w:sz w:val="13"/>
                <w:szCs w:val="13"/>
                <w:color w:val="auto"/>
              </w:rPr>
            </w:pPr>
          </w:p>
        </w:tc>
        <w:tc>
          <w:tcPr>
            <w:tcW w:w="8360" w:type="dxa"/>
            <w:vAlign w:val="bottom"/>
            <w:gridSpan w:val="11"/>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5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March 29, 2014 (unaudited) and December 28, 2013</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5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(unaudited) Three Months Ended March 29, 2014 and March 30, 2013</w:t>
              </w:r>
            </w:hyperlink>
          </w:p>
        </w:tc>
        <w:tc>
          <w:tcPr>
            <w:tcW w:w="17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00" w:type="dxa"/>
            <w:vAlign w:val="bottom"/>
            <w:gridSpan w:val="19"/>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Comprehensive Loss (unaudited) Three Months Ended March 29, 2014 and March 30, 2013</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9320" w:type="dxa"/>
            <w:vAlign w:val="bottom"/>
            <w:tcBorders>
              <w:top w:val="single" w:sz="8" w:color="0000EE"/>
            </w:tcBorders>
            <w:gridSpan w:val="1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(unaudited) Three Months Ended March 29, 2014 and March 30, 2013</w:t>
              </w:r>
            </w:hyperlink>
          </w:p>
        </w:tc>
        <w:tc>
          <w:tcPr>
            <w:tcW w:w="9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3940" w:type="dxa"/>
            <w:vAlign w:val="bottom"/>
            <w:tcBorders>
              <w:top w:val="single" w:sz="8" w:color="0000EE"/>
            </w:tcBorders>
            <w:gridSpan w:val="4"/>
          </w:tcPr>
          <w:p>
            <w:pPr>
              <w:spacing w:after="0"/>
              <w:rPr>
                <w:sz w:val="24"/>
                <w:szCs w:val="24"/>
                <w:color w:val="auto"/>
              </w:rPr>
            </w:pPr>
          </w:p>
        </w:tc>
        <w:tc>
          <w:tcPr>
            <w:tcW w:w="168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052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8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3"/>
          </w:tcPr>
          <w:p>
            <w:pPr>
              <w:spacing w:after="0"/>
              <w:rPr>
                <w:sz w:val="24"/>
                <w:szCs w:val="24"/>
                <w:color w:val="auto"/>
              </w:rPr>
            </w:pPr>
          </w:p>
        </w:tc>
        <w:tc>
          <w:tcPr>
            <w:tcW w:w="368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22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Item 4. Controls and Procedures</w:t>
              </w:r>
            </w:hyperlink>
          </w:p>
        </w:tc>
        <w:tc>
          <w:tcPr>
            <w:tcW w:w="824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980" w:type="dxa"/>
            <w:vAlign w:val="bottom"/>
            <w:tcBorders>
              <w:bottom w:val="single" w:sz="8" w:color="0000EE"/>
            </w:tcBorders>
            <w:gridSpan w:val="7"/>
          </w:tcPr>
          <w:p>
            <w:pPr>
              <w:spacing w:after="0"/>
              <w:rPr>
                <w:rFonts w:ascii="Arial" w:cs="Arial" w:eastAsia="Arial" w:hAnsi="Arial"/>
                <w:sz w:val="18"/>
                <w:szCs w:val="18"/>
                <w:b w:val="1"/>
                <w:bCs w:val="1"/>
                <w:color w:val="0000EE"/>
                <w:w w:val="94"/>
              </w:rPr>
            </w:pPr>
            <w:hyperlink w:anchor="page22">
              <w:r>
                <w:rPr>
                  <w:rFonts w:ascii="Arial" w:cs="Arial" w:eastAsia="Arial" w:hAnsi="Arial"/>
                  <w:sz w:val="18"/>
                  <w:szCs w:val="18"/>
                  <w:b w:val="1"/>
                  <w:bCs w:val="1"/>
                  <w:color w:val="0000EE"/>
                  <w:w w:val="94"/>
                </w:rPr>
                <w:t>Part II Other Information</w:t>
              </w:r>
            </w:hyperlink>
          </w:p>
        </w:tc>
        <w:tc>
          <w:tcPr>
            <w:tcW w:w="854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1. Legal Proceedings</w:t>
              </w:r>
            </w:hyperlink>
          </w:p>
        </w:tc>
        <w:tc>
          <w:tcPr>
            <w:tcW w:w="866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5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1A. Risk Factors</w:t>
              </w:r>
            </w:hyperlink>
          </w:p>
        </w:tc>
        <w:tc>
          <w:tcPr>
            <w:tcW w:w="896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48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Item 2. Unregistered Sales of Equity Securities and Use of Proceeds</w:t>
              </w:r>
            </w:hyperlink>
          </w:p>
        </w:tc>
        <w:tc>
          <w:tcPr>
            <w:tcW w:w="572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8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Item 3. Defaults Upon Senior Securities</w:t>
              </w:r>
            </w:hyperlink>
          </w:p>
        </w:tc>
        <w:tc>
          <w:tcPr>
            <w:tcW w:w="770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2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4. Mine Safety Disclosures</w:t>
              </w:r>
            </w:hyperlink>
          </w:p>
        </w:tc>
        <w:tc>
          <w:tcPr>
            <w:tcW w:w="824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8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5. Other Information</w:t>
              </w:r>
            </w:hyperlink>
          </w:p>
        </w:tc>
        <w:tc>
          <w:tcPr>
            <w:tcW w:w="868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1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 Exhibits</w:t>
              </w:r>
            </w:hyperlink>
          </w:p>
        </w:tc>
        <w:tc>
          <w:tcPr>
            <w:tcW w:w="938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05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COHU, INC.</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29,</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87"/>
              </w:rPr>
              <w:t>(Unaudited)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40,043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66,962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Raw materials and purchased parts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25,710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28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24,439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12,305</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62,454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58,977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186,059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12,285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Buildings and building improvements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32,438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44,724</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89,447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89,028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(53,787)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40" w:type="dxa"/>
            <w:vAlign w:val="bottom"/>
            <w:gridSpan w:val="2"/>
          </w:tcPr>
          <w:p>
            <w:pPr>
              <w:ind w:left="28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35,660</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71,375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43,391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342,094</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26,947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14,674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warranty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Deferred profit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6,331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61,574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Accrued retirement benefits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10,979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income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12,666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w w:val="92"/>
              </w:rPr>
              <w:t>Common stock, $1 par value; 60,000 shares authorized, 25,248 shares issued and outstanding in 2014 and 25,080 shares in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280"/>
              <w:spacing w:after="0"/>
              <w:rPr>
                <w:sz w:val="20"/>
                <w:szCs w:val="20"/>
                <w:color w:val="auto"/>
              </w:rPr>
            </w:pPr>
            <w:r>
              <w:rPr>
                <w:rFonts w:ascii="Arial" w:cs="Arial" w:eastAsia="Arial" w:hAnsi="Arial"/>
                <w:sz w:val="18"/>
                <w:szCs w:val="18"/>
                <w:color w:val="auto"/>
              </w:rPr>
              <w:t>2013</w:t>
            </w:r>
          </w:p>
        </w:tc>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25,248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90,467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126,692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40" w:type="dxa"/>
            <w:vAlign w:val="bottom"/>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249,387</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253,160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342,094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345,423</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240" w:type="dxa"/>
            <w:vAlign w:val="bottom"/>
            <w:gridSpan w:val="2"/>
          </w:tcPr>
          <w:p>
            <w:pPr>
              <w:ind w:left="300"/>
              <w:spacing w:after="0"/>
              <w:rPr>
                <w:sz w:val="20"/>
                <w:szCs w:val="20"/>
                <w:color w:val="auto"/>
              </w:rPr>
            </w:pPr>
            <w:r>
              <w:rPr>
                <w:rFonts w:ascii="Arial" w:cs="Arial" w:eastAsia="Arial" w:hAnsi="Arial"/>
                <w:sz w:val="18"/>
                <w:szCs w:val="18"/>
                <w:color w:val="auto"/>
              </w:rPr>
              <w:t>Derived from December 28, 2013 audited financial statements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0" w:type="dxa"/>
            <w:vAlign w:val="bottom"/>
            <w:gridSpan w:val="4"/>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29,</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70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68,417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and expenses: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44,616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71,835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(3,418)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and other, net</w:t>
            </w:r>
          </w:p>
        </w:tc>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benefit</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(3,347)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(12,103)</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140" w:type="dxa"/>
            <w:vAlign w:val="bottom"/>
            <w:gridSpan w:val="2"/>
            <w:vMerge w:val="continue"/>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4700" w:type="dxa"/>
            <w:vAlign w:val="bottom"/>
            <w:gridSpan w:val="2"/>
          </w:tcPr>
          <w:p>
            <w:pPr>
              <w:ind w:left="46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loss per share:</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Basic</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25,123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25,123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14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4700" w:type="dxa"/>
            <w:vAlign w:val="bottom"/>
            <w:gridSpan w:val="2"/>
          </w:tcPr>
          <w:p>
            <w:pPr>
              <w:ind w:left="46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7"/>
              </w:rPr>
              <w:t>The accompanying notes are an integral part of these statements.</w:t>
            </w: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40" w:type="dxa"/>
            <w:vAlign w:val="bottom"/>
            <w:gridSpan w:val="2"/>
            <w:vMerge w:val="continue"/>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600" w:type="dxa"/>
            <w:vAlign w:val="bottom"/>
          </w:tcPr>
          <w:p>
            <w:pPr>
              <w:jc w:val="right"/>
              <w:ind w:right="389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6"/>
              </w:rPr>
              <w:t>March 29,</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58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(3,347)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Adjustments related to postretirement benefits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gain/loss on investments</w:t>
            </w:r>
          </w:p>
        </w:tc>
        <w:tc>
          <w:tcPr>
            <w:tcW w:w="2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2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2"/>
            <w:vMerge w:val="continue"/>
          </w:tcPr>
          <w:p>
            <w:pPr>
              <w:spacing w:after="0"/>
              <w:rPr>
                <w:sz w:val="19"/>
                <w:szCs w:val="19"/>
                <w:color w:val="auto"/>
              </w:rPr>
            </w:pPr>
          </w:p>
        </w:tc>
        <w:tc>
          <w:tcPr>
            <w:tcW w:w="2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(3,018)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March 29,</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3,452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Changes in current assets and liabilities, excluding effects from acquisitions: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(6,201)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(3,538)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profit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Income taxes payable, including excess stock option exercise benefit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 warranty and other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(8,942)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 excluding effects from acquisitions: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Payment for purchase of Ismeca, net of cash received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(53,548)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(11,625)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(61,415)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51,668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40,043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Cash paid (refunded) for income taxes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capitalized as property, plant and equipment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Dividends declared but not yet paid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29, 2014</w:t>
      </w:r>
    </w:p>
    <w:p>
      <w:pPr>
        <w:spacing w:after="0" w:line="78" w:lineRule="exact"/>
        <w:rPr>
          <w:sz w:val="20"/>
          <w:szCs w:val="20"/>
          <w:color w:val="auto"/>
        </w:rPr>
      </w:pPr>
    </w:p>
    <w:p>
      <w:pPr>
        <w:ind w:left="460" w:right="7660" w:hanging="452"/>
        <w:spacing w:after="0" w:line="347" w:lineRule="auto"/>
        <w:tabs>
          <w:tab w:leader="none" w:pos="44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Our fiscal years are based on a 52- or 53-week period ending on the last Saturday in December. The condensed consolidated balance sheet at December 28, 2013 has been derived from our audited financial statements at that date. The interim condensed consolidated financial statements as of March 29, 2014 (also referred to as “the first quarter of fiscal 2014” and “the first three months of fiscal 2014”) and March 30, 2013 (also referred to as “the first quarter of fiscal 2013” and “the first three months of fiscal 2013”) are unaudited. However, in management’s opinion, these financial statements reflect all adjustments (consisting only of normal, recurring items) necessary to provide a fair presentation of our financial position, results of operations and cash flows for the periods presented. The first quarter of fiscal 2014 and 2013 were each comprised of 13 weeks.</w:t>
      </w:r>
    </w:p>
    <w:p>
      <w:pPr>
        <w:spacing w:after="0" w:line="39"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interim condensed consolidated financial statements in conjunction with our audited financial statements for the year ended December 28, 2013, which are included in our 2013 Annual Report on Form 10-K, filed with the U. S. Securities and Exchange Commission (“SEC”). In the following notes to our interim condensed consolidated financial statements, Cohu, Inc. is referred to as “Cohu”, “we”, “our” and “us”.</w:t>
      </w:r>
    </w:p>
    <w:p>
      <w:pPr>
        <w:spacing w:after="0" w:line="5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9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are subject to a number of risks and uncertainties that may significantly impact our future operating results. These risks and uncertainties are discussed under Item 1A. “Risk Factors” included in this Form 10-Q. Understanding these risks and uncertainties is integral to the review of our interim condensed consolidated financial statements.</w:t>
      </w:r>
    </w:p>
    <w:p>
      <w:pPr>
        <w:spacing w:after="0" w:line="5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96" w:lineRule="exact"/>
        <w:rPr>
          <w:rFonts w:ascii="Arial" w:cs="Arial" w:eastAsia="Arial" w:hAnsi="Arial"/>
          <w:sz w:val="18"/>
          <w:szCs w:val="18"/>
          <w:b w:val="1"/>
          <w:bCs w:val="1"/>
          <w:color w:val="auto"/>
        </w:rPr>
      </w:pPr>
    </w:p>
    <w:p>
      <w:pPr>
        <w:ind w:left="460" w:right="1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4"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Trade accounts receivable are presented net of allowance for doubtful accounts of $0.7 million and $0.6 million at March 29, 2014 and December 28, 2013, respectively. Our customers include semiconductor manufacturers and semiconductor test subcontractors and other customers located throughout many areas of the world. While we believe that our allowance for doubtful accounts is adequate and represents our best estimate at March 29, 2014, we will continue to monitor customer liquidity and other economic conditions, which may result in changes to our estimates regarding collectability.</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Goodwill, Other Intangible Assets and Long-lived Assets</w:t>
      </w:r>
    </w:p>
    <w:p>
      <w:pPr>
        <w:spacing w:after="0" w:line="96" w:lineRule="exact"/>
        <w:rPr>
          <w:rFonts w:ascii="Arial" w:cs="Arial" w:eastAsia="Arial" w:hAnsi="Arial"/>
          <w:sz w:val="18"/>
          <w:szCs w:val="18"/>
          <w:b w:val="1"/>
          <w:bCs w:val="1"/>
          <w:color w:val="auto"/>
        </w:rPr>
      </w:pPr>
    </w:p>
    <w:p>
      <w:pPr>
        <w:ind w:left="460" w:right="2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7"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conduct our annual impairment test as of October 1</w:t>
      </w:r>
      <w:r>
        <w:rPr>
          <w:rFonts w:ascii="Arial" w:cs="Arial" w:eastAsia="Arial" w:hAnsi="Arial"/>
          <w:sz w:val="11"/>
          <w:szCs w:val="11"/>
          <w:color w:val="auto"/>
        </w:rPr>
        <w:t>st</w:t>
      </w:r>
      <w:r>
        <w:rPr>
          <w:rFonts w:ascii="Arial" w:cs="Arial" w:eastAsia="Arial" w:hAnsi="Arial"/>
          <w:sz w:val="18"/>
          <w:szCs w:val="18"/>
          <w:color w:val="auto"/>
        </w:rPr>
        <w:t xml:space="preserve"> of each year, and have determined there is no impairment as of October 1, 2013 as we determined that the estimated fair values of our semiconductor equipment and microwave communications reporting units exceeded their carrying values by approximately 31% and 11%, respectively,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that its carrying value. Additionally, a significant decline in a company’s stock price may suggest that an adverse change in the business climate may have caused the fair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29, 2014</w:t>
      </w:r>
    </w:p>
    <w:p>
      <w:pPr>
        <w:spacing w:after="0" w:line="151"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March 29, 2014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39"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Share-based compensation expense related to stock options is recorded based on the fair value of the award on its grant date which 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Reported share-based compensation is classified, in the condensed consolidated interim financial statements,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1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31"/>
        </w:trPr>
        <w:tc>
          <w:tcPr>
            <w:tcW w:w="5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March 29,</w:t>
            </w:r>
          </w:p>
        </w:tc>
        <w:tc>
          <w:tcPr>
            <w:tcW w:w="840" w:type="dxa"/>
            <w:vAlign w:val="bottom"/>
            <w:tcBorders>
              <w:top w:val="single" w:sz="8" w:color="auto"/>
            </w:tcBorders>
            <w:gridSpan w:val="3"/>
          </w:tcPr>
          <w:p>
            <w:pPr>
              <w:jc w:val="right"/>
              <w:spacing w:after="0" w:line="131" w:lineRule="exact"/>
              <w:rPr>
                <w:sz w:val="20"/>
                <w:szCs w:val="20"/>
                <w:color w:val="auto"/>
              </w:rPr>
            </w:pPr>
            <w:r>
              <w:rPr>
                <w:rFonts w:ascii="Arial" w:cs="Arial" w:eastAsia="Arial" w:hAnsi="Arial"/>
                <w:sz w:val="14"/>
                <w:szCs w:val="14"/>
                <w:color w:val="auto"/>
              </w:rPr>
              <w:t>March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9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4"/>
                <w:szCs w:val="14"/>
                <w:color w:val="auto"/>
                <w:w w:val="89"/>
              </w:rPr>
              <w:t>2014</w:t>
            </w: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5"/>
              <w:spacing w:after="0" w:line="159" w:lineRule="exact"/>
              <w:rPr>
                <w:sz w:val="20"/>
                <w:szCs w:val="20"/>
                <w:color w:val="auto"/>
              </w:rPr>
            </w:pPr>
            <w:r>
              <w:rPr>
                <w:rFonts w:ascii="Arial" w:cs="Arial" w:eastAsia="Arial" w:hAnsi="Arial"/>
                <w:sz w:val="14"/>
                <w:szCs w:val="14"/>
                <w:color w:val="auto"/>
                <w:w w:val="89"/>
              </w:rPr>
              <w:t>2013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Arial" w:cs="Arial" w:eastAsia="Arial" w:hAnsi="Arial"/>
                <w:sz w:val="18"/>
                <w:szCs w:val="18"/>
                <w:color w:val="auto"/>
              </w:rPr>
              <w:t>Total share-based compensation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1,517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share-based compensation, net of tax</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1,476</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(Loss) Per Share</w:t>
      </w:r>
    </w:p>
    <w:p>
      <w:pPr>
        <w:spacing w:after="0" w:line="9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 xml:space="preserve">Basic income (loss) per common share is computed by dividing net income (loss) by the weighted-average number of common shares outstanding during the reporting period. Diluted income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The following table reconciles the denominators used in computing basic and diluted income (loss) per share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20" w:type="dxa"/>
            <w:vAlign w:val="bottom"/>
            <w:gridSpan w:val="4"/>
          </w:tcPr>
          <w:p>
            <w:pPr>
              <w:ind w:left="2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March 29,</w:t>
            </w:r>
          </w:p>
        </w:tc>
        <w:tc>
          <w:tcPr>
            <w:tcW w:w="10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rPr>
              <w:t>March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20" w:type="dxa"/>
            <w:vAlign w:val="bottom"/>
          </w:tcPr>
          <w:p>
            <w:pPr>
              <w:spacing w:after="0"/>
              <w:rPr>
                <w:sz w:val="13"/>
                <w:szCs w:val="13"/>
                <w:color w:val="auto"/>
              </w:rPr>
            </w:pPr>
          </w:p>
        </w:tc>
        <w:tc>
          <w:tcPr>
            <w:tcW w:w="3580" w:type="dxa"/>
            <w:vAlign w:val="bottom"/>
            <w:gridSpan w:val="2"/>
          </w:tcPr>
          <w:p>
            <w:pPr>
              <w:jc w:val="right"/>
              <w:ind w:right="82"/>
              <w:spacing w:after="0" w:line="159" w:lineRule="exact"/>
              <w:rPr>
                <w:sz w:val="20"/>
                <w:szCs w:val="20"/>
                <w:color w:val="auto"/>
              </w:rPr>
            </w:pPr>
            <w:r>
              <w:rPr>
                <w:rFonts w:ascii="Arial" w:cs="Arial" w:eastAsia="Arial" w:hAnsi="Arial"/>
                <w:sz w:val="14"/>
                <w:szCs w:val="14"/>
                <w:color w:val="auto"/>
              </w:rPr>
              <w:t>2014</w:t>
            </w:r>
          </w:p>
        </w:tc>
        <w:tc>
          <w:tcPr>
            <w:tcW w:w="1000" w:type="dxa"/>
            <w:vAlign w:val="bottom"/>
            <w:gridSpan w:val="2"/>
          </w:tcPr>
          <w:p>
            <w:pPr>
              <w:jc w:val="right"/>
              <w:ind w:right="72"/>
              <w:spacing w:after="0" w:line="159" w:lineRule="exact"/>
              <w:rPr>
                <w:sz w:val="20"/>
                <w:szCs w:val="20"/>
                <w:color w:val="auto"/>
              </w:rPr>
            </w:pPr>
            <w:r>
              <w:rPr>
                <w:rFonts w:ascii="Arial" w:cs="Arial" w:eastAsia="Arial" w:hAnsi="Arial"/>
                <w:sz w:val="14"/>
                <w:szCs w:val="14"/>
                <w:color w:val="auto"/>
              </w:rPr>
              <w:t>2013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w:t>
            </w:r>
          </w:p>
        </w:tc>
        <w:tc>
          <w:tcPr>
            <w:tcW w:w="30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25,123</w:t>
            </w: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24,657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30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020" w:type="dxa"/>
            <w:vAlign w:val="bottom"/>
            <w:vMerge w:val="restart"/>
          </w:tcPr>
          <w:p>
            <w:pPr>
              <w:jc w:val="right"/>
              <w:ind w:right="2139"/>
              <w:spacing w:after="0"/>
              <w:rPr>
                <w:sz w:val="20"/>
                <w:szCs w:val="20"/>
                <w:color w:val="auto"/>
              </w:rPr>
            </w:pPr>
            <w:r>
              <w:rPr>
                <w:rFonts w:ascii="Arial" w:cs="Arial" w:eastAsia="Arial" w:hAnsi="Arial"/>
                <w:sz w:val="18"/>
                <w:szCs w:val="18"/>
                <w:color w:val="auto"/>
              </w:rPr>
              <w:t>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March 29, 2014</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28, 2013. As more fully described in that policy, revenue from products that have not previously satisfied customer acceptance requirements is recognized upon customer acceptance. The gross profit on sales that are not recognized is generally recorded as deferred profit and reflected as a current liability in our consolidated balance sheet.</w:t>
      </w:r>
    </w:p>
    <w:p>
      <w:pPr>
        <w:spacing w:after="0" w:line="62"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At March 29, 2014, we had deferred revenue totaling approximately $9.0 million and deferred profit of $6.3 million. At December 28, 2013, we had deferred revenue totaling approximately $7.4 million and deferred profit of $6.1 million.</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Our accumulated other comprehensive income balance totaled approximately $7.0 million and $6.7 million at March 29, 2014 and December 28, 2013, respectively, and was attributed to all non-owner changes in stockholders’ equity and consists of, on an after-tax basis where applicable, foreign currency adjustments resulting from the translation of certain accounts into U.S. dollars where the functional currency is the Euro or the Swiss Franc, unrealized gains and losses on investments and adjustments related to postretirement benefits. Reclassification adjustments to accumulated other comprehensive income during the first three months of fiscal 2014 and 2013 were not significant.</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Retiree Medical Benefits</w:t>
      </w:r>
    </w:p>
    <w:p>
      <w:pPr>
        <w:spacing w:after="0" w:line="9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first three months of fiscal 2014 and 2013 was not significant.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i w:val="1"/>
          <w:iCs w:val="1"/>
          <w:color w:val="auto"/>
        </w:rPr>
        <w:t xml:space="preserve">Recently Adopted Accounting Pronouncements </w:t>
      </w:r>
      <w:r>
        <w:rPr>
          <w:rFonts w:ascii="Arial" w:cs="Arial" w:eastAsia="Arial" w:hAnsi="Arial"/>
          <w:sz w:val="16"/>
          <w:szCs w:val="16"/>
          <w:color w:val="auto"/>
        </w:rPr>
        <w:t>– In July 2013, the Financial Accounting Standards Board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 unrecognized tax benefit when a net operating loss carryforward, a similar tax loss, or a tax credit carryforward exists. This amendment to previous income tax guidance clarifies that an unrecognized tax benefit, or a portion of an unrecognized tax benefit, should be presented in the financial statements as a reduction to a deferred tax asset for a net operating loss carryforward, a similar tax loss, or a tax credit carryforward if such settlement is required or expected in the event the uncertain tax benefit is disallowed. In situations where a net operating loss carryforward, a similar tax loss, or a tax credit carryforward is not available at the reporting date under the tax law of the applicable jurisdiction or the tax law of the jurisdiction does not require, and the entity does not intend to use, the deferred tax asset for such purpose, the unrecognized tax benefit should be presented in the financial statements as a liability and should not be netted with the deferred tax asset. These amendments are effective for fiscal years, and interim periods within those years, beginning after December 15, 2013. Early adoption is permitted. The amendments should be applied prospectively to all unrecognized tax benefits that exist at the effective date. Retrospective application is permitted. The adoption of this new guidance in the first quarter of fiscal 2014 did not have a material impact on our consolidated financial position, results of operations or cash flows.</w:t>
      </w:r>
    </w:p>
    <w:p>
      <w:pPr>
        <w:spacing w:after="0" w:line="46"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In March 2013, the FASB issued guidance on a parent company’s accounting for the cumulative translation adjustment upon derecognition of a subsidiary or group of assets within a foreign entity. This new guidance requires that the parent release any related cumulative translation adjustment into net income only if the sale or transfer results in the complete or substantially complete liquidation of the foreign entity in which the subsidiary or group of assets had resided. The amendments will be effective for fiscal years and interim periods starting after December 15, 2013 with early adoption permitted. The adoption of this new guidance in the first quarter of fiscal 2014 did not have a material impact on our consolidated financial position, results of operations or cash flows.</w:t>
      </w:r>
    </w:p>
    <w:p>
      <w:pPr>
        <w:spacing w:after="0" w:line="63"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i w:val="1"/>
          <w:iCs w:val="1"/>
          <w:color w:val="auto"/>
        </w:rPr>
        <w:t xml:space="preserve">Recently Issued Accounting Pronouncements </w:t>
      </w:r>
      <w:r>
        <w:rPr>
          <w:rFonts w:ascii="Arial" w:cs="Arial" w:eastAsia="Arial" w:hAnsi="Arial"/>
          <w:sz w:val="18"/>
          <w:szCs w:val="18"/>
          <w:color w:val="auto"/>
        </w:rPr>
        <w:t>– In April 2014, the FASB issued guidance on reporting discontinued operations and disclosures of disposals</w:t>
      </w:r>
      <w:r>
        <w:rPr>
          <w:rFonts w:ascii="Arial" w:cs="Arial" w:eastAsia="Arial" w:hAnsi="Arial"/>
          <w:sz w:val="18"/>
          <w:szCs w:val="18"/>
          <w:i w:val="1"/>
          <w:iCs w:val="1"/>
          <w:color w:val="auto"/>
        </w:rPr>
        <w:t xml:space="preserve"> </w:t>
      </w:r>
      <w:r>
        <w:rPr>
          <w:rFonts w:ascii="Arial" w:cs="Arial" w:eastAsia="Arial" w:hAnsi="Arial"/>
          <w:sz w:val="18"/>
          <w:szCs w:val="18"/>
          <w:color w:val="auto"/>
        </w:rPr>
        <w:t>of components of an entity. This guidance raises the threshold for a disposal to qualify as a discontinued operation and requires new disclosures of both discontinued operations and certain other disposals that do not meet the definition of a discontinued operation. It is effective for annual periods beginning on or after December 15, 2014. Early adoption is permitted but only for disposals that have not been reported in financial statements previously issued. We will adopt these provisions in the first quarter of 2015 and we do not expect the adoption to have a material impact on our consolidated financial statements.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29, 2014</w:t>
      </w:r>
    </w:p>
    <w:p>
      <w:pPr>
        <w:spacing w:after="0" w:line="145" w:lineRule="exact"/>
        <w:rPr>
          <w:sz w:val="20"/>
          <w:szCs w:val="20"/>
          <w:color w:val="auto"/>
        </w:rPr>
      </w:pPr>
    </w:p>
    <w:p>
      <w:pPr>
        <w:ind w:left="460" w:right="4580" w:hanging="452"/>
        <w:spacing w:after="0" w:line="347" w:lineRule="auto"/>
        <w:tabs>
          <w:tab w:leader="none" w:pos="4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Strategic Technology Transactions, Goodwill and Other Purchased Intangible Assets </w:t>
      </w:r>
      <w:r>
        <w:rPr>
          <w:rFonts w:ascii="Arial" w:cs="Arial" w:eastAsia="Arial" w:hAnsi="Arial"/>
          <w:sz w:val="18"/>
          <w:szCs w:val="18"/>
          <w:i w:val="1"/>
          <w:iCs w:val="1"/>
          <w:u w:val="single" w:color="auto"/>
          <w:color w:val="auto"/>
        </w:rPr>
        <w:t>Goodwill</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Changes in the carrying value of goodwill by reportable segment during the year ended December 28, 2013 and the three-month period ended March 29,</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2014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tcPr>
          <w:p>
            <w:pPr>
              <w:spacing w:after="0"/>
              <w:rPr>
                <w:sz w:val="20"/>
                <w:szCs w:val="20"/>
                <w:color w:val="auto"/>
              </w:rPr>
            </w:pPr>
            <w:r>
              <w:rPr>
                <w:rFonts w:ascii="Arial" w:cs="Arial" w:eastAsia="Arial" w:hAnsi="Arial"/>
                <w:sz w:val="14"/>
                <w:szCs w:val="14"/>
                <w:color w:val="auto"/>
              </w:rPr>
              <w:t>Semiconductor</w:t>
            </w:r>
          </w:p>
        </w:tc>
        <w:tc>
          <w:tcPr>
            <w:tcW w:w="160" w:type="dxa"/>
            <w:vAlign w:val="bottom"/>
          </w:tcPr>
          <w:p>
            <w:pPr>
              <w:spacing w:after="0"/>
              <w:rPr>
                <w:sz w:val="14"/>
                <w:szCs w:val="14"/>
                <w:color w:val="auto"/>
              </w:rPr>
            </w:pPr>
          </w:p>
        </w:tc>
        <w:tc>
          <w:tcPr>
            <w:tcW w:w="1600" w:type="dxa"/>
            <w:vAlign w:val="bottom"/>
            <w:gridSpan w:val="5"/>
          </w:tcPr>
          <w:p>
            <w:pPr>
              <w:ind w:left="160"/>
              <w:spacing w:after="0"/>
              <w:rPr>
                <w:sz w:val="20"/>
                <w:szCs w:val="20"/>
                <w:color w:val="auto"/>
              </w:rPr>
            </w:pPr>
            <w:r>
              <w:rPr>
                <w:rFonts w:ascii="Arial" w:cs="Arial" w:eastAsia="Arial" w:hAnsi="Arial"/>
                <w:sz w:val="14"/>
                <w:szCs w:val="14"/>
                <w:color w:val="auto"/>
              </w:rPr>
              <w:t>Microwave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ind w:left="20"/>
              <w:spacing w:after="0" w:line="159" w:lineRule="exact"/>
              <w:rPr>
                <w:sz w:val="20"/>
                <w:szCs w:val="20"/>
                <w:color w:val="auto"/>
              </w:rPr>
            </w:pPr>
            <w:r>
              <w:rPr>
                <w:rFonts w:ascii="Arial" w:cs="Arial" w:eastAsia="Arial" w:hAnsi="Arial"/>
                <w:sz w:val="14"/>
                <w:szCs w:val="14"/>
                <w:color w:val="auto"/>
              </w:rPr>
              <w:t>Equipment</w:t>
            </w:r>
          </w:p>
        </w:tc>
        <w:tc>
          <w:tcPr>
            <w:tcW w:w="160" w:type="dxa"/>
            <w:vAlign w:val="bottom"/>
          </w:tcPr>
          <w:p>
            <w:pPr>
              <w:spacing w:after="0"/>
              <w:rPr>
                <w:sz w:val="13"/>
                <w:szCs w:val="13"/>
                <w:color w:val="auto"/>
              </w:rPr>
            </w:pPr>
          </w:p>
        </w:tc>
        <w:tc>
          <w:tcPr>
            <w:tcW w:w="1600" w:type="dxa"/>
            <w:vAlign w:val="bottom"/>
            <w:gridSpan w:val="5"/>
          </w:tcPr>
          <w:p>
            <w:pPr>
              <w:jc w:val="right"/>
              <w:ind w:right="680"/>
              <w:spacing w:after="0" w:line="159" w:lineRule="exact"/>
              <w:rPr>
                <w:sz w:val="20"/>
                <w:szCs w:val="20"/>
                <w:color w:val="auto"/>
              </w:rPr>
            </w:pPr>
            <w:r>
              <w:rPr>
                <w:rFonts w:ascii="Arial" w:cs="Arial" w:eastAsia="Arial" w:hAnsi="Arial"/>
                <w:sz w:val="14"/>
                <w:szCs w:val="14"/>
                <w:color w:val="auto"/>
                <w:w w:val="86"/>
              </w:rPr>
              <w:t>Communications</w:t>
            </w:r>
          </w:p>
        </w:tc>
        <w:tc>
          <w:tcPr>
            <w:tcW w:w="880" w:type="dxa"/>
            <w:vAlign w:val="bottom"/>
            <w:gridSpan w:val="4"/>
          </w:tcPr>
          <w:p>
            <w:pPr>
              <w:spacing w:after="0" w:line="159" w:lineRule="exact"/>
              <w:rPr>
                <w:sz w:val="20"/>
                <w:szCs w:val="20"/>
                <w:color w:val="auto"/>
              </w:rPr>
            </w:pPr>
            <w:r>
              <w:rPr>
                <w:rFonts w:ascii="Arial" w:cs="Arial" w:eastAsia="Arial" w:hAnsi="Arial"/>
                <w:sz w:val="14"/>
                <w:szCs w:val="14"/>
                <w:color w:val="auto"/>
                <w:w w:val="96"/>
              </w:rPr>
              <w:t>Total Goodwill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29, 2012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55,520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Additions net of adjustments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380"/>
              <w:spacing w:after="0"/>
              <w:rPr>
                <w:sz w:val="20"/>
                <w:szCs w:val="20"/>
                <w:color w:val="auto"/>
              </w:rPr>
            </w:pPr>
            <w:r>
              <w:rPr>
                <w:rFonts w:ascii="Arial" w:cs="Arial" w:eastAsia="Arial" w:hAnsi="Arial"/>
                <w:sz w:val="18"/>
                <w:szCs w:val="18"/>
                <w:color w:val="auto"/>
              </w:rPr>
              <w:t>10,930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Impact of currency exchange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Balance, December 28, 2013</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380"/>
              <w:spacing w:after="0"/>
              <w:rPr>
                <w:sz w:val="20"/>
                <w:szCs w:val="20"/>
                <w:color w:val="auto"/>
              </w:rPr>
            </w:pPr>
            <w:r>
              <w:rPr>
                <w:rFonts w:ascii="Arial" w:cs="Arial" w:eastAsia="Arial" w:hAnsi="Arial"/>
                <w:sz w:val="18"/>
                <w:szCs w:val="18"/>
                <w:color w:val="auto"/>
              </w:rPr>
              <w:t>67,983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71,313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Impact of currency exchange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Balance, March 29, 2014</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380"/>
              <w:spacing w:after="0"/>
              <w:rPr>
                <w:sz w:val="20"/>
                <w:szCs w:val="20"/>
                <w:color w:val="auto"/>
              </w:rPr>
            </w:pPr>
            <w:r>
              <w:rPr>
                <w:rFonts w:ascii="Arial" w:cs="Arial" w:eastAsia="Arial" w:hAnsi="Arial"/>
                <w:sz w:val="18"/>
                <w:szCs w:val="18"/>
                <w:color w:val="auto"/>
              </w:rPr>
              <w:t>68,045</w:t>
            </w:r>
          </w:p>
        </w:tc>
        <w:tc>
          <w:tcPr>
            <w:tcW w:w="140" w:type="dxa"/>
            <w:vAlign w:val="bottom"/>
          </w:tcPr>
          <w:p>
            <w:pPr>
              <w:spacing w:after="0"/>
              <w:rPr>
                <w:sz w:val="19"/>
                <w:szCs w:val="19"/>
                <w:color w:val="auto"/>
              </w:rPr>
            </w:pP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71,375</w:t>
            </w: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86"/>
              </w:rPr>
              <w:t>Purchased Intangible Assets</w:t>
            </w:r>
          </w:p>
        </w:tc>
        <w:tc>
          <w:tcPr>
            <w:tcW w:w="35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00" w:type="dxa"/>
            <w:vAlign w:val="bottom"/>
            <w:tcBorders>
              <w:bottom w:val="single" w:sz="8" w:color="auto"/>
            </w:tcBorders>
            <w:gridSpan w:val="2"/>
            <w:vMerge w:val="continue"/>
          </w:tcPr>
          <w:p>
            <w:pPr>
              <w:spacing w:after="0"/>
              <w:rPr>
                <w:sz w:val="21"/>
                <w:szCs w:val="21"/>
                <w:color w:val="auto"/>
              </w:rPr>
            </w:pPr>
          </w:p>
        </w:tc>
        <w:tc>
          <w:tcPr>
            <w:tcW w:w="35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760" w:type="dxa"/>
            <w:vAlign w:val="bottom"/>
            <w:gridSpan w:val="4"/>
          </w:tcPr>
          <w:p>
            <w:pPr>
              <w:spacing w:after="0"/>
              <w:rPr>
                <w:sz w:val="20"/>
                <w:szCs w:val="20"/>
                <w:color w:val="auto"/>
              </w:rPr>
            </w:pPr>
            <w:r>
              <w:rPr>
                <w:rFonts w:ascii="Arial" w:cs="Arial" w:eastAsia="Arial" w:hAnsi="Arial"/>
                <w:sz w:val="18"/>
                <w:szCs w:val="18"/>
                <w:color w:val="auto"/>
                <w:w w:val="87"/>
              </w:rPr>
              <w:t>Purchased intangible assets, subject to amortization are as follows (</w:t>
            </w:r>
            <w:r>
              <w:rPr>
                <w:rFonts w:ascii="Arial" w:cs="Arial" w:eastAsia="Arial" w:hAnsi="Arial"/>
                <w:sz w:val="18"/>
                <w:szCs w:val="18"/>
                <w:i w:val="1"/>
                <w:iCs w:val="1"/>
                <w:color w:val="auto"/>
                <w:w w:val="87"/>
              </w:rPr>
              <w:t>in thousands</w:t>
            </w:r>
            <w:r>
              <w:rPr>
                <w:rFonts w:ascii="Arial" w:cs="Arial" w:eastAsia="Arial" w:hAnsi="Arial"/>
                <w:sz w:val="18"/>
                <w:szCs w:val="18"/>
                <w:color w:val="auto"/>
                <w:w w:val="87"/>
              </w:rPr>
              <w: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color w:val="auto"/>
                <w:w w:val="90"/>
              </w:rPr>
              <w:t>March 29, 2014</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w w:val="87"/>
              </w:rPr>
              <w:t>December 28, 2013</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40" w:type="dxa"/>
            <w:vAlign w:val="bottom"/>
            <w:gridSpan w:val="3"/>
          </w:tcPr>
          <w:p>
            <w:pPr>
              <w:spacing w:after="0" w:line="145" w:lineRule="exact"/>
              <w:rPr>
                <w:sz w:val="20"/>
                <w:szCs w:val="20"/>
                <w:color w:val="auto"/>
              </w:rPr>
            </w:pPr>
            <w:r>
              <w:rPr>
                <w:rFonts w:ascii="Arial" w:cs="Arial" w:eastAsia="Arial" w:hAnsi="Arial"/>
                <w:sz w:val="14"/>
                <w:szCs w:val="14"/>
                <w:color w:val="auto"/>
                <w:w w:val="97"/>
              </w:rPr>
              <w:t>Gross Carrying</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4"/>
          </w:tcPr>
          <w:p>
            <w:pPr>
              <w:ind w:left="20"/>
              <w:spacing w:after="0" w:line="145"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4"/>
          </w:tcPr>
          <w:p>
            <w:pPr>
              <w:spacing w:after="0" w:line="145" w:lineRule="exact"/>
              <w:rPr>
                <w:sz w:val="20"/>
                <w:szCs w:val="20"/>
                <w:color w:val="auto"/>
              </w:rPr>
            </w:pPr>
            <w:r>
              <w:rPr>
                <w:rFonts w:ascii="Arial" w:cs="Arial" w:eastAsia="Arial" w:hAnsi="Arial"/>
                <w:sz w:val="14"/>
                <w:szCs w:val="14"/>
                <w:color w:val="auto"/>
              </w:rPr>
              <w:t>Gross Carrying</w:t>
            </w:r>
          </w:p>
        </w:tc>
        <w:tc>
          <w:tcPr>
            <w:tcW w:w="100" w:type="dxa"/>
            <w:vAlign w:val="bottom"/>
          </w:tcPr>
          <w:p>
            <w:pPr>
              <w:spacing w:after="0"/>
              <w:rPr>
                <w:sz w:val="12"/>
                <w:szCs w:val="12"/>
                <w:color w:val="auto"/>
              </w:rPr>
            </w:pPr>
          </w:p>
        </w:tc>
        <w:tc>
          <w:tcPr>
            <w:tcW w:w="780" w:type="dxa"/>
            <w:vAlign w:val="bottom"/>
            <w:gridSpan w:val="3"/>
          </w:tcPr>
          <w:p>
            <w:pPr>
              <w:spacing w:after="0" w:line="145" w:lineRule="exact"/>
              <w:rPr>
                <w:sz w:val="20"/>
                <w:szCs w:val="20"/>
                <w:color w:val="auto"/>
              </w:rPr>
            </w:pPr>
            <w:r>
              <w:rPr>
                <w:rFonts w:ascii="Arial" w:cs="Arial" w:eastAsia="Arial" w:hAnsi="Arial"/>
                <w:sz w:val="14"/>
                <w:szCs w:val="14"/>
                <w:color w:val="auto"/>
                <w:w w:val="93"/>
              </w:rPr>
              <w:t>Accumulated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99"/>
              <w:spacing w:after="0" w:line="159" w:lineRule="exact"/>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89"/>
              </w:rPr>
              <w:t>Amortization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9"/>
              </w:rPr>
              <w:t>Amount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spacing w:after="0" w:line="159" w:lineRule="exact"/>
              <w:rPr>
                <w:sz w:val="20"/>
                <w:szCs w:val="20"/>
                <w:color w:val="auto"/>
              </w:rPr>
            </w:pPr>
            <w:r>
              <w:rPr>
                <w:rFonts w:ascii="Arial" w:cs="Arial" w:eastAsia="Arial" w:hAnsi="Arial"/>
                <w:sz w:val="14"/>
                <w:szCs w:val="14"/>
                <w:color w:val="auto"/>
                <w:w w:val="97"/>
              </w:rPr>
              <w:t>Amortization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Rasco technology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22,405</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33,689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Ismeca technology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4,786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29,915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Duma technology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64,627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27,671</w:t>
            </w:r>
          </w:p>
        </w:tc>
        <w:tc>
          <w:tcPr>
            <w:tcW w:w="140" w:type="dxa"/>
            <w:vAlign w:val="bottom"/>
          </w:tcPr>
          <w:p>
            <w:pPr>
              <w:spacing w:after="0"/>
              <w:rPr>
                <w:sz w:val="19"/>
                <w:szCs w:val="19"/>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64,468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Amortization expense related to intangible assets in the first quarter of fiscal 2014 and 2013 was approximately $2.1 million and $1.7 million, respectively. The amounts included in the table above for the period ended March 29, 2014 exclude approximately $2.4 million and $4.1 million, related to the trade names of Rasco and Ismeca, respectively, and for the period ended December 28, 2013 exclude approximately $2.4 million and $4.0 million for such trade names, respectively, which have indefinite lives and are not being amortized. Changes in the carrying values of these intangible assets are a result of the impact of fluctuations in currency exchange rates.</w:t>
      </w:r>
    </w:p>
    <w:p>
      <w:pPr>
        <w:spacing w:after="0" w:line="25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96"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62" w:lineRule="exact"/>
        <w:rPr>
          <w:rFonts w:ascii="Arial" w:cs="Arial" w:eastAsia="Arial" w:hAnsi="Arial"/>
          <w:sz w:val="18"/>
          <w:szCs w:val="18"/>
          <w:b w:val="1"/>
          <w:bCs w:val="1"/>
          <w:color w:val="auto"/>
        </w:rPr>
      </w:pPr>
    </w:p>
    <w:p>
      <w:pPr>
        <w:ind w:left="460" w:right="10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29, 2014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267"/>
              <w:spacing w:after="0"/>
              <w:rPr>
                <w:sz w:val="20"/>
                <w:szCs w:val="20"/>
                <w:color w:val="auto"/>
              </w:rPr>
            </w:pPr>
            <w:r>
              <w:rPr>
                <w:rFonts w:ascii="Arial" w:cs="Arial" w:eastAsia="Arial" w:hAnsi="Arial"/>
                <w:sz w:val="14"/>
                <w:szCs w:val="14"/>
                <w:color w:val="auto"/>
                <w:w w:val="88"/>
              </w:rPr>
              <w:t>March 29, 2014</w:t>
            </w: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47"/>
              <w:spacing w:after="0" w:line="145" w:lineRule="exact"/>
              <w:rPr>
                <w:sz w:val="20"/>
                <w:szCs w:val="20"/>
                <w:color w:val="auto"/>
              </w:rPr>
            </w:pPr>
            <w:r>
              <w:rPr>
                <w:rFonts w:ascii="Arial" w:cs="Arial" w:eastAsia="Arial" w:hAnsi="Arial"/>
                <w:sz w:val="14"/>
                <w:szCs w:val="14"/>
                <w:color w:val="auto"/>
                <w:w w:val="85"/>
              </w:rPr>
              <w:t>Gross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700"/>
              <w:spacing w:after="0" w:line="145" w:lineRule="exact"/>
              <w:rPr>
                <w:sz w:val="20"/>
                <w:szCs w:val="20"/>
                <w:color w:val="auto"/>
              </w:rPr>
            </w:pPr>
            <w:r>
              <w:rPr>
                <w:rFonts w:ascii="Arial" w:cs="Arial" w:eastAsia="Arial" w:hAnsi="Arial"/>
                <w:sz w:val="14"/>
                <w:szCs w:val="14"/>
                <w:color w:val="auto"/>
                <w:w w:val="85"/>
              </w:rPr>
              <w:t>Gross</w:t>
            </w:r>
          </w:p>
        </w:tc>
        <w:tc>
          <w:tcPr>
            <w:tcW w:w="60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color w:val="auto"/>
                <w:w w:val="88"/>
              </w:rPr>
              <w:t>Amortized</w:t>
            </w:r>
          </w:p>
        </w:tc>
        <w:tc>
          <w:tcPr>
            <w:tcW w:w="5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60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9"/>
              </w:rPr>
              <w:t>Unrealized</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rPr>
              <w:t>Cost</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line="159" w:lineRule="exact"/>
              <w:rPr>
                <w:sz w:val="20"/>
                <w:szCs w:val="20"/>
                <w:color w:val="auto"/>
              </w:rPr>
            </w:pPr>
            <w:r>
              <w:rPr>
                <w:rFonts w:ascii="Arial" w:cs="Arial" w:eastAsia="Arial" w:hAnsi="Arial"/>
                <w:sz w:val="14"/>
                <w:szCs w:val="14"/>
                <w:color w:val="auto"/>
                <w:w w:val="87"/>
              </w:rPr>
              <w:t>Gains</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700"/>
              <w:spacing w:after="0" w:line="159" w:lineRule="exact"/>
              <w:rPr>
                <w:sz w:val="20"/>
                <w:szCs w:val="20"/>
                <w:color w:val="auto"/>
              </w:rPr>
            </w:pPr>
            <w:r>
              <w:rPr>
                <w:rFonts w:ascii="Arial" w:cs="Arial" w:eastAsia="Arial" w:hAnsi="Arial"/>
                <w:sz w:val="14"/>
                <w:szCs w:val="14"/>
                <w:color w:val="auto"/>
                <w:w w:val="81"/>
              </w:rPr>
              <w:t>Losses</w:t>
            </w: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5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1,075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$ 1,075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color w:val="auto"/>
                <w:w w:val="86"/>
              </w:rPr>
              <w:t>December 28, 2013</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color w:val="auto"/>
                <w:w w:val="88"/>
              </w:rPr>
              <w:t>Amortized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47"/>
              <w:spacing w:after="0" w:line="145" w:lineRule="exact"/>
              <w:rPr>
                <w:sz w:val="20"/>
                <w:szCs w:val="20"/>
                <w:color w:val="auto"/>
              </w:rPr>
            </w:pPr>
            <w:r>
              <w:rPr>
                <w:rFonts w:ascii="Arial" w:cs="Arial" w:eastAsia="Arial" w:hAnsi="Arial"/>
                <w:sz w:val="14"/>
                <w:szCs w:val="14"/>
                <w:color w:val="auto"/>
                <w:w w:val="85"/>
              </w:rPr>
              <w:t>Gross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700"/>
              <w:spacing w:after="0" w:line="145" w:lineRule="exact"/>
              <w:rPr>
                <w:sz w:val="20"/>
                <w:szCs w:val="20"/>
                <w:color w:val="auto"/>
              </w:rPr>
            </w:pPr>
            <w:r>
              <w:rPr>
                <w:rFonts w:ascii="Arial" w:cs="Arial" w:eastAsia="Arial" w:hAnsi="Arial"/>
                <w:sz w:val="14"/>
                <w:szCs w:val="14"/>
                <w:color w:val="auto"/>
                <w:w w:val="85"/>
              </w:rPr>
              <w:t>Gross</w:t>
            </w:r>
          </w:p>
        </w:tc>
        <w:tc>
          <w:tcPr>
            <w:tcW w:w="60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86"/>
              </w:rPr>
              <w:t>Estimated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86"/>
              </w:rPr>
              <w:t>Unrealized</w:t>
            </w:r>
          </w:p>
        </w:tc>
        <w:tc>
          <w:tcPr>
            <w:tcW w:w="600" w:type="dxa"/>
            <w:vAlign w:val="bottom"/>
          </w:tcPr>
          <w:p>
            <w:pPr>
              <w:spacing w:after="0"/>
              <w:rPr>
                <w:sz w:val="11"/>
                <w:szCs w:val="11"/>
                <w:color w:val="auto"/>
              </w:rPr>
            </w:pPr>
          </w:p>
        </w:tc>
        <w:tc>
          <w:tcPr>
            <w:tcW w:w="1180" w:type="dxa"/>
            <w:vAlign w:val="bottom"/>
            <w:gridSpan w:val="3"/>
          </w:tcPr>
          <w:p>
            <w:pPr>
              <w:jc w:val="center"/>
              <w:ind w:right="580"/>
              <w:spacing w:after="0" w:line="135" w:lineRule="exact"/>
              <w:rPr>
                <w:sz w:val="20"/>
                <w:szCs w:val="20"/>
                <w:color w:val="auto"/>
              </w:rPr>
            </w:pPr>
            <w:r>
              <w:rPr>
                <w:rFonts w:ascii="Arial" w:cs="Arial" w:eastAsia="Arial" w:hAnsi="Arial"/>
                <w:sz w:val="14"/>
                <w:szCs w:val="14"/>
                <w:color w:val="auto"/>
                <w:w w:val="89"/>
              </w:rPr>
              <w:t>Unrealized</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color w:val="auto"/>
                <w:w w:val="87"/>
              </w:rPr>
              <w:t>Gains</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color w:val="auto"/>
                <w:w w:val="81"/>
              </w:rPr>
              <w:t>Losses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5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1,200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$ 1,200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Effective maturities of short-term investments at March 29, 2014 and December 28, 2013,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color w:val="auto"/>
              </w:rPr>
              <w:t>March 29, 2014</w:t>
            </w:r>
          </w:p>
        </w:tc>
        <w:tc>
          <w:tcPr>
            <w:tcW w:w="540" w:type="dxa"/>
            <w:vAlign w:val="bottom"/>
          </w:tcPr>
          <w:p>
            <w:pPr>
              <w:spacing w:after="0"/>
              <w:rPr>
                <w:sz w:val="14"/>
                <w:szCs w:val="14"/>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rPr>
              <w:t>December 28, 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Arial" w:cs="Arial" w:eastAsia="Arial" w:hAnsi="Arial"/>
                <w:sz w:val="14"/>
                <w:szCs w:val="14"/>
                <w:color w:val="auto"/>
                <w:w w:val="91"/>
              </w:rPr>
              <w:t>Amortized</w:t>
            </w:r>
          </w:p>
        </w:tc>
        <w:tc>
          <w:tcPr>
            <w:tcW w:w="520" w:type="dxa"/>
            <w:vAlign w:val="bottom"/>
          </w:tcPr>
          <w:p>
            <w:pPr>
              <w:spacing w:after="0"/>
              <w:rPr>
                <w:sz w:val="12"/>
                <w:szCs w:val="12"/>
                <w:color w:val="auto"/>
              </w:rPr>
            </w:pPr>
          </w:p>
        </w:tc>
        <w:tc>
          <w:tcPr>
            <w:tcW w:w="560" w:type="dxa"/>
            <w:vAlign w:val="bottom"/>
          </w:tcPr>
          <w:p>
            <w:pPr>
              <w:ind w:left="20"/>
              <w:spacing w:after="0" w:line="145" w:lineRule="exact"/>
              <w:rPr>
                <w:sz w:val="20"/>
                <w:szCs w:val="20"/>
                <w:color w:val="auto"/>
              </w:rPr>
            </w:pPr>
            <w:r>
              <w:rPr>
                <w:rFonts w:ascii="Arial" w:cs="Arial" w:eastAsia="Arial" w:hAnsi="Arial"/>
                <w:sz w:val="14"/>
                <w:szCs w:val="14"/>
                <w:color w:val="auto"/>
                <w:w w:val="83"/>
              </w:rPr>
              <w:t>Estimated</w:t>
            </w:r>
          </w:p>
        </w:tc>
        <w:tc>
          <w:tcPr>
            <w:tcW w:w="54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Arial" w:cs="Arial" w:eastAsia="Arial" w:hAnsi="Arial"/>
                <w:sz w:val="14"/>
                <w:szCs w:val="14"/>
                <w:color w:val="auto"/>
                <w:w w:val="91"/>
              </w:rPr>
              <w:t>Amortized</w:t>
            </w:r>
          </w:p>
        </w:tc>
        <w:tc>
          <w:tcPr>
            <w:tcW w:w="520" w:type="dxa"/>
            <w:vAlign w:val="bottom"/>
          </w:tcPr>
          <w:p>
            <w:pPr>
              <w:spacing w:after="0"/>
              <w:rPr>
                <w:sz w:val="12"/>
                <w:szCs w:val="12"/>
                <w:color w:val="auto"/>
              </w:rPr>
            </w:pPr>
          </w:p>
        </w:tc>
        <w:tc>
          <w:tcPr>
            <w:tcW w:w="620" w:type="dxa"/>
            <w:vAlign w:val="bottom"/>
            <w:gridSpan w:val="2"/>
          </w:tcPr>
          <w:p>
            <w:pPr>
              <w:ind w:left="20"/>
              <w:spacing w:after="0" w:line="145" w:lineRule="exact"/>
              <w:rPr>
                <w:sz w:val="20"/>
                <w:szCs w:val="20"/>
                <w:color w:val="auto"/>
              </w:rPr>
            </w:pPr>
            <w:r>
              <w:rPr>
                <w:rFonts w:ascii="Arial" w:cs="Arial" w:eastAsia="Arial" w:hAnsi="Arial"/>
                <w:sz w:val="14"/>
                <w:szCs w:val="14"/>
                <w:color w:val="auto"/>
                <w:w w:val="93"/>
              </w:rPr>
              <w:t>Estimated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83"/>
              </w:rPr>
              <w:t>Cost</w:t>
            </w:r>
          </w:p>
        </w:tc>
        <w:tc>
          <w:tcPr>
            <w:tcW w:w="52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w w:val="84"/>
              </w:rPr>
              <w:t>Fair Value</w:t>
            </w:r>
          </w:p>
        </w:tc>
        <w:tc>
          <w:tcPr>
            <w:tcW w:w="54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83"/>
              </w:rPr>
              <w:t>Cost</w:t>
            </w:r>
          </w:p>
        </w:tc>
        <w:tc>
          <w:tcPr>
            <w:tcW w:w="520" w:type="dxa"/>
            <w:vAlign w:val="bottom"/>
          </w:tcPr>
          <w:p>
            <w:pPr>
              <w:spacing w:after="0"/>
              <w:rPr>
                <w:sz w:val="13"/>
                <w:szCs w:val="13"/>
                <w:color w:val="auto"/>
              </w:rPr>
            </w:pPr>
          </w:p>
        </w:tc>
        <w:tc>
          <w:tcPr>
            <w:tcW w:w="620" w:type="dxa"/>
            <w:vAlign w:val="bottom"/>
            <w:gridSpan w:val="2"/>
          </w:tcPr>
          <w:p>
            <w:pPr>
              <w:spacing w:after="0" w:line="159" w:lineRule="exact"/>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$ 1,075</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$ 1,075</w:t>
            </w:r>
          </w:p>
        </w:tc>
        <w:tc>
          <w:tcPr>
            <w:tcW w:w="112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6"/>
              </w:rPr>
              <w:t>$ 1,200</w:t>
            </w: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$ 1,200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Our municipal securities include variable rate demand notes which can be put (sold at par) typically on a daily basis with settlement periods ranging from the same day to one week and have varying contractual maturities through 2037. These securities can be used for short-term liquidity needs and are held for limited periods of time. At March 29, 2014 and December 28, 2013 these securities had amortized cost and fair value of $1.1 million and $1.2 million, respectively, and are included in “Due in one year or less” in the table above.</w:t>
      </w:r>
    </w:p>
    <w:p>
      <w:pPr>
        <w:spacing w:after="0" w:line="32"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spacing w:after="0" w:line="39"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 xml:space="preserve">The following table summarizes, by major security type, our assets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2"/>
          </w:tcPr>
          <w:p>
            <w:pPr>
              <w:jc w:val="center"/>
              <w:ind w:left="559"/>
              <w:spacing w:after="0"/>
              <w:rPr>
                <w:sz w:val="20"/>
                <w:szCs w:val="20"/>
                <w:color w:val="auto"/>
              </w:rPr>
            </w:pPr>
            <w:r>
              <w:rPr>
                <w:rFonts w:ascii="Arial" w:cs="Arial" w:eastAsia="Arial" w:hAnsi="Arial"/>
                <w:sz w:val="14"/>
                <w:szCs w:val="14"/>
                <w:color w:val="auto"/>
                <w:w w:val="86"/>
              </w:rPr>
              <w:t>Fair value measurements at March 29, 2014 using:</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3"/>
              </w:rPr>
              <w:t>Total 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Level 1</w:t>
            </w:r>
          </w:p>
        </w:tc>
        <w:tc>
          <w:tcPr>
            <w:tcW w:w="240" w:type="dxa"/>
            <w:vAlign w:val="bottom"/>
          </w:tcPr>
          <w:p>
            <w:pPr>
              <w:spacing w:after="0"/>
              <w:rPr>
                <w:sz w:val="13"/>
                <w:szCs w:val="13"/>
                <w:color w:val="auto"/>
              </w:rPr>
            </w:pPr>
          </w:p>
        </w:tc>
        <w:tc>
          <w:tcPr>
            <w:tcW w:w="500" w:type="dxa"/>
            <w:vAlign w:val="bottom"/>
            <w:gridSpan w:val="3"/>
          </w:tcPr>
          <w:p>
            <w:pPr>
              <w:spacing w:after="0" w:line="159" w:lineRule="exact"/>
              <w:rPr>
                <w:sz w:val="20"/>
                <w:szCs w:val="20"/>
                <w:color w:val="auto"/>
              </w:rPr>
            </w:pPr>
            <w:r>
              <w:rPr>
                <w:rFonts w:ascii="Arial" w:cs="Arial" w:eastAsia="Arial" w:hAnsi="Arial"/>
                <w:sz w:val="14"/>
                <w:szCs w:val="14"/>
                <w:color w:val="auto"/>
              </w:rPr>
              <w:t>Level 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Level 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1"/>
              </w:rPr>
              <w:t>fair value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5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Municipal securities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1,075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5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1,677</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38,366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2,752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4"/>
          </w:tcPr>
          <w:p>
            <w:pPr>
              <w:jc w:val="center"/>
              <w:ind w:left="419"/>
              <w:spacing w:after="0"/>
              <w:rPr>
                <w:sz w:val="20"/>
                <w:szCs w:val="20"/>
                <w:color w:val="auto"/>
              </w:rPr>
            </w:pPr>
            <w:r>
              <w:rPr>
                <w:rFonts w:ascii="Arial" w:cs="Arial" w:eastAsia="Arial" w:hAnsi="Arial"/>
                <w:sz w:val="14"/>
                <w:szCs w:val="14"/>
                <w:color w:val="auto"/>
                <w:w w:val="86"/>
              </w:rPr>
              <w:t>Fair value measurements at December 28, 2013 using:</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3"/>
              </w:rPr>
              <w:t>Total 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ind w:left="160"/>
              <w:spacing w:after="0" w:line="159" w:lineRule="exact"/>
              <w:rPr>
                <w:sz w:val="20"/>
                <w:szCs w:val="20"/>
                <w:color w:val="auto"/>
              </w:rPr>
            </w:pPr>
            <w:r>
              <w:rPr>
                <w:rFonts w:ascii="Arial" w:cs="Arial" w:eastAsia="Arial" w:hAnsi="Arial"/>
                <w:sz w:val="14"/>
                <w:szCs w:val="14"/>
                <w:color w:val="auto"/>
              </w:rPr>
              <w:t>Level 1</w:t>
            </w:r>
          </w:p>
        </w:tc>
        <w:tc>
          <w:tcPr>
            <w:tcW w:w="240" w:type="dxa"/>
            <w:vAlign w:val="bottom"/>
          </w:tcPr>
          <w:p>
            <w:pPr>
              <w:spacing w:after="0"/>
              <w:rPr>
                <w:sz w:val="13"/>
                <w:szCs w:val="13"/>
                <w:color w:val="auto"/>
              </w:rPr>
            </w:pPr>
          </w:p>
        </w:tc>
        <w:tc>
          <w:tcPr>
            <w:tcW w:w="5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7"/>
              </w:rPr>
              <w:t>Level 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Level 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1"/>
              </w:rPr>
              <w:t>fair value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5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44,165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Municipal securities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1,200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5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7,503</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44,165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8,703</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52,868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40" w:type="dxa"/>
            <w:vAlign w:val="bottom"/>
            <w:vMerge w:val="restart"/>
          </w:tcPr>
          <w:p>
            <w:pPr>
              <w:jc w:val="right"/>
              <w:ind w:right="432"/>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29, 2014</w:t>
      </w:r>
    </w:p>
    <w:p>
      <w:pPr>
        <w:spacing w:after="0" w:line="14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Benefit Plans</w:t>
      </w:r>
    </w:p>
    <w:p>
      <w:pPr>
        <w:spacing w:after="0" w:line="9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2005 Equity Incentive Plan is a broad-based, long-term retention program intended to attract, motivate, and retain talented employees as well as align stockholder and employee interests. Awards that may be granted under the program include, but are not limited to, non-qualified and incentive stock options, restricted stock units, and performance-based stock units. We settle employee stock option exercises, ESPP purchases, and the vesting of restricted stock units, and performance-based stock units with newly issued common shares. At March 29, 2014, there were 628,165 shares available for future equity grants under the 2005 Equity Incentive Plan.</w:t>
      </w:r>
    </w:p>
    <w:p>
      <w:pPr>
        <w:spacing w:after="0" w:line="5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96" w:lineRule="exact"/>
        <w:rPr>
          <w:rFonts w:ascii="Arial" w:cs="Arial" w:eastAsia="Arial" w:hAnsi="Arial"/>
          <w:sz w:val="18"/>
          <w:szCs w:val="18"/>
          <w:b w:val="1"/>
          <w:bCs w:val="1"/>
          <w:color w:val="auto"/>
        </w:rPr>
      </w:pPr>
    </w:p>
    <w:p>
      <w:pPr>
        <w:ind w:left="460" w:right="2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Stock options may be granted to employees, consultants and directors to purchase a fixed number of shares of our common stock. The exercise prices of options granted are at least equal to the fair market value of our common stock on the dates of grant and options generally vest and become exercisable after one year or in four annual increments beginning one year after the date of grant. Stock options granted under the program have a maximum contractual term of ten years.</w:t>
      </w:r>
    </w:p>
    <w:p>
      <w:pPr>
        <w:spacing w:after="0" w:line="62" w:lineRule="exact"/>
        <w:rPr>
          <w:rFonts w:ascii="Arial" w:cs="Arial" w:eastAsia="Arial" w:hAnsi="Arial"/>
          <w:sz w:val="18"/>
          <w:szCs w:val="18"/>
          <w:b w:val="1"/>
          <w:bCs w:val="1"/>
          <w:color w:val="auto"/>
        </w:rPr>
      </w:pPr>
    </w:p>
    <w:p>
      <w:pPr>
        <w:ind w:left="460" w:right="2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At March 29, 2014, we had 3,004,798 stock options outstanding. These options had a weighted-average exercise price of $11.89 per share, an aggregate intrinsic value of approximately $2.8 million and the weighted average remaining contractual term was approximately 5.1 years.</w:t>
      </w:r>
    </w:p>
    <w:p>
      <w:pPr>
        <w:spacing w:after="0" w:line="4" w:lineRule="exact"/>
        <w:rPr>
          <w:rFonts w:ascii="Arial" w:cs="Arial" w:eastAsia="Arial" w:hAnsi="Arial"/>
          <w:sz w:val="18"/>
          <w:szCs w:val="18"/>
          <w:b w:val="1"/>
          <w:bCs w:val="1"/>
          <w:color w:val="auto"/>
        </w:rPr>
      </w:pPr>
    </w:p>
    <w:p>
      <w:pPr>
        <w:ind w:left="460" w:right="140"/>
        <w:spacing w:after="0" w:line="330" w:lineRule="auto"/>
        <w:rPr>
          <w:rFonts w:ascii="Arial" w:cs="Arial" w:eastAsia="Arial" w:hAnsi="Arial"/>
          <w:sz w:val="18"/>
          <w:szCs w:val="18"/>
          <w:b w:val="1"/>
          <w:bCs w:val="1"/>
          <w:color w:val="auto"/>
        </w:rPr>
      </w:pPr>
      <w:r>
        <w:rPr>
          <w:rFonts w:ascii="Arial" w:cs="Arial" w:eastAsia="Arial" w:hAnsi="Arial"/>
          <w:sz w:val="16"/>
          <w:szCs w:val="16"/>
          <w:color w:val="auto"/>
        </w:rPr>
        <w:t>At March 29, 2014, we had 2,333,487 stock options outstanding that were exercisable. These options had a weighted-average exercise price of $12.26 per share, an aggregate intrinsic value of $2.5 million and the weighted average remaining contractual term was approximately 4.3 years.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p>
    <w:p>
      <w:pPr>
        <w:spacing w:after="0" w:line="96" w:lineRule="exact"/>
        <w:rPr>
          <w:rFonts w:ascii="Arial" w:cs="Arial" w:eastAsia="Arial" w:hAnsi="Arial"/>
          <w:sz w:val="18"/>
          <w:szCs w:val="18"/>
          <w:b w:val="1"/>
          <w:bCs w:val="1"/>
          <w:color w:val="auto"/>
        </w:rPr>
      </w:pPr>
    </w:p>
    <w:p>
      <w:pPr>
        <w:ind w:left="460" w:right="12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We issue restricted stock units to certain employees, consultants and directors. 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7" w:lineRule="exact"/>
        <w:rPr>
          <w:rFonts w:ascii="Arial" w:cs="Arial" w:eastAsia="Arial" w:hAnsi="Arial"/>
          <w:sz w:val="18"/>
          <w:szCs w:val="18"/>
          <w:b w:val="1"/>
          <w:bCs w:val="1"/>
          <w:color w:val="auto"/>
        </w:rPr>
      </w:pPr>
    </w:p>
    <w:p>
      <w:pPr>
        <w:jc w:val="both"/>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Subsequent to December 28, 2013, we awarded restricted stock units covering 454,538 shares of our common stock to employees and at March 29, 2014, we had 1,131,871 restricted stock units outstanding with an aggregate intrinsic value of approximately $11.9 million and the weighted average remaining vesting period was approximately 1.9 years.</w:t>
      </w:r>
    </w:p>
    <w:p>
      <w:pPr>
        <w:spacing w:after="0" w:line="5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Equity-Based Performance Stock Units</w:t>
      </w:r>
    </w:p>
    <w:p>
      <w:pPr>
        <w:spacing w:after="0" w:line="96" w:lineRule="exact"/>
        <w:rPr>
          <w:rFonts w:ascii="Arial" w:cs="Arial" w:eastAsia="Arial" w:hAnsi="Arial"/>
          <w:sz w:val="18"/>
          <w:szCs w:val="18"/>
          <w:b w:val="1"/>
          <w:bCs w:val="1"/>
          <w:color w:val="auto"/>
        </w:rPr>
      </w:pPr>
    </w:p>
    <w:p>
      <w:pPr>
        <w:ind w:left="460" w:right="2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Starting in 2012, we began issuing equity-based performance stock units (“PSUs”) to certain employees to reward achievement of financial performance goals set by the Board of Directors. Equity-based performance stock units vest over a three-year period from the date of grant. Prior to vesting, equity-based performance stock units do not have dividend equivalent rights, do not have voting rights and the shares underlying the restricted stock units are not considered issued and outstanding. The number of shares of stock ultimately issued to participants will depend upon the extent to which certain performance goals are met. The award measurement period is one fiscal year and based upon the level of goal achievement, the number of shares we will issue can range from 0% up to 150% of the granted units and vest over three years from the date of initial grant and upon final Board of Directors approval.</w:t>
      </w:r>
    </w:p>
    <w:p>
      <w:pPr>
        <w:spacing w:after="0" w:line="23" w:lineRule="exact"/>
        <w:rPr>
          <w:rFonts w:ascii="Arial" w:cs="Arial" w:eastAsia="Arial" w:hAnsi="Arial"/>
          <w:sz w:val="18"/>
          <w:szCs w:val="18"/>
          <w:b w:val="1"/>
          <w:bCs w:val="1"/>
          <w:color w:val="auto"/>
        </w:rPr>
      </w:pPr>
    </w:p>
    <w:p>
      <w:pPr>
        <w:ind w:left="460" w:right="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March 25, 2014, we issued 192,019 equity-based performance stock units to senior executives with vesting that is contingent on the level of achievement of certain performance goals, market return and continued service (“market-based PSUs”). The market-based PSUs issued in 2014 are subject to a one-year performance period after which the number of market-based PSUs earned will be determined and will then be subject to certain adjustments resulting from performance of Cohu’s Relative Total Shareholder Return (“TSR”) to a selected peer group over a two year measurement period following the date of grant with the total adjustment ranging from 75% to 125% of the target amount based on the percentage by which our TSR exceeds or falls below the selected peer group. Market-based PSUs earned will vest at the rate of 50% on the second and third anniversary of their grant. We estimated the fair value of market-based PSUs using a Monte Carlo simulation model on the date of grant. The model incorporates assumptions for the risk-free interest rate, Cohu and the selected peer group price volatility, the correlation between Cohu and the selected index, and dividend yields. Compensation expense is recognized ratably over the measurement period.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29, 2014</w:t>
      </w:r>
    </w:p>
    <w:p>
      <w:pPr>
        <w:spacing w:after="0" w:line="151"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At March 29, 2014, we had 368,875 PSUs and market based PSUs outstanding with an aggregate intrinsic value of approximately $3.9 million and the weighted average remaining vesting period was approximately 2.0 years.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Stock Purchase Plan (ESPP)</w:t>
      </w:r>
    </w:p>
    <w:p>
      <w:pPr>
        <w:spacing w:after="0" w:line="96"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Cohu, Inc. 1997 Employee Stock Purchase Plan (“the Plan”) provides for the issuance of shares of our common stock. Under the Plan, eligible employees may purchase shares of Cohu common stock through payroll deductions at a price equal to 85 percent of the lower of the fair market value of Cohu common stock at the beginning or end of each 6-month purchase period, subject to certain limits. No ESPP shares were sold to our employees during the three-month period ended March 29, 2014 and we have 322,422 shares available for future issuance under the Plan.</w:t>
      </w:r>
    </w:p>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Ordinarily, interim tax provisions are calculated using the estimated effective tax rate (“ETR”) expected to be applicable for the full fiscal year. However, when a reliable estimate of the annual ETR cannot be made, the actual ETR for the year-to-date period may be the best estimate of the annual ETR. For the three months ended March 29, 2014 and March 30, 2013 we used the actual year-to-date ETR in computing our tax benefit, as a reliable estimate of the annual ETR cannot be made, since relatively small changes in our projected income or loss produce a significant variance in our ETR. The actual year-to-date ETR for the three months ended March 29, 2014 and March 30, 2013, was 1.6% and 6.3%, respectively. The tax benefit in 2014 and 2013 differs from the U.S. federal statutory rate primarily due to the inability to benefit our domestic losses, foreign income taxed at lower rates, changes in our deferred tax asset valuation allowance, state taxes and changes and interest related to unrecognized tax benefits.</w:t>
      </w:r>
    </w:p>
    <w:p>
      <w:pPr>
        <w:spacing w:after="0" w:line="37" w:lineRule="exact"/>
        <w:rPr>
          <w:rFonts w:ascii="Arial" w:cs="Arial" w:eastAsia="Arial" w:hAnsi="Arial"/>
          <w:sz w:val="18"/>
          <w:szCs w:val="18"/>
          <w:b w:val="1"/>
          <w:bCs w:val="1"/>
          <w:color w:val="auto"/>
        </w:rPr>
      </w:pPr>
    </w:p>
    <w:p>
      <w:pPr>
        <w:ind w:left="46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There was no material change to our unrecognized tax benefits and interest accrued related to unrecognized tax benefits during the three months ended March 29, 2014.</w:t>
      </w:r>
    </w:p>
    <w:p>
      <w:pPr>
        <w:spacing w:after="0" w:line="44"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Segments</w:t>
      </w:r>
    </w:p>
    <w:p>
      <w:pPr>
        <w:spacing w:after="0" w:line="96" w:lineRule="exact"/>
        <w:rPr>
          <w:rFonts w:ascii="Arial" w:cs="Arial" w:eastAsia="Arial" w:hAnsi="Arial"/>
          <w:sz w:val="18"/>
          <w:szCs w:val="18"/>
          <w:b w:val="1"/>
          <w:bCs w:val="1"/>
          <w:color w:val="auto"/>
        </w:rPr>
      </w:pPr>
    </w:p>
    <w:p>
      <w:pPr>
        <w:ind w:left="460" w:right="3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Our reportable segments are business units that offer different products and are managed separately because each business requires different technology and marketing strategies. Our reportable segments are: semiconductor equipment, microwave communications and video cameras.</w:t>
      </w:r>
    </w:p>
    <w:p>
      <w:pPr>
        <w:spacing w:after="0" w:line="4"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allocate resources and evaluate the performance of segments based on profit or loss from operations, excluding interest, corporate expenses and unusual gains or losses. Intersegment sales were not significant for any period.</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Financial information by industry segment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color w:val="auto"/>
                <w:w w:val="94"/>
              </w:rPr>
              <w:t>Three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76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March 29,</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w w:val="93"/>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5"/>
              <w:spacing w:after="0" w:line="159" w:lineRule="exact"/>
              <w:rPr>
                <w:sz w:val="20"/>
                <w:szCs w:val="20"/>
                <w:color w:val="auto"/>
              </w:rPr>
            </w:pPr>
            <w:r>
              <w:rPr>
                <w:rFonts w:ascii="Arial" w:cs="Arial" w:eastAsia="Arial" w:hAnsi="Arial"/>
                <w:sz w:val="14"/>
                <w:szCs w:val="14"/>
                <w:color w:val="auto"/>
              </w:rPr>
              <w:t>2014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Net sales by segment:</w:t>
            </w:r>
          </w:p>
        </w:tc>
        <w:tc>
          <w:tcPr>
            <w:tcW w:w="3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3840" w:type="dxa"/>
            <w:vAlign w:val="bottom"/>
            <w:gridSpan w:val="2"/>
            <w:shd w:val="clear" w:color="auto" w:fill="CCEEFF"/>
          </w:tcPr>
          <w:p>
            <w:pPr>
              <w:ind w:left="37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60,170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Video cameras</w:t>
            </w:r>
          </w:p>
        </w:tc>
        <w:tc>
          <w:tcPr>
            <w:tcW w:w="3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w w:val="87"/>
              </w:rPr>
              <w:t>Total consolidated net sales and net sales for reportable segments</w:t>
            </w:r>
          </w:p>
        </w:tc>
        <w:tc>
          <w:tcPr>
            <w:tcW w:w="3840" w:type="dxa"/>
            <w:vAlign w:val="bottom"/>
            <w:gridSpan w:val="2"/>
          </w:tcPr>
          <w:p>
            <w:pPr>
              <w:ind w:left="376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68,417</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profit (loss):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3840" w:type="dxa"/>
            <w:vAlign w:val="bottom"/>
            <w:gridSpan w:val="2"/>
          </w:tcPr>
          <w:p>
            <w:pPr>
              <w:ind w:left="37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Video cameras</w:t>
            </w:r>
          </w:p>
        </w:tc>
        <w:tc>
          <w:tcPr>
            <w:tcW w:w="3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for reportable segments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Other unallocated amounts: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expenses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Interest and other, net</w:t>
            </w:r>
          </w:p>
        </w:tc>
        <w:tc>
          <w:tcPr>
            <w:tcW w:w="3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before taxes</w:t>
            </w:r>
          </w:p>
        </w:tc>
        <w:tc>
          <w:tcPr>
            <w:tcW w:w="3840" w:type="dxa"/>
            <w:vAlign w:val="bottom"/>
            <w:gridSpan w:val="2"/>
            <w:shd w:val="clear" w:color="auto" w:fill="CCEEFF"/>
          </w:tcPr>
          <w:p>
            <w:pPr>
              <w:ind w:left="37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(3,403)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760" w:type="dxa"/>
            <w:vAlign w:val="bottom"/>
            <w:vMerge w:val="restart"/>
          </w:tcPr>
          <w:p>
            <w:pPr>
              <w:ind w:left="6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29, 2014</w:t>
      </w:r>
    </w:p>
    <w:p>
      <w:pPr>
        <w:spacing w:after="0" w:line="15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 small number of customers of our semiconductor equipment segment historically have been responsible for a significant portion of our consolidated net sales. Significant customer concentration information is as follows:</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9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Three Months Ended</w:t>
            </w:r>
          </w:p>
        </w:tc>
      </w:tr>
      <w:tr>
        <w:trPr>
          <w:trHeight w:val="131"/>
        </w:trPr>
        <w:tc>
          <w:tcPr>
            <w:tcW w:w="8600" w:type="dxa"/>
            <w:vAlign w:val="bottom"/>
          </w:tcPr>
          <w:p>
            <w:pPr>
              <w:spacing w:after="0"/>
              <w:rPr>
                <w:sz w:val="11"/>
                <w:szCs w:val="11"/>
                <w:color w:val="auto"/>
              </w:rPr>
            </w:pPr>
          </w:p>
        </w:tc>
        <w:tc>
          <w:tcPr>
            <w:tcW w:w="1340" w:type="dxa"/>
            <w:vAlign w:val="bottom"/>
            <w:gridSpan w:val="2"/>
          </w:tcPr>
          <w:p>
            <w:pPr>
              <w:jc w:val="center"/>
              <w:ind w:right="780"/>
              <w:spacing w:after="0" w:line="131" w:lineRule="exact"/>
              <w:rPr>
                <w:sz w:val="20"/>
                <w:szCs w:val="20"/>
                <w:color w:val="auto"/>
              </w:rPr>
            </w:pPr>
            <w:r>
              <w:rPr>
                <w:rFonts w:ascii="Arial" w:cs="Arial" w:eastAsia="Arial" w:hAnsi="Arial"/>
                <w:sz w:val="14"/>
                <w:szCs w:val="14"/>
                <w:color w:val="auto"/>
                <w:w w:val="89"/>
              </w:rPr>
              <w:t>March 29,</w:t>
            </w:r>
          </w:p>
        </w:tc>
        <w:tc>
          <w:tcPr>
            <w:tcW w:w="560" w:type="dxa"/>
            <w:vAlign w:val="bottom"/>
          </w:tcPr>
          <w:p>
            <w:pPr>
              <w:jc w:val="center"/>
              <w:spacing w:after="0" w:line="131" w:lineRule="exact"/>
              <w:rPr>
                <w:sz w:val="20"/>
                <w:szCs w:val="20"/>
                <w:color w:val="auto"/>
              </w:rPr>
            </w:pPr>
            <w:r>
              <w:rPr>
                <w:rFonts w:ascii="Arial" w:cs="Arial" w:eastAsia="Arial" w:hAnsi="Arial"/>
                <w:sz w:val="14"/>
                <w:szCs w:val="14"/>
                <w:color w:val="auto"/>
                <w:w w:val="89"/>
              </w:rPr>
              <w:t>March 30,</w:t>
            </w:r>
          </w:p>
        </w:tc>
      </w:tr>
      <w:tr>
        <w:trPr>
          <w:trHeight w:val="159"/>
        </w:trPr>
        <w:tc>
          <w:tcPr>
            <w:tcW w:w="86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4"/>
              <w:spacing w:after="0" w:line="159" w:lineRule="exact"/>
              <w:rPr>
                <w:sz w:val="20"/>
                <w:szCs w:val="20"/>
                <w:color w:val="auto"/>
              </w:rPr>
            </w:pPr>
            <w:r>
              <w:rPr>
                <w:rFonts w:ascii="Arial" w:cs="Arial" w:eastAsia="Arial" w:hAnsi="Arial"/>
                <w:sz w:val="14"/>
                <w:szCs w:val="14"/>
                <w:color w:val="auto"/>
              </w:rPr>
              <w:t>2014</w:t>
            </w:r>
          </w:p>
        </w:tc>
        <w:tc>
          <w:tcPr>
            <w:tcW w:w="7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2"/>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Customers individually accounting for more than 10% of consolidated net sales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two</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one</w:t>
            </w:r>
          </w:p>
        </w:tc>
      </w:tr>
      <w:tr>
        <w:trPr>
          <w:trHeight w:val="222"/>
        </w:trPr>
        <w:tc>
          <w:tcPr>
            <w:tcW w:w="8600" w:type="dxa"/>
            <w:vAlign w:val="bottom"/>
          </w:tcPr>
          <w:p>
            <w:pPr>
              <w:spacing w:after="0"/>
              <w:rPr>
                <w:sz w:val="20"/>
                <w:szCs w:val="20"/>
                <w:color w:val="auto"/>
              </w:rPr>
            </w:pPr>
            <w:r>
              <w:rPr>
                <w:rFonts w:ascii="Arial" w:cs="Arial" w:eastAsia="Arial" w:hAnsi="Arial"/>
                <w:sz w:val="18"/>
                <w:szCs w:val="18"/>
                <w:color w:val="auto"/>
              </w:rPr>
              <w:t>Percentage of consolidated net sales</w:t>
            </w:r>
          </w:p>
        </w:tc>
        <w:tc>
          <w:tcPr>
            <w:tcW w:w="560" w:type="dxa"/>
            <w:vAlign w:val="bottom"/>
          </w:tcPr>
          <w:p>
            <w:pPr>
              <w:jc w:val="right"/>
              <w:ind w:right="44"/>
              <w:spacing w:after="0"/>
              <w:rPr>
                <w:sz w:val="20"/>
                <w:szCs w:val="20"/>
                <w:color w:val="auto"/>
              </w:rPr>
            </w:pPr>
            <w:r>
              <w:rPr>
                <w:rFonts w:ascii="Arial" w:cs="Arial" w:eastAsia="Arial" w:hAnsi="Arial"/>
                <w:sz w:val="18"/>
                <w:szCs w:val="18"/>
                <w:color w:val="auto"/>
              </w:rPr>
              <w:t>26%</w:t>
            </w:r>
          </w:p>
        </w:tc>
        <w:tc>
          <w:tcPr>
            <w:tcW w:w="780" w:type="dxa"/>
            <w:vAlign w:val="bottom"/>
          </w:tcPr>
          <w:p>
            <w:pPr>
              <w:spacing w:after="0"/>
              <w:rPr>
                <w:sz w:val="19"/>
                <w:szCs w:val="19"/>
                <w:color w:val="auto"/>
              </w:rPr>
            </w:pPr>
          </w:p>
        </w:tc>
        <w:tc>
          <w:tcPr>
            <w:tcW w:w="560" w:type="dxa"/>
            <w:vAlign w:val="bottom"/>
          </w:tcPr>
          <w:p>
            <w:pPr>
              <w:jc w:val="right"/>
              <w:ind w:right="42"/>
              <w:spacing w:after="0"/>
              <w:rPr>
                <w:sz w:val="20"/>
                <w:szCs w:val="20"/>
                <w:color w:val="auto"/>
              </w:rPr>
            </w:pPr>
            <w:r>
              <w:rPr>
                <w:rFonts w:ascii="Arial" w:cs="Arial" w:eastAsia="Arial" w:hAnsi="Arial"/>
                <w:sz w:val="18"/>
                <w:szCs w:val="18"/>
                <w:color w:val="auto"/>
              </w:rPr>
              <w:t>20%</w:t>
            </w:r>
          </w:p>
        </w:tc>
      </w:tr>
    </w:tbl>
    <w:p>
      <w:pPr>
        <w:spacing w:after="0" w:line="6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businesses. The outcome of any litigation is inherently uncertain. While there can be no assurance, we do not believe at the present time that the resolution of the matters described above will have a material adverse effect on our assets, financial position or results of operations.</w:t>
      </w:r>
    </w:p>
    <w:p>
      <w:pPr>
        <w:spacing w:after="0" w:line="19"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Our products are generally sold with warranty periods that range from 12 to 36 months following sale or acceptance. Parts and labor are covered under the terms of the warranty agreement. The warranty provision is based on historical and projected experience by product and configuration.</w:t>
      </w:r>
    </w:p>
    <w:p>
      <w:pPr>
        <w:spacing w:after="0" w:line="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color w:val="auto"/>
              </w:rPr>
              <w:t>Three Months Ended</w:t>
            </w:r>
          </w:p>
        </w:tc>
      </w:tr>
      <w:tr>
        <w:trPr>
          <w:trHeight w:val="131"/>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March 29,</w:t>
            </w:r>
          </w:p>
        </w:tc>
        <w:tc>
          <w:tcPr>
            <w:tcW w:w="58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w w:val="86"/>
              </w:rPr>
              <w:t>March 30,</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w w:val="89"/>
              </w:rPr>
              <w:t>2014</w:t>
            </w: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6"/>
              <w:spacing w:after="0" w:line="159" w:lineRule="exact"/>
              <w:rPr>
                <w:sz w:val="20"/>
                <w:szCs w:val="20"/>
                <w:color w:val="auto"/>
              </w:rPr>
            </w:pPr>
            <w:r>
              <w:rPr>
                <w:rFonts w:ascii="Arial" w:cs="Arial" w:eastAsia="Arial" w:hAnsi="Arial"/>
                <w:sz w:val="14"/>
                <w:szCs w:val="14"/>
                <w:color w:val="auto"/>
                <w:w w:val="96"/>
              </w:rPr>
              <w:t>2013</w:t>
            </w:r>
          </w:p>
        </w:tc>
        <w:tc>
          <w:tcPr>
            <w:tcW w:w="100" w:type="dxa"/>
            <w:vAlign w:val="bottom"/>
            <w:tcBorders>
              <w:bottom w:val="single" w:sz="8" w:color="CCEEFF"/>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1,211</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(1,409)</w:t>
            </w: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Warranty liability assumed from Ismeca acquisition</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4,914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spacing w:after="0" w:line="294" w:lineRule="auto"/>
        <w:rPr>
          <w:sz w:val="20"/>
          <w:szCs w:val="20"/>
          <w:color w:val="auto"/>
        </w:rPr>
      </w:pPr>
      <w:r>
        <w:rPr>
          <w:rFonts w:ascii="Arial" w:cs="Arial" w:eastAsia="Arial" w:hAnsi="Arial"/>
          <w:sz w:val="16"/>
          <w:szCs w:val="16"/>
          <w:color w:val="auto"/>
        </w:rPr>
        <w:t>From time-to-time, during the ordinary course of business, we provide standby letters of credit for certain contingent liabilities under contractual arrangements, including customer contracts. As of March 29, 2014, the maximum potential amount of future payments that Cohu could be required to make under these standby letters of credit was approximately $0.7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29, 2014</w:t>
      </w:r>
    </w:p>
    <w:p>
      <w:pPr>
        <w:spacing w:after="0" w:line="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2013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Cohu operates in three business segments. Our primary business is the development, manufacture, sale and servicing of test handling, burn-in, thermal sub-systems and MEMS test solutions for the global semiconductor industry through our wholly-owned subsidiaries, Delta Design, Inc., Rasco GmbH and Ismeca Semiconductor Holding SA. Our primary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is difficult to accurately predict.</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Average orders for back-end semiconductor equipment, as reported by Semiconductor Equipment and Materials International (SEMI), increased sequentially each of the first three months of 2014 and the order momentum within our semiconductor equipment segment that began in the fourth quarter of 2013 continued its upward trend as orders increased 9% sequentially in the first quarter of 2014. We experienced order demand across all our product lines and customer base with our pick and place and gravity handlers benefitting from continued demand from the automotive and industrial segments. We also saw improved results within our turret business which was driven largely by the consumer, mobility and discrete markets and as the quarter ended, by increased demand from LED customers. We continue to be optimistic about the long-term prospects for the semiconductor equipment industry due to expanding applications, growing integrated circuit content in automotive, consumer and industrial applications, and the projected adoption of high brightness LEDs for the general lighting market.</w:t>
      </w:r>
    </w:p>
    <w:p>
      <w:pPr>
        <w:spacing w:after="0" w:line="1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non-semiconductor businesses produce mobile microwave communications equipment (Broadcast Microwave Services, Inc.) and video cameras and accessories (Cohu Electronics Division) and comprised approximately 16% of our consolidated revenues during the three-year period ended December 28, 2013 and were approximately 12% for the quarter ended March 29, 2014. Our microwave communications equipment business develops, manufactures and sells mobile microwave communications equipment, antenna systems and associated equipment. These products are used in the transmission of video, audio and telemetry. Applications for these microwave data-links include unmanned aerial vehicles (“UAVs”), public safety, security, surveillance and electronic news gathering. Customers for these products are government agencies, public safety organizations, UAV program contractors, television broadcasters and other commercial entities.</w:t>
      </w:r>
    </w:p>
    <w:p>
      <w:pPr>
        <w:spacing w:after="0" w:line="14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Our video camera segment develops, manufactures and sells a wide variety of video cameras and related products, specializing in video solutions for traffic control and management, security/surveillance, military, scientific imaging and machine vision. Customers for these products are distributed among corporate end-users, state and federal government agencies, original equipment manufacturers, system integrators and value-added resellers.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29, 2014</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need to make estimates of matters that are inherently uncertain. Our critical accounting estimates that we believe are the most important to an investor’s understanding of our financial results and condition and require complex management judgment include:</w:t>
      </w:r>
    </w:p>
    <w:p>
      <w:pPr>
        <w:spacing w:after="0" w:line="51"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90" w:lineRule="exact"/>
        <w:rPr>
          <w:rFonts w:ascii="Arial" w:cs="Arial" w:eastAsia="Arial" w:hAnsi="Arial"/>
          <w:sz w:val="18"/>
          <w:szCs w:val="18"/>
          <w:color w:val="auto"/>
        </w:rPr>
      </w:pPr>
    </w:p>
    <w:p>
      <w:pPr>
        <w:ind w:left="440" w:right="38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50" w:lineRule="exact"/>
        <w:rPr>
          <w:rFonts w:ascii="Arial" w:cs="Arial" w:eastAsia="Arial" w:hAnsi="Arial"/>
          <w:sz w:val="18"/>
          <w:szCs w:val="18"/>
          <w:color w:val="auto"/>
        </w:rPr>
      </w:pPr>
    </w:p>
    <w:p>
      <w:pPr>
        <w:ind w:left="440" w:right="60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or amortization; and</w:t>
      </w:r>
    </w:p>
    <w:p>
      <w:pPr>
        <w:spacing w:after="0" w:line="5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5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3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5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 historical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2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The valuation of inventory requires us to estimate obsolete or excess inventory as well as inventory that is not of saleable quality. The determination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38" w:lineRule="exact"/>
        <w:rPr>
          <w:sz w:val="20"/>
          <w:szCs w:val="20"/>
          <w:color w:val="auto"/>
        </w:rPr>
      </w:pPr>
    </w:p>
    <w:p>
      <w:pPr>
        <w:ind w:firstLine="8"/>
        <w:spacing w:after="0" w:line="287" w:lineRule="auto"/>
        <w:tabs>
          <w:tab w:leader="none" w:pos="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March 29, 2014 was approximately $47.8 million, with a valuation allowance of approximately $38.7 million. Our deferred tax assets consist primarily of reserves and accruals that are not yet deductible for tax and tax credit and net operating loss carryforwards.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29, 2014</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Goodwill, Purchased Intangible Assets and Other Long-lived Assets: </w:t>
      </w:r>
      <w:r>
        <w:rPr>
          <w:rFonts w:ascii="Arial" w:cs="Arial" w:eastAsia="Arial" w:hAnsi="Arial"/>
          <w:sz w:val="16"/>
          <w:szCs w:val="16"/>
          <w:color w:val="auto"/>
        </w:rPr>
        <w:t>We evaluate goodwill for impairment annually and when an event occurs or 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conduct our annual impairment test as of October 1st of each year.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that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March 29, 2014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4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63"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We are subject to certain contingencies that arise in the ordinary course of our businesses which require us to assess the likelihood that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2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stock options is recorded based on the fair value of the award on its grant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For a description of accounting changes and recent accounting pronouncements, including the expected dates of adoption and estimated effects, if any, on our consolidated financial statements, see Note 1, “Recent Accounting Pronouncements” in Part I, Item 1 of this Form 10-Q.</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29, 2014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as a percentage of net sales: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8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March 29,</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sales</w:t>
            </w:r>
          </w:p>
        </w:tc>
        <w:tc>
          <w:tcPr>
            <w:tcW w:w="194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(65.2)</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3"/>
          </w:tcPr>
          <w:p>
            <w:pPr>
              <w:jc w:val="right"/>
              <w:ind w:right="500"/>
              <w:spacing w:after="0"/>
              <w:rPr>
                <w:sz w:val="20"/>
                <w:szCs w:val="20"/>
                <w:color w:val="auto"/>
              </w:rPr>
            </w:pPr>
            <w:r>
              <w:rPr>
                <w:rFonts w:ascii="Arial" w:cs="Arial" w:eastAsia="Arial" w:hAnsi="Arial"/>
                <w:sz w:val="18"/>
                <w:szCs w:val="18"/>
                <w:color w:val="auto"/>
              </w:rPr>
              <w:t>(16.3)</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Fiscal 2014 Compared to First Quarter of Fiscal 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right="200"/>
        <w:spacing w:after="0" w:line="323" w:lineRule="auto"/>
        <w:rPr>
          <w:sz w:val="20"/>
          <w:szCs w:val="20"/>
          <w:color w:val="auto"/>
        </w:rPr>
      </w:pPr>
      <w:r>
        <w:rPr>
          <w:rFonts w:ascii="Arial" w:cs="Arial" w:eastAsia="Arial" w:hAnsi="Arial"/>
          <w:sz w:val="15"/>
          <w:szCs w:val="15"/>
          <w:color w:val="auto"/>
        </w:rPr>
        <w:t>Our consolidated net sales increased 22.1% to $68.4 million in 2014, compared to net sales of $56.0 million in 2013. Sales of semiconductor equipment in the first quarter of fiscal 2014 were $60.2 million, and increased $11.6 million or 23.8% from 2013 and represented 87.9% of consolidated net sales in 2014 versus 86.7% in 2013. In the first fiscal quarter of 2014 the sales generated by our semiconductor equipment segment benefitted from increased shipments of products used by automotive, consumer and industrial power customers and increased demand for equipment used for processing discrete components and LEDs.</w:t>
      </w:r>
    </w:p>
    <w:p>
      <w:pPr>
        <w:spacing w:after="0" w:line="1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Sales of mobile microwave communications equipment in the first quarter of fiscal 2014 were $4.7 million, representing 6.9% of consolidated net sales in 2014, and increased $1.1 million or 28.8% when compared to 2013. The increase in business volume experienced by our microwave communication equipment segment during the first fiscal quarter of 2014 resulted from increased product shipments made to government surveillance and law enforcement customers.</w:t>
      </w:r>
    </w:p>
    <w:p>
      <w:pPr>
        <w:spacing w:after="0" w:line="2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Sales of video cameras in the first quarter of fiscal 2014 were $3.6 million representing 5.2% of consolidated net sales in 2014 decreasing $0.2 million or 6.2% when compared to the same period of fiscal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increased to 34.8% in 2014 from 27.8% in 2013. In the first fiscal quarter of 2014 our gross margin improved as compared to the prior year as a result of increased shipments of thermal sub-systems which have higher gross margins than our semiconductor test handler products and the initial benefits from the transition of our semiconductor equipment manufacturing to Asia. Gross margin in the first fiscal quarter of 2013 was unfavorably impacted by inefficiencies associated with lower levels of production, the deferral of certain revenue with bifurcated payment terms in accordance with our revenue policy, and the amortization of a purchase accounting inventory step-up adjustment recorded as a result of our acquisition of Ismeca.</w:t>
      </w:r>
    </w:p>
    <w:p>
      <w:pPr>
        <w:spacing w:after="0" w:line="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gross margin is impacted by charges to cost of sales related to excess, obsolete and lower of cost or market inventory adjustments. We compute the majority of our excess and obsolete inventory reserve requirements using a one-year inventory usage forecast. During the first quarter of fiscal 2014 and 2013 we recorded charges to cost of sales of approximately $1.5 million and $1.8 million for excess and obsolete inventory, respectively. While we believe our reserves for excess and obsolete inventory and lower of cost or market concerns are adequate to cover known exposures at March 29, 2014, reductions in customer forecasts or continued modifications to products, as a result of our failure to meet specifications or other customer requirements, may result in additional charges to operations that could negatively impact our results of operations and gross margin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R&amp;D expense consists primarily of salaries and related costs of employees engaged in ongoing research, product design and development activities, costs of engineering materials and supplies, and professional consulting expenses. R&amp;D expense was $11.2 million or 16.3% of net sales in 2014, compared to $13.5 million or 24.0% in 2013. The decrease in R&amp;D spending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29, 2014</w:t>
      </w:r>
    </w:p>
    <w:p>
      <w:pPr>
        <w:spacing w:after="0" w:line="151"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during the first fiscal quarter of 2014 was a result of product development programs that have concluded or are nearing completion, as planned, and cost control measures and headcount reductions which occurred throughout fiscal 2013 within our semiconductor and microwave communication equipment segments.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was $16.0 million or 23.5% of net sales in 2014, compared to $15.1 million or 26.9% in 2013. The increase in SG&amp;A expense in the first quarter of fiscal 2014 was primarily a result of increased business activity within our semiconductor equipment segment. SG&amp;A expense in the first quarter of fiscal 2014 included $0.8 million of manufacturing transition and employee severance costs. The first fiscal quarter of 2013 SG&amp;A costs included $0.5 million costs incurred in connection with transitioning our semiconductor equipment manufacturing to Asia and $0.3 million of acquisition related costs incurred in connection with completing the purchase of Ismeca.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Ordinarily, interim tax provisions are calculated using the estimated effective tax rate (“ETR”) expected to be applicable for the full fiscal year. However, when a reliable estimate of the annual ETR cannot be made, the actual ETR for the year-to-date period may be the best estimate of the annual ETR. For the three months ended March 29, 2014 and March 30, 2013 we used the actual year-to-date ETR in computing our tax benefit, as a reliable estimate of the annual ETR cannot be made, since relatively small changes in our projected income or loss produce a significant variance in our ETR. The actual year-to-date ETR for the three months ended March 29, 2014 and March 30, 2013, was 1.6% and 6.3%, respectively. The tax benefit in 2014 and 2013 differs from the U.S. federal statutory rate primarily due to the inability to benefit our domestic losses, foreign income taxed at lower rates, changes in our deferred tax asset valuation allowance, state taxes and changes and interest related to unrecognized tax benefits.</w:t>
      </w:r>
    </w:p>
    <w:p>
      <w:pPr>
        <w:spacing w:after="0" w:line="3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was no material change to our unrecognized tax benefits and interest accrued related to unrecognized tax benefits during the three months ended March 29,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$3.3 million in 2014, compared to $12.1 million in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primary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5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and to fund new products and product enhancements primarily through research and development. As of March 29, 2014, $34.9 million of our cash and cash equivalents was held by our foreign subsidiaries. If these funds are needed for our operations in the U.S., we may be required to accrue and pay U.S. taxes if we repatriate these funds. Our intent is to indefinitely reinvest these funds in our foreign operations and we have no current plans that would require us to repatriate these funds to the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760" w:type="dxa"/>
            <w:vAlign w:val="bottom"/>
            <w:gridSpan w:val="2"/>
          </w:tcPr>
          <w:p>
            <w:pPr>
              <w:jc w:val="right"/>
              <w:ind w:right="199"/>
              <w:spacing w:after="0"/>
              <w:rPr>
                <w:sz w:val="20"/>
                <w:szCs w:val="20"/>
                <w:color w:val="auto"/>
              </w:rPr>
            </w:pPr>
            <w:r>
              <w:rPr>
                <w:rFonts w:ascii="Arial" w:cs="Arial" w:eastAsia="Arial" w:hAnsi="Arial"/>
                <w:sz w:val="14"/>
                <w:szCs w:val="14"/>
                <w:color w:val="auto"/>
              </w:rPr>
              <w:t>March 29,</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December 28,</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182"/>
              <w:spacing w:after="0"/>
              <w:rPr>
                <w:sz w:val="20"/>
                <w:szCs w:val="20"/>
                <w:color w:val="auto"/>
              </w:rPr>
            </w:pPr>
            <w:r>
              <w:rPr>
                <w:rFonts w:ascii="Arial" w:cs="Arial" w:eastAsia="Arial" w:hAnsi="Arial"/>
                <w:sz w:val="14"/>
                <w:szCs w:val="14"/>
                <w:color w:val="auto"/>
              </w:rPr>
              <w:t>Percentage</w:t>
            </w:r>
          </w:p>
        </w:tc>
      </w:tr>
      <w:tr>
        <w:trPr>
          <w:trHeight w:val="159"/>
        </w:trPr>
        <w:tc>
          <w:tcPr>
            <w:tcW w:w="43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19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9"/>
              <w:spacing w:after="0" w:line="159"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9"/>
              <w:spacing w:after="0" w:line="159" w:lineRule="exact"/>
              <w:rPr>
                <w:sz w:val="20"/>
                <w:szCs w:val="20"/>
                <w:color w:val="auto"/>
              </w:rPr>
            </w:pPr>
            <w:r>
              <w:rPr>
                <w:rFonts w:ascii="Arial" w:cs="Arial" w:eastAsia="Arial" w:hAnsi="Arial"/>
                <w:sz w:val="14"/>
                <w:szCs w:val="14"/>
                <w:color w:val="auto"/>
              </w:rPr>
              <w:t>2013</w:t>
            </w:r>
          </w:p>
        </w:tc>
        <w:tc>
          <w:tcPr>
            <w:tcW w:w="1120" w:type="dxa"/>
            <w:vAlign w:val="bottom"/>
            <w:tcBorders>
              <w:bottom w:val="single" w:sz="8" w:color="auto"/>
            </w:tcBorders>
            <w:gridSpan w:val="2"/>
          </w:tcPr>
          <w:p>
            <w:pPr>
              <w:jc w:val="right"/>
              <w:ind w:right="252"/>
              <w:spacing w:after="0" w:line="159" w:lineRule="exact"/>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jc w:val="right"/>
              <w:ind w:right="262"/>
              <w:spacing w:after="0" w:line="159" w:lineRule="exact"/>
              <w:rPr>
                <w:sz w:val="20"/>
                <w:szCs w:val="20"/>
                <w:color w:val="auto"/>
              </w:rPr>
            </w:pPr>
            <w:r>
              <w:rPr>
                <w:rFonts w:ascii="Arial" w:cs="Arial" w:eastAsia="Arial" w:hAnsi="Arial"/>
                <w:sz w:val="14"/>
                <w:szCs w:val="14"/>
                <w:color w:val="auto"/>
              </w:rPr>
              <w:t>Change</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41,118</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52,868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(11,750)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Working capital</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9"/>
              <w:spacing w:after="0"/>
              <w:rPr>
                <w:sz w:val="20"/>
                <w:szCs w:val="20"/>
                <w:color w:val="auto"/>
              </w:rPr>
            </w:pPr>
            <w:r>
              <w:rPr>
                <w:rFonts w:ascii="Arial" w:cs="Arial" w:eastAsia="Arial" w:hAnsi="Arial"/>
                <w:sz w:val="18"/>
                <w:szCs w:val="18"/>
                <w:color w:val="auto"/>
                <w:w w:val="86"/>
              </w:rPr>
              <w:t>124,485</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9"/>
              <w:spacing w:after="0"/>
              <w:rPr>
                <w:sz w:val="20"/>
                <w:szCs w:val="20"/>
                <w:color w:val="auto"/>
              </w:rPr>
            </w:pPr>
            <w:r>
              <w:rPr>
                <w:rFonts w:ascii="Arial" w:cs="Arial" w:eastAsia="Arial" w:hAnsi="Arial"/>
                <w:sz w:val="18"/>
                <w:szCs w:val="18"/>
                <w:color w:val="auto"/>
                <w:w w:val="95"/>
              </w:rPr>
              <w:t>125,837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(1,352)</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56"/>
        </w:trPr>
        <w:tc>
          <w:tcPr>
            <w:tcW w:w="4360" w:type="dxa"/>
            <w:vAlign w:val="bottom"/>
          </w:tcPr>
          <w:p>
            <w:pPr>
              <w:spacing w:after="0"/>
              <w:rPr>
                <w:sz w:val="24"/>
                <w:szCs w:val="24"/>
                <w:color w:val="auto"/>
              </w:rPr>
            </w:pPr>
          </w:p>
        </w:tc>
        <w:tc>
          <w:tcPr>
            <w:tcW w:w="1960" w:type="dxa"/>
            <w:vAlign w:val="bottom"/>
          </w:tcPr>
          <w:p>
            <w:pPr>
              <w:jc w:val="right"/>
              <w:ind w:right="897"/>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29, 2014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Operating cash flows consist of our net loss, adjusted for non-cash expenses and changes in operating assets and liabilities. Non-cash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depreciation and amortization, share-based compensation expense and deferred income taxes. Our net cash used in operating activities in the three months of fiscal 2014 totaled $8.9 million. Cash used in operating activities was impacted by changes in current assets and liabilities and included increases in accounts receivables, inventory, other current assets and accounts payable of $6.2 million, $3.5 million, $1.1 million and $0.9 million, respectively. The increases in accounts receivables and accounts payable are a result of increased business volume within our semiconductor equipment and microwave communication equipment segments. Inventory increased due to inventory purchases made to support an anticipated production ramp of our semiconductor equipment segment. The increase in other current assets is mainly due to an increase in prepaid items for our business operations. Accrued compensation, warranty and other liabilities decreased $0.7 million as a result of the payment of incentive compensation accrued in fiscal 2013 and decrease in warranty accruals as a result of improvements in reliability of certain semiconductor equipment products.</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Investing cash flows consist primarily of cash used for capital expenditures in support of our businesses, proceeds from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asset disposals and divestitures and cash used for purchases of investments and business acquisitions. Our net cash used in investing activities in the three months of fiscal 2014 totaled $0.5 million and was primarily the result of additions to property, plant and equipment totaling $0.7 million that were made to support the operating and development activities of our semiconductor equipment and microwave communication businesses partially offset $0.1 million of maturities of short-term investments.</w:t>
      </w:r>
    </w:p>
    <w:p>
      <w:pPr>
        <w:spacing w:after="0" w:line="6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flows from financing activities consist primarily of net proceeds from the issuance of common stock under our stock option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stock purchase plans and cash used to pay dividends to our stockholders. We issue stock options and maintain an employee stock purchase plan as components of our overall employee compensation. In the first three months of fiscal 2014, we used $0.8 million to repurchase common stock related to our employee stock plans and we paid dividends totaling $1.5 million, or $0.06 per common share. Future quarterly dividends are subject to our cash liquidity, capital availability and periodic determinations by our Board of Directors that cash dividends are in the best interests of our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letters of credit. As of March 29, 2014, we had approximately $0.7 million of standby letters of credit outstanding under the Secured Facility. As a result of the acquisition of Ismeca, we have an agreement with Credit Suisse (the “Ismeca Facility”) under which it administers a line of credit on behalf of Ismeca. Total borrowings available under the Ismeca Facility is 0.5 million Swiss Francs and at March 29, 2014 no amounts were outstanding. We expect that we will continue to make capital expenditures to support our business and we anticipate that present working capital will be sufficient to meet our operating requirements for at least the next twelve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that have not changed materially from those disclosed in our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on Form 10-K for the year ended December 28, 2013.</w:t>
      </w:r>
    </w:p>
    <w:p>
      <w:pPr>
        <w:spacing w:after="0" w:line="5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 xml:space="preserve">Purchase Commitments: </w:t>
      </w:r>
      <w:r>
        <w:rPr>
          <w:rFonts w:ascii="Arial" w:cs="Arial" w:eastAsia="Arial" w:hAnsi="Arial"/>
          <w:sz w:val="16"/>
          <w:szCs w:val="16"/>
          <w:color w:val="auto"/>
        </w:rPr>
        <w:t>From time to time, we enter into commitments with our vendors and outsourcing partners to purchase inventory at fixed prices 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29, 2014, the maximum potential amount of future payments that we could be required to make under these standby letters of credit was approximately $0.7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Interest Rate Risk.</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At March 29, 2014, our investment portfolio included short-term, fixed-income investment securities with a fair value of approximately $1.1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March 29, 2014, we had no investments with loss positions.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conduct business on a global basis in a number of major international currencies. As such, we are exposed to adverse as well as beneficial movements in foreign currency exchange rates. The majority of our sales are denominated in U.S. dollars except for certain of our revenues that are denominated in Euros and Swiss Francs. Certain expenses incurred by our non-U.S. operations, such as employee payroll and benefits as well as some raw materials purchases and other expenses are denominated and paid in local currency.</w:t>
      </w:r>
    </w:p>
    <w:p>
      <w:pPr>
        <w:spacing w:after="0" w:line="6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considered a hypothetical ten percent adverse movement in foreign exchange rates to the underlying exposures described above and believe that such a market movement would not have a material effect on our consolidated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ind w:right="120" w:firstLine="8"/>
        <w:spacing w:after="0" w:line="301" w:lineRule="auto"/>
        <w:tabs>
          <w:tab w:leader="none" w:pos="24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Under the supervision and with the participation of our management, including our principal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57" w:lineRule="exact"/>
        <w:rPr>
          <w:sz w:val="20"/>
          <w:szCs w:val="20"/>
          <w:color w:val="auto"/>
        </w:rPr>
      </w:pPr>
    </w:p>
    <w:p>
      <w:pPr>
        <w:ind w:right="140" w:firstLine="8"/>
        <w:spacing w:after="0" w:line="275" w:lineRule="auto"/>
        <w:tabs>
          <w:tab w:leader="none" w:pos="25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During the last fiscal quarter, there have been no changes in our internal control over financial reporting that have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or are reasonably likely to materially affect, our internal control over financial reporting.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information set forth above under Note 7 contained in the “Notes to Unaudited Condensed Consolidated Financial Statements” of this Form 10-Q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risks described below may not be the only risks we face. Additional risks that we do not currently believe are material may also impair our business operations. The risk factors set forth below with an asterisk (*) next to the title contain changes to the description of the risk factors associated with our business as previously disclosed in Item 1A to our 2013 Annual Report on Form 10-K. If any of the events or circumstances described in the following risks occur, our business, financial condition, results of operations or cash flows could suffer, and the trading price of our common stock and our market capitalization could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investments and divestitures.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such as our acquisition of Ismeca, which was completed on December 31, 2012. Acquisitions and investments involve numerous risks, including, but not limited to:</w:t>
      </w:r>
    </w:p>
    <w:p>
      <w:pPr>
        <w:spacing w:after="0" w:line="59"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difficulties and increased costs in connection with integration of the personnel, operations, technologies and products of acquired businesses;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loss of key employees or customers of Cohu or acquired businesses;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commercialize purchased technology;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may be required to finance future acquisitions and investments through a combination of borrowings, proceeds from equity or debt offerings and the use of cash, cash equivalents and short-term investments.</w:t>
      </w:r>
    </w:p>
    <w:p>
      <w:pPr>
        <w:spacing w:after="0" w:line="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 respect to divestitures, we may divest businesses that do not meet our strategic objectives, or do not meet our growth or profitability targets and may not be able to complete proposed divestitures on terms commercially favorable to us.</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March 29, 2014 we had goodwill and net purchased intangible assets balances of $71.4 million and $43.4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59"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 which can affect demand and increase our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implementation of our Enterprise Resource Planning software could disrupt our business which could decrease our sales, earnings and liquidity.</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are in the process of finalizing the implementation of an Enterprise Resource Planning (ERP) software system which may not result in improvements that outweigh its costs and may disrupt our operations. Our inability to mitigate existing and future disruptions could decrease our sales, earnings and liquidity. The ERP system implementation subjects us to substantial costs and inherent risks associated with migrating from our legacy systems. These costs and risks could include, but are not limited to:</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operating expenditures;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to our domestic and international supply chains;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fill customer orders accurately and on a timely basis, or at all;</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process payments to suppliers, vendors and associates accurately and in a timely manner;</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to or the ineffectiveness of our internal control environment;</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fulfill our SEC or other governmental reporting requirements in a timely or accurate manner;</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fulfill federal, state and local tax filing requirements in a timely or accurate manner;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demands on management and staff time to the detriment of other corporate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2013, 2012 and 2011, we recorded pre-tax inventory-related charges of approximately $8.1 million, $8.9 million, and $5.8 million, respectively, primarily as a result of changes in customer forecasts.</w:t>
      </w:r>
    </w:p>
    <w:p>
      <w:pPr>
        <w:spacing w:after="0" w:line="120" w:lineRule="exact"/>
        <w:rPr>
          <w:sz w:val="20"/>
          <w:szCs w:val="20"/>
          <w:color w:val="auto"/>
        </w:rPr>
      </w:pPr>
    </w:p>
    <w:p>
      <w:pPr>
        <w:ind w:right="220" w:firstLine="8"/>
        <w:spacing w:after="0" w:line="268" w:lineRule="auto"/>
        <w:tabs>
          <w:tab w:leader="none" w:pos="132"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5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future indebtedness could adversely affect our operating results and severely limit our ability to plan for, or react to, changes in our business or industry. We could also be limited by financial and other restrictive covenants in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5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28, 2013. Future inventory write-offs and increased inventory reserve requirements could have a material adverse impact on our results of operations and financial condition.</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small number of customers of our semiconductor equipment segment have been responsible for a significant portion of our net sales. During the past five years, the percentage of our sales derived from these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participate in the mainstream memory test handler market.</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Pick-and-place handlers used in memory test applications account for a significant portion of the worldwide test handler market. We do not currently participate in the mainstream memory market segment; therefore our total available sales market is limited.</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5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utilize contract manufacturers and changes to those relationships, expected or unexpected, may result in delays or disruptions that could cause us to lose revenue and damage our customer relationships.</w:t>
      </w:r>
    </w:p>
    <w:p>
      <w:pPr>
        <w:spacing w:after="0" w:line="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reliance on contract manufacturers gives us less control over the manufacturing process and exposes us to significant risks, including limited control over capacity, late delivery, quality and costs. In addition, it is time consuming and costly to qualify and implement additional contract manufacturer relationships. Therefore, if we should fail to effectively manage our contract manufacturer relationships or if one or more of them should experience delays, disruptions or quality control problems, or if we had to change or add additional contract manufacturers or contract manufacturing sites, our ability to ship products to our customers could be delayed. Also, the addition of manufacturing locations or contract manufacturers may increase the complexity of our supply chain management. We cannot be certain that existing or future contract manufacturers will be able to manufacture our products on a timely and cost-effective basis, or to our quality and performance specifications. If our contract manufacturers are unable to meet our manufacturing requirements in a timely manner, our ability to ship products and to realize the related revenues when anticipated could be materially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and La Chaux-de 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1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occurrence of natural disasters and geopolitical instability caused by terrorist attacks and other threats may adversely impact our operations and sales.</w:t>
      </w:r>
    </w:p>
    <w:p>
      <w:pPr>
        <w:spacing w:after="0" w:line="12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Our Asian sales and service headquarters is located in Singapore and the majority of our sales are made to destinations in Asia. In addition, we have manufacturing plants in the Philippines, Malaysia and China.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we have customers throughout the Middle East and terrorist attacks, protests or other threats in this region may cause geopolitical instability, which may have an adverse impact on our business,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could affect our profitability.</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in order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Certain products and services that we offer require compliance with United States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5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government regulations regarding sale and export, we are subject to other regulations regarding our products. For example, the U.S. Securities and Exchange Commission has recently adopted disclosure rules for companies that use conflict minerals in their products, with substantial supply chain verification requirements in the event that the materials come from, or could have come from, the Democratic Republic of the Congo or adjoining countries. These new rules and verification requirements will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w:t>
      </w:r>
    </w:p>
    <w:p>
      <w:pPr>
        <w:spacing w:after="0" w:line="12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microwave communication equipment and video camera segments depend on government spending for a significant portion of their sales, creating uncertainty in the timing of and funding for projected contracts.</w:t>
      </w:r>
    </w:p>
    <w:p>
      <w:pPr>
        <w:spacing w:after="0" w:line="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significant portion of the sales of BMS, Inc. and Cohu Electronics are made to federal, state, local and foreign government agencies as a prime or sub-contractor. Government spending has historically been cyclical. A decrease in government spending or changes in spending allocation could result in one or more of the programs being reduced, delayed or terminated. Reductions or delays in the funding process or changes in funding caused by automatic budget cuts (“sequestration”) or unforeseen world events can impact the timing of available funds or can lead to changes in program content or termination. The loss of anticipated funding or the termination of multiple or large programs could have an adverse effect on our future sales and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fall below analysts’ estimates, which may cause the price of our common stock to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90"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cyclical nature of the semiconductor equipment industry;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9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ended December 28, 2013, the price of our common stock has ranged from $7.96 to $17.18. The price of our stock may be more volatile than the stock of other companies due to, among other factors, the unpredictable and cyclical nature of the semiconductor industry, our significant customer concentration, intense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3(i).1</w:t>
            </w:r>
          </w:p>
        </w:tc>
        <w:tc>
          <w:tcPr>
            <w:tcW w:w="10460" w:type="dxa"/>
            <w:vAlign w:val="bottom"/>
          </w:tcPr>
          <w:p>
            <w:pPr>
              <w:ind w:left="220"/>
              <w:spacing w:after="0"/>
              <w:rPr>
                <w:sz w:val="20"/>
                <w:szCs w:val="20"/>
                <w:color w:val="auto"/>
              </w:rPr>
            </w:pPr>
            <w:r>
              <w:rPr>
                <w:rFonts w:ascii="Arial" w:cs="Arial" w:eastAsia="Arial" w:hAnsi="Arial"/>
                <w:sz w:val="18"/>
                <w:szCs w:val="18"/>
                <w:color w:val="auto"/>
                <w:w w:val="89"/>
              </w:rPr>
              <w:t>Amended and Restated Certificate of Incorporation of Cohu, Inc. incorporated herein by reference to Exhibit 3.1(a) from the Cohu, Inc. Form 10-</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rPr>
              <w:t>Q for the quarterly period ended June 30, 1999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3(i).2</w:t>
            </w:r>
          </w:p>
        </w:tc>
        <w:tc>
          <w:tcPr>
            <w:tcW w:w="10460" w:type="dxa"/>
            <w:vAlign w:val="bottom"/>
          </w:tcPr>
          <w:p>
            <w:pPr>
              <w:ind w:left="220"/>
              <w:spacing w:after="0"/>
              <w:rPr>
                <w:sz w:val="20"/>
                <w:szCs w:val="20"/>
                <w:color w:val="auto"/>
              </w:rPr>
            </w:pPr>
            <w:r>
              <w:rPr>
                <w:rFonts w:ascii="Arial" w:cs="Arial" w:eastAsia="Arial" w:hAnsi="Arial"/>
                <w:sz w:val="18"/>
                <w:szCs w:val="18"/>
                <w:color w:val="auto"/>
                <w:w w:val="89"/>
              </w:rPr>
              <w:t>Certificate of Amendment of Amended and Restated Certificate of Incorporation of Cohu, Inc. incorporated herein by reference to Exhibit 4.1(a)</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rPr>
              <w:t>from the Cohu, Inc. Form S-8 filed with the Securities and Exchange Commission on June 30, 2000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3(ii)</w:t>
            </w:r>
          </w:p>
        </w:tc>
        <w:tc>
          <w:tcPr>
            <w:tcW w:w="10460" w:type="dxa"/>
            <w:vAlign w:val="bottom"/>
          </w:tcPr>
          <w:p>
            <w:pPr>
              <w:ind w:left="220"/>
              <w:spacing w:after="0"/>
              <w:rPr>
                <w:sz w:val="20"/>
                <w:szCs w:val="20"/>
                <w:color w:val="auto"/>
              </w:rPr>
            </w:pPr>
            <w:r>
              <w:rPr>
                <w:rFonts w:ascii="Arial" w:cs="Arial" w:eastAsia="Arial" w:hAnsi="Arial"/>
                <w:sz w:val="18"/>
                <w:szCs w:val="18"/>
                <w:color w:val="auto"/>
                <w:w w:val="90"/>
              </w:rPr>
              <w:t>Amended and Restated Bylaws of Cohu, Inc. incorporated herein by reference to Exhibit 3.2 from the Cohu, Inc. Report on Form 8-K filed with</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rPr>
              <w:t>the Securities and Exchange Commission on December 12, 1996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tcPr>
          <w:p>
            <w:pPr>
              <w:ind w:left="220"/>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880" w:type="dxa"/>
            <w:vAlign w:val="bottom"/>
          </w:tcPr>
          <w:p>
            <w:pPr>
              <w:spacing w:after="0"/>
              <w:rPr>
                <w:sz w:val="18"/>
                <w:szCs w:val="18"/>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w w:val="89"/>
              </w:rPr>
              <w:t>incorporated herein by reference to Exhibit 99.1 from the Cohu, Inc. Report on Form 8-K filed with the Securities and Exchange Commission on</w:t>
            </w:r>
          </w:p>
        </w:tc>
      </w:tr>
      <w:tr>
        <w:trPr>
          <w:trHeight w:val="222"/>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Arial" w:cs="Arial" w:eastAsia="Arial" w:hAnsi="Arial"/>
                <w:sz w:val="18"/>
                <w:szCs w:val="18"/>
                <w:color w:val="auto"/>
              </w:rPr>
              <w:t>November 13, 2006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22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22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880" w:type="dxa"/>
            <w:vAlign w:val="bottom"/>
          </w:tcPr>
          <w:p>
            <w:pPr>
              <w:spacing w:after="0"/>
              <w:rPr>
                <w:sz w:val="24"/>
                <w:szCs w:val="24"/>
                <w:color w:val="auto"/>
              </w:rPr>
            </w:pPr>
          </w:p>
        </w:tc>
        <w:tc>
          <w:tcPr>
            <w:tcW w:w="10460" w:type="dxa"/>
            <w:vAlign w:val="bottom"/>
          </w:tcPr>
          <w:p>
            <w:pPr>
              <w:ind w:left="47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10795</wp:posOffset>
            </wp:positionV>
            <wp:extent cx="2675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May 2, 2014</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10795</wp:posOffset>
            </wp:positionV>
            <wp:extent cx="2675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&amp; Chief Executive Officer</w:t>
      </w:r>
    </w:p>
    <w:p>
      <w:pPr>
        <w:spacing w:after="0" w:line="327"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May 2, 2014</w:t>
      </w:r>
      <w:r>
        <w:rPr>
          <w:sz w:val="20"/>
          <w:szCs w:val="20"/>
          <w:color w:val="auto"/>
        </w:rPr>
        <w:tab/>
      </w:r>
      <w:r>
        <w:rPr>
          <w:rFonts w:ascii="Arial" w:cs="Arial" w:eastAsia="Arial" w:hAnsi="Arial"/>
          <w:sz w:val="15"/>
          <w:szCs w:val="15"/>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10795</wp:posOffset>
            </wp:positionV>
            <wp:extent cx="2675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Finance &amp; Chief Financial Officer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&amp;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3(i).1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 Form</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10-Q for the quarterly period ended June 30, 1999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3(i).2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3"/>
              </w:rPr>
              <w:t>Certificate of Amendment of Amended and Restated Certificate of Incorporation of Cohu, Inc. incorporated herein by reference to Exhibit</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4.1(a) from the Cohu, Inc. Form S-8 filed with the Securities and Exchange Commission on June 30, 2000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3(ii)</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9"/>
              </w:rPr>
              <w:t>Amended and Restated Bylaws of Cohu, Inc. incorporated herein by reference to Exhibit 3.2 from the Cohu, Inc. Report on Form 8-K filed with</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the Securities and Exchange Commission on December 12, 1996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9"/>
              </w:rPr>
              <w:t>Amended and Restated Rights Agreement dated November 10, 2006, between Cohu, Inc. and Mellon Investor Services LLC, as Rights Agent,</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0"/>
              </w:rPr>
              <w:t>incorporated herein by reference to Exhibit 99.1 from the Cohu, Inc. Report on Form 8-K filed with the Securities and Exchange Commission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on November 13, 2006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Definition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500" w:right="360" w:hanging="8"/>
        <w:spacing w:after="0" w:line="306" w:lineRule="auto"/>
        <w:tabs>
          <w:tab w:leader="none" w:pos="173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100" w:hanging="8"/>
        <w:spacing w:after="0" w:line="259" w:lineRule="auto"/>
        <w:tabs>
          <w:tab w:leader="none" w:pos="17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500" w:right="220" w:hanging="8"/>
        <w:spacing w:after="0" w:line="357" w:lineRule="auto"/>
        <w:tabs>
          <w:tab w:leader="none" w:pos="1739"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right="140" w:hanging="8"/>
        <w:spacing w:after="0" w:line="259" w:lineRule="auto"/>
        <w:tabs>
          <w:tab w:leader="none" w:pos="17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500" w:right="120" w:hanging="8"/>
        <w:spacing w:after="0" w:line="268" w:lineRule="auto"/>
        <w:tabs>
          <w:tab w:leader="none" w:pos="17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500" w:right="360" w:hanging="8"/>
        <w:spacing w:after="0" w:line="306" w:lineRule="auto"/>
        <w:tabs>
          <w:tab w:leader="none" w:pos="1739"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100" w:hanging="8"/>
        <w:spacing w:after="0" w:line="259" w:lineRule="auto"/>
        <w:tabs>
          <w:tab w:leader="none" w:pos="17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500" w:right="220" w:hanging="8"/>
        <w:spacing w:after="0" w:line="357" w:lineRule="auto"/>
        <w:tabs>
          <w:tab w:leader="none" w:pos="1739"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right="140" w:hanging="8"/>
        <w:spacing w:after="0" w:line="259" w:lineRule="auto"/>
        <w:tabs>
          <w:tab w:leader="none" w:pos="17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500" w:right="120" w:hanging="8"/>
        <w:spacing w:after="0" w:line="268" w:lineRule="auto"/>
        <w:tabs>
          <w:tab w:leader="none" w:pos="17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1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65"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March 29, 2014 (the “Report”), I, James A. Donahue, President and Chief Executive Officer of the Company, certify, pursuant to 18 U.S.C. Section 1350, as adopted pursuant to Section 906 of the Sarbanes-Oxley Act of 2002, that, based on my knowledge:</w:t>
      </w:r>
    </w:p>
    <w:p>
      <w:pPr>
        <w:spacing w:after="0" w:line="140"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493"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 2014</w:t>
      </w: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3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March 29, 2014 (the “Report”), I, Jeffrey D. Jones, Vice President Finance &amp; Chief Financial Officer of the Company, certify, pursuant to 18 U.S.C. Section 1350, as adopted pursuant to Section 906 of the Sarbanes-Oxley Act of 2002, that, based on my knowledge:</w:t>
      </w:r>
    </w:p>
    <w:p>
      <w:pPr>
        <w:spacing w:after="0" w:line="140"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493"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 2014</w:t>
      </w: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2019-12-05T07:53:47Z</dcterms:created>
  <dcterms:modified xsi:type="dcterms:W3CDTF">2019-12-05T07:53:47Z</dcterms:modified>
</cp:coreProperties>
</file>