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JUNE 30, 1997</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ind w:left="1160"/>
              <w:spacing w:after="0"/>
              <w:rPr>
                <w:sz w:val="20"/>
                <w:szCs w:val="20"/>
                <w:color w:val="auto"/>
              </w:rPr>
            </w:pPr>
            <w:r>
              <w:rPr>
                <w:rFonts w:ascii="Courier New" w:cs="Courier New" w:eastAsia="Courier New" w:hAnsi="Courier New"/>
                <w:sz w:val="18"/>
                <w:szCs w:val="18"/>
                <w:color w:val="auto"/>
              </w:rPr>
              <w:t>DELAWARE</w:t>
            </w:r>
          </w:p>
        </w:tc>
        <w:tc>
          <w:tcPr>
            <w:tcW w:w="1160" w:type="dxa"/>
            <w:vAlign w:val="bottom"/>
          </w:tcPr>
          <w:p>
            <w:pPr>
              <w:spacing w:after="0"/>
              <w:rPr>
                <w:sz w:val="17"/>
                <w:szCs w:val="17"/>
                <w:color w:val="auto"/>
              </w:rPr>
            </w:pPr>
          </w:p>
        </w:tc>
        <w:tc>
          <w:tcPr>
            <w:tcW w:w="290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95-1934119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(I.R.S. Employer Identification No.)</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116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608"/>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5755 KEARNY VILLA ROAD, SAN DIEGO, CALIFORNIA</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92123</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w:t>
            </w:r>
          </w:p>
        </w:tc>
        <w:tc>
          <w:tcPr>
            <w:tcW w:w="1160" w:type="dxa"/>
            <w:vAlign w:val="bottom"/>
          </w:tcPr>
          <w:p>
            <w:pPr>
              <w:spacing w:after="0"/>
              <w:rPr>
                <w:sz w:val="17"/>
                <w:szCs w:val="17"/>
                <w:color w:val="auto"/>
              </w:rPr>
            </w:pPr>
          </w:p>
        </w:tc>
        <w:tc>
          <w:tcPr>
            <w:tcW w:w="2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Registrant's telephone number, including area code</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619-277-6700</w:t>
            </w:r>
          </w:p>
        </w:tc>
      </w:tr>
    </w:tbl>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Yes X</w:t>
        <w:tab/>
        <w:t>No</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of June 30, 1997, the Registrant had 9,439,287 shares of its $1.00 par value common stock outstanding.</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816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COHU, INC.</w:t>
            </w:r>
          </w:p>
        </w:tc>
        <w:tc>
          <w:tcPr>
            <w:tcW w:w="3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816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6"/>
              </w:rPr>
              <w:t>INDEX</w:t>
            </w:r>
          </w:p>
        </w:tc>
        <w:tc>
          <w:tcPr>
            <w:tcW w:w="3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8160" w:type="dxa"/>
            <w:vAlign w:val="bottom"/>
          </w:tcPr>
          <w:p>
            <w:pPr>
              <w:jc w:val="center"/>
              <w:ind w:right="1772"/>
              <w:spacing w:after="0" w:line="203" w:lineRule="exact"/>
              <w:rPr>
                <w:sz w:val="20"/>
                <w:szCs w:val="20"/>
                <w:color w:val="auto"/>
              </w:rPr>
            </w:pPr>
            <w:r>
              <w:rPr>
                <w:rFonts w:ascii="Courier New" w:cs="Courier New" w:eastAsia="Courier New" w:hAnsi="Courier New"/>
                <w:sz w:val="18"/>
                <w:szCs w:val="18"/>
                <w:color w:val="auto"/>
                <w:w w:val="96"/>
              </w:rPr>
              <w:t>FORM 10-Q</w:t>
            </w:r>
          </w:p>
        </w:tc>
        <w:tc>
          <w:tcPr>
            <w:tcW w:w="3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8160" w:type="dxa"/>
            <w:vAlign w:val="bottom"/>
          </w:tcPr>
          <w:p>
            <w:pPr>
              <w:jc w:val="center"/>
              <w:ind w:right="1772"/>
              <w:spacing w:after="0" w:line="203" w:lineRule="exact"/>
              <w:rPr>
                <w:sz w:val="20"/>
                <w:szCs w:val="20"/>
                <w:color w:val="auto"/>
              </w:rPr>
            </w:pPr>
            <w:r>
              <w:rPr>
                <w:rFonts w:ascii="Courier New" w:cs="Courier New" w:eastAsia="Courier New" w:hAnsi="Courier New"/>
                <w:sz w:val="18"/>
                <w:szCs w:val="18"/>
                <w:color w:val="auto"/>
                <w:w w:val="98"/>
              </w:rPr>
              <w:t>JUNE 30, 1997</w:t>
            </w:r>
          </w:p>
        </w:tc>
        <w:tc>
          <w:tcPr>
            <w:tcW w:w="320" w:type="dxa"/>
            <w:vAlign w:val="bottom"/>
          </w:tcPr>
          <w:p>
            <w:pPr>
              <w:spacing w:after="0"/>
              <w:rPr>
                <w:sz w:val="17"/>
                <w:szCs w:val="17"/>
                <w:color w:val="auto"/>
              </w:rPr>
            </w:pPr>
          </w:p>
        </w:tc>
      </w:tr>
      <w:tr>
        <w:trPr>
          <w:trHeight w:val="1215"/>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8160" w:type="dxa"/>
            <w:vAlign w:val="bottom"/>
          </w:tcPr>
          <w:p>
            <w:pPr>
              <w:ind w:left="160"/>
              <w:spacing w:after="0"/>
              <w:rPr>
                <w:sz w:val="20"/>
                <w:szCs w:val="20"/>
                <w:color w:val="auto"/>
              </w:rPr>
            </w:pPr>
            <w:r>
              <w:rPr>
                <w:rFonts w:ascii="Courier New" w:cs="Courier New" w:eastAsia="Courier New" w:hAnsi="Courier New"/>
                <w:sz w:val="18"/>
                <w:szCs w:val="18"/>
                <w:color w:val="auto"/>
              </w:rPr>
              <w:t>FINANCIAL INFORMATION</w:t>
            </w:r>
          </w:p>
        </w:tc>
        <w:tc>
          <w:tcPr>
            <w:tcW w:w="320" w:type="dxa"/>
            <w:vAlign w:val="bottom"/>
          </w:tcPr>
          <w:p>
            <w:pPr>
              <w:spacing w:after="0"/>
              <w:rPr>
                <w:sz w:val="24"/>
                <w:szCs w:val="24"/>
                <w:color w:val="auto"/>
              </w:rPr>
            </w:pPr>
          </w:p>
        </w:tc>
      </w:tr>
      <w:tr>
        <w:trPr>
          <w:trHeight w:val="1013"/>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8160" w:type="dxa"/>
            <w:vAlign w:val="bottom"/>
          </w:tcPr>
          <w:p>
            <w:pPr>
              <w:ind w:left="160"/>
              <w:spacing w:after="0"/>
              <w:rPr>
                <w:sz w:val="20"/>
                <w:szCs w:val="20"/>
                <w:color w:val="auto"/>
              </w:rPr>
            </w:pPr>
            <w:r>
              <w:rPr>
                <w:rFonts w:ascii="Courier New" w:cs="Courier New" w:eastAsia="Courier New" w:hAnsi="Courier New"/>
                <w:sz w:val="18"/>
                <w:szCs w:val="18"/>
                <w:color w:val="auto"/>
              </w:rPr>
              <w:t>Condensed Consolidated Balance Sheets</w:t>
            </w:r>
          </w:p>
        </w:tc>
        <w:tc>
          <w:tcPr>
            <w:tcW w:w="3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8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June 30, 1997 (Unaudited) and December 31, 1996............................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1120" w:type="dxa"/>
            <w:vAlign w:val="bottom"/>
          </w:tcPr>
          <w:p>
            <w:pPr>
              <w:spacing w:after="0"/>
              <w:rPr>
                <w:sz w:val="24"/>
                <w:szCs w:val="24"/>
                <w:color w:val="auto"/>
              </w:rPr>
            </w:pPr>
          </w:p>
        </w:tc>
        <w:tc>
          <w:tcPr>
            <w:tcW w:w="8160" w:type="dxa"/>
            <w:vAlign w:val="bottom"/>
          </w:tcPr>
          <w:p>
            <w:pPr>
              <w:ind w:left="160"/>
              <w:spacing w:after="0"/>
              <w:rPr>
                <w:sz w:val="20"/>
                <w:szCs w:val="20"/>
                <w:color w:val="auto"/>
              </w:rPr>
            </w:pPr>
            <w:r>
              <w:rPr>
                <w:rFonts w:ascii="Courier New" w:cs="Courier New" w:eastAsia="Courier New" w:hAnsi="Courier New"/>
                <w:sz w:val="18"/>
                <w:szCs w:val="18"/>
                <w:color w:val="auto"/>
              </w:rPr>
              <w:t>Condensed Consolidated Statements of Income (Unaudited)</w:t>
            </w:r>
          </w:p>
        </w:tc>
        <w:tc>
          <w:tcPr>
            <w:tcW w:w="3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8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Three and Six Months Ended June 30, 1997 and 1996..........................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1120" w:type="dxa"/>
            <w:vAlign w:val="bottom"/>
          </w:tcPr>
          <w:p>
            <w:pPr>
              <w:spacing w:after="0"/>
              <w:rPr>
                <w:sz w:val="24"/>
                <w:szCs w:val="24"/>
                <w:color w:val="auto"/>
              </w:rPr>
            </w:pPr>
          </w:p>
        </w:tc>
        <w:tc>
          <w:tcPr>
            <w:tcW w:w="8160" w:type="dxa"/>
            <w:vAlign w:val="bottom"/>
          </w:tcPr>
          <w:p>
            <w:pPr>
              <w:ind w:left="160"/>
              <w:spacing w:after="0"/>
              <w:rPr>
                <w:sz w:val="20"/>
                <w:szCs w:val="20"/>
                <w:color w:val="auto"/>
              </w:rPr>
            </w:pPr>
            <w:r>
              <w:rPr>
                <w:rFonts w:ascii="Courier New" w:cs="Courier New" w:eastAsia="Courier New" w:hAnsi="Courier New"/>
                <w:sz w:val="18"/>
                <w:szCs w:val="18"/>
                <w:color w:val="auto"/>
              </w:rPr>
              <w:t>Condensed Consolidated Statements of Cash Flows (Unaudited)</w:t>
            </w:r>
          </w:p>
        </w:tc>
        <w:tc>
          <w:tcPr>
            <w:tcW w:w="3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8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Six Months Ended June 30, 1997 and 1996....................................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1120" w:type="dxa"/>
            <w:vAlign w:val="bottom"/>
          </w:tcPr>
          <w:p>
            <w:pPr>
              <w:spacing w:after="0"/>
              <w:rPr>
                <w:sz w:val="24"/>
                <w:szCs w:val="24"/>
                <w:color w:val="auto"/>
              </w:rPr>
            </w:pPr>
          </w:p>
        </w:tc>
        <w:tc>
          <w:tcPr>
            <w:tcW w:w="8160" w:type="dxa"/>
            <w:vAlign w:val="bottom"/>
          </w:tcPr>
          <w:p>
            <w:pPr>
              <w:ind w:left="160"/>
              <w:spacing w:after="0"/>
              <w:rPr>
                <w:sz w:val="20"/>
                <w:szCs w:val="20"/>
                <w:color w:val="auto"/>
              </w:rPr>
            </w:pPr>
            <w:r>
              <w:rPr>
                <w:rFonts w:ascii="Courier New" w:cs="Courier New" w:eastAsia="Courier New" w:hAnsi="Courier New"/>
                <w:sz w:val="18"/>
                <w:szCs w:val="18"/>
                <w:color w:val="auto"/>
                <w:w w:val="98"/>
              </w:rPr>
              <w:t>Notes to Unaudited Condensed Consolidated Financial Statements.............</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r>
      <w:tr>
        <w:trPr>
          <w:trHeight w:val="608"/>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160" w:type="dxa"/>
            <w:vAlign w:val="bottom"/>
          </w:tcPr>
          <w:p>
            <w:pPr>
              <w:ind w:left="160"/>
              <w:spacing w:after="0"/>
              <w:rPr>
                <w:sz w:val="20"/>
                <w:szCs w:val="20"/>
                <w:color w:val="auto"/>
              </w:rPr>
            </w:pPr>
            <w:r>
              <w:rPr>
                <w:rFonts w:ascii="Courier New" w:cs="Courier New" w:eastAsia="Courier New" w:hAnsi="Courier New"/>
                <w:sz w:val="18"/>
                <w:szCs w:val="18"/>
                <w:color w:val="auto"/>
              </w:rPr>
              <w:t>Management's Discussion and Analysis of</w:t>
            </w:r>
          </w:p>
        </w:tc>
        <w:tc>
          <w:tcPr>
            <w:tcW w:w="3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8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Financial Condition and Results of Operations..............................</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r>
      <w:tr>
        <w:trPr>
          <w:trHeight w:val="810"/>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8160" w:type="dxa"/>
            <w:vAlign w:val="bottom"/>
          </w:tcPr>
          <w:p>
            <w:pPr>
              <w:ind w:left="160"/>
              <w:spacing w:after="0"/>
              <w:rPr>
                <w:sz w:val="20"/>
                <w:szCs w:val="20"/>
                <w:color w:val="auto"/>
              </w:rPr>
            </w:pPr>
            <w:r>
              <w:rPr>
                <w:rFonts w:ascii="Courier New" w:cs="Courier New" w:eastAsia="Courier New" w:hAnsi="Courier New"/>
                <w:sz w:val="18"/>
                <w:szCs w:val="18"/>
                <w:color w:val="auto"/>
              </w:rPr>
              <w:t>OTHER INFORMATION</w:t>
            </w:r>
          </w:p>
        </w:tc>
        <w:tc>
          <w:tcPr>
            <w:tcW w:w="320" w:type="dxa"/>
            <w:vAlign w:val="bottom"/>
          </w:tcPr>
          <w:p>
            <w:pPr>
              <w:spacing w:after="0"/>
              <w:rPr>
                <w:sz w:val="24"/>
                <w:szCs w:val="24"/>
                <w:color w:val="auto"/>
              </w:rPr>
            </w:pPr>
          </w:p>
        </w:tc>
      </w:tr>
      <w:tr>
        <w:trPr>
          <w:trHeight w:val="810"/>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8160" w:type="dxa"/>
            <w:vAlign w:val="bottom"/>
          </w:tcPr>
          <w:p>
            <w:pPr>
              <w:ind w:left="160"/>
              <w:spacing w:after="0"/>
              <w:rPr>
                <w:sz w:val="20"/>
                <w:szCs w:val="20"/>
                <w:color w:val="auto"/>
              </w:rPr>
            </w:pPr>
            <w:r>
              <w:rPr>
                <w:rFonts w:ascii="Courier New" w:cs="Courier New" w:eastAsia="Courier New" w:hAnsi="Courier New"/>
                <w:sz w:val="18"/>
                <w:szCs w:val="18"/>
                <w:color w:val="auto"/>
                <w:w w:val="98"/>
              </w:rPr>
              <w:t>Submission of Matters to a Vote of Security Holders........................</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w w:val="92"/>
              </w:rPr>
              <w:t>10</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8160" w:type="dxa"/>
            <w:vAlign w:val="bottom"/>
          </w:tcPr>
          <w:p>
            <w:pPr>
              <w:ind w:left="160"/>
              <w:spacing w:after="0"/>
              <w:rPr>
                <w:sz w:val="20"/>
                <w:szCs w:val="20"/>
                <w:color w:val="auto"/>
              </w:rPr>
            </w:pPr>
            <w:r>
              <w:rPr>
                <w:rFonts w:ascii="Courier New" w:cs="Courier New" w:eastAsia="Courier New" w:hAnsi="Courier New"/>
                <w:sz w:val="18"/>
                <w:szCs w:val="18"/>
                <w:color w:val="auto"/>
                <w:w w:val="98"/>
              </w:rPr>
              <w:t>Exhibits and Reports on Form 8-K...........................................</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w w:val="92"/>
              </w:rPr>
              <w:t>10</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8160" w:type="dxa"/>
            <w:vAlign w:val="bottom"/>
          </w:tcPr>
          <w:p>
            <w:pPr>
              <w:ind w:left="40"/>
              <w:spacing w:after="0"/>
              <w:rPr>
                <w:sz w:val="20"/>
                <w:szCs w:val="20"/>
                <w:color w:val="auto"/>
              </w:rPr>
            </w:pPr>
            <w:r>
              <w:rPr>
                <w:rFonts w:ascii="Courier New" w:cs="Courier New" w:eastAsia="Courier New" w:hAnsi="Courier New"/>
                <w:sz w:val="18"/>
                <w:szCs w:val="18"/>
                <w:color w:val="auto"/>
                <w:w w:val="98"/>
              </w:rPr>
              <w:t>............................................................................</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w w:val="92"/>
              </w:rPr>
              <w:t>11</w:t>
            </w:r>
          </w:p>
        </w:tc>
      </w:tr>
      <w:tr>
        <w:trPr>
          <w:trHeight w:val="1013"/>
        </w:trPr>
        <w:tc>
          <w:tcPr>
            <w:tcW w:w="1120" w:type="dxa"/>
            <w:vAlign w:val="bottom"/>
          </w:tcPr>
          <w:p>
            <w:pPr>
              <w:spacing w:after="0"/>
              <w:rPr>
                <w:sz w:val="24"/>
                <w:szCs w:val="24"/>
                <w:color w:val="auto"/>
              </w:rPr>
            </w:pPr>
          </w:p>
        </w:tc>
        <w:tc>
          <w:tcPr>
            <w:tcW w:w="8160" w:type="dxa"/>
            <w:vAlign w:val="bottom"/>
          </w:tcPr>
          <w:p>
            <w:pPr>
              <w:ind w:left="3000"/>
              <w:spacing w:after="0"/>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900"/>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800"/>
        <w:spacing w:after="0"/>
        <w:rPr>
          <w:sz w:val="20"/>
          <w:szCs w:val="20"/>
          <w:color w:val="auto"/>
        </w:rPr>
      </w:pPr>
      <w:r>
        <w:rPr>
          <w:rFonts w:ascii="Courier New" w:cs="Courier New" w:eastAsia="Courier New" w:hAnsi="Courier New"/>
          <w:sz w:val="18"/>
          <w:szCs w:val="18"/>
          <w:color w:val="auto"/>
        </w:rPr>
        <w:t>CONDENSED CONSOLIDATED BALANCE SHEETS</w:t>
      </w:r>
    </w:p>
    <w:p>
      <w:pPr>
        <w:jc w:val="center"/>
        <w:ind w:right="1900"/>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1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JUNE 30, 1997</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1996</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2060" w:type="dxa"/>
            <w:vAlign w:val="bottom"/>
          </w:tcPr>
          <w:p>
            <w:pPr>
              <w:spacing w:after="0"/>
              <w:rPr>
                <w:sz w:val="17"/>
                <w:szCs w:val="17"/>
                <w:color w:val="auto"/>
              </w:rPr>
            </w:pP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$17,509</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$24,660</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36,550</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28,326</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receivable, less allowance</w:t>
            </w:r>
          </w:p>
        </w:tc>
        <w:tc>
          <w:tcPr>
            <w:tcW w:w="19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3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for doubtful accounts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27,240</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19,170</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Inventories, at lower of average cost or market:</w:t>
            </w:r>
          </w:p>
        </w:tc>
        <w:tc>
          <w:tcPr>
            <w:tcW w:w="19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3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Finished goods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3,229</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2,395</w:t>
            </w:r>
          </w:p>
        </w:tc>
      </w:tr>
      <w:tr>
        <w:trPr>
          <w:trHeight w:val="203"/>
        </w:trPr>
        <w:tc>
          <w:tcPr>
            <w:tcW w:w="63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Work in process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11,803</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6,012</w:t>
            </w:r>
          </w:p>
        </w:tc>
      </w:tr>
      <w:tr>
        <w:trPr>
          <w:trHeight w:val="203"/>
        </w:trPr>
        <w:tc>
          <w:tcPr>
            <w:tcW w:w="63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Raw materials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10,028</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7,175</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25,060</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15,582</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9,681</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9,681</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1,107</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1,166</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117,147</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98,585</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2,114</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2,114</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12,106</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11,932</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15,521</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14,069</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29,741</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28,115</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11,999</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11,304</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17,742</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16,811</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2,391</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2,469</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$137,385</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$117,926</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9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$10,999</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$4,464</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3,584</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1,552</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14,172</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14,566</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28,755</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20,582</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1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960</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916</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Preferred stock</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Common stock</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9,439</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9,341</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6,496</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5,863</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91,579</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81,068</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107,514</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96,272</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$137,385</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$117,926</w:t>
            </w:r>
          </w:p>
        </w:tc>
      </w:tr>
      <w:tr>
        <w:trPr>
          <w:trHeight w:val="203"/>
        </w:trPr>
        <w:tc>
          <w:tcPr>
            <w:tcW w:w="638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340"/>
          </w:cols>
          <w:pgMar w:left="240" w:top="312"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40"/>
          </w:cols>
          <w:pgMar w:left="240" w:top="312" w:right="1319"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INCOME</w:t>
      </w:r>
    </w:p>
    <w:p>
      <w:pPr>
        <w:jc w:val="center"/>
        <w:ind w:right="1679"/>
        <w:spacing w:after="0" w:line="237" w:lineRule="auto"/>
        <w:rPr>
          <w:sz w:val="20"/>
          <w:szCs w:val="20"/>
          <w:color w:val="auto"/>
        </w:rPr>
      </w:pPr>
      <w:r>
        <w:rPr>
          <w:rFonts w:ascii="Courier New" w:cs="Courier New" w:eastAsia="Courier New" w:hAnsi="Courier New"/>
          <w:sz w:val="18"/>
          <w:szCs w:val="18"/>
          <w:color w:val="auto"/>
        </w:rPr>
        <w:t>(Unaudited)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25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THREE MONTHS ENDED</w:t>
            </w:r>
          </w:p>
        </w:tc>
        <w:tc>
          <w:tcPr>
            <w:tcW w:w="22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800" w:type="dxa"/>
            <w:vAlign w:val="bottom"/>
          </w:tcPr>
          <w:p>
            <w:pPr>
              <w:spacing w:after="0"/>
              <w:rPr>
                <w:sz w:val="17"/>
                <w:szCs w:val="17"/>
                <w:color w:val="auto"/>
              </w:rPr>
            </w:pPr>
          </w:p>
        </w:tc>
        <w:tc>
          <w:tcPr>
            <w:tcW w:w="252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JUNE 30,</w:t>
            </w:r>
          </w:p>
        </w:tc>
        <w:tc>
          <w:tcPr>
            <w:tcW w:w="22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$44,642</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$45,864</w:t>
            </w:r>
          </w:p>
        </w:tc>
        <w:tc>
          <w:tcPr>
            <w:tcW w:w="12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$79,404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$96,096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Cost of sales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25,100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24,798</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52,146</w:t>
            </w: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4,264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3,823</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7,525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7,351</w:t>
            </w: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5,169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5,430</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9,986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12,303</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10,109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11,813</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24,296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10,826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12,182</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18,340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25,076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4,600</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$6,926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$7,582</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$11,640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$15,476</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$.78</w:t>
            </w:r>
          </w:p>
        </w:tc>
        <w:tc>
          <w:tcPr>
            <w:tcW w:w="12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$1.59</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Average common shares and equivalents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9,888</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9,703</w:t>
            </w:r>
          </w:p>
        </w:tc>
        <w:tc>
          <w:tcPr>
            <w:tcW w:w="12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9,845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9,704</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jc w:val="center"/>
        <w:ind w:right="2620"/>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2520"/>
        <w:spacing w:after="0"/>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2520"/>
        <w:spacing w:after="0" w:line="237"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838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810"/>
        </w:trPr>
        <w:tc>
          <w:tcPr>
            <w:tcW w:w="8380" w:type="dxa"/>
            <w:vAlign w:val="bottom"/>
          </w:tcPr>
          <w:p>
            <w:pPr>
              <w:spacing w:after="0"/>
              <w:rPr>
                <w:sz w:val="24"/>
                <w:szCs w:val="24"/>
                <w:color w:val="auto"/>
              </w:rPr>
            </w:pPr>
          </w:p>
        </w:tc>
        <w:tc>
          <w:tcPr>
            <w:tcW w:w="2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8380" w:type="dxa"/>
            <w:vAlign w:val="bottom"/>
          </w:tcPr>
          <w:p>
            <w:pPr>
              <w:spacing w:after="0"/>
              <w:rPr>
                <w:sz w:val="17"/>
                <w:szCs w:val="17"/>
                <w:color w:val="auto"/>
              </w:rPr>
            </w:pPr>
          </w:p>
        </w:tc>
        <w:tc>
          <w:tcPr>
            <w:tcW w:w="2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838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83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8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$11,640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$15,476</w:t>
            </w:r>
          </w:p>
        </w:tc>
      </w:tr>
      <w:tr>
        <w:trPr>
          <w:trHeight w:val="203"/>
        </w:trPr>
        <w:tc>
          <w:tcPr>
            <w:tcW w:w="8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812</w:t>
            </w: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Purchase consideration to be paid in stock</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w:t>
            </w: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(8,070)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848</w:t>
            </w:r>
          </w:p>
        </w:tc>
      </w:tr>
      <w:tr>
        <w:trPr>
          <w:trHeight w:val="203"/>
        </w:trPr>
        <w:tc>
          <w:tcPr>
            <w:tcW w:w="8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Inventories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(9,478)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w:t>
            </w:r>
          </w:p>
        </w:tc>
      </w:tr>
      <w:tr>
        <w:trPr>
          <w:trHeight w:val="203"/>
        </w:trPr>
        <w:tc>
          <w:tcPr>
            <w:tcW w:w="8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8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6,535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(2,027)</w:t>
            </w:r>
          </w:p>
        </w:tc>
      </w:tr>
      <w:tr>
        <w:trPr>
          <w:trHeight w:val="203"/>
        </w:trPr>
        <w:tc>
          <w:tcPr>
            <w:tcW w:w="8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2,032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(5,424)</w:t>
            </w:r>
          </w:p>
        </w:tc>
      </w:tr>
      <w:tr>
        <w:trPr>
          <w:trHeight w:val="203"/>
        </w:trPr>
        <w:tc>
          <w:tcPr>
            <w:tcW w:w="8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w:t>
            </w:r>
          </w:p>
        </w:tc>
      </w:tr>
      <w:tr>
        <w:trPr>
          <w:trHeight w:val="203"/>
        </w:trPr>
        <w:tc>
          <w:tcPr>
            <w:tcW w:w="83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Net cash provided from  operating activities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3,168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8,714</w:t>
            </w:r>
          </w:p>
        </w:tc>
      </w:tr>
      <w:tr>
        <w:trPr>
          <w:trHeight w:val="405"/>
        </w:trPr>
        <w:tc>
          <w:tcPr>
            <w:tcW w:w="83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(18,834)</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10,610</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(4,285)</w:t>
            </w:r>
          </w:p>
        </w:tc>
      </w:tr>
      <w:tr>
        <w:trPr>
          <w:trHeight w:val="203"/>
        </w:trPr>
        <w:tc>
          <w:tcPr>
            <w:tcW w:w="83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(9,921)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(4,285)</w:t>
            </w:r>
          </w:p>
        </w:tc>
      </w:tr>
      <w:tr>
        <w:trPr>
          <w:trHeight w:val="203"/>
        </w:trPr>
        <w:tc>
          <w:tcPr>
            <w:tcW w:w="8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w:t>
            </w:r>
          </w:p>
        </w:tc>
      </w:tr>
      <w:tr>
        <w:trPr>
          <w:trHeight w:val="203"/>
        </w:trPr>
        <w:tc>
          <w:tcPr>
            <w:tcW w:w="8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Cash dividends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w:t>
            </w:r>
          </w:p>
        </w:tc>
      </w:tr>
      <w:tr>
        <w:trPr>
          <w:trHeight w:val="203"/>
        </w:trPr>
        <w:tc>
          <w:tcPr>
            <w:tcW w:w="83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w:t>
            </w:r>
          </w:p>
        </w:tc>
      </w:tr>
      <w:tr>
        <w:trPr>
          <w:trHeight w:val="203"/>
        </w:trPr>
        <w:tc>
          <w:tcPr>
            <w:tcW w:w="83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(7,151)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4,166</w:t>
            </w:r>
          </w:p>
        </w:tc>
      </w:tr>
      <w:tr>
        <w:trPr>
          <w:trHeight w:val="203"/>
        </w:trPr>
        <w:tc>
          <w:tcPr>
            <w:tcW w:w="8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24,660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28,874</w:t>
            </w:r>
          </w:p>
        </w:tc>
      </w:tr>
      <w:tr>
        <w:trPr>
          <w:trHeight w:val="203"/>
        </w:trPr>
        <w:tc>
          <w:tcPr>
            <w:tcW w:w="83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$17,509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$33,040</w:t>
            </w:r>
          </w:p>
        </w:tc>
      </w:tr>
      <w:tr>
        <w:trPr>
          <w:trHeight w:val="203"/>
        </w:trPr>
        <w:tc>
          <w:tcPr>
            <w:tcW w:w="83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38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 Cash paid during the period</w:t>
            </w: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8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$4,682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060"/>
          </w:cols>
          <w:pgMar w:left="240" w:top="312" w:right="59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779"/>
        <w:spacing w:after="0"/>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659"/>
        <w:spacing w:after="0" w:line="237" w:lineRule="auto"/>
        <w:rPr>
          <w:sz w:val="20"/>
          <w:szCs w:val="20"/>
          <w:color w:val="auto"/>
        </w:rPr>
      </w:pPr>
      <w:r>
        <w:rPr>
          <w:rFonts w:ascii="Courier New" w:cs="Courier New" w:eastAsia="Courier New" w:hAnsi="Courier New"/>
          <w:sz w:val="18"/>
          <w:szCs w:val="18"/>
          <w:color w:val="auto"/>
        </w:rPr>
        <w:t>JUNE 30, 1997</w:t>
      </w:r>
    </w:p>
    <w:p>
      <w:pPr>
        <w:spacing w:after="0" w:line="200" w:lineRule="exact"/>
        <w:rPr>
          <w:sz w:val="20"/>
          <w:szCs w:val="20"/>
          <w:color w:val="auto"/>
        </w:rPr>
      </w:pPr>
    </w:p>
    <w:p>
      <w:pPr>
        <w:spacing w:after="0" w:line="210"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1 -</w:t>
        <w:tab/>
        <w:t>The accompanying interim financial statements are unaudited but include all adjustments (consisting of normal recurring adjustments) which the Company considers necessary for a fair statement of the results for the period. The operating results for the three and six months ended June 30, 1997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1996.</w:t>
      </w:r>
    </w:p>
    <w:p>
      <w:pPr>
        <w:spacing w:after="0" w:line="214"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2 -</w:t>
        <w:tab/>
        <w:t>Net income per share as presented on the statements of income represent primary earnings per share. Dual presentation of primary and fully diluted earnings per share has not been made because the differences are insignificant.</w:t>
      </w:r>
    </w:p>
    <w:p>
      <w:pPr>
        <w:spacing w:after="0" w:line="207"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Effective December 31, 1997, the Company will adopt Statement of Financial Accounting Standards No. 128, "Earnings per Share." At that time, the Company will be required to change the method currently used to calculate earnings per share and to restate all prior periods. The new requirements will include a calculation of basic earnings per share, from which the dilutive effect of stock options will be excluded. The basic earnings per share are expected to reflect an increase of $.04 and $.06 per share for the three and six month periods ended June 30, 1997, respectively, over the primary earnings per share reported for these periods. A calculation of diluted earnings per share will also be required; however, this is not expected to differ materially from the primary earnings per share reported for the three and six-month periods ended June 30, 1997 and 1996.</w:t>
      </w:r>
    </w:p>
    <w:p>
      <w:pPr>
        <w:spacing w:after="0" w:line="391"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3 -</w:t>
        <w:tab/>
        <w:t>On May 6, 1997 the stockholders of the Company approved the adoption of (i) the Cohu, Inc. 1997 Employee Stock Purchase Plan providing for the issuance of a maximum of 300,000 shares of the Company's Common Stock to employees and (ii) the Cohu, Inc. 1996 Outside Directors Stock Option Plan providing for the issuance of a maximum of 100,000 shares of the Company's Common Stock to Outside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RESULTS OF OPERATIONS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JUNE 30,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1997 COMPARED TO SECOND QUARTER 1996</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sales decreased 3% to $44.6 million in the second quarter of 1997 compared to net sales of $45.9 million in 1996. Sales of semiconductor test handling equipment by the Company's Delta Design and Daymarc subsidiaries decreased 3% in the second quarter of 1997 as compared to the second quarter of 1996 and accounted for 80% of consolidated net sales versus 81% in the second quarter of 1996. Sales of television cameras and other equipment were virtually unchanged from 1996 and accounted for 20% of consolidated net sales in the second quarter of 1997 versus 19% in 1996. Gross margin as a percentage of net sales in the second quarter of 1997 was 43.8% versus 45.9% in 1996. The decrease in margin was primarily due to the decline in margins within the semiconductor equipment segment largely attributable to reduced business volume, changes in product mix and certain cost increases. Research and development expense as a percentage of net sales was 9.6% in the second quarter of 1997 compared to 8.3% in 1996 and reflected the Company's continued investment in new product development in the semiconductor equipment business. Selling, general and administrative expense as a percentage of net sales was approximately 12% in both the 1997 and 1996 periods. Interest income in the second quarter increased 94% to $.7 million due to the significant increase in cash equivalents and short-term investments. The provision for income taxes expressed as a percentage of pre-tax income was 36% in the second quarter of 1997 versus 37.6% for the year ended December 31, 1996. For the second fiscal quarter, as a result of the factors set forth above, net income decreased 9% to $6.9 million in 1997 from $7.6 million in 1996.</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JUNE 30, 1997 COMPARED TO SIX MONTHS ENDED JUNE 30, 1996</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Net sales decreased 17% to $79.4 million in the first six months of 1997 compared to net sales of $96.1 million in 1996. Sales of semiconductor test handling equipment by the Company's Delta Design and Daymarc subsidiaries decreased 21% in the first six months of 1997 and accounted for 78% of consolidated net sales versus 82% in the first six months of 1996. Sales of television cameras and other equipment decreased 1% from 1996 and accounted for 22% of consolidated net sales in the first six months of 1997 versus 18% in 1996. Gross margin as a percentage of net sales in the first six months of 1997 was 43.3% versus 45.7% in 1996. The decrease in margin was primarily due to the decline in margins within the semiconductor equipment segment largely attributable to reduced business volume, changes in product mix and certain cost increases. Research and development expense as a percentage of net sales was</w:t>
      </w:r>
    </w:p>
    <w:p>
      <w:pPr>
        <w:spacing w:after="0" w:line="1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9.5% in the first six months of 1997 compared to 7.6% in 1996 and reflected the Company's continued investment in new product development in the semiconductor equipment business. Selling, general and administrative expense as a percentage of net sales was approximately 13% in both the 1997 and 1996 periods. Interest income in the 1997 period increased 87% to $1.5 million due to the significant increase in cash equivalents and short-term investments. The provision for income taxes expressed as a percentage of pre-tax income was 36.5% in the first six months of 1997 versus 37.6% for the year ended December 31, 1996. As a result of the factors set forth above, net income decreased 25% to $11.6 million in the first six months of 1997 from $15.5 million in the 1996 period.</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RESULTS OF OPERATIONS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JUNE 30,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net cash flows generated from operating activities in the first six months of 1997 totaled $3.2 million. The major components of cash flows from operating activities were net income of $11.6 million and increases in accounts payable of $6.5 million and income taxes payable of $2 million offset by increases in accounts receivable of $8.1 million and inventories of $9.5 million. Net cash used for investing activities was $9.9 million and was used for the purchase of short-term investments, less maturities ($8.2 million) and property, plant and equipment. Net cash used for financing activities was $.4 million. Cash used for financing activities included $1.1 million for the payment of dividends offset by $.7 million received from the issuance of stock upon the exercise of stock options. The Company had $5 million available under its bank line of credit and working capital of $88.4 million at June 30, 1997. It is anticipated that present working capital and available borrowings under the line of credit will be sufficient to meet the Company's 1997 operating requirements and the remaining anticipated capital expenditures for 1997 of approximately $3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downturns such as that experienced in 1996. Reductions in capital equipment investment by semiconductor manufacturers will adversely affect the Company's results of operations.</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is common in the semiconductor equipment industry, the Company relies on a limited number of customers for a substantial percentage of its net sales. The loss of or a significant reduction in orders by these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RESULTS OF OPERATIONS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JUNE 30,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technology could result in a loss of the Company's competitive position and reduced sales of and margins on existing products.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of existing products. There can be no assurance that future technologies, processes and product developments will not render the Company's current product offerings obsolete or that the Company will be able to develop and introduce new products or enhancements to its existing products in a timely manner to satisfy customer needs or achieve market acceptance.</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1996 Annual Report on Form 10-K, that could cause actual results to differ materially from those projected or forecasted. The Company undertakes no obligation to update the information, including the forward-looking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Annual Meeting of Stockholders was held on May 6, 1997. At the meeting, the following directors were elected: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Common Shares Voted</w:t>
      </w:r>
    </w:p>
    <w:p>
      <w:pPr>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Withhold Authority</w:t>
      </w:r>
    </w:p>
    <w:p>
      <w:pPr>
        <w:spacing w:after="0" w:line="3" w:lineRule="exact"/>
        <w:rPr>
          <w:sz w:val="20"/>
          <w:szCs w:val="20"/>
          <w:color w:val="auto"/>
        </w:rPr>
      </w:pPr>
    </w:p>
    <w:p>
      <w:pPr>
        <w:ind w:left="200"/>
        <w:spacing w:after="0"/>
        <w:tabs>
          <w:tab w:leader="none" w:pos="1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40" w:space="720"/>
            <w:col w:w="525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 W. Davis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Harry L. Casari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8,885,797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8,887,483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41,840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40,154</w:t>
      </w:r>
    </w:p>
    <w:p>
      <w:pPr>
        <w:spacing w:after="0" w:line="200" w:lineRule="exact"/>
        <w:rPr>
          <w:sz w:val="20"/>
          <w:szCs w:val="20"/>
          <w:color w:val="auto"/>
        </w:rPr>
      </w:pPr>
    </w:p>
    <w:p>
      <w:pPr>
        <w:sectPr>
          <w:pgSz w:w="11900" w:h="16838" w:orient="portrait"/>
          <w:cols w:equalWidth="0" w:num="3">
            <w:col w:w="4240" w:space="720"/>
            <w:col w:w="1380" w:space="720"/>
            <w:col w:w="3159"/>
          </w:cols>
          <w:pgMar w:left="240" w:top="312" w:right="1440" w:bottom="1440" w:gutter="0" w:footer="0" w:header="0"/>
          <w:type w:val="continuous"/>
        </w:sectPr>
      </w:pPr>
    </w:p>
    <w:p>
      <w:pPr>
        <w:spacing w:after="0" w:line="22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directors continuing in office until 1998 or 1999 are James W. Barnes, William S. Ivans, Gene E. Leary and Charles A. Schwan.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the stockholders approved the following proposals: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7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Number of Common Shares Voted</w:t>
            </w:r>
          </w:p>
        </w:tc>
      </w:tr>
      <w:tr>
        <w:trPr>
          <w:trHeight w:val="203"/>
        </w:trPr>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7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w:t>
            </w: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6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For</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Against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Abstain</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To approve the</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Cohu, Inc. 1997</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Employee</w:t>
            </w:r>
          </w:p>
        </w:tc>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Purchase</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tcPr>
          <w:p>
            <w:pPr>
              <w:spacing w:after="0"/>
              <w:rPr>
                <w:sz w:val="17"/>
                <w:szCs w:val="17"/>
                <w:color w:val="auto"/>
              </w:rPr>
            </w:pPr>
          </w:p>
        </w:tc>
        <w:tc>
          <w:tcPr>
            <w:tcW w:w="216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6"/>
              </w:rPr>
              <w:t>8,273,070</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608,108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67,935</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To approve the</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Cohu, Inc. 1996</w:t>
            </w:r>
          </w:p>
        </w:tc>
        <w:tc>
          <w:tcPr>
            <w:tcW w:w="1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Outside Directors Stock Option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w:t>
            </w:r>
          </w:p>
        </w:tc>
        <w:tc>
          <w:tcPr>
            <w:tcW w:w="216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6"/>
              </w:rPr>
              <w:t>7,641,876</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1,235,095</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103,840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2540" w:hanging="847"/>
        <w:spacing w:after="0"/>
        <w:tabs>
          <w:tab w:leader="none" w:pos="2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10.8(a) - Amendment to Cohu, Inc. 1996 Stock Option Plan</w:t>
      </w: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w:t>
      </w:r>
      <w:r>
        <w:rPr>
          <w:rFonts w:ascii="Courier New" w:cs="Courier New" w:eastAsia="Courier New" w:hAnsi="Courier New"/>
          <w:sz w:val="16"/>
          <w:szCs w:val="16"/>
          <w:color w:val="auto"/>
        </w:rPr>
        <w:t>- Financial Data Schedule</w:t>
      </w:r>
    </w:p>
    <w:p>
      <w:pPr>
        <w:spacing w:after="0" w:line="207" w:lineRule="exact"/>
        <w:rPr>
          <w:rFonts w:ascii="Courier New" w:cs="Courier New" w:eastAsia="Courier New" w:hAnsi="Courier New"/>
          <w:sz w:val="18"/>
          <w:szCs w:val="18"/>
          <w:color w:val="auto"/>
        </w:rPr>
      </w:pPr>
    </w:p>
    <w:p>
      <w:pPr>
        <w:ind w:left="2540" w:right="2099" w:hanging="847"/>
        <w:spacing w:after="0" w:line="236" w:lineRule="auto"/>
        <w:tabs>
          <w:tab w:leader="none" w:pos="2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June 30,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8"/>
          <w:szCs w:val="18"/>
          <w:color w:val="auto"/>
        </w:rPr>
        <w:t>COHU, INC.</w:t>
      </w:r>
    </w:p>
    <w:p>
      <w:pPr>
        <w:jc w:val="center"/>
        <w:ind w:right="-1180"/>
        <w:spacing w:after="0" w:line="238" w:lineRule="auto"/>
        <w:rPr>
          <w:sz w:val="20"/>
          <w:szCs w:val="20"/>
          <w:color w:val="auto"/>
        </w:rPr>
      </w:pPr>
      <w:r>
        <w:rPr>
          <w:rFonts w:ascii="Courier New" w:cs="Courier New" w:eastAsia="Courier New" w:hAnsi="Courier New"/>
          <w:sz w:val="18"/>
          <w:szCs w:val="18"/>
          <w:color w:val="auto"/>
        </w:rPr>
        <w:t>------------------------------</w:t>
      </w:r>
    </w:p>
    <w:p>
      <w:pPr>
        <w:jc w:val="center"/>
        <w:ind w:right="-11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July 30,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Charles A. Schwan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Charles A. Schwan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Executive Officer</w:t>
      </w:r>
    </w:p>
    <w:p>
      <w:pPr>
        <w:spacing w:after="0" w:line="200" w:lineRule="exact"/>
        <w:rPr>
          <w:sz w:val="20"/>
          <w:szCs w:val="20"/>
          <w:color w:val="auto"/>
        </w:rPr>
      </w:pPr>
    </w:p>
    <w:p>
      <w:pPr>
        <w:sectPr>
          <w:pgSz w:w="11900" w:h="16838" w:orient="portrait"/>
          <w:cols w:equalWidth="0" w:num="3">
            <w:col w:w="540" w:space="100"/>
            <w:col w:w="2760" w:space="720"/>
            <w:col w:w="609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July 30,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John H. Allen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John H. Allen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 &amp;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540" w:space="100"/>
            <w:col w:w="2760" w:space="720"/>
            <w:col w:w="609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10.8(a)</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AMENDMENT TO COHU, INC. 1996 STOCK OPTION PLAN</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Pursuant to the authority granted to the Board of Directors of Cohu, Inc., a Delaware corporation (the "Corporation"), on February 6, 1997 the Board of Directors of the Corporation amended the Cohu, Inc. 1996 Stock Option Plan (the "Plan") by replacing Section 2.1 of the Plan in its entirety with the following:</w:t>
      </w:r>
    </w:p>
    <w:p>
      <w:pPr>
        <w:spacing w:after="0" w:line="182"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2.1</w:t>
        <w:tab/>
        <w:t>"Committee" shall mean the Cohu, Inc. Compensation Committee, appointed by the Board of Directors of the Corporation. If no such Committee is appointed, the entire Board of Directors of the Corporation shall be deemed to constitute the Committee. The Board of Directors of the Corporation may also appoint an Employee Option Committee, consisting of one or more directors, which is authorized to grant options to employees (other than executive officers of the Corporation) subject to such limitations as may be established by the Board of Directors from time to time. If an Employee Option Committee is established, references in the Plan to the term "Committee" shall also include the Employee Option Committee, as the case may be.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Charles A. Schwan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Charles A. Schwan, Director</w:t>
      </w:r>
    </w:p>
    <w:p>
      <w:pPr>
        <w:spacing w:after="0" w:line="200" w:lineRule="exact"/>
        <w:rPr>
          <w:sz w:val="20"/>
          <w:szCs w:val="20"/>
          <w:color w:val="auto"/>
        </w:rPr>
      </w:pPr>
    </w:p>
    <w:p>
      <w:pPr>
        <w:spacing w:after="0" w:line="203"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John H. Allen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John H. Allen, Secretary</w:t>
      </w:r>
    </w:p>
    <w:p>
      <w:pPr>
        <w:sectPr>
          <w:pgSz w:w="11900" w:h="16838" w:orient="portrait"/>
          <w:cols w:equalWidth="0" w:num="1">
            <w:col w:w="10219"/>
          </w:cols>
          <w:pgMar w:left="240" w:top="136" w:right="1440" w:bottom="1440" w:gutter="0" w:footer="0" w:header="0"/>
        </w:sectPr>
      </w:pPr>
    </w:p>
    <w:bookmarkStart w:id="12" w:name="page13"/>
    <w:bookmarkEnd w:id="12"/>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279"/>
        <w:spacing w:after="0" w:line="235" w:lineRule="auto"/>
        <w:rPr>
          <w:sz w:val="20"/>
          <w:szCs w:val="20"/>
          <w:color w:val="auto"/>
        </w:rPr>
      </w:pPr>
      <w:r>
        <w:rPr>
          <w:rFonts w:ascii="Courier New" w:cs="Courier New" w:eastAsia="Courier New" w:hAnsi="Courier New"/>
          <w:sz w:val="18"/>
          <w:szCs w:val="18"/>
          <w:color w:val="auto"/>
        </w:rPr>
        <w:t>THE SCHEDULE CONTAINS SUMMARY FINANCIAL INFORMATION EXTRACTED FROM 1996 AND 1997 FINANCIAL STATEMENTS AND IS</w:t>
      </w:r>
    </w:p>
    <w:p>
      <w:pPr>
        <w:spacing w:after="0"/>
        <w:rPr>
          <w:sz w:val="20"/>
          <w:szCs w:val="20"/>
          <w:color w:val="auto"/>
        </w:rPr>
      </w:pPr>
      <w:r>
        <w:rPr>
          <w:rFonts w:ascii="Courier New" w:cs="Courier New" w:eastAsia="Courier New" w:hAnsi="Courier New"/>
          <w:sz w:val="18"/>
          <w:szCs w:val="18"/>
          <w:color w:val="auto"/>
        </w:rPr>
        <w:t>QUALIFIED IN ITS ENTIRETY BY REFERENCE TO FINANCIAL STATEMENTS.</w:t>
      </w:r>
    </w:p>
    <w:p>
      <w:pPr>
        <w:spacing w:after="0" w:line="201"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DEC-31-1996</w:t>
      </w:r>
    </w:p>
    <w:p>
      <w:pPr>
        <w:ind w:left="3020"/>
        <w:spacing w:after="0"/>
        <w:rPr>
          <w:sz w:val="20"/>
          <w:szCs w:val="20"/>
          <w:color w:val="auto"/>
        </w:rPr>
      </w:pPr>
      <w:r>
        <w:rPr>
          <w:rFonts w:ascii="Courier New" w:cs="Courier New" w:eastAsia="Courier New" w:hAnsi="Courier New"/>
          <w:sz w:val="18"/>
          <w:szCs w:val="18"/>
          <w:color w:val="auto"/>
        </w:rPr>
        <w:t>JAN-01-1997</w:t>
      </w:r>
    </w:p>
    <w:p>
      <w:pPr>
        <w:ind w:left="3240"/>
        <w:spacing w:after="0" w:line="237" w:lineRule="auto"/>
        <w:rPr>
          <w:sz w:val="20"/>
          <w:szCs w:val="20"/>
          <w:color w:val="auto"/>
        </w:rPr>
      </w:pPr>
      <w:r>
        <w:rPr>
          <w:rFonts w:ascii="Courier New" w:cs="Courier New" w:eastAsia="Courier New" w:hAnsi="Courier New"/>
          <w:sz w:val="18"/>
          <w:szCs w:val="18"/>
          <w:color w:val="auto"/>
        </w:rPr>
        <w:t>JUN-30-1997</w:t>
      </w:r>
    </w:p>
    <w:p>
      <w:pPr>
        <w:ind w:left="4400"/>
        <w:spacing w:after="0" w:line="238" w:lineRule="auto"/>
        <w:rPr>
          <w:sz w:val="20"/>
          <w:szCs w:val="20"/>
          <w:color w:val="auto"/>
        </w:rPr>
      </w:pPr>
      <w:r>
        <w:rPr>
          <w:rFonts w:ascii="Courier New" w:cs="Courier New" w:eastAsia="Courier New" w:hAnsi="Courier New"/>
          <w:sz w:val="18"/>
          <w:szCs w:val="18"/>
          <w:color w:val="auto"/>
        </w:rPr>
        <w:t>17,509</w:t>
      </w:r>
    </w:p>
    <w:p>
      <w:pPr>
        <w:ind w:left="3760"/>
        <w:spacing w:after="0"/>
        <w:rPr>
          <w:sz w:val="20"/>
          <w:szCs w:val="20"/>
          <w:color w:val="auto"/>
        </w:rPr>
      </w:pPr>
      <w:r>
        <w:rPr>
          <w:rFonts w:ascii="Courier New" w:cs="Courier New" w:eastAsia="Courier New" w:hAnsi="Courier New"/>
          <w:sz w:val="18"/>
          <w:szCs w:val="18"/>
          <w:color w:val="auto"/>
        </w:rPr>
        <w:t>36,550</w:t>
      </w:r>
    </w:p>
    <w:p>
      <w:pPr>
        <w:ind w:left="3660"/>
        <w:spacing w:after="0" w:line="237" w:lineRule="auto"/>
        <w:rPr>
          <w:sz w:val="20"/>
          <w:szCs w:val="20"/>
          <w:color w:val="auto"/>
        </w:rPr>
      </w:pPr>
      <w:r>
        <w:rPr>
          <w:rFonts w:ascii="Courier New" w:cs="Courier New" w:eastAsia="Courier New" w:hAnsi="Courier New"/>
          <w:sz w:val="18"/>
          <w:szCs w:val="18"/>
          <w:color w:val="auto"/>
        </w:rPr>
        <w:t>27,240</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25,060</w:t>
      </w:r>
    </w:p>
    <w:p>
      <w:pPr>
        <w:ind w:left="3240"/>
        <w:spacing w:after="0"/>
        <w:rPr>
          <w:sz w:val="20"/>
          <w:szCs w:val="20"/>
          <w:color w:val="auto"/>
        </w:rPr>
      </w:pPr>
      <w:r>
        <w:rPr>
          <w:rFonts w:ascii="Courier New" w:cs="Courier New" w:eastAsia="Courier New" w:hAnsi="Courier New"/>
          <w:sz w:val="18"/>
          <w:szCs w:val="18"/>
          <w:color w:val="auto"/>
        </w:rPr>
        <w:t>117,147</w:t>
      </w:r>
    </w:p>
    <w:p>
      <w:pPr>
        <w:ind w:left="4400"/>
        <w:spacing w:after="0" w:line="237" w:lineRule="auto"/>
        <w:rPr>
          <w:sz w:val="20"/>
          <w:szCs w:val="20"/>
          <w:color w:val="auto"/>
        </w:rPr>
      </w:pPr>
      <w:r>
        <w:rPr>
          <w:rFonts w:ascii="Courier New" w:cs="Courier New" w:eastAsia="Courier New" w:hAnsi="Courier New"/>
          <w:sz w:val="18"/>
          <w:szCs w:val="18"/>
          <w:color w:val="auto"/>
        </w:rPr>
        <w:t>29,741</w:t>
      </w:r>
    </w:p>
    <w:p>
      <w:pPr>
        <w:ind w:left="3540"/>
        <w:spacing w:after="0" w:line="238" w:lineRule="auto"/>
        <w:rPr>
          <w:sz w:val="20"/>
          <w:szCs w:val="20"/>
          <w:color w:val="auto"/>
        </w:rPr>
      </w:pPr>
      <w:r>
        <w:rPr>
          <w:rFonts w:ascii="Courier New" w:cs="Courier New" w:eastAsia="Courier New" w:hAnsi="Courier New"/>
          <w:sz w:val="18"/>
          <w:szCs w:val="18"/>
          <w:color w:val="auto"/>
        </w:rPr>
        <w:t>11,999</w:t>
      </w:r>
    </w:p>
    <w:p>
      <w:pPr>
        <w:ind w:left="3440"/>
        <w:spacing w:after="0"/>
        <w:rPr>
          <w:sz w:val="20"/>
          <w:szCs w:val="20"/>
          <w:color w:val="auto"/>
        </w:rPr>
      </w:pPr>
      <w:r>
        <w:rPr>
          <w:rFonts w:ascii="Courier New" w:cs="Courier New" w:eastAsia="Courier New" w:hAnsi="Courier New"/>
          <w:sz w:val="18"/>
          <w:szCs w:val="18"/>
          <w:color w:val="auto"/>
        </w:rPr>
        <w:t>137,385</w:t>
      </w:r>
    </w:p>
    <w:p>
      <w:pPr>
        <w:ind w:left="2820"/>
        <w:spacing w:after="0" w:line="237" w:lineRule="auto"/>
        <w:rPr>
          <w:sz w:val="20"/>
          <w:szCs w:val="20"/>
          <w:color w:val="auto"/>
        </w:rPr>
      </w:pPr>
      <w:r>
        <w:rPr>
          <w:rFonts w:ascii="Courier New" w:cs="Courier New" w:eastAsia="Courier New" w:hAnsi="Courier New"/>
          <w:sz w:val="18"/>
          <w:szCs w:val="18"/>
          <w:color w:val="auto"/>
        </w:rPr>
        <w:t>28,755</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9,439</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line="238" w:lineRule="auto"/>
        <w:rPr>
          <w:sz w:val="20"/>
          <w:szCs w:val="20"/>
          <w:color w:val="auto"/>
        </w:rPr>
      </w:pPr>
      <w:r>
        <w:rPr>
          <w:rFonts w:ascii="Courier New" w:cs="Courier New" w:eastAsia="Courier New" w:hAnsi="Courier New"/>
          <w:sz w:val="18"/>
          <w:szCs w:val="18"/>
          <w:color w:val="auto"/>
        </w:rPr>
        <w:t>98,075</w:t>
      </w:r>
    </w:p>
    <w:p>
      <w:pPr>
        <w:ind w:left="1960"/>
        <w:spacing w:after="0"/>
        <w:rPr>
          <w:sz w:val="20"/>
          <w:szCs w:val="20"/>
          <w:color w:val="auto"/>
        </w:rPr>
      </w:pPr>
      <w:r>
        <w:rPr>
          <w:rFonts w:ascii="Courier New" w:cs="Courier New" w:eastAsia="Courier New" w:hAnsi="Courier New"/>
          <w:sz w:val="18"/>
          <w:szCs w:val="18"/>
          <w:color w:val="auto"/>
        </w:rPr>
        <w:t>137,385</w:t>
      </w:r>
    </w:p>
    <w:p>
      <w:pPr>
        <w:ind w:left="4280"/>
        <w:spacing w:after="0" w:line="237" w:lineRule="auto"/>
        <w:rPr>
          <w:sz w:val="20"/>
          <w:szCs w:val="20"/>
          <w:color w:val="auto"/>
        </w:rPr>
      </w:pPr>
      <w:r>
        <w:rPr>
          <w:rFonts w:ascii="Courier New" w:cs="Courier New" w:eastAsia="Courier New" w:hAnsi="Courier New"/>
          <w:sz w:val="18"/>
          <w:szCs w:val="18"/>
          <w:color w:val="auto"/>
        </w:rPr>
        <w:t>79,404</w:t>
      </w:r>
    </w:p>
    <w:p>
      <w:pPr>
        <w:ind w:left="3340"/>
        <w:spacing w:after="0"/>
        <w:rPr>
          <w:sz w:val="20"/>
          <w:szCs w:val="20"/>
          <w:color w:val="auto"/>
        </w:rPr>
      </w:pPr>
      <w:r>
        <w:rPr>
          <w:rFonts w:ascii="Courier New" w:cs="Courier New" w:eastAsia="Courier New" w:hAnsi="Courier New"/>
          <w:sz w:val="18"/>
          <w:szCs w:val="18"/>
          <w:color w:val="auto"/>
        </w:rPr>
        <w:t>79,404</w:t>
      </w:r>
    </w:p>
    <w:p>
      <w:pPr>
        <w:ind w:left="4500"/>
        <w:spacing w:after="0" w:line="237" w:lineRule="auto"/>
        <w:rPr>
          <w:sz w:val="20"/>
          <w:szCs w:val="20"/>
          <w:color w:val="auto"/>
        </w:rPr>
      </w:pPr>
      <w:r>
        <w:rPr>
          <w:rFonts w:ascii="Courier New" w:cs="Courier New" w:eastAsia="Courier New" w:hAnsi="Courier New"/>
          <w:sz w:val="18"/>
          <w:szCs w:val="18"/>
          <w:color w:val="auto"/>
        </w:rPr>
        <w:t>45,008</w:t>
      </w:r>
    </w:p>
    <w:p>
      <w:pPr>
        <w:ind w:left="3660"/>
        <w:spacing w:after="0"/>
        <w:rPr>
          <w:sz w:val="20"/>
          <w:szCs w:val="20"/>
          <w:color w:val="auto"/>
        </w:rPr>
      </w:pPr>
      <w:r>
        <w:rPr>
          <w:rFonts w:ascii="Courier New" w:cs="Courier New" w:eastAsia="Courier New" w:hAnsi="Courier New"/>
          <w:sz w:val="18"/>
          <w:szCs w:val="18"/>
          <w:color w:val="auto"/>
        </w:rPr>
        <w:t>45,008</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18,340</w:t>
      </w:r>
    </w:p>
    <w:p>
      <w:pPr>
        <w:ind w:left="3860"/>
        <w:spacing w:after="0"/>
        <w:rPr>
          <w:sz w:val="20"/>
          <w:szCs w:val="20"/>
          <w:color w:val="auto"/>
        </w:rPr>
      </w:pPr>
      <w:r>
        <w:rPr>
          <w:rFonts w:ascii="Courier New" w:cs="Courier New" w:eastAsia="Courier New" w:hAnsi="Courier New"/>
          <w:sz w:val="18"/>
          <w:szCs w:val="18"/>
          <w:color w:val="auto"/>
        </w:rPr>
        <w:t>6,700</w:t>
      </w:r>
    </w:p>
    <w:p>
      <w:pPr>
        <w:ind w:left="3020"/>
        <w:spacing w:after="0" w:line="237" w:lineRule="auto"/>
        <w:rPr>
          <w:sz w:val="20"/>
          <w:szCs w:val="20"/>
          <w:color w:val="auto"/>
        </w:rPr>
      </w:pPr>
      <w:r>
        <w:rPr>
          <w:rFonts w:ascii="Courier New" w:cs="Courier New" w:eastAsia="Courier New" w:hAnsi="Courier New"/>
          <w:sz w:val="18"/>
          <w:szCs w:val="18"/>
          <w:color w:val="auto"/>
        </w:rPr>
        <w:t>11,640</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019"/>
        <w:spacing w:after="0" w:line="237" w:lineRule="auto"/>
        <w:rPr>
          <w:sz w:val="20"/>
          <w:szCs w:val="20"/>
          <w:color w:val="auto"/>
        </w:rPr>
      </w:pPr>
      <w:r>
        <w:rPr>
          <w:rFonts w:ascii="Courier New" w:cs="Courier New" w:eastAsia="Courier New" w:hAnsi="Courier New"/>
          <w:sz w:val="18"/>
          <w:szCs w:val="18"/>
          <w:color w:val="auto"/>
        </w:rPr>
        <w:t>11,640</w:t>
      </w:r>
    </w:p>
    <w:p>
      <w:pPr>
        <w:jc w:val="center"/>
        <w:ind w:right="2019"/>
        <w:spacing w:after="0" w:line="238" w:lineRule="auto"/>
        <w:rPr>
          <w:sz w:val="20"/>
          <w:szCs w:val="20"/>
          <w:color w:val="auto"/>
        </w:rPr>
      </w:pPr>
      <w:r>
        <w:rPr>
          <w:rFonts w:ascii="Courier New" w:cs="Courier New" w:eastAsia="Courier New" w:hAnsi="Courier New"/>
          <w:sz w:val="18"/>
          <w:szCs w:val="18"/>
          <w:color w:val="auto"/>
        </w:rPr>
        <w:t>1.18</w:t>
      </w:r>
    </w:p>
    <w:p>
      <w:pPr>
        <w:jc w:val="center"/>
        <w:ind w:right="2019"/>
        <w:spacing w:after="0"/>
        <w:rPr>
          <w:sz w:val="20"/>
          <w:szCs w:val="20"/>
          <w:color w:val="auto"/>
        </w:rPr>
      </w:pPr>
      <w:r>
        <w:rPr>
          <w:rFonts w:ascii="Courier New" w:cs="Courier New" w:eastAsia="Courier New" w:hAnsi="Courier New"/>
          <w:sz w:val="18"/>
          <w:szCs w:val="18"/>
          <w:color w:val="auto"/>
        </w:rPr>
        <w:t>0.00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1]"/>
      <w:numFmt w:val="upperLetter"/>
      <w:start w:val="24"/>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2019-12-12T22:50:30Z</dcterms:created>
  <dcterms:modified xsi:type="dcterms:W3CDTF">2019-12-12T22:50:30Z</dcterms:modified>
</cp:coreProperties>
</file>