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 C. 20549</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9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1" w:lineRule="exact"/>
        <w:rPr>
          <w:sz w:val="24"/>
          <w:szCs w:val="24"/>
          <w:color w:val="auto"/>
        </w:rPr>
      </w:pPr>
    </w:p>
    <w:p>
      <w:pPr>
        <w:ind w:left="1340" w:right="1460" w:hanging="994"/>
        <w:spacing w:after="0" w:line="438" w:lineRule="auto"/>
        <w:tabs>
          <w:tab w:leader="none" w:pos="13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28, 2013</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jc w:val="center"/>
        <w:ind w:left="4520" w:right="1100" w:hanging="4174"/>
        <w:spacing w:after="0" w:line="421" w:lineRule="auto"/>
        <w:tabs>
          <w:tab w:leader="none" w:pos="137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1-4298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COHU, INC</w:t>
      </w:r>
      <w:r>
        <w:rPr>
          <w:rFonts w:ascii="Arial" w:cs="Arial" w:eastAsia="Arial" w:hAnsi="Arial"/>
          <w:sz w:val="43"/>
          <w:szCs w:val="43"/>
          <w:color w:val="auto"/>
        </w:rPr>
        <w:t>.</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2" w:lineRule="exact"/>
        <w:rPr>
          <w:sz w:val="24"/>
          <w:szCs w:val="24"/>
          <w:color w:val="auto"/>
        </w:rPr>
      </w:pPr>
    </w:p>
    <w:tbl>
      <w:tblPr>
        <w:tblLayout w:type="fixed"/>
        <w:tblInd w:w="1220" w:type="dxa"/>
        <w:tblCellMar>
          <w:top w:w="0" w:type="dxa"/>
          <w:left w:w="0" w:type="dxa"/>
          <w:bottom w:w="0" w:type="dxa"/>
          <w:right w:w="0" w:type="dxa"/>
        </w:tblCellMar>
      </w:tblPr>
      <w:tr>
        <w:trPr>
          <w:trHeight w:val="220"/>
        </w:trPr>
        <w:tc>
          <w:tcPr>
            <w:tcW w:w="960" w:type="dxa"/>
            <w:vAlign w:val="bottom"/>
          </w:tcPr>
          <w:p>
            <w:pPr>
              <w:spacing w:after="0"/>
              <w:rPr>
                <w:sz w:val="19"/>
                <w:szCs w:val="19"/>
                <w:color w:val="auto"/>
              </w:rPr>
            </w:pPr>
          </w:p>
        </w:tc>
        <w:tc>
          <w:tcPr>
            <w:tcW w:w="3660" w:type="dxa"/>
            <w:vAlign w:val="bottom"/>
            <w:gridSpan w:val="2"/>
          </w:tcPr>
          <w:p>
            <w:pPr>
              <w:jc w:val="center"/>
              <w:ind w:right="2240"/>
              <w:spacing w:after="0"/>
              <w:rPr>
                <w:sz w:val="20"/>
                <w:szCs w:val="20"/>
                <w:color w:val="auto"/>
              </w:rPr>
            </w:pPr>
            <w:r>
              <w:rPr>
                <w:rFonts w:ascii="Arial" w:cs="Arial" w:eastAsia="Arial" w:hAnsi="Arial"/>
                <w:sz w:val="18"/>
                <w:szCs w:val="18"/>
                <w:b w:val="1"/>
                <w:bCs w:val="1"/>
                <w:color w:val="auto"/>
                <w:w w:val="88"/>
              </w:rPr>
              <w:t>Delaware</w:t>
            </w:r>
          </w:p>
        </w:tc>
        <w:tc>
          <w:tcPr>
            <w:tcW w:w="4320" w:type="dxa"/>
            <w:vAlign w:val="bottom"/>
            <w:gridSpan w:val="2"/>
          </w:tcPr>
          <w:p>
            <w:pPr>
              <w:jc w:val="center"/>
              <w:ind w:left="1232"/>
              <w:spacing w:after="0"/>
              <w:rPr>
                <w:sz w:val="20"/>
                <w:szCs w:val="20"/>
                <w:color w:val="auto"/>
              </w:rPr>
            </w:pPr>
            <w:r>
              <w:rPr>
                <w:rFonts w:ascii="Arial" w:cs="Arial" w:eastAsia="Arial" w:hAnsi="Arial"/>
                <w:sz w:val="18"/>
                <w:szCs w:val="18"/>
                <w:b w:val="1"/>
                <w:bCs w:val="1"/>
                <w:color w:val="auto"/>
                <w:w w:val="87"/>
              </w:rPr>
              <w:t>95-1934119</w:t>
            </w:r>
          </w:p>
        </w:tc>
      </w:tr>
      <w:tr>
        <w:trPr>
          <w:trHeight w:val="149"/>
        </w:trPr>
        <w:tc>
          <w:tcPr>
            <w:tcW w:w="4620" w:type="dxa"/>
            <w:vAlign w:val="bottom"/>
            <w:gridSpan w:val="3"/>
          </w:tcPr>
          <w:p>
            <w:pPr>
              <w:jc w:val="center"/>
              <w:ind w:right="1280"/>
              <w:spacing w:after="0" w:line="149" w:lineRule="exact"/>
              <w:rPr>
                <w:sz w:val="20"/>
                <w:szCs w:val="20"/>
                <w:color w:val="auto"/>
              </w:rPr>
            </w:pPr>
            <w:r>
              <w:rPr>
                <w:rFonts w:ascii="Arial" w:cs="Arial" w:eastAsia="Arial" w:hAnsi="Arial"/>
                <w:sz w:val="14"/>
                <w:szCs w:val="14"/>
                <w:i w:val="1"/>
                <w:iCs w:val="1"/>
                <w:color w:val="auto"/>
                <w:w w:val="90"/>
              </w:rPr>
              <w:t>(State or other jurisdiction of</w:t>
            </w:r>
          </w:p>
        </w:tc>
        <w:tc>
          <w:tcPr>
            <w:tcW w:w="1300" w:type="dxa"/>
            <w:vAlign w:val="bottom"/>
          </w:tcPr>
          <w:p>
            <w:pPr>
              <w:spacing w:after="0"/>
              <w:rPr>
                <w:sz w:val="12"/>
                <w:szCs w:val="12"/>
                <w:color w:val="auto"/>
              </w:rPr>
            </w:pPr>
          </w:p>
        </w:tc>
        <w:tc>
          <w:tcPr>
            <w:tcW w:w="302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89"/>
              </w:rPr>
              <w:t>(I.R.S. Employer Identification No.)</w:t>
            </w:r>
          </w:p>
        </w:tc>
      </w:tr>
      <w:tr>
        <w:trPr>
          <w:trHeight w:val="172"/>
        </w:trPr>
        <w:tc>
          <w:tcPr>
            <w:tcW w:w="4620" w:type="dxa"/>
            <w:vAlign w:val="bottom"/>
            <w:gridSpan w:val="3"/>
          </w:tcPr>
          <w:p>
            <w:pPr>
              <w:jc w:val="center"/>
              <w:ind w:right="1280"/>
              <w:spacing w:after="0"/>
              <w:rPr>
                <w:sz w:val="20"/>
                <w:szCs w:val="20"/>
                <w:color w:val="auto"/>
              </w:rPr>
            </w:pPr>
            <w:r>
              <w:rPr>
                <w:rFonts w:ascii="Arial" w:cs="Arial" w:eastAsia="Arial" w:hAnsi="Arial"/>
                <w:sz w:val="14"/>
                <w:szCs w:val="14"/>
                <w:i w:val="1"/>
                <w:iCs w:val="1"/>
                <w:color w:val="auto"/>
                <w:w w:val="91"/>
              </w:rPr>
              <w:t>Incorporation or Organization)</w:t>
            </w:r>
          </w:p>
        </w:tc>
        <w:tc>
          <w:tcPr>
            <w:tcW w:w="1300" w:type="dxa"/>
            <w:vAlign w:val="bottom"/>
          </w:tcPr>
          <w:p>
            <w:pPr>
              <w:spacing w:after="0"/>
              <w:rPr>
                <w:sz w:val="14"/>
                <w:szCs w:val="14"/>
                <w:color w:val="auto"/>
              </w:rPr>
            </w:pPr>
          </w:p>
        </w:tc>
        <w:tc>
          <w:tcPr>
            <w:tcW w:w="3020" w:type="dxa"/>
            <w:vAlign w:val="bottom"/>
          </w:tcPr>
          <w:p>
            <w:pPr>
              <w:spacing w:after="0"/>
              <w:rPr>
                <w:sz w:val="14"/>
                <w:szCs w:val="14"/>
                <w:color w:val="auto"/>
              </w:rPr>
            </w:pPr>
          </w:p>
        </w:tc>
      </w:tr>
      <w:tr>
        <w:trPr>
          <w:trHeight w:val="422"/>
        </w:trPr>
        <w:tc>
          <w:tcPr>
            <w:tcW w:w="4620" w:type="dxa"/>
            <w:vAlign w:val="bottom"/>
            <w:gridSpan w:val="3"/>
          </w:tcPr>
          <w:p>
            <w:pPr>
              <w:jc w:val="center"/>
              <w:ind w:right="1280"/>
              <w:spacing w:after="0"/>
              <w:rPr>
                <w:sz w:val="20"/>
                <w:szCs w:val="20"/>
                <w:color w:val="auto"/>
              </w:rPr>
            </w:pPr>
            <w:r>
              <w:rPr>
                <w:rFonts w:ascii="Arial" w:cs="Arial" w:eastAsia="Arial" w:hAnsi="Arial"/>
                <w:sz w:val="18"/>
                <w:szCs w:val="18"/>
                <w:b w:val="1"/>
                <w:bCs w:val="1"/>
                <w:color w:val="auto"/>
                <w:w w:val="89"/>
              </w:rPr>
              <w:t>12367 Crosthwaite Circle, Poway, California</w:t>
            </w:r>
          </w:p>
        </w:tc>
        <w:tc>
          <w:tcPr>
            <w:tcW w:w="4320" w:type="dxa"/>
            <w:vAlign w:val="bottom"/>
            <w:gridSpan w:val="2"/>
          </w:tcPr>
          <w:p>
            <w:pPr>
              <w:jc w:val="center"/>
              <w:ind w:left="1212"/>
              <w:spacing w:after="0"/>
              <w:rPr>
                <w:sz w:val="20"/>
                <w:szCs w:val="20"/>
                <w:color w:val="auto"/>
              </w:rPr>
            </w:pPr>
            <w:r>
              <w:rPr>
                <w:rFonts w:ascii="Arial" w:cs="Arial" w:eastAsia="Arial" w:hAnsi="Arial"/>
                <w:sz w:val="18"/>
                <w:szCs w:val="18"/>
                <w:b w:val="1"/>
                <w:bCs w:val="1"/>
                <w:color w:val="auto"/>
                <w:w w:val="89"/>
              </w:rPr>
              <w:t>92064-6817</w:t>
            </w:r>
          </w:p>
        </w:tc>
      </w:tr>
      <w:tr>
        <w:trPr>
          <w:trHeight w:val="172"/>
        </w:trPr>
        <w:tc>
          <w:tcPr>
            <w:tcW w:w="4620" w:type="dxa"/>
            <w:vAlign w:val="bottom"/>
            <w:gridSpan w:val="3"/>
          </w:tcPr>
          <w:p>
            <w:pPr>
              <w:jc w:val="center"/>
              <w:ind w:right="1280"/>
              <w:spacing w:after="0"/>
              <w:rPr>
                <w:sz w:val="20"/>
                <w:szCs w:val="20"/>
                <w:color w:val="auto"/>
              </w:rPr>
            </w:pPr>
            <w:r>
              <w:rPr>
                <w:rFonts w:ascii="Arial" w:cs="Arial" w:eastAsia="Arial" w:hAnsi="Arial"/>
                <w:sz w:val="14"/>
                <w:szCs w:val="14"/>
                <w:i w:val="1"/>
                <w:iCs w:val="1"/>
                <w:color w:val="auto"/>
                <w:w w:val="87"/>
              </w:rPr>
              <w:t>(Address of principal executive offices)</w:t>
            </w:r>
          </w:p>
        </w:tc>
        <w:tc>
          <w:tcPr>
            <w:tcW w:w="1300" w:type="dxa"/>
            <w:vAlign w:val="bottom"/>
          </w:tcPr>
          <w:p>
            <w:pPr>
              <w:spacing w:after="0"/>
              <w:rPr>
                <w:sz w:val="14"/>
                <w:szCs w:val="14"/>
                <w:color w:val="auto"/>
              </w:rPr>
            </w:pPr>
          </w:p>
        </w:tc>
        <w:tc>
          <w:tcPr>
            <w:tcW w:w="3020" w:type="dxa"/>
            <w:vAlign w:val="bottom"/>
          </w:tcPr>
          <w:p>
            <w:pPr>
              <w:jc w:val="center"/>
              <w:spacing w:after="0"/>
              <w:rPr>
                <w:sz w:val="20"/>
                <w:szCs w:val="20"/>
                <w:color w:val="auto"/>
              </w:rPr>
            </w:pPr>
            <w:r>
              <w:rPr>
                <w:rFonts w:ascii="Arial" w:cs="Arial" w:eastAsia="Arial" w:hAnsi="Arial"/>
                <w:sz w:val="14"/>
                <w:szCs w:val="14"/>
                <w:i w:val="1"/>
                <w:iCs w:val="1"/>
                <w:color w:val="auto"/>
                <w:w w:val="87"/>
              </w:rPr>
              <w:t>(Zip Code)</w:t>
            </w:r>
          </w:p>
        </w:tc>
      </w:tr>
      <w:tr>
        <w:trPr>
          <w:trHeight w:val="363"/>
        </w:trPr>
        <w:tc>
          <w:tcPr>
            <w:tcW w:w="960" w:type="dxa"/>
            <w:vAlign w:val="bottom"/>
          </w:tcPr>
          <w:p>
            <w:pPr>
              <w:spacing w:after="0"/>
              <w:rPr>
                <w:sz w:val="24"/>
                <w:szCs w:val="24"/>
                <w:color w:val="auto"/>
              </w:rPr>
            </w:pPr>
          </w:p>
        </w:tc>
        <w:tc>
          <w:tcPr>
            <w:tcW w:w="7980" w:type="dxa"/>
            <w:vAlign w:val="bottom"/>
            <w:gridSpan w:val="4"/>
          </w:tcPr>
          <w:p>
            <w:pPr>
              <w:jc w:val="center"/>
              <w:ind w:right="828"/>
              <w:spacing w:after="0"/>
              <w:rPr>
                <w:sz w:val="20"/>
                <w:szCs w:val="20"/>
                <w:color w:val="auto"/>
              </w:rPr>
            </w:pPr>
            <w:r>
              <w:rPr>
                <w:rFonts w:ascii="Arial" w:cs="Arial" w:eastAsia="Arial" w:hAnsi="Arial"/>
                <w:sz w:val="18"/>
                <w:szCs w:val="18"/>
                <w:b w:val="1"/>
                <w:bCs w:val="1"/>
                <w:color w:val="auto"/>
                <w:w w:val="87"/>
              </w:rPr>
              <w:t>Registrant’s telephone number, including area code: (858) 848-8100</w:t>
            </w:r>
          </w:p>
        </w:tc>
      </w:tr>
      <w:tr>
        <w:trPr>
          <w:trHeight w:val="378"/>
        </w:trPr>
        <w:tc>
          <w:tcPr>
            <w:tcW w:w="960" w:type="dxa"/>
            <w:vAlign w:val="bottom"/>
          </w:tcPr>
          <w:p>
            <w:pPr>
              <w:spacing w:after="0"/>
              <w:rPr>
                <w:sz w:val="24"/>
                <w:szCs w:val="24"/>
                <w:color w:val="auto"/>
              </w:rPr>
            </w:pPr>
          </w:p>
        </w:tc>
        <w:tc>
          <w:tcPr>
            <w:tcW w:w="7980" w:type="dxa"/>
            <w:vAlign w:val="bottom"/>
            <w:gridSpan w:val="4"/>
          </w:tcPr>
          <w:p>
            <w:pPr>
              <w:jc w:val="center"/>
              <w:ind w:right="84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r>
      <w:tr>
        <w:trPr>
          <w:trHeight w:val="380"/>
        </w:trPr>
        <w:tc>
          <w:tcPr>
            <w:tcW w:w="96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156"/>
        </w:trPr>
        <w:tc>
          <w:tcPr>
            <w:tcW w:w="4620" w:type="dxa"/>
            <w:vAlign w:val="bottom"/>
            <w:gridSpan w:val="3"/>
          </w:tcPr>
          <w:p>
            <w:pPr>
              <w:jc w:val="center"/>
              <w:ind w:right="1260"/>
              <w:spacing w:after="0" w:line="156" w:lineRule="exact"/>
              <w:rPr>
                <w:sz w:val="20"/>
                <w:szCs w:val="20"/>
                <w:color w:val="auto"/>
              </w:rPr>
            </w:pPr>
            <w:r>
              <w:rPr>
                <w:rFonts w:ascii="Arial" w:cs="Arial" w:eastAsia="Arial" w:hAnsi="Arial"/>
                <w:sz w:val="14"/>
                <w:szCs w:val="14"/>
                <w:b w:val="1"/>
                <w:bCs w:val="1"/>
                <w:color w:val="auto"/>
                <w:w w:val="87"/>
              </w:rPr>
              <w:t>Common Stock, $1.00 par value</w:t>
            </w:r>
          </w:p>
        </w:tc>
        <w:tc>
          <w:tcPr>
            <w:tcW w:w="1300" w:type="dxa"/>
            <w:vAlign w:val="bottom"/>
          </w:tcPr>
          <w:p>
            <w:pPr>
              <w:spacing w:after="0"/>
              <w:rPr>
                <w:sz w:val="13"/>
                <w:szCs w:val="13"/>
                <w:color w:val="auto"/>
              </w:rPr>
            </w:pPr>
          </w:p>
        </w:tc>
        <w:tc>
          <w:tcPr>
            <w:tcW w:w="30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93"/>
              </w:rPr>
              <w:t>The NASDAQ Stock Market LLC</w:t>
            </w:r>
          </w:p>
        </w:tc>
      </w:tr>
      <w:tr>
        <w:trPr>
          <w:trHeight w:val="174"/>
        </w:trPr>
        <w:tc>
          <w:tcPr>
            <w:tcW w:w="462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7"/>
              </w:rPr>
              <w:t>Preferred Share Purchase Rights, $1.00 par value</w:t>
            </w:r>
          </w:p>
        </w:tc>
        <w:tc>
          <w:tcPr>
            <w:tcW w:w="1300" w:type="dxa"/>
            <w:vAlign w:val="bottom"/>
          </w:tcPr>
          <w:p>
            <w:pPr>
              <w:spacing w:after="0"/>
              <w:rPr>
                <w:sz w:val="15"/>
                <w:szCs w:val="15"/>
                <w:color w:val="auto"/>
              </w:rPr>
            </w:pP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3"/>
              </w:rPr>
              <w:t>The NASDAQ Stock Market LLC</w:t>
            </w:r>
          </w:p>
        </w:tc>
      </w:tr>
    </w:tbl>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171"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145"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right="4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firstLine="17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firstLine="17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480" w:firstLine="17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00"/>
          </w:cols>
          <w:pgMar w:left="240" w:top="230" w:right="259" w:bottom="0" w:gutter="0" w:footer="0" w:header="0"/>
        </w:sectPr>
      </w:pPr>
    </w:p>
    <w:p>
      <w:pPr>
        <w:spacing w:after="0" w:line="53" w:lineRule="exact"/>
        <w:rPr>
          <w:sz w:val="24"/>
          <w:szCs w:val="24"/>
          <w:color w:val="auto"/>
        </w:rPr>
      </w:pPr>
    </w:p>
    <w:p>
      <w:pPr>
        <w:ind w:left="1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ind w:right="2140" w:firstLine="657"/>
        <w:spacing w:after="0" w:line="236"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123" w:lineRule="exact"/>
        <w:rPr>
          <w:sz w:val="24"/>
          <w:szCs w:val="24"/>
          <w:color w:val="auto"/>
        </w:rPr>
      </w:pPr>
    </w:p>
    <w:p>
      <w:pPr>
        <w:sectPr>
          <w:pgSz w:w="11900" w:h="16838" w:orient="portrait"/>
          <w:cols w:equalWidth="0" w:num="3">
            <w:col w:w="1960" w:space="700"/>
            <w:col w:w="1380" w:space="40"/>
            <w:col w:w="7320"/>
          </w:cols>
          <w:pgMar w:left="240" w:top="230" w:right="259" w:bottom="0" w:gutter="0" w:footer="0" w:header="0"/>
          <w:type w:val="continuous"/>
        </w:sectPr>
      </w:pPr>
    </w:p>
    <w:p>
      <w:pPr>
        <w:ind w:left="1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jc w:val="both"/>
        <w:ind w:firstLine="172"/>
        <w:spacing w:after="0" w:line="256" w:lineRule="auto"/>
        <w:rPr>
          <w:sz w:val="20"/>
          <w:szCs w:val="20"/>
          <w:color w:val="auto"/>
        </w:rPr>
      </w:pPr>
      <w:r>
        <w:rPr>
          <w:rFonts w:ascii="Arial" w:cs="Arial" w:eastAsia="Arial" w:hAnsi="Arial"/>
          <w:sz w:val="18"/>
          <w:szCs w:val="18"/>
          <w:color w:val="auto"/>
        </w:rPr>
        <w:t>The aggregate market value of voting stock held by nonaffiliates of the registrant was approximately $116,000,000 based on the closing stock price as reported by the NASDAQ Stock Market LLC as of June 28, 2013. Shares of common stock held by each officer and director and by each person or group who owns 5% or more of the outstanding common stock have been excluded in that such persons or groups may be deemed to be affiliates. This determination of affiliate status is not necessarily a conclusive determination for other purposes.</w:t>
      </w:r>
    </w:p>
    <w:p>
      <w:pPr>
        <w:spacing w:after="0" w:line="143" w:lineRule="exact"/>
        <w:rPr>
          <w:sz w:val="24"/>
          <w:szCs w:val="24"/>
          <w:color w:val="auto"/>
        </w:rPr>
      </w:pPr>
    </w:p>
    <w:p>
      <w:pPr>
        <w:ind w:left="180"/>
        <w:spacing w:after="0"/>
        <w:rPr>
          <w:sz w:val="20"/>
          <w:szCs w:val="20"/>
          <w:color w:val="auto"/>
        </w:rPr>
      </w:pPr>
      <w:r>
        <w:rPr>
          <w:rFonts w:ascii="Arial" w:cs="Arial" w:eastAsia="Arial" w:hAnsi="Arial"/>
          <w:sz w:val="18"/>
          <w:szCs w:val="18"/>
          <w:color w:val="auto"/>
        </w:rPr>
        <w:t>As of February 18, 2014 the Registrant had 25,101,663 shares of its $1.00 par value common stock outstanding.</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4"/>
          <w:szCs w:val="24"/>
          <w:color w:val="auto"/>
        </w:rPr>
      </w:pPr>
    </w:p>
    <w:p>
      <w:pPr>
        <w:ind w:right="20" w:firstLine="176"/>
        <w:spacing w:after="0" w:line="332" w:lineRule="auto"/>
        <w:rPr>
          <w:sz w:val="20"/>
          <w:szCs w:val="20"/>
          <w:color w:val="auto"/>
        </w:rPr>
      </w:pPr>
      <w:r>
        <w:rPr>
          <w:rFonts w:ascii="Arial" w:cs="Arial" w:eastAsia="Arial" w:hAnsi="Arial"/>
          <w:sz w:val="16"/>
          <w:szCs w:val="16"/>
          <w:color w:val="auto"/>
        </w:rPr>
        <w:t>Portions of the Proxy Statement for Cohu, Inc.’s 2014 Annual Meeting of Stockholders to be held on May 14, 2014, and to be filed pursuant to Regulation 14A within 120 days after registrant’s fiscal year ended December 28, 2013,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0" w:right="259" w:bottom="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10-K FOR THE FISCAL YEAR ENDED DECEMBER 28, 2013</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560" w:type="dxa"/>
            <w:vAlign w:val="bottom"/>
            <w:gridSpan w:val="4"/>
            <w:vMerge w:val="restart"/>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560" w:type="dxa"/>
            <w:vAlign w:val="bottom"/>
            <w:gridSpan w:val="4"/>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90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Unresolved Staff Comments</w:t>
              </w:r>
            </w:hyperlink>
          </w:p>
        </w:tc>
        <w:tc>
          <w:tcPr>
            <w:tcW w:w="79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Properties</w:t>
              </w:r>
            </w:hyperlink>
          </w:p>
        </w:tc>
        <w:tc>
          <w:tcPr>
            <w:tcW w:w="918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90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500" w:type="dxa"/>
            <w:vAlign w:val="bottom"/>
            <w:gridSpan w:val="3"/>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1">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900" w:type="dxa"/>
            <w:vAlign w:val="bottom"/>
            <w:gridSpan w:val="1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60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Financial Statements and Supplementary Data</w:t>
              </w:r>
            </w:hyperlink>
          </w:p>
        </w:tc>
        <w:tc>
          <w:tcPr>
            <w:tcW w:w="664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990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Changes in and Disagreements with Accountants on Accounting and Financial Disclosure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358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818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III</w:t>
              </w:r>
            </w:hyperlink>
          </w:p>
        </w:tc>
        <w:tc>
          <w:tcPr>
            <w:tcW w:w="4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Directors, Executive Officers and Corporate Governance</w:t>
              </w:r>
            </w:hyperlink>
          </w:p>
        </w:tc>
        <w:tc>
          <w:tcPr>
            <w:tcW w:w="590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9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Security Ownership of Certain Beneficial Owners and Management and Related Stockholder Matters</w:t>
              </w:r>
            </w:hyperlink>
          </w:p>
        </w:tc>
        <w:tc>
          <w:tcPr>
            <w:tcW w:w="278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990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Certain Relationships and Related Transactions, and Director Independence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Principal Accounting Fees and Services</w:t>
              </w:r>
            </w:hyperlink>
          </w:p>
        </w:tc>
        <w:tc>
          <w:tcPr>
            <w:tcW w:w="45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440" w:type="dxa"/>
            <w:vAlign w:val="bottom"/>
            <w:gridSpan w:val="2"/>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14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The following discussion should be read in conjunction with the consolidated financial statements and notes thereto included elsewhere in this Annual Report on Form 10-K. This Annual Report on Form 10-K contains certain forward-looking statements including expectations of market conditions, challenges and plans, within the meaning of Section 21E of the Securities Exchange Act of 1934, as amended (the “Exchange Act”), and is subject to the Safe Harbor provisions created by that statute. These forward-looking statements are based on management’s current expectations and beliefs, including estimates and projections about our industries. Statements concerning financial position, business strategy, and plans or objectives for future operations are forward-looking statements. These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Annual Report on Form 10-K under the heading “Item 1A. Risk Factors”. The forward-looking statements in this report speak only as of the time they are made and do not necessarily reflect management’s outlook at any other point in time. We undertake no obligation to update publicly any forward-looking statements, whether as a result of new information, future events, or for any other reason. However, readers should carefully review the risk factors set forth in other reports or documents we file from time to time with the Securities and Exchange Commission (“SEC”) after the date of this Annual Report.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9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Cohu, Inc. (“Cohu”, “we”, “our” and “us”) was incorporated under the laws of California in 1947, as Kalbfell Lab, Inc. and commenced active operations in the same year. Our name was changed to Kay Lab in 1954. In 1957, Cohu was reincorporated under the laws of the State of Delaware as Cohu Electronics, Inc. and in 1972, our name was changed to Cohu, Inc.</w:t>
      </w:r>
    </w:p>
    <w:p>
      <w:pPr>
        <w:spacing w:after="0" w:line="5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three reportable segments: semiconductor equipment, mobile microwave communication systems and video cameras. Our semiconductor equipment segment, Cohu’s Semiconductor Equipment Group (“SEG”), encompasses Cohu’s wholly owned subsidiaries Delta Design, Inc. (“Delta”), Rasco GmbH (“Rasco”) and Ismeca Semiconductor Holding SA (“Ismeca”). Delta develops, manufactures and sells pick-and-place semiconductor test handling equipment and thermal sub-systems to semiconductor manufacturers and test subcontractors throughout the world. Rasco develops, manufactures and sells gravity-feed and test-in-strip semiconductor test handling equipment and micro-electro-mechanical systems (“MEMS”) test modules used in final test operations by semiconductor manufacturers and test subcontractors. Ismeca, acquired by Cohu on December 31, 2012, designs, manufactures and sells turret-based test handling and back-end finishing equipment for integrated circuits, light emitting diodes (LEDs) and discrete components used by semiconductor manufacturers and test subcontractors throughout the world in assembly and packaging of devices.</w:t>
      </w:r>
    </w:p>
    <w:p>
      <w:pPr>
        <w:spacing w:after="0" w:line="3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Our microwave communication systems segment is comprised of our wholly owned subsidiary Broadcast Microwave Services, Inc. (“BMS”). BMS develops, manufactures and sells mobile microwave communications equipment to government agencies, law enforcement and public safety organizations, unmanned air vehicle program contractors, television broadcasters, entertainment companies, professional sports teams and other commercial entities. Our video camera segment (“Electronics Division”) develops, manufactures and sells video cameras and related products, specializing in video solutions for security, surveillance and traffic monitoring. Customers for these products are distributed among security, surveillance, traffic control/management, military, scientific imaging and machine vision.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by reportable segment, expressed as a percentage of total consolidated net sales, for the last three years were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2013</w:t>
            </w:r>
          </w:p>
        </w:tc>
        <w:tc>
          <w:tcPr>
            <w:tcW w:w="5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2012</w:t>
            </w: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8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Semiconductor equipment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Microwave communications</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Video cameras</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8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82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100%</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100%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100%</w:t>
            </w:r>
          </w:p>
        </w:tc>
      </w:tr>
      <w:tr>
        <w:trPr>
          <w:trHeight w:val="20"/>
        </w:trPr>
        <w:tc>
          <w:tcPr>
            <w:tcW w:w="8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Additional financial information on our reportable segments for each of the last three years is included in Note 6, “Segment and Related Information” in Part IV, Item 15(a) of this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Equipment</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a worldwide supplier of semiconductor test handling and back-end finishing systems, MEMS test modules, and thermal sub-systems. Our semiconductor equipment companies develop, manufacture, sell and service a broad line of equipment capable of handling a wide range of integrated circuit and LED packages. Test handlers are electromechanical systems used to automate testing of the packaged integrated circuit in the “back-end” of the semiconductor manufacturing process. Testing determines the quality and performance of the integrated circuit prior to shipment to customers. Testers are designed to verify the performance of the integrated circuit,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packaged device, test parallelism, thermal requirements and signal interface requirements normally determines the appropriate handling approach. Gravity-feed handling is the predominant solution for temperature testing of high performance small outline leaded and non-leaded packages, as well as for large packages with leads on only one or two sides as is common in high power devices. In gravity-feed handlers, integrated circuits are unloaded from plastic tubes, metal magazines or a bowl at the top of the machine and flow through the system, from top to bottom, propelled by the force of gravity. After testing, the integrated circuits are sorted and reloaded into tubes, magazines, bulk or tape for additional process steps or final shipment.</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Integrated circuits with leads on all four sides, such as the quad flat pack, or with balls or pads on the bottom or top of the package, such as ball grid array packages, and quad flat no-lead packages as well as certain low profile integrated circuits with leads on two sides, such as the thin small outline package, and wafer-level packages are predominately handled in pick-and-place systems. Pick-and-place handlers use robotic mechanisms to move integrated circuits from Jedec trays and place them in precision transport boats or carriers for processing through the system. After testing, integrated circuits are sorted and reloaded into designated trays, based on test results.</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Test-in-strip handlers accommodate integrated circuits in strips or panels prior to the final singulation step in the semiconductor manufacturing process flow and are typically used for high-parallel testing applications. Turret-based handlers use a rotating “turret” mechanism that provides very high device throughput and efficient integration of multiple back-end finishing operations. Turret handlers are ideally suited for high-volume and low-mix testing of smaller integrated circuits, discrete and LED devices. MEMS test modules are independent physical stimuli units for testing sensor integrated circuits typically used in the automotive and consumer electronics industries. These MEMS test modules can be integrated to our gravity-feed, pick &amp; place, turret or test-in-strip handlers for testing a variety of sensors, including pressure, acoustic, magnetic field hall effect, optical and others.</w:t>
      </w:r>
    </w:p>
    <w:p>
      <w:pPr>
        <w:spacing w:after="0" w:line="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ensure quality, semiconductors are typically tested at hot and/or cold temperatures, which can simulate the final operating environment. Our test handler products are designed to provide a precisely controlled test environment, often over the range of -60 degrees Celsius to +175 degrees Celsius. As the speed and power of certain integrated circuits, such as microprocessors and mobile processors, has increased so has the need to actively manage the self-generated heat during the test process to maximize yield. This heat is capable of damaging or destroying the integrated circuit and can result in speed downgrading, when devices self-heat and fail to successfully test at their maximum possible speed. Device yields are extremely important and speed grading directly affects the selling price of the integrated circuit and the profitability of the semiconductor manufacturer. In addition to temperature capability, other key factors in the design of test handlers are handling speed, flexibility, parallel test capability, alignment to the test contactors, system size, reliability and cost.</w:t>
      </w:r>
    </w:p>
    <w:p>
      <w:pPr>
        <w:spacing w:after="0" w:line="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Delta provides thermal sub-systems for use in advanced burn-in and system-level test applications. These thermal sub-systems maintain and control the temperature of the integrated circuit during the testing process. Burn-in stresses devices for detection of early failures (infant mortality) prior to distribution. The burn-in process is also used by semiconductor manufacturers to develop reliability models of newly introduced devices. The objective of reliability testing is to determine a device’s fault-free operation and estimated useful life by exposing the device to various electrical and thermal conditions that impact its performance. System-level testing is required for functional testing of high-end microprocessors as well as mobile processors combined with memory integrated circuits. This is typically the last test operation of complex, expensive integrated circuits prior to the final electronic integration process.</w:t>
      </w:r>
    </w:p>
    <w:p>
      <w:pPr>
        <w:spacing w:after="0" w:line="3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Our products are complex electromechanical systems that are used in high-volume production environments and many are in service twenty-four hours per day, seven days a week. Customers continuously strive to increase the utilization of their production test equipment and expect high reliability from test handling, MEMS test modules and thermal subsystems used in burn-in and system-level test. The availability of trained technical support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personnel is an important competitive factor in the marketplace. Our semiconductor equipment companies deploy service engineers worldwide, often within customers’ production facilities, who work with customer personnel to maintain, repair and continuously improve the performance of our equipment.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Semiconductor Equipment Products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offer products for the pick-and-place, gravity-feed, test-in-strip and turret handling, MEMS and system-level test markets. We currently sell the following products in the semiconductor equipment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Pick-and-place</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is a pick-and-place handler that combines an economical design with a small footprint and fast index time (processing speed of the contactor placement mechanism). The </w:t>
      </w:r>
      <w:r>
        <w:rPr>
          <w:rFonts w:ascii="Arial" w:cs="Arial" w:eastAsia="Arial" w:hAnsi="Arial"/>
          <w:sz w:val="18"/>
          <w:szCs w:val="18"/>
          <w:b w:val="1"/>
          <w:bCs w:val="1"/>
          <w:i w:val="1"/>
          <w:iCs w:val="1"/>
          <w:color w:val="auto"/>
        </w:rPr>
        <w:t>EDGE</w:t>
      </w:r>
      <w:r>
        <w:rPr>
          <w:rFonts w:ascii="Arial" w:cs="Arial" w:eastAsia="Arial" w:hAnsi="Arial"/>
          <w:sz w:val="18"/>
          <w:szCs w:val="18"/>
          <w:color w:val="auto"/>
        </w:rPr>
        <w:t xml:space="preserve"> handler is designed to meet the needs of integrated circuit manufacturers and subcontractors who test at ambient and hot temperatures.</w:t>
      </w:r>
    </w:p>
    <w:p>
      <w:pPr>
        <w:spacing w:after="0" w:line="5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The Delta </w:t>
      </w:r>
      <w:r>
        <w:rPr>
          <w:rFonts w:ascii="Arial" w:cs="Arial" w:eastAsia="Arial" w:hAnsi="Arial"/>
          <w:sz w:val="16"/>
          <w:szCs w:val="16"/>
          <w:b w:val="1"/>
          <w:bCs w:val="1"/>
          <w:color w:val="auto"/>
        </w:rPr>
        <w:t>MATRiX</w:t>
      </w:r>
      <w:r>
        <w:rPr>
          <w:rFonts w:ascii="Arial" w:cs="Arial" w:eastAsia="Arial" w:hAnsi="Arial"/>
          <w:sz w:val="16"/>
          <w:szCs w:val="16"/>
          <w:color w:val="auto"/>
        </w:rPr>
        <w:t xml:space="preserve"> is a high performance pick-and-place handler capable of thermally conditioning devices from -60 degrees Celsius to +175 degrees Celsius. It provides increased productivity in several dimensions of performance: high throughput and test parallelism, scalability and active thermal control per test site. With an adjustable test site configuration, customers can reuse existing load-boards, including those made for competitor equipment and gravity handlers. The system also provides flexibility with field upgradeable options including a chamberless tri-temperature test site and auto contactor cleaning.</w:t>
      </w:r>
    </w:p>
    <w:p>
      <w:pPr>
        <w:spacing w:after="0" w:line="2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Castle</w:t>
      </w:r>
      <w:r>
        <w:rPr>
          <w:rFonts w:ascii="Arial" w:cs="Arial" w:eastAsia="Arial" w:hAnsi="Arial"/>
          <w:sz w:val="18"/>
          <w:szCs w:val="18"/>
          <w:color w:val="auto"/>
        </w:rPr>
        <w:t xml:space="preserve"> is a pick-and-place test handler capable of thermally conditioning devices from -60 degrees Celsius to +160 degrees Celsius. The Castle can position from one to nine devices for testing. Its large thermal soak chamber provides a continuous flow of thermally conditioned devices to the test site allowing the handler to process parts at high speed when running at temperature. The Castle incorporates an innovative vertical tray storage system that saves space on the test floor by minimizing the handler’s footprint.</w:t>
      </w:r>
    </w:p>
    <w:p>
      <w:pPr>
        <w:spacing w:after="0" w:line="5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 xml:space="preserve">The Delta </w:t>
      </w:r>
      <w:r>
        <w:rPr>
          <w:rFonts w:ascii="Arial" w:cs="Arial" w:eastAsia="Arial" w:hAnsi="Arial"/>
          <w:sz w:val="18"/>
          <w:szCs w:val="18"/>
          <w:b w:val="1"/>
          <w:bCs w:val="1"/>
          <w:color w:val="auto"/>
        </w:rPr>
        <w:t>Pyramid</w:t>
      </w:r>
      <w:r>
        <w:rPr>
          <w:rFonts w:ascii="Arial" w:cs="Arial" w:eastAsia="Arial" w:hAnsi="Arial"/>
          <w:sz w:val="18"/>
          <w:szCs w:val="18"/>
          <w:color w:val="auto"/>
        </w:rPr>
        <w:t xml:space="preserve"> is a high performance thermal handler providing high throughput, high parallel test capability for microprocessors and graphics processors. The Pyramid incorporates Delta’s proprietary thermal control technology. The system is highly configurable and is capable of adapting to various customer requirements ranging from small tablet microprocessor testing to high-end server product testing.</w:t>
      </w:r>
    </w:p>
    <w:p>
      <w:pPr>
        <w:spacing w:after="0" w:line="5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Summit</w:t>
      </w:r>
      <w:r>
        <w:rPr>
          <w:rFonts w:ascii="Arial" w:cs="Arial" w:eastAsia="Arial" w:hAnsi="Arial"/>
          <w:sz w:val="18"/>
          <w:szCs w:val="18"/>
          <w:color w:val="auto"/>
        </w:rPr>
        <w:t xml:space="preserve"> series of pick-and-place thermal handlers are designed to meet the requirements of manufacturers of microprocessors, graphic processors and other high speed, high power integrated circuits. The Summit handlers incorporate Delta’s proprietary thermal control technology. The Summit PTC, or Passive Thermal Control, and ATC, or Active Thermal Control, models dissipate the heat generated during test enabling the integrated circuit to be tested successfully at its maximum speed and performance.</w:t>
      </w:r>
    </w:p>
    <w:p>
      <w:pPr>
        <w:spacing w:after="0" w:line="55" w:lineRule="exact"/>
        <w:rPr>
          <w:sz w:val="20"/>
          <w:szCs w:val="20"/>
          <w:color w:val="auto"/>
        </w:rPr>
      </w:pPr>
    </w:p>
    <w:p>
      <w:pPr>
        <w:ind w:right="280"/>
        <w:spacing w:after="0" w:line="339" w:lineRule="auto"/>
        <w:rPr>
          <w:sz w:val="20"/>
          <w:szCs w:val="20"/>
          <w:color w:val="auto"/>
        </w:rPr>
      </w:pPr>
      <w:r>
        <w:rPr>
          <w:rFonts w:ascii="Arial" w:cs="Arial" w:eastAsia="Arial" w:hAnsi="Arial"/>
          <w:sz w:val="16"/>
          <w:szCs w:val="16"/>
          <w:color w:val="auto"/>
        </w:rPr>
        <w:t xml:space="preserve">Delta’s </w:t>
      </w:r>
      <w:r>
        <w:rPr>
          <w:rFonts w:ascii="Arial" w:cs="Arial" w:eastAsia="Arial" w:hAnsi="Arial"/>
          <w:sz w:val="16"/>
          <w:szCs w:val="16"/>
          <w:b w:val="1"/>
          <w:bCs w:val="1"/>
          <w:color w:val="auto"/>
        </w:rPr>
        <w:t>LinX</w:t>
      </w:r>
      <w:r>
        <w:rPr>
          <w:rFonts w:ascii="Arial" w:cs="Arial" w:eastAsia="Arial" w:hAnsi="Arial"/>
          <w:sz w:val="16"/>
          <w:szCs w:val="16"/>
          <w:color w:val="auto"/>
        </w:rPr>
        <w:t xml:space="preserve"> Series is our new platform serving assembly automation. Back-end semiconductor assembly is the major process step prior to device testing and validation. The new LinX product line offers advanced Jedec handing automation that efficiently links various assembly test processes.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Gravity-Feed</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SO1x00</w:t>
      </w:r>
      <w:r>
        <w:rPr>
          <w:rFonts w:ascii="Arial" w:cs="Arial" w:eastAsia="Arial" w:hAnsi="Arial"/>
          <w:sz w:val="18"/>
          <w:szCs w:val="18"/>
          <w:color w:val="auto"/>
        </w:rPr>
        <w:t xml:space="preserve"> is a high throughput gravity-feed platform that provides an economical solution for testing up to 8 devices in parallel. These handlers can be configured for tube-to-tube or metal magazine input and output, ambient-hot or tri-temperature testing and are easily kit-able for a wide range of integrated circuit packages.</w:t>
      </w:r>
    </w:p>
    <w:p>
      <w:pPr>
        <w:spacing w:after="0" w:line="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 xml:space="preserve">Rasco’s </w:t>
      </w:r>
      <w:r>
        <w:rPr>
          <w:rFonts w:ascii="Arial" w:cs="Arial" w:eastAsia="Arial" w:hAnsi="Arial"/>
          <w:sz w:val="18"/>
          <w:szCs w:val="18"/>
          <w:b w:val="1"/>
          <w:bCs w:val="1"/>
          <w:color w:val="auto"/>
        </w:rPr>
        <w:t>SO2x00</w:t>
      </w:r>
      <w:r>
        <w:rPr>
          <w:rFonts w:ascii="Arial" w:cs="Arial" w:eastAsia="Arial" w:hAnsi="Arial"/>
          <w:sz w:val="18"/>
          <w:szCs w:val="18"/>
          <w:color w:val="auto"/>
        </w:rPr>
        <w:t xml:space="preserve"> is a modular platform that offers a reliable solution for testing small integrated circuit packages and up to 8 devices in parallel. The base platform can be configured with various input and output modules: tube, metal magazine, bowl, bulk, tape and reel, and an optional laser marking unit. These handlers can be configured for ambient-hot or tri-temperature testing.</w:t>
      </w:r>
    </w:p>
    <w:p>
      <w:pPr>
        <w:spacing w:after="0" w:line="51"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color w:val="auto"/>
        </w:rPr>
        <w:t xml:space="preserve">Rasco’s </w:t>
      </w:r>
      <w:r>
        <w:rPr>
          <w:rFonts w:ascii="Arial" w:cs="Arial" w:eastAsia="Arial" w:hAnsi="Arial"/>
          <w:sz w:val="16"/>
          <w:szCs w:val="16"/>
          <w:b w:val="1"/>
          <w:bCs w:val="1"/>
          <w:color w:val="auto"/>
        </w:rPr>
        <w:t>Saturn</w:t>
      </w:r>
      <w:r>
        <w:rPr>
          <w:rFonts w:ascii="Arial" w:cs="Arial" w:eastAsia="Arial" w:hAnsi="Arial"/>
          <w:sz w:val="16"/>
          <w:szCs w:val="16"/>
          <w:color w:val="auto"/>
        </w:rPr>
        <w:t xml:space="preserve"> and </w:t>
      </w:r>
      <w:r>
        <w:rPr>
          <w:rFonts w:ascii="Arial" w:cs="Arial" w:eastAsia="Arial" w:hAnsi="Arial"/>
          <w:sz w:val="16"/>
          <w:szCs w:val="16"/>
          <w:b w:val="1"/>
          <w:bCs w:val="1"/>
          <w:color w:val="auto"/>
        </w:rPr>
        <w:t>Jupiter</w:t>
      </w:r>
      <w:r>
        <w:rPr>
          <w:rFonts w:ascii="Arial" w:cs="Arial" w:eastAsia="Arial" w:hAnsi="Arial"/>
          <w:sz w:val="16"/>
          <w:szCs w:val="16"/>
          <w:color w:val="auto"/>
        </w:rPr>
        <w:t xml:space="preserve"> are our next generation gravity handlers delivering a fast index time capability with up to 8 devices tested in parallel at cold and/or hot temperature. Saturn has a configuration that covers testing of very small to medium size packaged integrated circuits, and Jupiter is a version that enables testing of medium to very large packaged integrated circuits typically serving the power management device market.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Test-in-strip</w:t>
      </w:r>
    </w:p>
    <w:p>
      <w:pPr>
        <w:spacing w:after="0" w:line="8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 xml:space="preserve">Rasco’s </w:t>
      </w:r>
      <w:r>
        <w:rPr>
          <w:rFonts w:ascii="Arial" w:cs="Arial" w:eastAsia="Arial" w:hAnsi="Arial"/>
          <w:sz w:val="16"/>
          <w:szCs w:val="16"/>
          <w:b w:val="1"/>
          <w:bCs w:val="1"/>
          <w:color w:val="auto"/>
        </w:rPr>
        <w:t>SO3000</w:t>
      </w:r>
      <w:r>
        <w:rPr>
          <w:rFonts w:ascii="Arial" w:cs="Arial" w:eastAsia="Arial" w:hAnsi="Arial"/>
          <w:sz w:val="16"/>
          <w:szCs w:val="16"/>
          <w:color w:val="auto"/>
        </w:rPr>
        <w:t>, test-in-strip handler, can process an entire strip at once or index the strip for single/multiple device testing. The system has tri-temperature capability, accommodates either stacked or slotted input/output media and can be configured with optional, automated vision alignment. The SO3000 is also a solution for in-process testing of next generation 3D packages, that integrate multiple substrate layers stacked and connected through silicon. This is a new process for advanced semiconductor package manufacturing that requires several test insertions along the manufacturing process flow.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Turret</w:t>
      </w:r>
    </w:p>
    <w:p>
      <w:pPr>
        <w:spacing w:after="0" w:line="8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Ismeca’s </w:t>
      </w:r>
      <w:r>
        <w:rPr>
          <w:rFonts w:ascii="Arial" w:cs="Arial" w:eastAsia="Arial" w:hAnsi="Arial"/>
          <w:sz w:val="18"/>
          <w:szCs w:val="18"/>
          <w:b w:val="1"/>
          <w:bCs w:val="1"/>
          <w:color w:val="auto"/>
        </w:rPr>
        <w:t>NX16</w:t>
      </w:r>
      <w:r>
        <w:rPr>
          <w:rFonts w:ascii="Arial" w:cs="Arial" w:eastAsia="Arial" w:hAnsi="Arial"/>
          <w:sz w:val="18"/>
          <w:szCs w:val="18"/>
          <w:color w:val="auto"/>
        </w:rPr>
        <w:t xml:space="preserve"> is a high-speed, 16-position turret handler commonly used for testing and inspection of integrated circuits, LEDs and discrete devices. The product is highly configurable with bowl or tube feeding, tape and bulk output modules along with many processing options including laser marking, inspection and test. The NX16 is capable of testing devices at ambient and hot temperature.</w:t>
      </w:r>
    </w:p>
    <w:p>
      <w:pPr>
        <w:spacing w:after="0" w:line="5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 xml:space="preserve">Ismeca’s </w:t>
      </w:r>
      <w:r>
        <w:rPr>
          <w:rFonts w:ascii="Arial" w:cs="Arial" w:eastAsia="Arial" w:hAnsi="Arial"/>
          <w:sz w:val="18"/>
          <w:szCs w:val="18"/>
          <w:b w:val="1"/>
          <w:bCs w:val="1"/>
          <w:color w:val="auto"/>
        </w:rPr>
        <w:t>NX32</w:t>
      </w:r>
      <w:r>
        <w:rPr>
          <w:rFonts w:ascii="Arial" w:cs="Arial" w:eastAsia="Arial" w:hAnsi="Arial"/>
          <w:sz w:val="18"/>
          <w:szCs w:val="18"/>
          <w:color w:val="auto"/>
        </w:rPr>
        <w:t xml:space="preserve"> is a scalable, 32-position turret handler used for testing and inspection of integrated circuits, LEDs, and discrete devices. There are many configurations of the NX32 turret handler: handling wafers in film-frame for input and/or output that is common for LEDs and wafer level package (WLP) devices; tray and tube input and/or output used for integrated circuits and discretes; and bowl feeding, tape and de-taping, alignment, laser marking, inspection and test modules. The NX32 is capable of testing devices at ambient and hot temperature.</w:t>
      </w:r>
    </w:p>
    <w:p>
      <w:pPr>
        <w:spacing w:after="0" w:line="5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 xml:space="preserve">Ismeca’s </w:t>
      </w:r>
      <w:r>
        <w:rPr>
          <w:rFonts w:ascii="Arial" w:cs="Arial" w:eastAsia="Arial" w:hAnsi="Arial"/>
          <w:sz w:val="18"/>
          <w:szCs w:val="18"/>
          <w:b w:val="1"/>
          <w:bCs w:val="1"/>
          <w:color w:val="auto"/>
        </w:rPr>
        <w:t>NY20</w:t>
      </w:r>
      <w:r>
        <w:rPr>
          <w:rFonts w:ascii="Arial" w:cs="Arial" w:eastAsia="Arial" w:hAnsi="Arial"/>
          <w:sz w:val="18"/>
          <w:szCs w:val="18"/>
          <w:color w:val="auto"/>
        </w:rPr>
        <w:t xml:space="preserve"> is our next generation turret handler platform that delivers higher throughput combined with fast device change-over time for both high-volume and high-mix testing and inspection of integrated circuits, LEDs and discrete devices. The new 20-position turret offers many of the functional modules and capabilities available on the NX16 and NX32 platforms in a smaller footprint, higher throughput handler.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Micro-Electro-Mechanical Systems (“MEMS”)</w:t>
      </w:r>
    </w:p>
    <w:p>
      <w:pPr>
        <w:spacing w:after="0" w:line="9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Rasco’s MEMS series are modules that generate a physical stimuli for testing of sensor integrated circuits typically used in the automotive (e.g. tire pressure, airbag sensors) and consumer electronics (e.g. tilt, motion, microphone and light sensors) industries. The MEMS modules are stand-alone units that can be integrated into Delta, Ismeca or Rasco pick-and-place, turret, test-in-strip, or gravity-feed handlers.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Thermal Sub-Systems</w:t>
      </w:r>
    </w:p>
    <w:p>
      <w:pPr>
        <w:spacing w:after="0" w:line="8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Delta adapted its proprietary thermal control technology for use by integrated circuit manufacturers in high performance burn-in and system level test. The </w:t>
      </w:r>
      <w:r>
        <w:rPr>
          <w:rFonts w:ascii="Arial" w:cs="Arial" w:eastAsia="Arial" w:hAnsi="Arial"/>
          <w:sz w:val="18"/>
          <w:szCs w:val="18"/>
          <w:b w:val="1"/>
          <w:bCs w:val="1"/>
          <w:color w:val="auto"/>
        </w:rPr>
        <w:t xml:space="preserve">T-Core </w:t>
      </w:r>
      <w:r>
        <w:rPr>
          <w:rFonts w:ascii="Arial" w:cs="Arial" w:eastAsia="Arial" w:hAnsi="Arial"/>
          <w:sz w:val="18"/>
          <w:szCs w:val="18"/>
          <w:color w:val="auto"/>
        </w:rPr>
        <w:t>thermal sub-systems provide fast and accurate thermal control of the integrated circuit during the testing process using the same technology available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Pyramid handler. T-Core is also used in engineering and device characterization applications.</w:t>
      </w:r>
    </w:p>
    <w:p>
      <w:pPr>
        <w:spacing w:after="0" w:line="5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Delta’s </w:t>
      </w:r>
      <w:r>
        <w:rPr>
          <w:rFonts w:ascii="Arial" w:cs="Arial" w:eastAsia="Arial" w:hAnsi="Arial"/>
          <w:sz w:val="18"/>
          <w:szCs w:val="18"/>
          <w:b w:val="1"/>
          <w:bCs w:val="1"/>
          <w:color w:val="auto"/>
        </w:rPr>
        <w:t>Fusion HD</w:t>
      </w:r>
      <w:r>
        <w:rPr>
          <w:rFonts w:ascii="Arial" w:cs="Arial" w:eastAsia="Arial" w:hAnsi="Arial"/>
          <w:sz w:val="18"/>
          <w:szCs w:val="18"/>
          <w:color w:val="auto"/>
        </w:rPr>
        <w:t xml:space="preserve"> is the next generation tri-temperature thermal sub-system leveraging our advanced T-Core technology for testing advanced mobile processors. The Fusion HD thermal sub-system offers the unique ability to test greater than 450 devices in parallel while thermally conditioning and accurately controlling each device temperature through stringent, power dissipative test scripts. Compared to conventional test methodologies, Fusion HD offers a significant device yield improvement while maintaining a cost effective tool throughput.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Contactors</w:t>
      </w:r>
    </w:p>
    <w:p>
      <w:pPr>
        <w:spacing w:after="0" w:line="90"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It is becoming increasingly important to supply an integrated solution for power semiconductor testing in automotive, industrial and LED markets and Delta, Rasco and Ismeca design, manufacture, sell and support various lines of test contactor solutions. These are consumable, electro-mechanical assemblies that connect the device under test, inside our test handlers, and the automated test equipment.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Spares</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Delta, Rasco and Ismeca provide consumable and non-consumable items that are used to maintain, sustain or otherwise enable their equipment to meet its performance, availability and production requirements.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Tooling (kits)</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Delta, Rasco and Ismeca design and manufacture a wide range of device dedication kits that enable handlers to process different semiconductor packages. Our Philippines and China operations design and manufacture the majority of our handler kits and provide applications support to customers in the southeast Asia region.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by Product Line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the last three years, sales of our semiconductor equipment products were distributed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2013</w:t>
            </w:r>
          </w:p>
        </w:tc>
        <w:tc>
          <w:tcPr>
            <w:tcW w:w="360" w:type="dxa"/>
            <w:vAlign w:val="bottom"/>
          </w:tcPr>
          <w:p>
            <w:pPr>
              <w:spacing w:after="0"/>
              <w:rPr>
                <w:sz w:val="14"/>
                <w:szCs w:val="1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Semiconductor test handler systems</w:t>
            </w:r>
          </w:p>
        </w:tc>
        <w:tc>
          <w:tcPr>
            <w:tcW w:w="25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shd w:val="clear" w:color="auto" w:fill="CCEEFF"/>
          </w:tcPr>
          <w:p>
            <w:pPr>
              <w:spacing w:after="0"/>
              <w:rPr>
                <w:sz w:val="18"/>
                <w:szCs w:val="18"/>
                <w:color w:val="auto"/>
              </w:rPr>
            </w:pPr>
          </w:p>
        </w:tc>
        <w:tc>
          <w:tcPr>
            <w:tcW w:w="258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Thermal sub-systems and burn-in equipment</w:t>
            </w:r>
          </w:p>
        </w:tc>
        <w:tc>
          <w:tcPr>
            <w:tcW w:w="322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1060" w:type="dxa"/>
            <w:vAlign w:val="bottom"/>
            <w:gridSpan w:val="3"/>
          </w:tcPr>
          <w:p>
            <w:pPr>
              <w:jc w:val="right"/>
              <w:ind w:right="420"/>
              <w:spacing w:after="0"/>
              <w:rPr>
                <w:sz w:val="20"/>
                <w:szCs w:val="20"/>
                <w:color w:val="auto"/>
              </w:rPr>
            </w:pPr>
            <w:r>
              <w:rPr>
                <w:rFonts w:ascii="Arial" w:cs="Arial" w:eastAsia="Arial" w:hAnsi="Arial"/>
                <w:sz w:val="18"/>
                <w:szCs w:val="18"/>
                <w:color w:val="auto"/>
              </w:rPr>
              <w:t>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Spares, tooling (kits) and service</w:t>
            </w:r>
          </w:p>
        </w:tc>
        <w:tc>
          <w:tcPr>
            <w:tcW w:w="3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10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Microwave Communications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BMS develops, manufactures and sells mobile microwave communications equipment, antenna systems and associated equipment. These products are used in the transmission of video, audio and telemetry data. Applications for these microwave data-links include unmanned aerial vehicles (UAVs), law enforcement, security and surveillance, electronic news gathering and live broadcast communications. Customers include government agencies, law enforcement and public safety organizations, unmanned air vehicle program contractors, television broadcasters, entertainment companies, professional sports teams and other commercial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Cameras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Electronics Division develops, manufactures and sells video cameras and related products, specializing in IP video solutions for security, surveillance and traffic monitoring applications. The customer base for these products is distributed among traffic control and management, security/surveillance, military, scientific imaging and machine vision. The Electronics Division’s products are high-performance, high-resolution cameras that meet the most demanding performance requirements and are resistant to harsh operating environments. The Electronics Division also offers customized products and accessories including cables, camera mounts and data storage devices.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customers include semiconductor integrated device manufacturers and test subcontractors. Repeat sales to existing customers represent a significant portion of our sales. During the last three years, customers from our semiconductor equipment segment that have comprised 10% or greater of our consolidated net sales are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2013</w:t>
            </w:r>
          </w:p>
        </w:tc>
        <w:tc>
          <w:tcPr>
            <w:tcW w:w="360" w:type="dxa"/>
            <w:vAlign w:val="bottom"/>
          </w:tcPr>
          <w:p>
            <w:pPr>
              <w:spacing w:after="0"/>
              <w:rPr>
                <w:sz w:val="14"/>
                <w:szCs w:val="14"/>
                <w:color w:val="auto"/>
              </w:rPr>
            </w:pPr>
          </w:p>
        </w:tc>
        <w:tc>
          <w:tcPr>
            <w:tcW w:w="10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Intel</w:t>
            </w:r>
          </w:p>
        </w:tc>
        <w:tc>
          <w:tcPr>
            <w:tcW w:w="35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vMerge w:val="continue"/>
            <w:shd w:val="clear" w:color="auto" w:fill="CCEEFF"/>
          </w:tcPr>
          <w:p>
            <w:pPr>
              <w:spacing w:after="0"/>
              <w:rPr>
                <w:sz w:val="18"/>
                <w:szCs w:val="18"/>
                <w:color w:val="auto"/>
              </w:rPr>
            </w:pPr>
          </w:p>
        </w:tc>
        <w:tc>
          <w:tcPr>
            <w:tcW w:w="3520" w:type="dxa"/>
            <w:vAlign w:val="bottom"/>
            <w:vMerge w:val="continue"/>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2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Texas Instruments</w:t>
            </w:r>
          </w:p>
        </w:tc>
        <w:tc>
          <w:tcPr>
            <w:tcW w:w="4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116205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Less than 10% of net sales</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loss of, or a significant reduction in, orders by these or other significant customers, including reductions due to market, economic or competitive conditions or the outsourcing of final integrated circuit test to subcontractors that are not our customers would adversely affect our financial condition and results of operations and as a result, we believe that our customer concentration is a significant business risk.</w:t>
      </w:r>
    </w:p>
    <w:p>
      <w:pPr>
        <w:spacing w:after="0" w:line="5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Additional financial information on revenues from external customers by geographic area for each of the last three years is included in Note 6, “Segment and Related Information” in Part IV, Item 15(a) of this Form 10-K.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Microwave Communications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customer base for microwave communications equipment is diverse and includes government agencies, law enforcement and public safety organizations, unmanned air vehicle program contractors, television broadcasters, entertainment companies, professional sports teams and other commercial entities throughout the world. No single customer of this segment accounted for 10% or more of our consolidated net sales in 2013, 2012 or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 Cameras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customer base in the video camera industry segment is also diverse and includes corporate end-users, state and federal government agencies, original equipment manufacturers, system integrators and value-added resellers. No single customer of this segment accounted for 10% or more of our consolidated net sales in 2013, 2012 or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market our products worldwide through a combination of a direct sales force and independent sales representatives. In geographic areas where we believe there is sufficient sales potential, we generally employ our own personnel. The U.S. sales office for our semiconductor equipment businesses is located in Poway, California.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Europe sales office is located in Kolbermoor, Germany. We operate in Asia with headquarters in Singapore and branch offices in Taiwan, China, Thailand, Korea and Malaysia. Sales in Japan are made primarily through independent sales representatives.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Equipment</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semiconductor equipment industry is intensely competitive and is characterized by rapid technological change and demanding worldwide service requirements. Significant competitive factors include product performance, price, reliability, customer support and installed base of products. While we are a leading worldwide supplier of semiconductor test handling equipment, we face substantial competition. The Japanese and Korean markets for test handling equipment are large and represent a significant percentage of the worldwide market. During each of the last three years our sales to Japanese and Korean customers, who have historically purchased test handling equipment from Asian suppliers, have represented less than 10% of our total sales. Some of our current and potential competitors are part of larger corporations that have substantially greater financial, engineering, manufacturing and customer support capabilities and offer more extensive product offerings than Cohu. To remain competitive we believe we will require significant financial resources to offer a broad range of products, maintain customer support and service centers worldwide and to invest in research and development of new products. Failure to introduce new products in a timely manner or the introduction by competitors of products with actual or perceived advantages could result in a loss of competitive position and reduced sales of existing products. No assurance can be given that we will continue to compete successfully throughout the world.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Microwave Communications and Video Cameras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products in the microwave communications and video camera segments are sold in highly competitive markets throughout the world, where we compete on the basis of product performance and integration with customer requirements, service, product quality, reliability and price. Many of our competitors are divisions or segments of large, diversified companies with substantially greater financial, engineering, marketing, manufacturing and customer support capabilities than Cohu. No assurance can be given that we will continue to compete successfully in these market segments.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backlog of unfilled orders for products, by segment, at December 28, 2013 and December 29, 2012, was as follows: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6"/>
              </w:rPr>
              <w:t>(in millions)</w:t>
            </w:r>
          </w:p>
        </w:tc>
        <w:tc>
          <w:tcPr>
            <w:tcW w:w="85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96"/>
              </w:rPr>
              <w:t>2013</w:t>
            </w:r>
          </w:p>
        </w:tc>
        <w:tc>
          <w:tcPr>
            <w:tcW w:w="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Semiconductor equipment *</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$75.4</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$30.6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Microwave communications</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Video cameras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consolidated backlog</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88.4</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Reported backlog for our semiconductor equipment segment as of December 28, 2013, includes Ismeca which was acquired on December 31, 2012.</w:t>
      </w:r>
    </w:p>
    <w:p>
      <w:pPr>
        <w:spacing w:after="0" w:line="113"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Backlog is generally expected to be shipped within the next twelve months. Our backlog at any point in time may not be representative of actual sales in any future period due to the possibility of customer changes in delivery schedules, cancellation of orders, potential delays in product shipments, difficulties in obtaining parts from suppliers, failure to satisfy customer acceptance requirements and the inability to recognize revenue under accounting requirements. Furthermore, many orders are subject to cancellation or rescheduling by the customer with limited or no penalty. A reduction in backlog during any particular period could have a material adverse effect on our business, financial condition and results of operations. There is no significant seasonal aspect to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Raw Materials</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Our manufacturing operations are currently located in Poway, California (Delta, BMS and Electronics Division); Laguna, the Philippines (Delta); Kolbermoor, Germany (Rasco); Malacca, Malaysia (Delta and Ismeca); Suzhou, China (Ismeca); La Chaux-de-Fonds, Switzerland (Ismeca) and Kemel, Germany (BMS).</w:t>
      </w:r>
    </w:p>
    <w:p>
      <w:pPr>
        <w:spacing w:after="0" w:line="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Many of the components and subassemblies we utilize are standard products, although some items are made to our specifications. Certain components, particularly in our semiconductor equipment businesses, are obtained or 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available from a limited number of suppliers. We seek to reduce our dependence on sole and limited source suppliers, however in some cases the complete or partial loss of certain of these sources could have a material adverse effect on our operations while we attempt to locate and qualify replacement suppliers.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proprietary technology is protected by various intellectual property laws including patents, licenses, trademarks, copyrights and trade secrets. In addition, we believe that, due to the rapid pace of technological change in the semiconductor equipment industry and our other business segments, the successful manufacture and sale of our products also depends upon our experience, technological know-how, manufacturing and marketing skills and speed of response to sales opportunities. In the absence of patent protection, we would be vulnerable to competitors who attempt to copy or imitate our products or processes. We believe our intellectual property has value and we have in the past and will in the future take actions we deem appropriate to protect such property from misappropriation. However, there can be no assurance such actions will provide meaningful protection from competition. Protecting our intellectual property rights or defending against claims brought by other holders of such rights, either directly against us or against customers we have agreed to indemnify, would likely be expensive and time consuming and could have a material adverse effect on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Certain of the markets in which we compete, particularly the semiconductor equipment industry, are characterized by rapid technological change. Research and development activities are carried on in our various subsidiaries and division and are directed toward development of new products and equipment, as well as enhancements to existing products and equipment. Our total research and development expense was $48.6 million in 2013 (including Ismeca, acquired December 31, 2012) and $36.2 million, for both 2012 and 2011.</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work closely with our customers to make improvements to our existing products and in the development of new products. We expect to continue to invest heavily in research and development and must manage product transitions successfully as introductions of new products could adversely impact sales of existing products.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is subject to numerous federal, state, local and international environmental laws. On occasion, we have been notified by local authorities of instances of noncompliance with local and/or state environmental laws. We believe we are in compliance with applicable federal, state, local and international regulations. Compliance with foreign, federal, state and local laws that have been enacted or adopted regulating the discharge of materials into the environment or otherwise relating to the protection of the environment and the prevention of climate change have not had a material effect and is not expected to have a material effect upon the capital expenditures, results of operations or our competitive position. However, future changes in regulations may require expenditures that could adversely impact earnings in future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sets forth the names, ages, positions and offices held by all executive officers of Cohu as of February 18, 2014. Executive Officers serve at the discretion of the Board of Directors, until their successors are appointed.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1"/>
        </w:trPr>
        <w:tc>
          <w:tcPr>
            <w:tcW w:w="20" w:type="dxa"/>
            <w:vAlign w:val="bottom"/>
          </w:tcPr>
          <w:p>
            <w:pPr>
              <w:spacing w:after="0"/>
              <w:rPr>
                <w:sz w:val="17"/>
                <w:szCs w:val="17"/>
                <w:color w:val="auto"/>
              </w:rPr>
            </w:pPr>
          </w:p>
        </w:tc>
        <w:tc>
          <w:tcPr>
            <w:tcW w:w="34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Cohu:</w:t>
            </w:r>
          </w:p>
        </w:tc>
        <w:tc>
          <w:tcPr>
            <w:tcW w:w="3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6460" w:type="dxa"/>
            <w:vAlign w:val="bottom"/>
            <w:tcBorders>
              <w:top w:val="single" w:sz="8" w:color="auto"/>
            </w:tcBorders>
          </w:tcPr>
          <w:p>
            <w:pPr>
              <w:spacing w:after="0"/>
              <w:rPr>
                <w:sz w:val="17"/>
                <w:szCs w:val="17"/>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James A. Donahue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65</w:t>
            </w:r>
          </w:p>
        </w:tc>
        <w:tc>
          <w:tcPr>
            <w:tcW w:w="9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Jeffrey D. Jones</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52</w:t>
            </w:r>
          </w:p>
        </w:tc>
        <w:tc>
          <w:tcPr>
            <w:tcW w:w="9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r>
      <w:tr>
        <w:trPr>
          <w:trHeight w:val="222"/>
        </w:trPr>
        <w:tc>
          <w:tcPr>
            <w:tcW w:w="3840" w:type="dxa"/>
            <w:vAlign w:val="bottom"/>
            <w:gridSpan w:val="3"/>
          </w:tcPr>
          <w:p>
            <w:pPr>
              <w:spacing w:after="0"/>
              <w:rPr>
                <w:sz w:val="20"/>
                <w:szCs w:val="20"/>
                <w:color w:val="auto"/>
              </w:rPr>
            </w:pPr>
            <w:r>
              <w:rPr>
                <w:rFonts w:ascii="Arial" w:cs="Arial" w:eastAsia="Arial" w:hAnsi="Arial"/>
                <w:sz w:val="18"/>
                <w:szCs w:val="18"/>
                <w:color w:val="auto"/>
              </w:rPr>
              <w:t>John H. Allen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62</w:t>
            </w:r>
          </w:p>
        </w:tc>
        <w:tc>
          <w:tcPr>
            <w:tcW w:w="90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Vice President, Administration</w:t>
            </w:r>
          </w:p>
        </w:tc>
      </w:tr>
      <w:tr>
        <w:trPr>
          <w:trHeight w:val="426"/>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Cohu wholly owned subsidiaries: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Luis A. Müller</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44</w:t>
            </w:r>
          </w:p>
        </w:tc>
        <w:tc>
          <w:tcPr>
            <w:tcW w:w="9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President – Cohu SEG</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Hock W. Chiang</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56</w:t>
            </w:r>
          </w:p>
        </w:tc>
        <w:tc>
          <w:tcPr>
            <w:tcW w:w="9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Vice President Global Sales &amp; Service – Cohu SEG</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Peter Portmann</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56</w:t>
            </w:r>
          </w:p>
        </w:tc>
        <w:tc>
          <w:tcPr>
            <w:tcW w:w="9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Vice President Global Operations – Cohu SEG</w:t>
            </w: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Samer Kabbani</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39</w:t>
            </w:r>
          </w:p>
        </w:tc>
        <w:tc>
          <w:tcPr>
            <w:tcW w:w="90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President – Delta Design Systems</w:t>
            </w:r>
          </w:p>
        </w:tc>
      </w:tr>
      <w:tr>
        <w:trPr>
          <w:trHeight w:val="222"/>
        </w:trPr>
        <w:tc>
          <w:tcPr>
            <w:tcW w:w="3840" w:type="dxa"/>
            <w:vAlign w:val="bottom"/>
            <w:gridSpan w:val="3"/>
          </w:tcPr>
          <w:p>
            <w:pPr>
              <w:spacing w:after="0"/>
              <w:rPr>
                <w:sz w:val="20"/>
                <w:szCs w:val="20"/>
                <w:color w:val="auto"/>
              </w:rPr>
            </w:pPr>
            <w:r>
              <w:rPr>
                <w:rFonts w:ascii="Arial" w:cs="Arial" w:eastAsia="Arial" w:hAnsi="Arial"/>
                <w:sz w:val="18"/>
                <w:szCs w:val="18"/>
                <w:color w:val="auto"/>
              </w:rPr>
              <w:t>James G. McFarlane</w:t>
            </w:r>
          </w:p>
        </w:tc>
        <w:tc>
          <w:tcPr>
            <w:tcW w:w="220" w:type="dxa"/>
            <w:vAlign w:val="bottom"/>
          </w:tcPr>
          <w:p>
            <w:pPr>
              <w:ind w:left="20"/>
              <w:spacing w:after="0"/>
              <w:rPr>
                <w:sz w:val="20"/>
                <w:szCs w:val="20"/>
                <w:color w:val="auto"/>
              </w:rPr>
            </w:pPr>
            <w:r>
              <w:rPr>
                <w:rFonts w:ascii="Arial" w:cs="Arial" w:eastAsia="Arial" w:hAnsi="Arial"/>
                <w:sz w:val="18"/>
                <w:szCs w:val="18"/>
                <w:color w:val="auto"/>
                <w:w w:val="89"/>
              </w:rPr>
              <w:t>63</w:t>
            </w:r>
          </w:p>
        </w:tc>
        <w:tc>
          <w:tcPr>
            <w:tcW w:w="90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President – Delta Design Kit Operations</w:t>
            </w:r>
          </w:p>
        </w:tc>
      </w:tr>
    </w:tbl>
    <w:p>
      <w:pPr>
        <w:spacing w:after="0" w:line="1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Mr. Donahue has been employed by Delta since 1978 and was President of Delta from May, 1983 until December, 2010. In October, 1999, Mr. Donahue was named President and Chief Operating Officer of Cohu and was appointed to Cohu’s Board of Directors. In June, 2000, Mr. Donahue was promoted to Chief Executive Officer and was appointed Chairman of the Board in March,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Jones joined Delta in 2005 as Vice President Finance. In November 2007, Mr. Jones was named Vice President, Finance and Chief Financial Officer of Cohu. Prior to joining Delta, Mr. Jones, was a consultant from 2004 to 2005 and Vice President and General Manager of the Systems Group at SBS Technologies, Inc., a designer and manufacturer of embedded computer products, from 1998 to 2003.</w:t>
      </w:r>
    </w:p>
    <w:p>
      <w:pPr>
        <w:spacing w:after="0" w:line="59"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Mr. Allen has been employed by Cohu since June, 1995. He was Director of Finance until September, 1995, became Vice President, Finance in September, 1995, and was appointed Chief Financial Officer in October, 1995. In November 2007, Mr. Allen was made Vice President, Administration. Prior to joining Cohu, Mr. Allen held various positions with Ernst &amp; Young LLP from 1976 until June, 1995 and had been a partner with that firm since 1987.</w:t>
      </w:r>
    </w:p>
    <w:p>
      <w:pPr>
        <w:spacing w:after="0" w:line="2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Mr. Müller joined Delta in 2005 as Director of Engineering. In July 2008, Mr. Müller was promoted to the position of Vice President of the High Speed Handling Group for Delta and in January 2009 he was named Managing Director of Rasco. In January 2011, Mr. Müller was appointed President of Cohu’s Semiconductor Equipment Group, which encompasses Cohu subsidiaries Delta Design, Inc., Rasco GmbH and Ismeca Semiconductor.</w:t>
      </w:r>
    </w:p>
    <w:p>
      <w:pPr>
        <w:spacing w:after="0" w:line="2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Mr. Chiang has been employed by Cohu since October 2012 as Vice President, Global Sales &amp; Service for Cohu’s Semiconductor Equipment Group. Prior to joining Cohu, Mr. Chiang served as a Director for AXElite Technology Corporation. Additionally, from 1995 through 2011, Mr. Chiang held a variety of positions at Teradyne, Inc. (“Teradyne”) including Director – Asia SOC Marketing &amp; New Business Development, Managing Director of Teradyne’s Singapore and China operations and Director of Worldwide Field Total Quality Management.</w:t>
      </w:r>
    </w:p>
    <w:p>
      <w:pPr>
        <w:spacing w:after="0" w:line="6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Mr. Portmann began his employment with Cohu with the acquisition of Ismeca on December 31, 2012 and was named Vice President Global Operations of Cohu’s Semiconductor Equipment Group in January 2013. Immediately prior to joining Cohu, Mr. Portman served as the Vice President and Global Operations Manager of Ismeca for seven years. Additionally, from 1994 through 2001, Mr. Portmann held a variety of leadership positions at Ismeca including General Manager of Ismeca Malaysia and Vice President of the Semiconductor Division.</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Kabbani joined Delta in 2003 holding several leadership positions in engineering. In 2007, Mr. Kabbani was promoted to the position of Vice President of the High Performance Logic Group and in 2011 he became Vice President of Engineering for Delta. Mr. Kabbani was named President of Delta Design Systems in February 2013.</w:t>
      </w:r>
    </w:p>
    <w:p>
      <w:pPr>
        <w:spacing w:after="0" w:line="59"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Mr. McFarlane has been employed by Delta since 1989. He was Director of Engineering from 1992 to 1998 and was promoted to Vice President of Engineering in 1998. In 2000, Mr. McFarlane was promoted to Senior Vice President and in February 2013 was named President of Delta Design Kit Operations.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December 28, 2013, we had approximately 1,400 employees. Our employee headcount has fluctuated in the last five years primarily due to the volatile business conditions in the semiconductor equipment industry and the acquisitions of Rasco and Ismeca. Our employees in the United States and most locations in Asia are not covered by collective bargaining agreements, however, certain employees at Rasco’s facility in Kolbermoor, Germany, are represented by a works council, certain employees at Ismeca’s facility La Chaux-de-Fonds, Switzerland are members of the micro-technology and Swiss watch trade union and certain employees in Ismeca’s China operation belong to local trade unions. We have not experienced any work stoppages and consider our relations with our employees to be good. We believe that a great part of our future success will depend on our continued ability to attract and retain qualified employees. Competition for the services of certain personnel, particularly those with technical skills, is intense. There can be no assurance that we will be able to attract, hire, assimilate and retain a sufficient number of qualified employees.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web site address is www.cohu.com. We make available free of charge, on or through our web site, our annual report on Form 10-K, quarterly reports on Form 10-Q, current reports on Form 8-K, and all amendments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to those reports, as soon as reasonably practicable after such material is electronically filed with the Securities and Exchange Commission. Our Code of Business Conduct and Ethics and other documents related to our corporate governance is also posted on our web site at www.cohu.com/investors/corporategovernance. Information contained on our web site is not deemed part of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Set forth below and elsewhere in this report on Form 10-K and in other documents we file with the SEC, are risks and uncertainties that could cause actual results to differ materially from the results expressed or implied by the forward-looking statements contained in this Annual Report. Before deciding to purchase, hold or sell our common stock, you should carefully consider the risks described below in addition to the other cautionary statements and risks described elsewhere, and the other information contained, in this Annual Report on Form 10-K. The risks and uncertainties described below are not the only ones we face. Additional risks and uncertainties not presently known to us or that we currently deem immaterial may also affect our business. If any of these known or unknown risks or uncertainties actually occurs with material adverse effects on Cohu, our business, financial condition and results of operations could be seriously harmed. The trading price of our common stock could decline due to any of these risks, and you may lose all or part of your investment.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9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have made, and may in the future make, acquisitions of, or significant investments in, businesses with complementary products, services and/or technologies such as our acquisition of Ismeca, which was completed on December 31, 2012. Acquisitions and investments involve numerous risks, including, but not limited to:</w:t>
      </w:r>
    </w:p>
    <w:p>
      <w:pPr>
        <w:spacing w:after="0" w:line="5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and increased costs in connection with integration of the personnel, operations, technologies and products of acquired businesses;</w:t>
      </w:r>
    </w:p>
    <w:p>
      <w:pPr>
        <w:spacing w:after="0" w:line="113" w:lineRule="exact"/>
        <w:rPr>
          <w:rFonts w:ascii="Arial" w:cs="Arial" w:eastAsia="Arial" w:hAnsi="Arial"/>
          <w:sz w:val="16"/>
          <w:szCs w:val="16"/>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loss of key employees or customers of Cohu or acquired businesses;</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commercialize purchased technology; and</w:t>
      </w:r>
    </w:p>
    <w:p>
      <w:pPr>
        <w:spacing w:after="0" w:line="90" w:lineRule="exact"/>
        <w:rPr>
          <w:rFonts w:ascii="Arial" w:cs="Arial" w:eastAsia="Arial" w:hAnsi="Arial"/>
          <w:sz w:val="18"/>
          <w:szCs w:val="18"/>
          <w:color w:val="auto"/>
        </w:rPr>
      </w:pPr>
    </w:p>
    <w:p>
      <w:pPr>
        <w:ind w:left="660" w:hanging="43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impairment of acquired intangible assets and goodwill that could result in significant charges to operating results in future periods.</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We may be required to finance future acquisitions and investments through a combination of borrowings, proceeds from equity or debt offerings and the use of cash, cash equivalents and short-term investments.</w:t>
      </w:r>
    </w:p>
    <w:p>
      <w:pPr>
        <w:spacing w:after="0" w:line="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With respect to divestitures, we may divest businesses that do not meet our strategic objectives, or do not meet our growth or profitability targets and may not be able to complete proposed divestitures on terms commercially favorable to us.</w:t>
      </w:r>
    </w:p>
    <w:p>
      <w:pPr>
        <w:spacing w:after="0" w:line="5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December 28, 2013 we had goodwill and net purchased intangible assets balances of $71.3 million and $45.3 million,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global corporation with offices and subsidiaries in certain foreign locations to support our sales and services to the global semiconductor industry and, as such, we face risks in doing business abroad that we do not face domestically. Certain aspects inherent in transacting business internationally could negatively impact our operating results, including:</w:t>
      </w:r>
    </w:p>
    <w:p>
      <w:pPr>
        <w:spacing w:after="0" w:line="59"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exchange rates, which can affect demand and increase our costs.</w:t>
      </w:r>
    </w:p>
    <w:p>
      <w:pPr>
        <w:spacing w:after="0" w:line="90" w:lineRule="exact"/>
        <w:rPr>
          <w:sz w:val="20"/>
          <w:szCs w:val="20"/>
          <w:color w:val="auto"/>
        </w:rPr>
      </w:pPr>
    </w:p>
    <w:p>
      <w:pPr>
        <w:ind w:right="920"/>
        <w:spacing w:after="0" w:line="268" w:lineRule="auto"/>
        <w:rPr>
          <w:sz w:val="20"/>
          <w:szCs w:val="20"/>
          <w:color w:val="auto"/>
        </w:rPr>
      </w:pPr>
      <w:r>
        <w:rPr>
          <w:rFonts w:ascii="Arial" w:cs="Arial" w:eastAsia="Arial" w:hAnsi="Arial"/>
          <w:sz w:val="18"/>
          <w:szCs w:val="18"/>
          <w:color w:val="auto"/>
        </w:rPr>
        <w:t>Additionally, managing geographically dispersed operations presents difficult challenges associated with organizational alignment and infrastructure, communications and information technology, inventory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customer relationship management, terrorist threats and related security matters and cultural diversities. If we are unsuccessful in managing such operations effectively, our business and results of operations will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implementation of our Enterprise Resource Planning software could disrupt our business which could decrease our sales, earnings and liquidity.</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are in the process of finalizing the implementation of an Enterprise Resource Planning (ERP) software system which may not result in improvements that outweigh its costs and may disrupt our operations. Our inability to mitigate existing and future disruptions could decrease our sales, earnings and liquidity. The ERP system implementation subjects us to substantial costs and inherent risks associated with migrating from our legacy systems. These costs and risks could include, but are not limited to:</w:t>
      </w:r>
    </w:p>
    <w:p>
      <w:pPr>
        <w:spacing w:after="0" w:line="62"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operating expenditures;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our domestic and international supply chains;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fill customer orders accurately and on a timely basis, or at all;</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process payments to suppliers, vendors and associates accurately and in a timely manner;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or the ineffectiveness of our internal control environment;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fulfill our SEC or other governmental reporting requirements in a timely or accurate manner;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fulfill federal, state and local tax filing requirements in a timely or accurate manner;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demands on management and staff time to the detriment of other corporate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Visibility into our markets is limited. Our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and lower of cost or market inventory write-offs and reserve requirements. In 2013, 2012 and 2011, we recorded pre-tax inventory-related charges of approximately $8.1 million, $8.9 million, and $5.8 million, respectively, primarily as a result of changes in customer forecasts.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5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28, 2013. Future inventory write-offs and increased inventory reserve requirements could have a material adverse impact on our results of operations and financial condition.</w:t>
      </w:r>
    </w:p>
    <w:p>
      <w:pPr>
        <w:spacing w:after="0" w:line="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are capable of achieving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4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our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conditions may have an impact on our business and financial condition in ways that we currently cannot predict.</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operations and financial results depend on worldwide economic conditions and their impact on levels of business spending, which have deteriorated significantly in many countries and regions and may remain depressed for the foreseeable future.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the economic slowdown or the timing or strength of a subsequent recovery.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small number of customers of our semiconductor equipment segment have been responsible for a significant portion of our net sales. During the past five years, the percentage of our sales derived from these significant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participate in the memory test handler market.</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Pick-and-place handlers used in memory test applications account for a significant portion of the worldwide test handler market. We do not currently participate in the mainstream memory market segment; therefore our total available sales market is limited.</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continually changing and unpredictable capacity requirements and changes in integrated circuit design and packaging. Sudden changes in demand for semiconductor equipment have a significant impact on our operations. Typically, we reduce and increase our workforce, particularly in manufacturing, based on customer demand for our products. These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utilize contract manufacturers and changes to those relationships, expected or unexpected, may result in delays or disruptions that could cause us to lose revenue and damage our customer relationships.</w:t>
      </w:r>
    </w:p>
    <w:p>
      <w:pPr>
        <w:spacing w:after="0" w:line="51" w:lineRule="exact"/>
        <w:rPr>
          <w:sz w:val="20"/>
          <w:szCs w:val="20"/>
          <w:color w:val="auto"/>
        </w:rPr>
      </w:pPr>
    </w:p>
    <w:p>
      <w:pPr>
        <w:ind w:right="260"/>
        <w:spacing w:after="0" w:line="318" w:lineRule="auto"/>
        <w:rPr>
          <w:sz w:val="20"/>
          <w:szCs w:val="20"/>
          <w:color w:val="auto"/>
        </w:rPr>
      </w:pPr>
      <w:r>
        <w:rPr>
          <w:rFonts w:ascii="Arial" w:cs="Arial" w:eastAsia="Arial" w:hAnsi="Arial"/>
          <w:sz w:val="15"/>
          <w:szCs w:val="15"/>
          <w:color w:val="auto"/>
        </w:rPr>
        <w:t>Our reliance on contract manufacturers gives us less control over the manufacturing process and exposes us to significant risks, including limited control over capacity, late delivery, quality and costs. In addition, it is time consuming and costly to qualify and implement additional contract manufacturer relationships. Therefore, if we should fail to effectively manage our contract manufacturer relationships or if one or more of them should experience delays, disruptions or quality control problems, or if we had to change or add additional contract manufacturers or contract manufacturing sites, our ability to ship products to our customers could be delayed. Also, the addition of manufacturing locations or contract manufacturers may increase the complexity of our supply</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chain management. We cannot be certain that existing or future contract manufacturers will be able to manufacture our products on a timely and cost-effective basis, or to our quality and performance specifications. If our contract manufacturers are unable to meet our manufacturing requirements in a timely manner, our ability to ship products and to realize the related revenues when anticipated could be materially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 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11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5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U.S. suppliers, including us.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occurrence of natural disasters and geopolitical instability caused by terrorist attacks and other threats may adversely impact our operations and sales.</w:t>
      </w:r>
    </w:p>
    <w:p>
      <w:pPr>
        <w:spacing w:after="0" w:line="1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Asian sales and service headquarters is located in Singapore and the majority of our sales are made to destinations in Asia. In addition, we have manufacturing plants in the Philippines, Malaysia and China.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and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do not presently have redundant, multiple site capacity in the event of a natural disaster. In the event of such disaster, our business would suffer. Furthermore, we have customers throughout the Middle East and terrorist attacks, protests or other threats in this region may cause geopolitical instability, which may have an adverse impact on our business, results of operations and financial condition.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in order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Certain products and services that we offer require compliance with United States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4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government regulations regarding sale and export, we are subject to other regulations regarding our products. For example, the U.S. Securities and Exchange Commission has recently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will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12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Our microwave communication equipment and video camera segments depend on government spending for a significant portion of their sales, creating uncertainty in the timing of and funding for projected contracts.</w:t>
      </w:r>
    </w:p>
    <w:p>
      <w:pPr>
        <w:spacing w:after="0" w:line="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 significant portion of the sales of BMS, Inc. and Cohu Electronics are made to federal, state, local and foreign government agencies as a prime or sub-contractor. Government spending has historically been cyclical. A decrease in government spending or changes in spending allocation could result in one or more of the programs being reduced, delayed or terminated. Reductions or delays in the funding process or changes in funding caused by automatic budget cuts (“sequestration”) or unforeseen world events can impact the timing of available funds or can lead to changes in program content or termination. The loss of anticipated funding or the termination of multiple or large programs could have an adverse effect on our future sales and earnings.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and operating results may vary and may fall below analysts’ estimates, which may cause the price of our common stock to decline.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90" w:lineRule="exact"/>
        <w:rPr>
          <w:sz w:val="20"/>
          <w:szCs w:val="20"/>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cyclical nature of the semiconductor equipment industry;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90"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$7.96 to $17.18. The price of our stock may be more volatile than the stock of other companies due to, among other factors, the unpredictable and cyclical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concerning our principal properties at December 28, 2013, identified by business segment is set forth below:</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20" w:type="dxa"/>
            <w:vAlign w:val="bottom"/>
            <w:vMerge w:val="restart"/>
          </w:tcPr>
          <w:p>
            <w:pPr>
              <w:spacing w:after="0"/>
              <w:rPr>
                <w:sz w:val="14"/>
                <w:szCs w:val="1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7860" w:type="dxa"/>
            <w:vAlign w:val="bottom"/>
            <w:gridSpan w:val="2"/>
            <w:vMerge w:val="restart"/>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Approximate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20" w:type="dxa"/>
            <w:vAlign w:val="bottom"/>
            <w:vMerge w:val="continue"/>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7860" w:type="dxa"/>
            <w:vAlign w:val="bottom"/>
            <w:gridSpan w:val="2"/>
            <w:vMerge w:val="continue"/>
          </w:tcPr>
          <w:p>
            <w:pPr>
              <w:spacing w:after="0"/>
              <w:rPr>
                <w:sz w:val="14"/>
                <w:szCs w:val="14"/>
                <w:color w:val="auto"/>
              </w:rPr>
            </w:pPr>
          </w:p>
        </w:tc>
        <w:tc>
          <w:tcPr>
            <w:tcW w:w="1360" w:type="dxa"/>
            <w:vAlign w:val="bottom"/>
            <w:gridSpan w:val="2"/>
          </w:tcPr>
          <w:p>
            <w:pPr>
              <w:jc w:val="right"/>
              <w:ind w:right="640"/>
              <w:spacing w:after="0" w:line="148" w:lineRule="exact"/>
              <w:rPr>
                <w:sz w:val="20"/>
                <w:szCs w:val="20"/>
                <w:color w:val="auto"/>
              </w:rPr>
            </w:pPr>
            <w:r>
              <w:rPr>
                <w:rFonts w:ascii="Arial" w:cs="Arial" w:eastAsia="Arial" w:hAnsi="Arial"/>
                <w:sz w:val="14"/>
                <w:szCs w:val="14"/>
                <w:b w:val="1"/>
                <w:bCs w:val="1"/>
                <w:color w:val="auto"/>
                <w:w w:val="87"/>
              </w:rPr>
              <w:t>Sq. Footage</w:t>
            </w:r>
          </w:p>
        </w:tc>
        <w:tc>
          <w:tcPr>
            <w:tcW w:w="74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5"/>
              </w:rPr>
              <w:t>Ownership</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84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Poway, California (1) (2) (3) (4)</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338,000</w:t>
            </w:r>
          </w:p>
        </w:tc>
        <w:tc>
          <w:tcPr>
            <w:tcW w:w="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Owned</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Kolbermoor, Germany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40,000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Malacca, Malaysia (1)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Calamba City, Laguna, Philippines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51,000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 Chaux-de-Fonds, Switzerland (1)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Singapore (1)</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24,000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Suzhou, China (1)</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2"/>
        </w:trPr>
        <w:tc>
          <w:tcPr>
            <w:tcW w:w="120" w:type="dxa"/>
            <w:vAlign w:val="bottom"/>
          </w:tcPr>
          <w:p>
            <w:pPr>
              <w:spacing w:after="0"/>
              <w:rPr>
                <w:sz w:val="19"/>
                <w:szCs w:val="19"/>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Heidenrod – Kemel, Germany (3)</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5,000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Semiconductor equipment</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cameras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Microwave Communications</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Cohu Corporate offices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to the locations listed above, we lease other properties primarily for sales and service offices in various locations. We believe our facilities are suitable for their respective uses and are adequate for our present needs.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From time-to-time we are involved in various legal proceedings, examinations by various tax authorities and claims that have arisen in the ordinary course of our businesses.</w:t>
      </w:r>
    </w:p>
    <w:p>
      <w:pPr>
        <w:spacing w:after="0" w:line="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During the period from February through May 2013, Cohu’s subsidiary Delta Design, Inc. (“Delta”) made several inquiries of Essai, Inc. (“Essai”) asking it to confirm that it had not incorporated any of the technology covered by Delta’s patents in its current product offerings. On May 23, 2013 Essai filed a complaint against Delta in the U.S. District Court for the Northern District of California (the “Court”) seeking a declaratory judgment of non-infringement and invalidity of one Delta U.S. patent that issued in 1998. On July 19, 2013 Delta filed a motion with the Court to dismiss Essai’s complaint and Essai filed its opposition to Delta’s motion to dismiss on August 2, 2013. On December 2, 2013 the Court granted Delta’s motion to dismiss the case and judgment was entered in favor of Delta and against Essai on February 5, 2014. Delta intends to vigorously defend its intellectual property rights.</w:t>
      </w:r>
    </w:p>
    <w:p>
      <w:pPr>
        <w:spacing w:after="0" w:line="3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Cohu, Inc. stock is traded on the NASDAQ Global Select Market under the symbol “COHU”. The following table sets forth the high and low sales prices as reported on the NASDAQ Global Select Market during the last two years.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440" w:type="dxa"/>
            <w:vAlign w:val="bottom"/>
            <w:gridSpan w:val="4"/>
          </w:tcPr>
          <w:p>
            <w:pPr>
              <w:ind w:left="320"/>
              <w:spacing w:after="0"/>
              <w:rPr>
                <w:sz w:val="20"/>
                <w:szCs w:val="20"/>
                <w:color w:val="auto"/>
              </w:rPr>
            </w:pPr>
            <w:r>
              <w:rPr>
                <w:rFonts w:ascii="Arial" w:cs="Arial" w:eastAsia="Arial" w:hAnsi="Arial"/>
                <w:sz w:val="14"/>
                <w:szCs w:val="14"/>
                <w:color w:val="auto"/>
              </w:rPr>
              <w:t>Fiscal 2013</w:t>
            </w:r>
          </w:p>
        </w:tc>
        <w:tc>
          <w:tcPr>
            <w:tcW w:w="180" w:type="dxa"/>
            <w:vAlign w:val="bottom"/>
          </w:tcPr>
          <w:p>
            <w:pPr>
              <w:spacing w:after="0"/>
              <w:rPr>
                <w:sz w:val="14"/>
                <w:szCs w:val="14"/>
                <w:color w:val="auto"/>
              </w:rPr>
            </w:pPr>
          </w:p>
        </w:tc>
        <w:tc>
          <w:tcPr>
            <w:tcW w:w="1400" w:type="dxa"/>
            <w:vAlign w:val="bottom"/>
            <w:gridSpan w:val="6"/>
          </w:tcPr>
          <w:p>
            <w:pPr>
              <w:jc w:val="right"/>
              <w:ind w:right="420"/>
              <w:spacing w:after="0"/>
              <w:rPr>
                <w:sz w:val="20"/>
                <w:szCs w:val="20"/>
                <w:color w:val="auto"/>
              </w:rPr>
            </w:pPr>
            <w:r>
              <w:rPr>
                <w:rFonts w:ascii="Arial" w:cs="Arial" w:eastAsia="Arial" w:hAnsi="Arial"/>
                <w:sz w:val="14"/>
                <w:szCs w:val="14"/>
                <w:color w:val="auto"/>
              </w:rPr>
              <w:t>Fiscal 2012</w:t>
            </w:r>
          </w:p>
        </w:tc>
      </w:tr>
      <w:tr>
        <w:trPr>
          <w:trHeight w:val="142"/>
        </w:trPr>
        <w:tc>
          <w:tcPr>
            <w:tcW w:w="7480" w:type="dxa"/>
            <w:vAlign w:val="bottom"/>
          </w:tcPr>
          <w:p>
            <w:pPr>
              <w:spacing w:after="0"/>
              <w:rPr>
                <w:sz w:val="12"/>
                <w:szCs w:val="12"/>
                <w:color w:val="auto"/>
              </w:rPr>
            </w:pPr>
          </w:p>
        </w:tc>
        <w:tc>
          <w:tcPr>
            <w:tcW w:w="860" w:type="dxa"/>
            <w:vAlign w:val="bottom"/>
            <w:tcBorders>
              <w:top w:val="single" w:sz="8" w:color="auto"/>
            </w:tcBorders>
            <w:gridSpan w:val="2"/>
          </w:tcPr>
          <w:p>
            <w:pPr>
              <w:jc w:val="center"/>
              <w:ind w:right="340"/>
              <w:spacing w:after="0" w:line="142" w:lineRule="exact"/>
              <w:rPr>
                <w:sz w:val="20"/>
                <w:szCs w:val="20"/>
                <w:color w:val="auto"/>
              </w:rPr>
            </w:pPr>
            <w:r>
              <w:rPr>
                <w:rFonts w:ascii="Arial" w:cs="Arial" w:eastAsia="Arial" w:hAnsi="Arial"/>
                <w:sz w:val="14"/>
                <w:szCs w:val="14"/>
                <w:color w:val="auto"/>
                <w:w w:val="97"/>
              </w:rPr>
              <w:t>High</w:t>
            </w:r>
          </w:p>
        </w:tc>
        <w:tc>
          <w:tcPr>
            <w:tcW w:w="4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Low</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color w:val="auto"/>
                <w:w w:val="90"/>
              </w:rPr>
              <w:t>High</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color w:val="auto"/>
              </w:rPr>
              <w:t>Low</w:t>
            </w:r>
          </w:p>
        </w:tc>
        <w:tc>
          <w:tcPr>
            <w:tcW w:w="60" w:type="dxa"/>
            <w:vAlign w:val="bottom"/>
          </w:tcPr>
          <w:p>
            <w:pPr>
              <w:spacing w:after="0"/>
              <w:rPr>
                <w:sz w:val="12"/>
                <w:szCs w:val="12"/>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$ 11.49</w:t>
            </w: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$9.13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$14.16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$12.93</w:t>
            </w:r>
          </w:p>
        </w:tc>
        <w:tc>
          <w:tcPr>
            <w:tcW w:w="360" w:type="dxa"/>
            <w:vAlign w:val="bottom"/>
          </w:tcPr>
          <w:p>
            <w:pPr>
              <w:spacing w:after="0"/>
              <w:rPr>
                <w:sz w:val="18"/>
                <w:szCs w:val="18"/>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$8.63</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83"/>
              </w:rPr>
              <w:t>$ 11.72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8.69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$13.40</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$9.82</w:t>
            </w: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$10.80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w:t>
            </w: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center"/>
              <w:spacing w:after="0"/>
              <w:rPr>
                <w:sz w:val="20"/>
                <w:szCs w:val="20"/>
                <w:color w:val="auto"/>
              </w:rPr>
            </w:pPr>
            <w:r>
              <w:rPr>
                <w:rFonts w:ascii="Arial" w:cs="Arial" w:eastAsia="Arial" w:hAnsi="Arial"/>
                <w:sz w:val="18"/>
                <w:szCs w:val="18"/>
                <w:color w:val="auto"/>
                <w:w w:val="83"/>
              </w:rPr>
              <w:t>$ 11.19</w:t>
            </w:r>
          </w:p>
        </w:tc>
        <w:tc>
          <w:tcPr>
            <w:tcW w:w="360" w:type="dxa"/>
            <w:vAlign w:val="bottom"/>
          </w:tcPr>
          <w:p>
            <w:pPr>
              <w:spacing w:after="0"/>
              <w:rPr>
                <w:sz w:val="19"/>
                <w:szCs w:val="19"/>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$9.01</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83"/>
              </w:rPr>
              <w:t>$ 11.50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7.96</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February 18, 2014, Cohu had 523 stockholders of record.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have paid consecutive quarterly dividends since 1977 and, as discussed below, expect to continue doing so. Cash dividends, per share, declared in 2013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2012 were as follows: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color w:val="auto"/>
              </w:rPr>
              <w:t>Fiscal</w:t>
            </w:r>
          </w:p>
        </w:tc>
        <w:tc>
          <w:tcPr>
            <w:tcW w:w="18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Fiscal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4500" w:type="dxa"/>
            <w:vAlign w:val="bottom"/>
            <w:gridSpan w:val="2"/>
          </w:tcPr>
          <w:p>
            <w:pPr>
              <w:jc w:val="right"/>
              <w:ind w:right="2"/>
              <w:spacing w:after="0" w:line="159" w:lineRule="exact"/>
              <w:rPr>
                <w:sz w:val="20"/>
                <w:szCs w:val="20"/>
                <w:color w:val="auto"/>
              </w:rPr>
            </w:pPr>
            <w:r>
              <w:rPr>
                <w:rFonts w:ascii="Arial" w:cs="Arial" w:eastAsia="Arial" w:hAnsi="Arial"/>
                <w:sz w:val="14"/>
                <w:szCs w:val="14"/>
                <w:color w:val="auto"/>
              </w:rPr>
              <w:t>2013</w:t>
            </w:r>
          </w:p>
        </w:tc>
        <w:tc>
          <w:tcPr>
            <w:tcW w:w="180" w:type="dxa"/>
            <w:vAlign w:val="bottom"/>
          </w:tcPr>
          <w:p>
            <w:pPr>
              <w:spacing w:after="0"/>
              <w:rPr>
                <w:sz w:val="13"/>
                <w:szCs w:val="13"/>
                <w:color w:val="auto"/>
              </w:rPr>
            </w:pPr>
          </w:p>
        </w:tc>
        <w:tc>
          <w:tcPr>
            <w:tcW w:w="580" w:type="dxa"/>
            <w:vAlign w:val="bottom"/>
            <w:gridSpan w:val="2"/>
          </w:tcPr>
          <w:p>
            <w:pPr>
              <w:jc w:val="center"/>
              <w:ind w:left="96"/>
              <w:spacing w:after="0" w:line="159" w:lineRule="exact"/>
              <w:rPr>
                <w:sz w:val="20"/>
                <w:szCs w:val="20"/>
                <w:color w:val="auto"/>
              </w:rPr>
            </w:pPr>
            <w:r>
              <w:rPr>
                <w:rFonts w:ascii="Arial" w:cs="Arial" w:eastAsia="Arial" w:hAnsi="Arial"/>
                <w:sz w:val="14"/>
                <w:szCs w:val="14"/>
                <w:color w:val="auto"/>
                <w:w w:val="89"/>
              </w:rPr>
              <w:t>2012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First Quarter</w:t>
            </w:r>
          </w:p>
        </w:tc>
        <w:tc>
          <w:tcPr>
            <w:tcW w:w="4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$0.06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$0.06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Second Quarter</w:t>
            </w:r>
          </w:p>
        </w:tc>
        <w:tc>
          <w:tcPr>
            <w:tcW w:w="4680" w:type="dxa"/>
            <w:vAlign w:val="bottom"/>
            <w:gridSpan w:val="3"/>
          </w:tcPr>
          <w:p>
            <w:pPr>
              <w:jc w:val="right"/>
              <w:ind w:right="180"/>
              <w:spacing w:after="0"/>
              <w:rPr>
                <w:sz w:val="20"/>
                <w:szCs w:val="20"/>
                <w:color w:val="auto"/>
              </w:rPr>
            </w:pPr>
            <w:r>
              <w:rPr>
                <w:rFonts w:ascii="Arial" w:cs="Arial" w:eastAsia="Arial" w:hAnsi="Arial"/>
                <w:sz w:val="18"/>
                <w:szCs w:val="18"/>
                <w:color w:val="auto"/>
              </w:rPr>
              <w:t>$0.06</w:t>
            </w:r>
          </w:p>
        </w:tc>
        <w:tc>
          <w:tcPr>
            <w:tcW w:w="640" w:type="dxa"/>
            <w:vAlign w:val="bottom"/>
            <w:gridSpan w:val="3"/>
          </w:tcPr>
          <w:p>
            <w:pPr>
              <w:jc w:val="center"/>
              <w:ind w:left="36"/>
              <w:spacing w:after="0"/>
              <w:rPr>
                <w:sz w:val="20"/>
                <w:szCs w:val="20"/>
                <w:color w:val="auto"/>
              </w:rPr>
            </w:pP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$0.06</w:t>
            </w:r>
          </w:p>
        </w:tc>
        <w:tc>
          <w:tcPr>
            <w:tcW w:w="64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Fourth Quarter</w:t>
            </w:r>
          </w:p>
        </w:tc>
        <w:tc>
          <w:tcPr>
            <w:tcW w:w="46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0.06</w:t>
            </w:r>
          </w:p>
        </w:tc>
        <w:tc>
          <w:tcPr>
            <w:tcW w:w="640" w:type="dxa"/>
            <w:vAlign w:val="bottom"/>
            <w:gridSpan w:val="3"/>
          </w:tcPr>
          <w:p>
            <w:pPr>
              <w:jc w:val="center"/>
              <w:ind w:left="3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0.24</w:t>
            </w:r>
          </w:p>
        </w:tc>
        <w:tc>
          <w:tcPr>
            <w:tcW w:w="640" w:type="dxa"/>
            <w:vAlign w:val="bottom"/>
            <w:gridSpan w:val="3"/>
            <w:shd w:val="clear" w:color="auto" w:fill="CCEEFF"/>
          </w:tcPr>
          <w:p>
            <w:pPr>
              <w:jc w:val="center"/>
              <w:ind w:left="36"/>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spacing w:after="0" w:line="306" w:lineRule="auto"/>
        <w:rPr>
          <w:sz w:val="20"/>
          <w:szCs w:val="20"/>
          <w:color w:val="auto"/>
        </w:rPr>
      </w:pPr>
      <w:r>
        <w:rPr>
          <w:rFonts w:ascii="Arial" w:cs="Arial" w:eastAsia="Arial" w:hAnsi="Arial"/>
          <w:sz w:val="16"/>
          <w:szCs w:val="16"/>
          <w:color w:val="auto"/>
        </w:rPr>
        <w:t>We intend to continue to pay quarterly dividends subject to capital availability and periodic determinations by our Board of Directors that cash dividends are in the best interests of our stockholders. Our dividend policy may be affected by, among other items, our views on potential future capital requirements, including those related to research and development, investments and acquisitions, legal risks and stock repurchases.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following table summarizes information with respect to equity awards under Cohu’s equity compensation plans at December 28, 2013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 amounts)</w:t>
      </w:r>
      <w:r>
        <w:rPr>
          <w:rFonts w:ascii="Arial" w:cs="Arial" w:eastAsia="Arial" w:hAnsi="Arial"/>
          <w:sz w:val="18"/>
          <w:szCs w:val="18"/>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rPr>
              <w:t>Number of securities</w:t>
            </w:r>
          </w:p>
        </w:tc>
        <w:tc>
          <w:tcPr>
            <w:tcW w:w="1580" w:type="dxa"/>
            <w:vAlign w:val="bottom"/>
            <w:gridSpan w:val="3"/>
          </w:tcPr>
          <w:p>
            <w:pPr>
              <w:ind w:left="460"/>
              <w:spacing w:after="0"/>
              <w:rPr>
                <w:sz w:val="20"/>
                <w:szCs w:val="20"/>
                <w:color w:val="auto"/>
              </w:rPr>
            </w:pPr>
            <w:r>
              <w:rPr>
                <w:rFonts w:ascii="Arial" w:cs="Arial" w:eastAsia="Arial" w:hAnsi="Arial"/>
                <w:sz w:val="14"/>
                <w:szCs w:val="14"/>
                <w:color w:val="auto"/>
                <w:w w:val="96"/>
              </w:rPr>
              <w:t>Weighted average</w:t>
            </w:r>
          </w:p>
        </w:tc>
        <w:tc>
          <w:tcPr>
            <w:tcW w:w="92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color w:val="auto"/>
              </w:rPr>
              <w:t>Number of securities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to be issued upon</w:t>
            </w:r>
          </w:p>
        </w:tc>
        <w:tc>
          <w:tcPr>
            <w:tcW w:w="158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exercise price of</w:t>
            </w:r>
          </w:p>
        </w:tc>
        <w:tc>
          <w:tcPr>
            <w:tcW w:w="9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w w:val="95"/>
              </w:rPr>
              <w:t>available for future issuance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exercise of outstanding</w:t>
            </w:r>
          </w:p>
        </w:tc>
        <w:tc>
          <w:tcPr>
            <w:tcW w:w="1580" w:type="dxa"/>
            <w:vAlign w:val="bottom"/>
            <w:gridSpan w:val="3"/>
          </w:tcPr>
          <w:p>
            <w:pPr>
              <w:ind w:left="460"/>
              <w:spacing w:after="0" w:line="149" w:lineRule="exact"/>
              <w:rPr>
                <w:sz w:val="20"/>
                <w:szCs w:val="20"/>
                <w:color w:val="auto"/>
              </w:rPr>
            </w:pPr>
            <w:r>
              <w:rPr>
                <w:rFonts w:ascii="Arial" w:cs="Arial" w:eastAsia="Arial" w:hAnsi="Arial"/>
                <w:sz w:val="14"/>
                <w:szCs w:val="14"/>
                <w:color w:val="auto"/>
                <w:w w:val="87"/>
              </w:rPr>
              <w:t>outstanding options,</w:t>
            </w:r>
          </w:p>
        </w:tc>
        <w:tc>
          <w:tcPr>
            <w:tcW w:w="9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w w:val="98"/>
              </w:rPr>
              <w:t>under equity compensation</w:t>
            </w: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color w:val="auto"/>
                <w:w w:val="88"/>
              </w:rPr>
              <w:t>Plan category</w:t>
            </w:r>
          </w:p>
        </w:tc>
        <w:tc>
          <w:tcPr>
            <w:tcW w:w="4740" w:type="dxa"/>
            <w:vAlign w:val="bottom"/>
            <w:vMerge w:val="restart"/>
          </w:tcPr>
          <w:p>
            <w:pPr>
              <w:spacing w:after="0"/>
              <w:rPr>
                <w:sz w:val="12"/>
                <w:szCs w:val="12"/>
                <w:color w:val="auto"/>
              </w:rPr>
            </w:pPr>
          </w:p>
        </w:tc>
        <w:tc>
          <w:tcPr>
            <w:tcW w:w="1720" w:type="dxa"/>
            <w:vAlign w:val="bottom"/>
            <w:gridSpan w:val="2"/>
          </w:tcPr>
          <w:p>
            <w:pPr>
              <w:spacing w:after="0" w:line="149" w:lineRule="exact"/>
              <w:rPr>
                <w:sz w:val="20"/>
                <w:szCs w:val="20"/>
                <w:color w:val="auto"/>
              </w:rPr>
            </w:pPr>
            <w:r>
              <w:rPr>
                <w:rFonts w:ascii="Arial" w:cs="Arial" w:eastAsia="Arial" w:hAnsi="Arial"/>
                <w:sz w:val="14"/>
                <w:szCs w:val="14"/>
                <w:color w:val="auto"/>
              </w:rPr>
              <w:t>options, warrants and</w:t>
            </w:r>
          </w:p>
        </w:tc>
        <w:tc>
          <w:tcPr>
            <w:tcW w:w="1580" w:type="dxa"/>
            <w:vAlign w:val="bottom"/>
            <w:gridSpan w:val="3"/>
          </w:tcPr>
          <w:p>
            <w:pPr>
              <w:ind w:left="460"/>
              <w:spacing w:after="0" w:line="149" w:lineRule="exact"/>
              <w:rPr>
                <w:sz w:val="20"/>
                <w:szCs w:val="20"/>
                <w:color w:val="auto"/>
              </w:rPr>
            </w:pPr>
            <w:r>
              <w:rPr>
                <w:rFonts w:ascii="Arial" w:cs="Arial" w:eastAsia="Arial" w:hAnsi="Arial"/>
                <w:sz w:val="14"/>
                <w:szCs w:val="14"/>
                <w:color w:val="auto"/>
                <w:w w:val="92"/>
              </w:rPr>
              <w:t>warrants and rights</w:t>
            </w:r>
          </w:p>
        </w:tc>
        <w:tc>
          <w:tcPr>
            <w:tcW w:w="920" w:type="dxa"/>
            <w:vAlign w:val="bottom"/>
          </w:tcPr>
          <w:p>
            <w:pPr>
              <w:spacing w:after="0"/>
              <w:rPr>
                <w:sz w:val="12"/>
                <w:szCs w:val="12"/>
                <w:color w:val="auto"/>
              </w:rPr>
            </w:pPr>
          </w:p>
        </w:tc>
        <w:tc>
          <w:tcPr>
            <w:tcW w:w="1680" w:type="dxa"/>
            <w:vAlign w:val="bottom"/>
            <w:gridSpan w:val="2"/>
          </w:tcPr>
          <w:p>
            <w:pPr>
              <w:spacing w:after="0" w:line="149" w:lineRule="exact"/>
              <w:rPr>
                <w:sz w:val="20"/>
                <w:szCs w:val="20"/>
                <w:color w:val="auto"/>
              </w:rPr>
            </w:pPr>
            <w:r>
              <w:rPr>
                <w:rFonts w:ascii="Arial" w:cs="Arial" w:eastAsia="Arial" w:hAnsi="Arial"/>
                <w:sz w:val="14"/>
                <w:szCs w:val="14"/>
                <w:color w:val="auto"/>
              </w:rPr>
              <w:t>plans (excluding securities</w:t>
            </w:r>
          </w:p>
        </w:tc>
        <w:tc>
          <w:tcPr>
            <w:tcW w:w="0" w:type="dxa"/>
            <w:vAlign w:val="bottom"/>
          </w:tcPr>
          <w:p>
            <w:pPr>
              <w:spacing w:after="0"/>
              <w:rPr>
                <w:sz w:val="1"/>
                <w:szCs w:val="1"/>
                <w:color w:val="auto"/>
              </w:rPr>
            </w:pPr>
          </w:p>
        </w:tc>
      </w:tr>
      <w:tr>
        <w:trPr>
          <w:trHeight w:val="166"/>
        </w:trPr>
        <w:tc>
          <w:tcPr>
            <w:tcW w:w="780" w:type="dxa"/>
            <w:vAlign w:val="bottom"/>
            <w:tcBorders>
              <w:bottom w:val="single" w:sz="8" w:color="auto"/>
            </w:tcBorders>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1720" w:type="dxa"/>
            <w:vAlign w:val="bottom"/>
            <w:gridSpan w:val="2"/>
          </w:tcPr>
          <w:p>
            <w:pPr>
              <w:spacing w:after="0" w:line="146" w:lineRule="exact"/>
              <w:rPr>
                <w:sz w:val="20"/>
                <w:szCs w:val="20"/>
                <w:color w:val="auto"/>
              </w:rPr>
            </w:pPr>
            <w:r>
              <w:rPr>
                <w:rFonts w:ascii="Arial" w:cs="Arial" w:eastAsia="Arial" w:hAnsi="Arial"/>
                <w:sz w:val="14"/>
                <w:szCs w:val="14"/>
                <w:color w:val="auto"/>
              </w:rPr>
              <w:t>rights (a) (1)</w:t>
            </w:r>
          </w:p>
        </w:tc>
        <w:tc>
          <w:tcPr>
            <w:tcW w:w="1000" w:type="dxa"/>
            <w:vAlign w:val="bottom"/>
            <w:gridSpan w:val="2"/>
          </w:tcPr>
          <w:p>
            <w:pPr>
              <w:ind w:left="460"/>
              <w:spacing w:after="0" w:line="146" w:lineRule="exact"/>
              <w:rPr>
                <w:sz w:val="20"/>
                <w:szCs w:val="20"/>
                <w:color w:val="auto"/>
              </w:rPr>
            </w:pPr>
            <w:r>
              <w:rPr>
                <w:rFonts w:ascii="Arial" w:cs="Arial" w:eastAsia="Arial" w:hAnsi="Arial"/>
                <w:sz w:val="14"/>
                <w:szCs w:val="14"/>
                <w:color w:val="auto"/>
              </w:rPr>
              <w:t>(b) (2)</w:t>
            </w: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80" w:type="dxa"/>
            <w:vAlign w:val="bottom"/>
            <w:gridSpan w:val="2"/>
          </w:tcPr>
          <w:p>
            <w:pPr>
              <w:spacing w:after="0" w:line="146" w:lineRule="exact"/>
              <w:rPr>
                <w:sz w:val="20"/>
                <w:szCs w:val="20"/>
                <w:color w:val="auto"/>
              </w:rPr>
            </w:pPr>
            <w:r>
              <w:rPr>
                <w:rFonts w:ascii="Arial" w:cs="Arial" w:eastAsia="Arial" w:hAnsi="Arial"/>
                <w:sz w:val="14"/>
                <w:szCs w:val="14"/>
                <w:color w:val="auto"/>
                <w:w w:val="91"/>
              </w:rPr>
              <w:t>reflected in column (a))(c) (3)</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security holders</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4,211</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11.93</w:t>
            </w:r>
          </w:p>
        </w:tc>
        <w:tc>
          <w:tcPr>
            <w:tcW w:w="92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right="18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restricted stock units (RSUs) and performance stock units (PSUs) outstanding under Cohu’s equity incentive plans, as no stock warrants or other rights were outstanding as of December 28, 2013.</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weighted average exercise price of outstanding options, warrants and rights does not take RSUs and PSUs into account as RSUs and PSUs have a de minimus purchase price.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322,422 shares of common stock reserved for future issuance under the Cohu 1997 Employee Stock Purchase Plan.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regarding Cohu’s equity compensation plans, see Note 4, “Employee Benefit Plans”, included in Part IV, Item 15(a) of this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The information contained in this Stock Performance Graph section shall not be deemed to be “soliciting material” or “filed” with the SEC or subject to the liabilities of Section 18 of the Exchange Act except to the extent that Cohu specifically incorporates it by reference into a document filed under the Securities Act or the Exchange Act.</w:t>
      </w:r>
    </w:p>
    <w:p>
      <w:pPr>
        <w:spacing w:after="0" w:line="14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graph below compares the cumulative total stockholder return on the common stock of Cohu for the last five fiscal years with the cumulative total return on a Peer Group Index and a NASDAQ Market Index over the same period (assuming the investment of $100 in Cohu’s common stock, Peer Group Index and NASDAQ Market Index on December 28, 2008 and reinvestment of all dividends). The Peer Group Index set forth on the Performance Graph is the Morningstar Semiconductor Equipment and Materials Index. The Morningstar Semiconductor Equipment and Materials Index is comprised of approximately 40 publicly-held semiconductor equipment and other related companies. Historical stock price performance is not necessarily indicative of future stock price performance.</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5-YEAR CUMULATIVE TOTAL RETURN AMONG 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NASDAQ MARKET INDEX, SEMICONDUCTOR EQUIPMENT AND MATERIALS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135890</wp:posOffset>
            </wp:positionV>
            <wp:extent cx="4827905" cy="2470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2790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3540" w:type="dxa"/>
            <w:vAlign w:val="bottom"/>
            <w:gridSpan w:val="2"/>
          </w:tcPr>
          <w:p>
            <w:pPr>
              <w:jc w:val="right"/>
              <w:spacing w:after="0"/>
              <w:rPr>
                <w:sz w:val="20"/>
                <w:szCs w:val="20"/>
                <w:color w:val="auto"/>
              </w:rPr>
            </w:pPr>
            <w:r>
              <w:rPr>
                <w:rFonts w:ascii="Arial" w:cs="Arial" w:eastAsia="Arial" w:hAnsi="Arial"/>
                <w:sz w:val="14"/>
                <w:szCs w:val="14"/>
                <w:color w:val="auto"/>
              </w:rPr>
              <w:t>2008</w:t>
            </w:r>
          </w:p>
        </w:tc>
        <w:tc>
          <w:tcPr>
            <w:tcW w:w="2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3"/>
              </w:rPr>
              <w:t>2009</w:t>
            </w:r>
          </w:p>
        </w:tc>
        <w:tc>
          <w:tcPr>
            <w:tcW w:w="2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120" w:type="dxa"/>
            <w:vAlign w:val="bottom"/>
          </w:tcPr>
          <w:p>
            <w:pPr>
              <w:spacing w:after="0"/>
              <w:rPr>
                <w:sz w:val="14"/>
                <w:szCs w:val="14"/>
                <w:color w:val="auto"/>
              </w:rPr>
            </w:pPr>
          </w:p>
        </w:tc>
        <w:tc>
          <w:tcPr>
            <w:tcW w:w="500" w:type="dxa"/>
            <w:vAlign w:val="bottom"/>
            <w:gridSpan w:val="2"/>
          </w:tcPr>
          <w:p>
            <w:pPr>
              <w:jc w:val="center"/>
              <w:ind w:left="39"/>
              <w:spacing w:after="0"/>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4"/>
                <w:szCs w:val="14"/>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6"/>
              </w:rPr>
              <w:t>2013</w:t>
            </w:r>
          </w:p>
        </w:tc>
        <w:tc>
          <w:tcPr>
            <w:tcW w:w="60" w:type="dxa"/>
            <w:vAlign w:val="bottom"/>
          </w:tcPr>
          <w:p>
            <w:pPr>
              <w:spacing w:after="0"/>
              <w:rPr>
                <w:sz w:val="14"/>
                <w:szCs w:val="14"/>
                <w:color w:val="auto"/>
              </w:rPr>
            </w:pPr>
          </w:p>
        </w:tc>
      </w:tr>
      <w:tr>
        <w:trPr>
          <w:trHeight w:val="210"/>
        </w:trPr>
        <w:tc>
          <w:tcPr>
            <w:tcW w:w="2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Cohu, Inc.</w:t>
            </w:r>
          </w:p>
        </w:tc>
        <w:tc>
          <w:tcPr>
            <w:tcW w:w="3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$100</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$ 119</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$101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NASDAQ Index</w:t>
            </w:r>
          </w:p>
        </w:tc>
        <w:tc>
          <w:tcPr>
            <w:tcW w:w="3800" w:type="dxa"/>
            <w:vAlign w:val="bottom"/>
            <w:gridSpan w:val="3"/>
          </w:tcPr>
          <w:p>
            <w:pPr>
              <w:ind w:left="3180"/>
              <w:spacing w:after="0"/>
              <w:rPr>
                <w:sz w:val="20"/>
                <w:szCs w:val="20"/>
                <w:color w:val="auto"/>
              </w:rPr>
            </w:pPr>
            <w:r>
              <w:rPr>
                <w:rFonts w:ascii="Arial" w:cs="Arial" w:eastAsia="Arial" w:hAnsi="Arial"/>
                <w:sz w:val="18"/>
                <w:szCs w:val="18"/>
                <w:color w:val="auto"/>
              </w:rPr>
              <w:t>$100</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$151</w:t>
            </w:r>
          </w:p>
        </w:tc>
        <w:tc>
          <w:tcPr>
            <w:tcW w:w="240" w:type="dxa"/>
            <w:vAlign w:val="bottom"/>
          </w:tcPr>
          <w:p>
            <w:pPr>
              <w:spacing w:after="0"/>
              <w:rPr>
                <w:sz w:val="18"/>
                <w:szCs w:val="18"/>
                <w:color w:val="auto"/>
              </w:rPr>
            </w:pPr>
          </w:p>
        </w:tc>
        <w:tc>
          <w:tcPr>
            <w:tcW w:w="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$177</w:t>
            </w:r>
          </w:p>
        </w:tc>
        <w:tc>
          <w:tcPr>
            <w:tcW w:w="620" w:type="dxa"/>
            <w:vAlign w:val="bottom"/>
            <w:gridSpan w:val="3"/>
          </w:tcPr>
          <w:p>
            <w:pPr>
              <w:jc w:val="center"/>
              <w:spacing w:after="0"/>
              <w:rPr>
                <w:sz w:val="20"/>
                <w:szCs w:val="20"/>
                <w:color w:val="auto"/>
              </w:rPr>
            </w:pPr>
            <w:r>
              <w:rPr>
                <w:rFonts w:ascii="Arial" w:cs="Arial" w:eastAsia="Arial" w:hAnsi="Arial"/>
                <w:sz w:val="18"/>
                <w:szCs w:val="18"/>
                <w:color w:val="auto"/>
                <w:w w:val="94"/>
              </w:rPr>
              <w:t>$175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202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288</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800" w:type="dxa"/>
            <w:vAlign w:val="bottom"/>
            <w:gridSpan w:val="3"/>
            <w:shd w:val="clear" w:color="auto" w:fill="CCEEFF"/>
          </w:tcPr>
          <w:p>
            <w:pPr>
              <w:ind w:left="318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$177</w:t>
            </w: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$194</w:t>
            </w:r>
          </w:p>
        </w:tc>
        <w:tc>
          <w:tcPr>
            <w:tcW w:w="6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4"/>
              </w:rPr>
              <w:t>$166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268</w:t>
            </w:r>
          </w:p>
        </w:tc>
      </w:tr>
      <w:tr>
        <w:trPr>
          <w:trHeight w:val="363"/>
        </w:trPr>
        <w:tc>
          <w:tcPr>
            <w:tcW w:w="2940" w:type="dxa"/>
            <w:vAlign w:val="bottom"/>
          </w:tcPr>
          <w:p>
            <w:pPr>
              <w:spacing w:after="0"/>
              <w:rPr>
                <w:sz w:val="24"/>
                <w:szCs w:val="24"/>
                <w:color w:val="auto"/>
              </w:rPr>
            </w:pPr>
          </w:p>
        </w:tc>
        <w:tc>
          <w:tcPr>
            <w:tcW w:w="3180" w:type="dxa"/>
            <w:vAlign w:val="bottom"/>
          </w:tcPr>
          <w:p>
            <w:pPr>
              <w:jc w:val="right"/>
              <w:ind w:right="1157"/>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financial data should be read in conjunction with Cohu’s consolidated financial statements and notes thereto included in Part IV,</w:t>
      </w:r>
    </w:p>
    <w:p>
      <w:pPr>
        <w:spacing w:after="0" w:line="38"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Item 15(a) and with management’s discussion and analysis of financial condition and results of operations, included in Part II, Item 7. On December 31, 2012, we purchased Ismeca and the results of its operations have been included in our consolidated financial statements since that date.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Dec. 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86"/>
              </w:rPr>
              <w:t>Dec. 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9"/>
              <w:spacing w:after="0"/>
              <w:rPr>
                <w:sz w:val="20"/>
                <w:szCs w:val="20"/>
                <w:color w:val="auto"/>
              </w:rPr>
            </w:pPr>
            <w:r>
              <w:rPr>
                <w:rFonts w:ascii="Arial" w:cs="Arial" w:eastAsia="Arial" w:hAnsi="Arial"/>
                <w:sz w:val="14"/>
                <w:szCs w:val="14"/>
                <w:color w:val="auto"/>
                <w:w w:val="86"/>
              </w:rPr>
              <w:t>Dec.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Dec. 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86"/>
              </w:rPr>
              <w:t>Dec. 26</w:t>
            </w:r>
          </w:p>
        </w:tc>
        <w:tc>
          <w:tcPr>
            <w:tcW w:w="0" w:type="dxa"/>
            <w:vAlign w:val="bottom"/>
          </w:tcPr>
          <w:p>
            <w:pPr>
              <w:spacing w:after="0"/>
              <w:rPr>
                <w:sz w:val="1"/>
                <w:szCs w:val="1"/>
                <w:color w:val="auto"/>
              </w:rPr>
            </w:pPr>
          </w:p>
        </w:tc>
      </w:tr>
      <w:tr>
        <w:trPr>
          <w:trHeight w:val="149"/>
        </w:trPr>
        <w:tc>
          <w:tcPr>
            <w:tcW w:w="718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Pr>
          <w:p>
            <w:pPr>
              <w:spacing w:after="0"/>
              <w:rPr>
                <w:sz w:val="12"/>
                <w:szCs w:val="12"/>
                <w:color w:val="auto"/>
              </w:rPr>
            </w:pPr>
          </w:p>
        </w:tc>
        <w:tc>
          <w:tcPr>
            <w:tcW w:w="580" w:type="dxa"/>
            <w:vAlign w:val="bottom"/>
          </w:tcPr>
          <w:p>
            <w:pPr>
              <w:jc w:val="right"/>
              <w:ind w:right="117"/>
              <w:spacing w:after="0" w:line="129" w:lineRule="exact"/>
              <w:rPr>
                <w:sz w:val="20"/>
                <w:szCs w:val="20"/>
                <w:color w:val="auto"/>
              </w:rPr>
            </w:pPr>
            <w:r>
              <w:rPr>
                <w:rFonts w:ascii="Arial" w:cs="Arial" w:eastAsia="Arial" w:hAnsi="Arial"/>
                <w:sz w:val="14"/>
                <w:szCs w:val="14"/>
                <w:color w:val="auto"/>
              </w:rPr>
              <w:t>2013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17"/>
              <w:spacing w:after="0" w:line="129"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0"/>
                <w:szCs w:val="10"/>
                <w:color w:val="auto"/>
              </w:rPr>
              <w:t xml:space="preserve">2011 </w:t>
            </w:r>
            <w:r>
              <w:rPr>
                <w:rFonts w:ascii="Arial" w:cs="Arial" w:eastAsia="Arial" w:hAnsi="Arial"/>
                <w:sz w:val="14"/>
                <w:szCs w:val="14"/>
                <w:color w:val="auto"/>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7"/>
              <w:spacing w:after="0" w:line="129" w:lineRule="exact"/>
              <w:rPr>
                <w:sz w:val="20"/>
                <w:szCs w:val="20"/>
                <w:color w:val="auto"/>
              </w:rPr>
            </w:pPr>
            <w:r>
              <w:rPr>
                <w:rFonts w:ascii="Arial" w:cs="Arial" w:eastAsia="Arial" w:hAnsi="Arial"/>
                <w:sz w:val="14"/>
                <w:szCs w:val="14"/>
                <w:color w:val="auto"/>
              </w:rPr>
              <w:t>2010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9"/>
              <w:spacing w:after="0" w:line="129" w:lineRule="exact"/>
              <w:rPr>
                <w:sz w:val="20"/>
                <w:szCs w:val="20"/>
                <w:color w:val="auto"/>
              </w:rPr>
            </w:pPr>
            <w:r>
              <w:rPr>
                <w:rFonts w:ascii="Arial" w:cs="Arial" w:eastAsia="Arial" w:hAnsi="Arial"/>
                <w:sz w:val="10"/>
                <w:szCs w:val="10"/>
                <w:color w:val="auto"/>
              </w:rPr>
              <w:t xml:space="preserve">2009 </w:t>
            </w:r>
            <w:r>
              <w:rPr>
                <w:rFonts w:ascii="Arial" w:cs="Arial" w:eastAsia="Arial" w:hAnsi="Arial"/>
                <w:sz w:val="14"/>
                <w:szCs w:val="14"/>
                <w:color w:val="auto"/>
                <w:vertAlign w:val="superscript"/>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Consolidated Statement of Operations Data:</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247,300</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221,162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308,968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322,667</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171,261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(33,418)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(12,243)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24,644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(28,168)</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220"/>
              <w:spacing w:after="0"/>
              <w:rPr>
                <w:sz w:val="20"/>
                <w:szCs w:val="20"/>
                <w:color w:val="auto"/>
              </w:rPr>
            </w:pPr>
            <w:r>
              <w:rPr>
                <w:rFonts w:ascii="Arial" w:cs="Arial" w:eastAsia="Arial" w:hAnsi="Arial"/>
                <w:sz w:val="18"/>
                <w:szCs w:val="18"/>
                <w:color w:val="auto"/>
              </w:rPr>
              <w:t>Net income (loss) per common share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income (loss) per common share –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Cash dividends per share, paid quarterly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220"/>
              <w:spacing w:after="0"/>
              <w:rPr>
                <w:sz w:val="20"/>
                <w:szCs w:val="20"/>
                <w:color w:val="auto"/>
              </w:rPr>
            </w:pPr>
            <w:r>
              <w:rPr>
                <w:rFonts w:ascii="Arial" w:cs="Arial" w:eastAsia="Arial" w:hAnsi="Arial"/>
                <w:sz w:val="18"/>
                <w:szCs w:val="18"/>
                <w:color w:val="auto"/>
              </w:rPr>
              <w:t>Total consolidated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345,423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334,873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361,608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366,043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330,118</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125,837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184,703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191,945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168,683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139,597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year ended December 31, 2011 consists of 53 weeks. All other years are comprised of 52 weeks.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year ended December 26, 2009 includes a charge of $19.6 million for an increase in the valuation allowance against our deferred tax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Cohu operates in three business segments. Our primary business is the development, manufacture, sale and servicing of test handling, burn-in, thermal sub-systems and MEMS test solutions for the global semiconductor industry through our wholly-owned subsidiaries, Delta Design, Inc., Rasco GmbH and Ismeca Semiconductor Holding SA, which was acquired on December 31, 2012. Ismeca designs, manufactures and sells turret-based test handling and back-end finishing equipment for integrated circuits, LEDs and discrete components. With the acquisition of Ismeca we expanded our served market, increased our market share in the semiconductor test handling market and broadened our portfolio of test handling solutions providing us with an entry into the LED equipment market, which is forecasted to grow as LED technology is adopted for general lighting. Our primary business is significantly dependent on capital expenditures by semiconductor manufacturers and test subcontractors, which in turn is dependent on the current and anticipated market demand for semiconductors that is subject to cyclical trends. We expect that the semiconductor equipment industry will continue to be cyclical and volatile in part because consumer electronics, the principal end market for integrated circuits, is a highly dynamic industry and demand is difficult to accurately predict.</w:t>
      </w:r>
    </w:p>
    <w:p>
      <w:pPr>
        <w:spacing w:after="0" w:line="39"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last 12 months have been another challenging year for the backend semiconductor equipment industry. Orders for back-end semiconductor equipment, as reported by Semiconductor Equipment and Materials International (SEMI), increased steadily for the first half of the year; however the increase proved to be a false start and the anticipated recovery in the second half of the year did not materialize with orders decreasing in the third quarter and then increasing again in the fourth quarter. Throughout 2013 handler utilization on test floors remained around 80% and customers were hesitant to purchase additional capacity as a result of an uncertain economic outlook. The automotive market was an exception and toward the end of 2013 we saw signs of improvement in the industrial power segment as well. We continue to be optimistic about the long-term prospects for the semiconductor equipment industry due to expanding applications, growing integrated circuit content in automotive, consumer and industrial applications, and the projected adoption of high brightness LEDs for the general lighting market.</w:t>
      </w:r>
    </w:p>
    <w:p>
      <w:pPr>
        <w:spacing w:after="0" w:line="2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non-semiconductor equipment businesses comprised approximately 16% of our consolidated revenues during the three-year period ended December 28, 2013 and were approximately 13% for the year ended December 28, 2013. Our microwave communications equipment segment develops, manufactures and sells mobile microwave communications equipment, antenna systems and associated equipment. These products 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used in the transmission of video, audio and telemetry data. Applications for these microwave data-links include unmanned aerial vehicles (“UAVs”), public safety, security, surveillance, electronic news gathering and live broadcast television. Customers for these products are government agencies, public safety organizations, UAV program contractors, television broadcasters and other commercial entities.</w:t>
      </w:r>
    </w:p>
    <w:p>
      <w:pPr>
        <w:spacing w:after="0" w:line="5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video camera segment develops, manufactures and sells video cameras and related products, specializing in IP video solutions for security, surveillance and traffic monitoring applications. The customer base for these products is distributed among traffic control and management, security/surveillance, military, scientific imaging and machine vision.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96"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 Our critical accounting estimates that we believe are the most important to an investor’s understanding of our financial results and condition and require complex management judgment include:</w:t>
      </w:r>
    </w:p>
    <w:p>
      <w:pPr>
        <w:spacing w:after="0" w:line="149"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90" w:lineRule="exact"/>
        <w:rPr>
          <w:rFonts w:ascii="Arial" w:cs="Arial" w:eastAsia="Arial" w:hAnsi="Arial"/>
          <w:sz w:val="18"/>
          <w:szCs w:val="18"/>
          <w:color w:val="auto"/>
        </w:rPr>
      </w:pPr>
    </w:p>
    <w:p>
      <w:pPr>
        <w:ind w:left="660" w:right="16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50" w:lineRule="exact"/>
        <w:rPr>
          <w:rFonts w:ascii="Arial" w:cs="Arial" w:eastAsia="Arial" w:hAnsi="Arial"/>
          <w:sz w:val="18"/>
          <w:szCs w:val="18"/>
          <w:color w:val="auto"/>
        </w:rPr>
      </w:pPr>
    </w:p>
    <w:p>
      <w:pPr>
        <w:ind w:left="660" w:right="36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50" w:lineRule="exact"/>
        <w:rPr>
          <w:rFonts w:ascii="Arial" w:cs="Arial" w:eastAsia="Arial" w:hAnsi="Arial"/>
          <w:sz w:val="18"/>
          <w:szCs w:val="18"/>
          <w:color w:val="auto"/>
        </w:rPr>
      </w:pPr>
    </w:p>
    <w:p>
      <w:pPr>
        <w:ind w:left="660" w:right="16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and</w:t>
      </w:r>
    </w:p>
    <w:p>
      <w:pPr>
        <w:spacing w:after="0" w:line="50" w:lineRule="exact"/>
        <w:rPr>
          <w:rFonts w:ascii="Arial" w:cs="Arial" w:eastAsia="Arial" w:hAnsi="Arial"/>
          <w:sz w:val="18"/>
          <w:szCs w:val="18"/>
          <w:color w:val="auto"/>
        </w:rPr>
      </w:pPr>
    </w:p>
    <w:p>
      <w:pPr>
        <w:ind w:left="660" w:right="280" w:hanging="43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5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5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3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59"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 historical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The valuation of inventory requires us to estimate obsolete or excess inventory as well as inventory that is not of saleable quality. The determination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market concerns equal to the difference between the cost of inventory and the estimated market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p>
    <w:p>
      <w:pPr>
        <w:spacing w:after="0" w:line="38" w:lineRule="exact"/>
        <w:rPr>
          <w:sz w:val="20"/>
          <w:szCs w:val="20"/>
          <w:color w:val="auto"/>
        </w:rPr>
      </w:pPr>
    </w:p>
    <w:p>
      <w:pPr>
        <w:ind w:firstLine="8"/>
        <w:spacing w:after="0" w:line="287" w:lineRule="auto"/>
        <w:tabs>
          <w:tab w:leader="none" w:pos="21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reduced by a valuation allowance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December 28, 2013 was approximately $45.2 million, with a valuation allowance of approximately $36.1 million. Our deferred tax assets consist primarily of reserves and accruals that are not yet deductible for tax and tax credit and net operating loss carryforwards.</w:t>
      </w:r>
    </w:p>
    <w:p>
      <w:pPr>
        <w:spacing w:after="0" w:line="4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Goodwill, Purchased Intangible Assets and Other Long-lived Assets: </w:t>
      </w:r>
      <w:r>
        <w:rPr>
          <w:rFonts w:ascii="Arial" w:cs="Arial" w:eastAsia="Arial" w:hAnsi="Arial"/>
          <w:sz w:val="16"/>
          <w:szCs w:val="16"/>
          <w:color w:val="auto"/>
        </w:rPr>
        <w:t>We evaluate goodwill for impairment annually and when an event occurs or circumstances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conduct our annual impairment test as of October 1</w:t>
      </w:r>
      <w:r>
        <w:rPr>
          <w:rFonts w:ascii="Arial" w:cs="Arial" w:eastAsia="Arial" w:hAnsi="Arial"/>
          <w:sz w:val="10"/>
          <w:szCs w:val="10"/>
          <w:color w:val="auto"/>
        </w:rPr>
        <w:t>st</w:t>
      </w:r>
      <w:r>
        <w:rPr>
          <w:rFonts w:ascii="Arial" w:cs="Arial" w:eastAsia="Arial" w:hAnsi="Arial"/>
          <w:sz w:val="16"/>
          <w:szCs w:val="16"/>
          <w:color w:val="auto"/>
        </w:rPr>
        <w:t xml:space="preserve"> of each year, and have determined there is no impairment as of October 1, 2013.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December 28, 2013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4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We are subject to certain contingencies that arise in the ordinary course of our businesses which require us to assess the likelihood that future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stock options is recorded based on the fair value of the award on its grant date,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estimate using the Black-Scholes valuation model. Share-based compensation expense related to restricted stock unit awards is calculated based on the market price of our common stock on the grant date, reduced by the present value of dividends expected to be paid on our common stock prior to vesting of the restricted stock unit.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For a description of accounting changes and recent accounting pronouncements, including the expected dates of adoption and estimated effects, if any, on our consolidated financial statements, see Note 1, “Recent Accounting Pronouncements” in Part IV, Item 15(a) of this Form 10-K.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operating data from continuing operations as a percentage of net sales in each of the last three years.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2013 *</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100.0%</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(71.5)</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(69.3)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(19.7)</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(16.4)</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(23.3)</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80" w:type="dxa"/>
            <w:vAlign w:val="bottom"/>
            <w:gridSpan w:val="2"/>
            <w:vMerge w:val="continue"/>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(14.5)%</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On December 31, 2012, we purchased Ismeca and the results of its operations have been included in our consolidated financial statements since that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Compared to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Cohu’s consolidated net sales increased 11.8% from $221.2 million in 2012 to $247.3 million in 2013. Our semiconductor equipment segment generated sales totaling $214.5 million and increased 19.5% from 2012. Semiconductor equipment sales represented 86.7% of consolidated net sales during 2013 versus 81.1% in the prior year. Sales recorded by our semiconductor equipment segment during 2013 include twelve months of sales activity for Ismeca which were approximately $64.4 million. Semiconductor equipment sales in 2013 also benefitted from increased demand for gravity-feed equipment and MEMs modules which were offset by a decrease in customer orders for pick-and-place test handler systems.</w:t>
      </w:r>
    </w:p>
    <w:p>
      <w:pPr>
        <w:spacing w:after="0" w:line="3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Sales of microwave communications equipment were $17.1 million, which represents 6.9% of consolidated net sales in 2013 and decreased 36.5% compared to 2012. The decreased business volume within our microwave equipment segment during 2013 was a result of U.S. Government sequestration and budget uncertainties which led to customer order delays and push outs for equipment to be used in security and surveillance infrastructure projects that rely on federal funding.</w:t>
      </w:r>
    </w:p>
    <w:p>
      <w:pPr>
        <w:spacing w:after="0" w:line="6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Sales of video cameras accounted for 6.4% of consolidated net sales in 2013 and increased $0.9 million or 5.9% compared to 2012. Higher sales within our video camera segment during 2013 resulted from additional demand for cameras utilized in traffic incident management and public infrastructure projects.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Gross margin consists of net sales less cost of sales. Cost of sales consists primarily of the cost of materials, assembly and test labor and overhead from operations. Our gross margin can fluctuate due to a number of factors, including, but not limited to, the mix of products sold, product support costs, inventory reserve adjustments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utilization of manufacturing capacity. Our gross margin, as a percentage of net sales, decreased to 28.5% in 2013 from 30.7% in 2012. Current year gross margin was negatively impacted by $0.3 million of manufacturing transition and severance costs incurred as a result of moving certain manufacturing activities to Asia as part of our efforts to reduce costs and streamline our operations. The acquisition of Ismeca also reduced current year gross margin due to $1.0 million of inventory step-up costs recorded during the year and a one-time impact that resulted from the adoption of Cohu’s revenue recognition policy.</w:t>
      </w:r>
    </w:p>
    <w:p>
      <w:pPr>
        <w:spacing w:after="0" w:line="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gross margin has been impacted by charges to cost of sales related to excess, obsolete and lower of cost or market inventory issues. We compute the majority of our excess and obsolete inventory reserve requirements using a one-year inventory usage forecast. During 2013 and 2012, we recorded net charges to cost of sales of approximately $8.1 million and $8.9 million, respectively, for excess and obsolete inventory. While we believe our reserves for excess and obsolete inventory and lower of cost or market concerns are adequate to cover known exposures at December 28, 2013,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R&amp;D expense consists primarily of salaries and related costs of employees engaged in ongoing research, product design and development activities, costs of engineering materials and supplies and professional consulting expenses. R&amp;D expense in 2013 includes twelve months of costs for Ismeca. R&amp;D expense in 2013 was $48.6 million or 19.7% of net sales increasing from $36.2 million or 16.4% of net sales in 2012. The increase in 2013 was a result of $11.6 million in incremental R&amp;D expense generated by Ismeca, as well as product development expense incurred by our semiconductor equipment segment and $0.4 million of manufacturing transition and severance costs incurred by our semiconductor equipment and microwave communication equipment businesses.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SG&amp;A expense consists primarily of salaries and benefit costs of employees, commission expense for independent sales representatives, product promotion and costs of professional services. SG&amp;A expense in 2013 includes twelve months of costs for Ismeca. SG&amp;A expense as a percentage of net sales increased to 23.3% in 2013, from 20.7% in 2012, increasing from $45.9 million in 2012 to $57.7 million in 2013. Current year SG&amp;A expense included $12.6 million in incremental SG&amp;A expense generated by Ismeca and $1.7 million of manufacturing transition and severance costs. Also included in SG&amp;A are transaction costs totaling $0.4 million and $2.3 million in 2013 and 2012, respectively, incurred in connection with our acquisition of Ismeca.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Interest and other, net was approximately $0.1 million and $1.0 million in 2013 and 2012, respectively. In 2012 our interest and other income included a gain on the sale of a facility totaling $0.7 million related to our metal detection equipment segment, which was divested in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credit for income taxes expressed as a percentage of pre-tax loss was 6.5% in 2013 and 6.7% in 2012. The credit for income taxes for the years ended December 28, 2013 and December 29, 2012 differs from the U.S. federal statutory rate primarily due to tax credits, changes in the valuation allowance on our deferred tax assets, foreign income taxed at different rates and other factors.</w:t>
      </w:r>
    </w:p>
    <w:p>
      <w:pPr>
        <w:spacing w:after="0" w:line="59" w:lineRule="exact"/>
        <w:rPr>
          <w:sz w:val="20"/>
          <w:szCs w:val="20"/>
          <w:color w:val="auto"/>
        </w:rPr>
      </w:pPr>
    </w:p>
    <w:p>
      <w:pPr>
        <w:ind w:right="60"/>
        <w:spacing w:after="0" w:line="303" w:lineRule="auto"/>
        <w:rPr>
          <w:sz w:val="20"/>
          <w:szCs w:val="20"/>
          <w:color w:val="auto"/>
        </w:rPr>
      </w:pPr>
      <w:r>
        <w:rPr>
          <w:rFonts w:ascii="Arial" w:cs="Arial" w:eastAsia="Arial" w:hAnsi="Arial"/>
          <w:sz w:val="15"/>
          <w:szCs w:val="15"/>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w:t>
      </w:r>
    </w:p>
    <w:p>
      <w:pPr>
        <w:spacing w:after="0" w:line="1" w:lineRule="exact"/>
        <w:rPr>
          <w:sz w:val="20"/>
          <w:szCs w:val="20"/>
          <w:color w:val="auto"/>
        </w:rPr>
      </w:pPr>
    </w:p>
    <w:p>
      <w:pPr>
        <w:ind w:right="38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the tax law; (3) tax planning strategies and (4) future taxable income exclusive of reversing temporary differences and carryforwards.</w:t>
      </w:r>
    </w:p>
    <w:p>
      <w:pPr>
        <w:spacing w:after="0" w:line="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2013.</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As a result of our cumulative, three-year GAAP domestic pretax loss of approximately $29.9 million at the end of 2013, and our loss in 2013, we were unable to conclude at December 28, 2013 that it was “more likely than not” that our U.S. DTAs would be realized. We will evaluate the realizability of our DTAs at the end of each quarterly reporting period in 2014 and should circumstances change it is possible the remaining valuation allowance, or a portion thereof, will be reversed in a future period.</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valuation allowance on DTAs at December 28, 2013 and December 29, 2012 was approximately $36.1 million and $24.9 million, respectively. The remaining gross DTAs for which a valuation allowance was not recorded are realizable primarily through future reversals of existing taxable temporary differences. As the realization of DTAs is determined by tax jurisdiction, the significant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American Taxpayer Relief Act of 2012, which reinstated the United States federal research and development tax credit retroactively from January 1, 2012 through December 31, 2013, was not enacted into law until the first quarter of 2013. Therefore, the tax benefit from the credits for 2012 and 2013 are reflected in our 2013 income tax provision.</w:t>
      </w:r>
    </w:p>
    <w:p>
      <w:pPr>
        <w:spacing w:after="0" w:line="5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 full reconciliation of our effective tax rate to the U.S. federal statutory rate and further explanation of our provision for income taxes, see Note 5, “Income Taxes”, included in Part IV, Item 15(a) of this Form 10-K, which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$33.4 million in 2013, compared to $12.2 million in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Compared to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During 2012, our consolidated net sales were approximately $221.2 million, a decrease of 28.4% from the prior year. Sales of semiconductor equipment decreased 31.2% from $260.6 million to $179.4 million and accounted for 81.1% of consolidated net sales in 2012 versus 84.4% in 2011. Sales of our semiconductor equipment segment decreased in 2012 compared to the corresponding prior year period due to continued global macro-economic weakness and political uncertainty which resulted in reduced demand for semiconductors. This, in turn, resulted in higher inventory of integrated circuits leading many customers to operate at equipment utilization levels that do not require purchases of new systems.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microwave communications equipment accounted for approximately $26.9 million or 12.2% of consolidated net sales in 2012 and decreased 10.4% when compared to 2011. The decrease in business volume within our microwave equipment segment during 2012 resulted from customer order delays for equipment to be used in government agency related security and surveillance infrastructure projects.</w:t>
      </w:r>
    </w:p>
    <w:p>
      <w:pPr>
        <w:spacing w:after="0" w:line="5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Sales of video cameras accounted for 6.7% of consolidated net sales in 2012 and decreased $3.5 million or 19.1% when compared to 2011. The decrease in business volume within our video camera segment during 2012 resulted primarily from delays in obtaining customer orders for equipment to be used in traffic related public infrastructure projects.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gross margin, as a percentage of net sales, decreased to 30.7% in 2012 from 32.4% in 2011, due to unfavorable product mix, increased inventory reserve charges and lower sales volume. During 2012 and 2011, we recorded net charges to cost of sales of approximately $8.9 million and $5.8 million, respectively, for excess and obsolete inventory.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During both 2012 and 2011 R&amp;D expense was $36.2 million and represented 16.4% of net sales in 2012 compared to 11.7% in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SG&amp;A expense as a percentage of net sales increased to 20.7% in 2012, from 15.1% in 2011, decreasing in absolute dollars from $46.6 million in 2011 to</w:t>
      </w:r>
    </w:p>
    <w:p>
      <w:pPr>
        <w:spacing w:after="0" w:line="3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$45.9 million in 2012 due to a decrease in variable selling expenses as a result of lower business volume across our business segments. Additionally, during 2012 we incurred approximately $2.3 million in costs associated with the acquisition of Ismeca.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Interest and other, net was approximately $1.0 million and $0.4 million in 2012 and 2011, respectively. Interest and other income in 2012 includes a gain on the sale of a facility totaling $0.7 million related to our metal detection equipment segment, which was divested in 2006.</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provision (credit) for income taxes expressed as a percentage of pre-tax income or loss was (6.7%) in 2012 and 11.6% in 2011. The provision (credit) for income taxes for the years ended December 29, 2012 and December 31, 2011 differs from the U.S. federal statutory rate primarily due to changes in the valuation allowance on our deferred tax assets, foreign income taxed at different rates and other factors.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Our valuation allowance on DTAs at December 29, 2012 and December 31, 2011 was approximately $24.9 million and $22.4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loss was $12.2 million in 2012, compared to net income of $15.7 million in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The cyclical and volatile nature of demand for semiconductor equipment, our primary industry, makes estimates of future revenues, results of operations and net cash flows difficult.</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Our primary historical source of liquidity and capital resources has been cash flow generated by our operations and we manage our businesses to maximize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cash flows as our primary source of liquidity. We use cash to fund growth in our operating assets and to fund new products and product enhancements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through research and development. As of December 28, 2013, $36.6 million of our cash and cash equivalents was held by our foreign subsidiaries.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funds are needed for our operations in the U.S., we may be required to accrue and pay U.S. taxes or foreign withholding taxes if we repatriate these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funds. Our intent is to indefinitely reinvest these funds in our foreign operations and we have no current plans that would require us to repatriate these funds to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 at December 28, 2013 and December 29,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jc w:val="right"/>
              <w:ind w:right="182"/>
              <w:spacing w:after="0"/>
              <w:rPr>
                <w:sz w:val="20"/>
                <w:szCs w:val="20"/>
                <w:color w:val="auto"/>
              </w:rPr>
            </w:pPr>
            <w:r>
              <w:rPr>
                <w:rFonts w:ascii="Arial" w:cs="Arial" w:eastAsia="Arial" w:hAnsi="Arial"/>
                <w:sz w:val="14"/>
                <w:szCs w:val="14"/>
                <w:color w:val="auto"/>
              </w:rPr>
              <w:t>Percentage</w:t>
            </w:r>
          </w:p>
        </w:tc>
      </w:tr>
      <w:tr>
        <w:trPr>
          <w:trHeight w:val="159"/>
        </w:trPr>
        <w:tc>
          <w:tcPr>
            <w:tcW w:w="49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i w:val="1"/>
                <w:iCs w:val="1"/>
                <w:color w:val="auto"/>
              </w:rPr>
              <w:t>(in thousands)</w:t>
            </w:r>
          </w:p>
        </w:tc>
        <w:tc>
          <w:tcPr>
            <w:tcW w:w="1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9"/>
              <w:spacing w:after="0" w:line="159" w:lineRule="exact"/>
              <w:rPr>
                <w:sz w:val="20"/>
                <w:szCs w:val="20"/>
                <w:color w:val="auto"/>
              </w:rPr>
            </w:pPr>
            <w:r>
              <w:rPr>
                <w:rFonts w:ascii="Arial" w:cs="Arial" w:eastAsia="Arial" w:hAnsi="Arial"/>
                <w:sz w:val="14"/>
                <w:szCs w:val="14"/>
                <w:color w:val="auto"/>
              </w:rPr>
              <w:t>2013</w:t>
            </w:r>
          </w:p>
        </w:tc>
        <w:tc>
          <w:tcPr>
            <w:tcW w:w="112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9"/>
              </w:rPr>
              <w:t>2012</w:t>
            </w:r>
          </w:p>
        </w:tc>
        <w:tc>
          <w:tcPr>
            <w:tcW w:w="112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Decrease</w:t>
            </w:r>
          </w:p>
        </w:tc>
        <w:tc>
          <w:tcPr>
            <w:tcW w:w="1060" w:type="dxa"/>
            <w:vAlign w:val="bottom"/>
            <w:tcBorders>
              <w:bottom w:val="single" w:sz="8" w:color="auto"/>
            </w:tcBorders>
          </w:tcPr>
          <w:p>
            <w:pPr>
              <w:jc w:val="right"/>
              <w:ind w:right="262"/>
              <w:spacing w:after="0" w:line="159" w:lineRule="exact"/>
              <w:rPr>
                <w:sz w:val="20"/>
                <w:szCs w:val="20"/>
                <w:color w:val="auto"/>
              </w:rPr>
            </w:pPr>
            <w:r>
              <w:rPr>
                <w:rFonts w:ascii="Arial" w:cs="Arial" w:eastAsia="Arial" w:hAnsi="Arial"/>
                <w:sz w:val="14"/>
                <w:szCs w:val="14"/>
                <w:color w:val="auto"/>
              </w:rPr>
              <w:t>Change</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w w:val="98"/>
              </w:rPr>
              <w:t>52,868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$ 110,229</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 (57,361)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Working capital</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9"/>
              <w:spacing w:after="0"/>
              <w:rPr>
                <w:sz w:val="20"/>
                <w:szCs w:val="20"/>
                <w:color w:val="auto"/>
              </w:rPr>
            </w:pPr>
            <w:r>
              <w:rPr>
                <w:rFonts w:ascii="Arial" w:cs="Arial" w:eastAsia="Arial" w:hAnsi="Arial"/>
                <w:sz w:val="18"/>
                <w:szCs w:val="18"/>
                <w:color w:val="auto"/>
                <w:w w:val="82"/>
              </w:rPr>
              <w:t>125,837</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$184,703</w:t>
            </w:r>
          </w:p>
        </w:tc>
        <w:tc>
          <w:tcPr>
            <w:tcW w:w="1120" w:type="dxa"/>
            <w:vAlign w:val="bottom"/>
          </w:tcPr>
          <w:p>
            <w:pPr>
              <w:jc w:val="right"/>
              <w:ind w:right="119"/>
              <w:spacing w:after="0"/>
              <w:rPr>
                <w:sz w:val="20"/>
                <w:szCs w:val="20"/>
                <w:color w:val="auto"/>
              </w:rPr>
            </w:pPr>
            <w:r>
              <w:rPr>
                <w:rFonts w:ascii="Arial" w:cs="Arial" w:eastAsia="Arial" w:hAnsi="Arial"/>
                <w:sz w:val="18"/>
                <w:szCs w:val="18"/>
                <w:color w:val="auto"/>
              </w:rPr>
              <w:t>$ (58,866)</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47"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decrease in cash, cash equivalents and short-term investments and working capital for the year ended December 28, 2013 are primarily a result of the acquisition of Ismeca which occurred on December 31, 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generated from operating activities consists of net income or loss, adjusted for non-cash expenses and changes in operating assets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liabilities. Non-cash items include depreciation and amortization, share-based compensation expense and deferred income taxes. Our net cash flows provided from operating activities in 2013 totaled $3.4 million compared to $13.2 million in 2012. The decrease in cash provided by operating activities was a result of the increase in our net loss. Cash provided by operating activities was impacted by changes in current assets and liabilities and, excluding the impact of the acquisition of Ismeca, included decreases in inventory of $13.1 million and accrued compensation; warranty and other liabilities of $1.2 million; and increases in accounts payable of $6.7 million; deferred profit of $3.8 million, and accounts receivable of $2.5 million. The decrease in inventory resulted from inventory write-downs and strict inventory controls within our semiconductor equipment segment. The reduction in accrued compensation and warranty resulted from current year operating results and product mix. Deferred profit increased as a result of deferrals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semiconductor equipment made in accordance with our revenue recognition policy. The increases in accounts receivable and accounts payable were due to fourth quarter business activity and the timing of cash payments and receipts.</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Investing cash flows consist primarily of cash used for capital expenditures in support of our businesses, proceeds from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maturities and cash used for purchases of investments and business acquisitions. Our net cash used for investing activities in 2013 totaled $51.3 million and was primarily the result of the purchase of Ismeca for $53.5 million, net of cash received. The acquisition of Ismeca was a strategic transaction to expand our semiconductor total available market, extend our market leadership, expand our customer base, and broaden our product and technology offerings. Other expenditures in 2013 included purchases of property, plant and equipment of $3.9 million. The purchases of property, plant and equipment were primarily made to support activities in our semiconductor equipment and microwave communications equipment businesses.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Cash provided by financing activities consisted of net proceeds from the issuance of common stock under our equity incentive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stock purchase plans, which totaled $1.3 million during 2013. We issue stock options and maintain an employee stock purchase plan as components of our overall employee compensation. Cash used in financing activities consisted of amounts distributed to our stockholders in the form of cash dividends. We paid dividends totaling $4.5 million, or $0.18 per common share, during 2013. On February 11, 2014 we announced a cash dividend of $0.06 per share on our common stock, payable on, April 18, 2014 to stockholders of record as of March 4, 2014. We intend to continue to pay quarterly dividends subject to capital availability and periodic determinations by our Board of Directors that cash dividends are in the best interests of our stockholders.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a secured letter of credit facility (the “Secured Facility”) under which Bank of America, N.A., has agreed to administer the issuance of letters of credit on behalf of Cohu and our subsidiaries. The Secured Facility requires us to maintain deposits of cash or other approved investments, which serve as collateral, in amounts that approximate our outstanding standby letters of credit. As of December 28, 2013, we had approximately $0.8 million of standby letters of credit outstanding. As a result of the acquisition of Ismeca, we have an agreement with Credit Suisse (the “Ismeca Facility”) under which it administers a line of credit on behalf of Ismeca. Total borrowings available under the Ismeca Facility is 0.5 million Swiss Francs and at December 28, 2013 no amounts were outstanding.</w:t>
      </w:r>
    </w:p>
    <w:p>
      <w:pPr>
        <w:spacing w:after="0" w:line="3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will be sufficient to meet our operating requirements for at least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following table summarizes our significant contractual obligations at December 28, 2013, and the effect such obligations are expected to have on our liquidity and cash flows in future periods. This table excludes amounts already recorded on our balance sheet as current liabilities at December 28, 2013. Amounts excluded include our liability for unrecognized tax benefits that totaled approximately $10.5 million at December 28, 2013. We are currently unable to provide a reasonably reliable estimate of the amount or period(s) the cash settlement of this liability may occur.</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4420" w:type="dxa"/>
            <w:vAlign w:val="bottom"/>
          </w:tcPr>
          <w:p>
            <w:pPr>
              <w:spacing w:after="0"/>
              <w:rPr>
                <w:sz w:val="15"/>
                <w:szCs w:val="15"/>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color w:val="auto"/>
              </w:rPr>
              <w:t>2014</w:t>
            </w:r>
          </w:p>
        </w:tc>
        <w:tc>
          <w:tcPr>
            <w:tcW w:w="26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color w:val="auto"/>
              </w:rPr>
              <w:t>2017</w:t>
            </w:r>
          </w:p>
        </w:tc>
        <w:tc>
          <w:tcPr>
            <w:tcW w:w="260" w:type="dxa"/>
            <w:vAlign w:val="bottom"/>
          </w:tcPr>
          <w:p>
            <w:pPr>
              <w:spacing w:after="0"/>
              <w:rPr>
                <w:sz w:val="15"/>
                <w:szCs w:val="15"/>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6"/>
              </w:rPr>
              <w:t>Thereafter</w:t>
            </w:r>
          </w:p>
        </w:tc>
        <w:tc>
          <w:tcPr>
            <w:tcW w:w="26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Total</w:t>
            </w:r>
          </w:p>
        </w:tc>
      </w:tr>
      <w:tr>
        <w:trPr>
          <w:trHeight w:val="203"/>
        </w:trPr>
        <w:tc>
          <w:tcPr>
            <w:tcW w:w="52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Non-cancelable operating leases</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1,114</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$ 565</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$ 430</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$ 377</w:t>
            </w: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$ 377</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1,508</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4,371</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table above does not include pension, post-retirement benefit and warranty obligations because it is not certain when these liabilities will be funded. For additional information regarding our pension and post-retirement benefits obligations see Note 4, “Employee Benefit Plans” and for more information on our contractual obligations, see Note 9, “Guarantees” in Part IV, Item 15(a) of this Form 10-K.</w:t>
      </w:r>
    </w:p>
    <w:p>
      <w:pPr>
        <w:spacing w:after="0" w:line="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 xml:space="preserve">Commitments to contract manufacturers and suppliers. </w:t>
      </w:r>
      <w:r>
        <w:rPr>
          <w:rFonts w:ascii="Arial" w:cs="Arial" w:eastAsia="Arial" w:hAnsi="Arial"/>
          <w:sz w:val="18"/>
          <w:szCs w:val="18"/>
          <w:color w:val="auto"/>
        </w:rPr>
        <w:t>From time to time, we enter into commitments with our suppliers to purchase inventory and contract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manufacturers to provide manufacturing services for our products at fixed prices or in guaranteed quantities. During the normal course of business, we issue purchase orders with estimates of our requirements several months ahead of the delivery dates. However, our agreements with these suppliers usually allow us the option to reschedule or adjust our requirements based on our business needs.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Typically purchase orders outstanding with delivery dates within 30 days are non-cancelable. We are not able to determine the aggregate amount of such purchase orders that represent contractual obligations, as purchase orders may represent authorizations to purchase rather than binding agreements. We typically do not have significant agreements for the purchase of raw materials or other goods specifying minimum quantities or set prices that exceed our expected requirements for the next six to twelve months.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28, 2013, the maximum potential amount of future payments that we could be required to make under these standby letters of credit was approximately $0.8 million. No liability has been recorded in connection with these arrangements beyond those required to appropriately account for the underlying transaction being guaranteed. Based on historical experience and information currently available, we do not believe it is probable that any amounts will be required to be paid under these arrangements.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and Interest Rate Risk.</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At December 28, 2013, our investment portfolio included short-term, fixed-income investment securities with a fair value of approximately $1.2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December 28, 2013, we had no investments with loss positions.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conduct business on a global basis in a number of major international currencies. As such, we are exposed to adverse as well as beneficial movements in foreign currency exchange rates. The majority of our sales are denominated in U.S. dollars except for certain of our revenues that are denominated in Euros and Swiss Francs. Certain expenses incurred by our non-U.S. operations, such as employee payroll and benefits as well as some raw materials purchases and other expenses are denominated and paid in local currency.</w:t>
      </w:r>
    </w:p>
    <w:p>
      <w:pPr>
        <w:spacing w:after="0" w:line="62"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We considered a hypothetical ten percent adverse movement in foreign exchange rates to the underlying exposures described above and believe that these hypothetical market movements would not have a material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Part IV, Item 15(a).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0"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b w:val="1"/>
          <w:bCs w:val="1"/>
          <w:color w:val="auto"/>
        </w:rPr>
        <w:t>Conclusion Regarding the Effectiveness of Disclosure Controls and Procedures—</w:t>
      </w:r>
      <w:r>
        <w:rPr>
          <w:rFonts w:ascii="Arial" w:cs="Arial" w:eastAsia="Arial" w:hAnsi="Arial"/>
          <w:sz w:val="16"/>
          <w:szCs w:val="16"/>
          <w:color w:val="auto"/>
        </w:rPr>
        <w:t>Under the supervision and with the participation of our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principal executive officer and principal financial officer, we conducted an evaluation of our disclosure controls and procedures, as such term is defined under Rules 13a-15(e) and 15d-15(e) promulgated under the Securities Exchange Act of 1934, as amended (the “Exchange Act”). Based on this evaluation, our principal executive officer and our principal financial officer concluded that our disclosure controls and procedures were effective as of December 28, 2013, the end of the period covered by this annual report.</w:t>
      </w:r>
    </w:p>
    <w:p>
      <w:pPr>
        <w:spacing w:after="0" w:line="2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Management’s Annual Report on Internal Control Over Financial Reporting—</w:t>
      </w:r>
      <w:r>
        <w:rPr>
          <w:rFonts w:ascii="Arial" w:cs="Arial" w:eastAsia="Arial" w:hAnsi="Arial"/>
          <w:sz w:val="16"/>
          <w:szCs w:val="16"/>
          <w:color w:val="auto"/>
        </w:rPr>
        <w:t>Our management is responsible for establishing and maintaining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internal control over financial reporting, as such term is defined in Exchange Act Rules 13a-15(f) and 15d-15(f).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(1992 framework). Based on our evaluation under the framework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our management concluded that our internal control over financial reporting was effective as of December 28, 2013.</w:t>
      </w:r>
    </w:p>
    <w:p>
      <w:pPr>
        <w:spacing w:after="0" w:line="36"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Ernst &amp; Young LLP, the independent registered public accounting firm that audited the consolidated financial statements included in this Annual Report on Form 10-K, has also audited the effectiveness of our internal control over financial reporting as of December 28, 2013, as stated in their report which is included herein.</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audited Cohu, Inc.’s internal control over financial reporting as of December 28, 2013, based on criteria established in Internal Control—Integrated Framework issued by the Committee of Sponsoring Organizations of the Treadway Commission (1992 framework) (the COSO criteria). Cohu,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In our opinion, Cohu, Inc. maintained, in all material respects, effective internal control over financial reporting as of December 28, 2013, based on the COSO criteria.</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Cohu, Inc. as of December 28, 2013 and December 29, 2012, and the related consolidated statements of operations, comprehensive income (loss), stockholders’ equity, and cash flows for each of the three years in the period ended December 28, 2013 of Cohu, Inc. and our report dated March 4, 2014 expressed an unqualified opinion thereon.</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During the fourth quarter of fiscal 2013, our wholly owned subsidiary, Delta Design, Inc. customized</w:t>
      </w:r>
      <w:r>
        <w:rPr>
          <w:rFonts w:ascii="Arial" w:cs="Arial" w:eastAsia="Arial" w:hAnsi="Arial"/>
          <w:sz w:val="18"/>
          <w:szCs w:val="18"/>
          <w:b w:val="1"/>
          <w:bCs w:val="1"/>
          <w:color w:val="auto"/>
        </w:rPr>
        <w:t xml:space="preserve"> </w:t>
      </w:r>
      <w:r>
        <w:rPr>
          <w:rFonts w:ascii="Arial" w:cs="Arial" w:eastAsia="Arial" w:hAnsi="Arial"/>
          <w:sz w:val="18"/>
          <w:szCs w:val="18"/>
          <w:color w:val="auto"/>
        </w:rPr>
        <w:t>its recently implemented integrated finance/accounting and manufacturing software system. The customization involved changes to our system of internal controls. We reviewed the system as it was being implemented and the controls affected by the customization. We believe that the controls as modified are appropriate and functioning effectively.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information under the heading “Executive Officers of the Registrant” in Part I, Item 1 of this Form 10-K is incorporated by reference in this section. The other information required by this item is hereby incorporated by reference to the Company’s definitive proxy statement, which will be filed with the Securities and Exchange Commission (“SEC”) within 120 days after the close of fiscal 2013.</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90"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color w:val="auto"/>
        </w:rPr>
        <w:t>Cohu has adopted a code of business conduct and ethics for directors, officers and employees. The code is available on the Investor Relations section of our website at www.cohu.com. We intend to make all required disclosures concerning any amendments to, or waivers from, our code of ethics on our website.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90"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Cohu has adopted Corporate Governance Guidelines as well as charters for its Audit, Compensation and Nominating and Governance Committees. These documents are available on the Investor Relations section of our website at www.cohu.com.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Information regarding Executive Compensation is hereby incorporated by reference to the Company’s definitive proxy statement, which will be filed with the SEC within 120 days after the close of fiscal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Information regarding Security Ownership of Certain Beneficial Owners and Management and Related Stockholder Matters is hereby incorporated by reference to the Company’s definitive proxy statement, which will be filed with the SEC within 120 days after the close of fiscal 2013.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Information regarding Certain Relationships and Related Transactions, and Director Independence is hereby incorporated by reference to the Company’s definitive proxy statement, which will be filed with the SEC within 120 days after the close of fiscal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Information regarding the Principal Accounting Fees and Services is hereby incorporated by reference to the Company’s definitive proxy statement, which will be filed with the SEC within 120 days after the close of fiscal 2013.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following documents are filed as part of, or incorporated by reference into, this Annual Report on Form 10-K.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sz w:val="20"/>
          <w:szCs w:val="20"/>
          <w:color w:val="auto"/>
        </w:rPr>
      </w:pPr>
    </w:p>
    <w:p>
      <w:pPr>
        <w:ind w:left="460" w:right="220" w:firstLine="438"/>
        <w:spacing w:after="0" w:line="268" w:lineRule="auto"/>
        <w:rPr>
          <w:sz w:val="20"/>
          <w:szCs w:val="20"/>
          <w:color w:val="auto"/>
        </w:rPr>
      </w:pPr>
      <w:r>
        <w:rPr>
          <w:rFonts w:ascii="Arial" w:cs="Arial" w:eastAsia="Arial" w:hAnsi="Arial"/>
          <w:sz w:val="18"/>
          <w:szCs w:val="18"/>
          <w:color w:val="auto"/>
        </w:rPr>
        <w:t>The following Consolidated Financial Statements of Cohu, Inc., including the report thereon of Ernst &amp; Young LLP, are included in this Annual Report on Form 10-K beginning on page 32:</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86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68"/>
        </w:trPr>
        <w:tc>
          <w:tcPr>
            <w:tcW w:w="460" w:type="dxa"/>
            <w:vAlign w:val="bottom"/>
          </w:tcPr>
          <w:p>
            <w:pPr>
              <w:spacing w:after="0"/>
              <w:rPr>
                <w:sz w:val="14"/>
                <w:szCs w:val="14"/>
                <w:color w:val="auto"/>
              </w:rPr>
            </w:pPr>
          </w:p>
        </w:tc>
        <w:tc>
          <w:tcPr>
            <w:tcW w:w="6860" w:type="dxa"/>
            <w:vAlign w:val="bottom"/>
            <w:gridSpan w:val="9"/>
            <w:vMerge w:val="continue"/>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Page Number</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Borders>
              <w:top w:val="single" w:sz="8" w:color="auto"/>
            </w:tcBorders>
            <w:gridSpan w:val="2"/>
          </w:tcPr>
          <w:p>
            <w:pPr>
              <w:spacing w:after="0" w:line="136" w:lineRule="exact"/>
              <w:rPr>
                <w:rFonts w:ascii="Arial" w:cs="Arial" w:eastAsia="Arial" w:hAnsi="Arial"/>
                <w:sz w:val="15"/>
                <w:szCs w:val="15"/>
                <w:color w:val="0000EE"/>
                <w:w w:val="77"/>
              </w:rPr>
            </w:pPr>
            <w:hyperlink w:anchor="page34">
              <w:r>
                <w:rPr>
                  <w:rFonts w:ascii="Arial" w:cs="Arial" w:eastAsia="Arial" w:hAnsi="Arial"/>
                  <w:sz w:val="15"/>
                  <w:szCs w:val="15"/>
                  <w:color w:val="0000EE"/>
                  <w:w w:val="77"/>
                </w:rPr>
                <w:t>Consolidated</w:t>
              </w:r>
            </w:hyperlink>
          </w:p>
        </w:tc>
        <w:tc>
          <w:tcPr>
            <w:tcW w:w="6160" w:type="dxa"/>
            <w:vAlign w:val="bottom"/>
            <w:gridSpan w:val="7"/>
          </w:tcPr>
          <w:p>
            <w:pPr>
              <w:ind w:left="280"/>
              <w:spacing w:after="0" w:line="129" w:lineRule="exact"/>
              <w:rPr>
                <w:rFonts w:ascii="Arial" w:cs="Arial" w:eastAsia="Arial" w:hAnsi="Arial"/>
                <w:sz w:val="14"/>
                <w:szCs w:val="14"/>
                <w:color w:val="0000EE"/>
              </w:rPr>
            </w:pPr>
            <w:hyperlink w:anchor="page34">
              <w:r>
                <w:rPr>
                  <w:rFonts w:ascii="Arial" w:cs="Arial" w:eastAsia="Arial" w:hAnsi="Arial"/>
                  <w:sz w:val="14"/>
                  <w:szCs w:val="14"/>
                  <w:color w:val="0000EE"/>
                </w:rPr>
                <w:t>Balance Sheets at December 28, 2013 and December 29, 2012</w:t>
              </w:r>
            </w:hyperlink>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Statements of Operations for each of the three years in the period ended December</w:t>
              </w:r>
            </w:hyperlink>
          </w:p>
        </w:tc>
        <w:tc>
          <w:tcPr>
            <w:tcW w:w="680" w:type="dxa"/>
            <w:vAlign w:val="bottom"/>
            <w:gridSpan w:val="3"/>
          </w:tcPr>
          <w:p>
            <w:pPr>
              <w:jc w:val="right"/>
              <w:ind w:right="60"/>
              <w:spacing w:after="0"/>
              <w:rPr>
                <w:rFonts w:ascii="Arial" w:cs="Arial" w:eastAsia="Arial" w:hAnsi="Arial"/>
                <w:sz w:val="18"/>
                <w:szCs w:val="18"/>
                <w:color w:val="0000EE"/>
                <w:w w:val="85"/>
              </w:rPr>
            </w:pPr>
            <w:hyperlink w:anchor="page35">
              <w:r>
                <w:rPr>
                  <w:rFonts w:ascii="Arial" w:cs="Arial" w:eastAsia="Arial" w:hAnsi="Arial"/>
                  <w:sz w:val="18"/>
                  <w:szCs w:val="18"/>
                  <w:color w:val="0000EE"/>
                  <w:w w:val="85"/>
                </w:rPr>
                <w:t>28, 2013</w:t>
              </w:r>
            </w:hyperlink>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7480" w:type="dxa"/>
            <w:vAlign w:val="bottom"/>
            <w:tcBorders>
              <w:top w:val="single" w:sz="8" w:color="0000EE"/>
            </w:tcBorders>
            <w:gridSpan w:val="11"/>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Consolidated Statements of Comprehensive Income (Loss) for each of the three years in the period ended</w:t>
              </w:r>
            </w:hyperlink>
          </w:p>
        </w:tc>
        <w:tc>
          <w:tcPr>
            <w:tcW w:w="122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December 28, 2013</w:t>
              </w:r>
            </w:hyperlink>
          </w:p>
        </w:tc>
        <w:tc>
          <w:tcPr>
            <w:tcW w:w="5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7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Consolidated Statements of Stockholders’ Equity for each of the three years in the period ended</w:t>
              </w:r>
            </w:hyperlink>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December 28, 2013</w:t>
              </w:r>
            </w:hyperlink>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Consolidated Statements of Cash Flows for each of the three years in the period ended December</w:t>
              </w:r>
            </w:hyperlink>
          </w:p>
        </w:tc>
        <w:tc>
          <w:tcPr>
            <w:tcW w:w="1840" w:type="dxa"/>
            <w:vAlign w:val="bottom"/>
            <w:gridSpan w:val="4"/>
          </w:tcPr>
          <w:p>
            <w:pPr>
              <w:jc w:val="right"/>
              <w:ind w:right="1160"/>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28, 2013</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Notes to Consolidated Financial Statements</w:t>
              </w:r>
            </w:hyperlink>
          </w:p>
        </w:tc>
        <w:tc>
          <w:tcPr>
            <w:tcW w:w="3780" w:type="dxa"/>
            <w:vAlign w:val="bottom"/>
            <w:tcBorders>
              <w:top w:val="single" w:sz="8" w:color="0000EE"/>
            </w:tcBorders>
            <w:gridSpan w:val="5"/>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460" w:type="dxa"/>
            <w:vAlign w:val="bottom"/>
          </w:tcPr>
          <w:p>
            <w:pPr>
              <w:spacing w:after="0"/>
              <w:rPr>
                <w:sz w:val="24"/>
                <w:szCs w:val="24"/>
                <w:color w:val="auto"/>
              </w:rPr>
            </w:pPr>
          </w:p>
        </w:tc>
        <w:tc>
          <w:tcPr>
            <w:tcW w:w="686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Report of Independent Registered Public Accounting Firm</w:t>
              </w:r>
            </w:hyperlink>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7320" w:type="dxa"/>
            <w:vAlign w:val="bottom"/>
            <w:gridSpan w:val="10"/>
          </w:tcPr>
          <w:p>
            <w:pPr>
              <w:spacing w:after="0"/>
              <w:rPr>
                <w:sz w:val="20"/>
                <w:szCs w:val="20"/>
                <w:color w:val="auto"/>
              </w:rPr>
            </w:pPr>
            <w:r>
              <w:rPr>
                <w:rFonts w:ascii="Arial" w:cs="Arial" w:eastAsia="Arial" w:hAnsi="Arial"/>
                <w:sz w:val="18"/>
                <w:szCs w:val="18"/>
                <w:color w:val="auto"/>
              </w:rPr>
              <w:t>(2)   Financial Statement Schedule</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60" w:type="dxa"/>
            <w:vAlign w:val="bottom"/>
          </w:tcPr>
          <w:p>
            <w:pPr>
              <w:spacing w:after="0"/>
              <w:rPr>
                <w:sz w:val="22"/>
                <w:szCs w:val="22"/>
                <w:color w:val="auto"/>
              </w:rPr>
            </w:pPr>
          </w:p>
        </w:tc>
        <w:tc>
          <w:tcPr>
            <w:tcW w:w="6860" w:type="dxa"/>
            <w:vAlign w:val="bottom"/>
            <w:gridSpan w:val="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Schedule II – Valuation and Qualifying Accounts</w:t>
              </w:r>
            </w:hyperlink>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460" w:firstLine="438"/>
        <w:spacing w:after="0" w:line="332" w:lineRule="auto"/>
        <w:rPr>
          <w:sz w:val="20"/>
          <w:szCs w:val="20"/>
          <w:color w:val="auto"/>
        </w:rPr>
      </w:pPr>
      <w:r>
        <w:rPr>
          <w:rFonts w:ascii="Arial" w:cs="Arial" w:eastAsia="Arial" w:hAnsi="Arial"/>
          <w:sz w:val="16"/>
          <w:szCs w:val="16"/>
          <w:color w:val="auto"/>
        </w:rPr>
        <w:t>All other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1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The exhibits listed under Item 15(b) hereof are filed with, or incorporated by reference into, this Annual Report on Form 10-K.</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rPr>
              <w:t>December 28,</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29,</w:t>
            </w:r>
          </w:p>
        </w:tc>
        <w:tc>
          <w:tcPr>
            <w:tcW w:w="0" w:type="dxa"/>
            <w:vAlign w:val="bottom"/>
          </w:tcPr>
          <w:p>
            <w:pPr>
              <w:spacing w:after="0"/>
              <w:rPr>
                <w:sz w:val="1"/>
                <w:szCs w:val="1"/>
                <w:color w:val="auto"/>
              </w:rPr>
            </w:pPr>
          </w:p>
        </w:tc>
      </w:tr>
      <w:tr>
        <w:trPr>
          <w:trHeight w:val="159"/>
        </w:trPr>
        <w:tc>
          <w:tcPr>
            <w:tcW w:w="93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2013</w:t>
            </w:r>
          </w:p>
        </w:tc>
        <w:tc>
          <w:tcPr>
            <w:tcW w:w="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51,668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102,808</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60,760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36,986</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Raw materials and purchased parts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37,140</w:t>
            </w:r>
          </w:p>
        </w:tc>
        <w:tc>
          <w:tcPr>
            <w:tcW w:w="0" w:type="dxa"/>
            <w:vAlign w:val="bottom"/>
          </w:tcPr>
          <w:p>
            <w:pPr>
              <w:spacing w:after="0"/>
              <w:rPr>
                <w:sz w:val="1"/>
                <w:szCs w:val="1"/>
                <w:color w:val="auto"/>
              </w:rPr>
            </w:pPr>
          </w:p>
        </w:tc>
      </w:tr>
      <w:tr>
        <w:trPr>
          <w:trHeight w:val="216"/>
        </w:trPr>
        <w:tc>
          <w:tcPr>
            <w:tcW w:w="9340" w:type="dxa"/>
            <w:vAlign w:val="bottom"/>
          </w:tcPr>
          <w:p>
            <w:pPr>
              <w:ind w:left="88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18,065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14,958</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11,482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10,234</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58,977</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62,332</w:t>
            </w: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5,516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4,746</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8,727</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6,790</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186,848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221,083</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 and land improvements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12,285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12,106</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Buildings and building improvements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32,211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31,209</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44,532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40,108</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89,028</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83,423</w:t>
            </w: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(52,802)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(47,959)</w:t>
            </w:r>
          </w:p>
        </w:tc>
        <w:tc>
          <w:tcPr>
            <w:tcW w:w="0" w:type="dxa"/>
            <w:vAlign w:val="bottom"/>
          </w:tcPr>
          <w:p>
            <w:pPr>
              <w:spacing w:after="0"/>
              <w:rPr>
                <w:sz w:val="1"/>
                <w:szCs w:val="1"/>
                <w:color w:val="auto"/>
              </w:rPr>
            </w:pPr>
          </w:p>
        </w:tc>
      </w:tr>
      <w:tr>
        <w:trPr>
          <w:trHeight w:val="20"/>
        </w:trPr>
        <w:tc>
          <w:tcPr>
            <w:tcW w:w="9340" w:type="dxa"/>
            <w:vAlign w:val="bottom"/>
            <w:vMerge w:val="restart"/>
          </w:tcPr>
          <w:p>
            <w:pPr>
              <w:ind w:left="880"/>
              <w:spacing w:after="0"/>
              <w:rPr>
                <w:sz w:val="20"/>
                <w:szCs w:val="20"/>
                <w:color w:val="auto"/>
              </w:rPr>
            </w:pPr>
            <w:r>
              <w:rPr>
                <w:rFonts w:ascii="Arial" w:cs="Arial" w:eastAsia="Arial" w:hAnsi="Arial"/>
                <w:sz w:val="18"/>
                <w:szCs w:val="18"/>
                <w:color w:val="auto"/>
              </w:rPr>
              <w:t>Net property, plant and equipment</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36,226</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35,464</w:t>
            </w:r>
          </w:p>
        </w:tc>
        <w:tc>
          <w:tcPr>
            <w:tcW w:w="0" w:type="dxa"/>
            <w:vAlign w:val="bottom"/>
          </w:tcPr>
          <w:p>
            <w:pPr>
              <w:spacing w:after="0"/>
              <w:rPr>
                <w:sz w:val="1"/>
                <w:szCs w:val="1"/>
                <w:color w:val="auto"/>
              </w:rPr>
            </w:pPr>
          </w:p>
        </w:tc>
      </w:tr>
      <w:tr>
        <w:trPr>
          <w:trHeight w:val="218"/>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71,313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58,756</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45,315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18,977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345,423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334,873</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13,217</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15,050</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10,271</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warranty</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5,252</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Deferred profit</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6,066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Other accrued liabilities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7,815</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7"/>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61,011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36,380</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10,841</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7,463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12,948</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11,747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Preferred stock, $1 par value; 1,000 shares authorized, none issued</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340" w:type="dxa"/>
            <w:vAlign w:val="bottom"/>
          </w:tcPr>
          <w:p>
            <w:pPr>
              <w:ind w:left="440"/>
              <w:spacing w:after="0"/>
              <w:rPr>
                <w:sz w:val="20"/>
                <w:szCs w:val="20"/>
                <w:color w:val="auto"/>
              </w:rPr>
            </w:pPr>
            <w:r>
              <w:rPr>
                <w:rFonts w:ascii="Arial" w:cs="Arial" w:eastAsia="Arial" w:hAnsi="Arial"/>
                <w:sz w:val="18"/>
                <w:szCs w:val="18"/>
                <w:color w:val="auto"/>
                <w:w w:val="91"/>
              </w:rPr>
              <w:t>Common stock, $1 par value; 60,000 shares authorized, 25,080 shares issued and outstanding in 2013 and 24,632 shares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340" w:type="dxa"/>
            <w:vAlign w:val="bottom"/>
          </w:tcPr>
          <w:p>
            <w:pPr>
              <w:ind w:left="660"/>
              <w:spacing w:after="0"/>
              <w:rPr>
                <w:sz w:val="20"/>
                <w:szCs w:val="20"/>
                <w:color w:val="auto"/>
              </w:rPr>
            </w:pPr>
            <w:r>
              <w:rPr>
                <w:rFonts w:ascii="Arial" w:cs="Arial" w:eastAsia="Arial" w:hAnsi="Arial"/>
                <w:sz w:val="18"/>
                <w:szCs w:val="18"/>
                <w:color w:val="auto"/>
              </w:rPr>
              <w:t>in 2012</w:t>
            </w: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25,080</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24,632</w:t>
            </w:r>
          </w:p>
        </w:tc>
        <w:tc>
          <w:tcPr>
            <w:tcW w:w="0" w:type="dxa"/>
            <w:vAlign w:val="bottom"/>
          </w:tcPr>
          <w:p>
            <w:pPr>
              <w:spacing w:after="0"/>
              <w:rPr>
                <w:sz w:val="1"/>
                <w:szCs w:val="1"/>
                <w:color w:val="auto"/>
              </w:rPr>
            </w:pPr>
          </w:p>
        </w:tc>
      </w:tr>
      <w:tr>
        <w:trPr>
          <w:trHeight w:val="217"/>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Paid-in capital</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89,883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83,547</w:t>
            </w:r>
          </w:p>
        </w:tc>
        <w:tc>
          <w:tcPr>
            <w:tcW w:w="0" w:type="dxa"/>
            <w:vAlign w:val="bottom"/>
          </w:tcPr>
          <w:p>
            <w:pPr>
              <w:spacing w:after="0"/>
              <w:rPr>
                <w:sz w:val="1"/>
                <w:szCs w:val="1"/>
                <w:color w:val="auto"/>
              </w:rPr>
            </w:pPr>
          </w:p>
        </w:tc>
      </w:tr>
      <w:tr>
        <w:trPr>
          <w:trHeight w:val="216"/>
        </w:trPr>
        <w:tc>
          <w:tcPr>
            <w:tcW w:w="934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131,546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170,937</w:t>
            </w:r>
          </w:p>
        </w:tc>
        <w:tc>
          <w:tcPr>
            <w:tcW w:w="0" w:type="dxa"/>
            <w:vAlign w:val="bottom"/>
          </w:tcPr>
          <w:p>
            <w:pPr>
              <w:spacing w:after="0"/>
              <w:rPr>
                <w:sz w:val="1"/>
                <w:szCs w:val="1"/>
                <w:color w:val="auto"/>
              </w:rPr>
            </w:pPr>
          </w:p>
        </w:tc>
      </w:tr>
      <w:tr>
        <w:trPr>
          <w:trHeight w:val="216"/>
        </w:trPr>
        <w:tc>
          <w:tcPr>
            <w:tcW w:w="9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6,651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0"/>
        </w:trPr>
        <w:tc>
          <w:tcPr>
            <w:tcW w:w="9340" w:type="dxa"/>
            <w:vAlign w:val="bottom"/>
            <w:vMerge w:val="restart"/>
          </w:tcPr>
          <w:p>
            <w:pPr>
              <w:ind w:left="880"/>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253,160</w:t>
            </w:r>
          </w:p>
        </w:tc>
        <w:tc>
          <w:tcPr>
            <w:tcW w:w="14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280,899</w:t>
            </w:r>
          </w:p>
        </w:tc>
        <w:tc>
          <w:tcPr>
            <w:tcW w:w="0" w:type="dxa"/>
            <w:vAlign w:val="bottom"/>
          </w:tcPr>
          <w:p>
            <w:pPr>
              <w:spacing w:after="0"/>
              <w:rPr>
                <w:sz w:val="1"/>
                <w:szCs w:val="1"/>
                <w:color w:val="auto"/>
              </w:rPr>
            </w:pPr>
          </w:p>
        </w:tc>
      </w:tr>
      <w:tr>
        <w:trPr>
          <w:trHeight w:val="28"/>
        </w:trPr>
        <w:tc>
          <w:tcPr>
            <w:tcW w:w="9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345,423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334,873</w:t>
            </w:r>
          </w:p>
        </w:tc>
        <w:tc>
          <w:tcPr>
            <w:tcW w:w="0" w:type="dxa"/>
            <w:vAlign w:val="bottom"/>
          </w:tcPr>
          <w:p>
            <w:pPr>
              <w:spacing w:after="0"/>
              <w:rPr>
                <w:sz w:val="1"/>
                <w:szCs w:val="1"/>
                <w:color w:val="auto"/>
              </w:rPr>
            </w:pPr>
          </w:p>
        </w:tc>
      </w:tr>
      <w:tr>
        <w:trPr>
          <w:trHeight w:val="20"/>
        </w:trPr>
        <w:tc>
          <w:tcPr>
            <w:tcW w:w="9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w w:val="85"/>
              </w:rPr>
              <w:t>Years ended</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0" w:type="dxa"/>
            <w:vAlign w:val="bottom"/>
            <w:gridSpan w:val="3"/>
          </w:tcPr>
          <w:p>
            <w:pPr>
              <w:jc w:val="right"/>
              <w:ind w:right="240"/>
              <w:spacing w:after="0" w:line="131" w:lineRule="exact"/>
              <w:rPr>
                <w:sz w:val="20"/>
                <w:szCs w:val="20"/>
                <w:color w:val="auto"/>
              </w:rPr>
            </w:pPr>
            <w:r>
              <w:rPr>
                <w:rFonts w:ascii="Arial" w:cs="Arial" w:eastAsia="Arial" w:hAnsi="Arial"/>
                <w:sz w:val="14"/>
                <w:szCs w:val="14"/>
                <w:color w:val="auto"/>
                <w:w w:val="84"/>
              </w:rPr>
              <w:t>December 28,</w:t>
            </w:r>
          </w:p>
        </w:tc>
        <w:tc>
          <w:tcPr>
            <w:tcW w:w="200" w:type="dxa"/>
            <w:vAlign w:val="bottom"/>
          </w:tcPr>
          <w:p>
            <w:pPr>
              <w:spacing w:after="0"/>
              <w:rPr>
                <w:sz w:val="11"/>
                <w:szCs w:val="11"/>
                <w:color w:val="auto"/>
              </w:rPr>
            </w:pPr>
          </w:p>
        </w:tc>
        <w:tc>
          <w:tcPr>
            <w:tcW w:w="1000" w:type="dxa"/>
            <w:vAlign w:val="bottom"/>
            <w:gridSpan w:val="3"/>
          </w:tcPr>
          <w:p>
            <w:pPr>
              <w:spacing w:after="0" w:line="131" w:lineRule="exact"/>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1"/>
                <w:szCs w:val="11"/>
                <w:color w:val="auto"/>
              </w:rPr>
            </w:pPr>
          </w:p>
        </w:tc>
        <w:tc>
          <w:tcPr>
            <w:tcW w:w="760" w:type="dxa"/>
            <w:vAlign w:val="bottom"/>
            <w:gridSpan w:val="2"/>
          </w:tcPr>
          <w:p>
            <w:pPr>
              <w:spacing w:after="0" w:line="131" w:lineRule="exact"/>
              <w:rPr>
                <w:sz w:val="20"/>
                <w:szCs w:val="20"/>
                <w:color w:val="auto"/>
              </w:rPr>
            </w:pPr>
            <w:r>
              <w:rPr>
                <w:rFonts w:ascii="Arial" w:cs="Arial" w:eastAsia="Arial" w:hAnsi="Arial"/>
                <w:sz w:val="14"/>
                <w:szCs w:val="14"/>
                <w:color w:val="auto"/>
                <w:w w:val="84"/>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6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2013</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2012</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247,300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221,162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308,968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Cost and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176,774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153,184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208,839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48,596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57,730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283,100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235,246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291,632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(35,800)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(14,084)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(35,746)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(13,117)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(2,328)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(33,418)</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(12,243)</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Income (loss) per share:</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648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vMerge w:val="continue"/>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(1.34)</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(0.50)</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4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4"/>
                <w:szCs w:val="14"/>
                <w:color w:val="auto"/>
                <w:w w:val="88"/>
              </w:rPr>
              <w:t>Years ended</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280" w:type="dxa"/>
            <w:vAlign w:val="bottom"/>
            <w:gridSpan w:val="3"/>
          </w:tcPr>
          <w:p>
            <w:pPr>
              <w:spacing w:after="0" w:line="131" w:lineRule="exact"/>
              <w:rPr>
                <w:sz w:val="20"/>
                <w:szCs w:val="20"/>
                <w:color w:val="auto"/>
              </w:rPr>
            </w:pPr>
            <w:r>
              <w:rPr>
                <w:rFonts w:ascii="Arial" w:cs="Arial" w:eastAsia="Arial" w:hAnsi="Arial"/>
                <w:sz w:val="14"/>
                <w:szCs w:val="14"/>
                <w:color w:val="auto"/>
              </w:rPr>
              <w:t>December 28,</w:t>
            </w:r>
          </w:p>
        </w:tc>
        <w:tc>
          <w:tcPr>
            <w:tcW w:w="1280" w:type="dxa"/>
            <w:vAlign w:val="bottom"/>
            <w:gridSpan w:val="3"/>
          </w:tcPr>
          <w:p>
            <w:pPr>
              <w:spacing w:after="0" w:line="131" w:lineRule="exact"/>
              <w:rPr>
                <w:sz w:val="20"/>
                <w:szCs w:val="20"/>
                <w:color w:val="auto"/>
              </w:rPr>
            </w:pPr>
            <w:r>
              <w:rPr>
                <w:rFonts w:ascii="Arial" w:cs="Arial" w:eastAsia="Arial" w:hAnsi="Arial"/>
                <w:sz w:val="14"/>
                <w:szCs w:val="14"/>
                <w:color w:val="auto"/>
              </w:rPr>
              <w:t>December 29,</w:t>
            </w:r>
          </w:p>
        </w:tc>
        <w:tc>
          <w:tcPr>
            <w:tcW w:w="780" w:type="dxa"/>
            <w:vAlign w:val="bottom"/>
            <w:gridSpan w:val="2"/>
          </w:tcPr>
          <w:p>
            <w:pPr>
              <w:spacing w:after="0" w:line="131" w:lineRule="exact"/>
              <w:rPr>
                <w:sz w:val="20"/>
                <w:szCs w:val="20"/>
                <w:color w:val="auto"/>
              </w:rPr>
            </w:pPr>
            <w:r>
              <w:rPr>
                <w:rFonts w:ascii="Arial" w:cs="Arial" w:eastAsia="Arial" w:hAnsi="Arial"/>
                <w:sz w:val="14"/>
                <w:szCs w:val="14"/>
                <w:color w:val="auto"/>
                <w:w w:val="86"/>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9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rPr>
              <w:t>2012</w:t>
            </w:r>
          </w:p>
        </w:tc>
        <w:tc>
          <w:tcPr>
            <w:tcW w:w="5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(33,418)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(12,243)</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3,270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Adjustments related to postretirement benefits</w:t>
            </w: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1,604</w:t>
            </w: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unrealized gain/loss on investments</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income, net of tax</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4,868</w:t>
            </w:r>
          </w:p>
        </w:tc>
        <w:tc>
          <w:tcPr>
            <w:tcW w:w="16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1,795</w:t>
            </w:r>
          </w:p>
        </w:tc>
        <w:tc>
          <w:tcPr>
            <w:tcW w:w="18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(28,550)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(10,448)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par value and per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Accumulated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87"/>
              </w:rPr>
              <w:t>Common</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87"/>
              </w:rPr>
              <w:t>other</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stock</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1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Retained</w:t>
            </w:r>
          </w:p>
        </w:tc>
        <w:tc>
          <w:tcPr>
            <w:tcW w:w="160" w:type="dxa"/>
            <w:vAlign w:val="bottom"/>
          </w:tcPr>
          <w:p>
            <w:pPr>
              <w:spacing w:after="0"/>
              <w:rPr>
                <w:sz w:val="12"/>
                <w:szCs w:val="12"/>
                <w:color w:val="auto"/>
              </w:rPr>
            </w:pPr>
          </w:p>
        </w:tc>
        <w:tc>
          <w:tcPr>
            <w:tcW w:w="106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4"/>
              </w:rPr>
              <w:t>comprehensive</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080" w:type="dxa"/>
            <w:vAlign w:val="bottom"/>
            <w:gridSpan w:val="3"/>
          </w:tcPr>
          <w:p>
            <w:pPr>
              <w:spacing w:after="0" w:line="15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1 par value</w:t>
            </w:r>
          </w:p>
        </w:tc>
        <w:tc>
          <w:tcPr>
            <w:tcW w:w="8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1060" w:type="dxa"/>
            <w:vAlign w:val="bottom"/>
            <w:gridSpan w:val="3"/>
          </w:tcPr>
          <w:p>
            <w:pPr>
              <w:jc w:val="center"/>
              <w:ind w:right="220"/>
              <w:spacing w:after="0" w:line="159" w:lineRule="exact"/>
              <w:rPr>
                <w:sz w:val="20"/>
                <w:szCs w:val="20"/>
                <w:color w:val="auto"/>
              </w:rPr>
            </w:pPr>
            <w:r>
              <w:rPr>
                <w:rFonts w:ascii="Arial" w:cs="Arial" w:eastAsia="Arial" w:hAnsi="Arial"/>
                <w:sz w:val="14"/>
                <w:szCs w:val="14"/>
                <w:color w:val="auto"/>
                <w:w w:val="86"/>
              </w:rPr>
              <w:t>income (loss)</w:t>
            </w:r>
          </w:p>
        </w:tc>
        <w:tc>
          <w:tcPr>
            <w:tcW w:w="18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25, 2010</w:t>
            </w: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23,989</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$71,799</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$179,134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$274,725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15,719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1,267</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Cash dividends - $0.24 per share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(5,798)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1,142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Tax benefit from equity awards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77,658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189,055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(12,243)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Changes in unrealized gains and losses on investments,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Cash dividends - $0.24 per share</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(5,875)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1,100</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Balance at December 29, 2012</w:t>
            </w: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24,632</w:t>
            </w:r>
          </w:p>
        </w:tc>
        <w:tc>
          <w:tcPr>
            <w:tcW w:w="4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83,547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170,937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1,783</w:t>
            </w:r>
          </w:p>
        </w:tc>
        <w:tc>
          <w:tcPr>
            <w:tcW w:w="220" w:type="dxa"/>
            <w:vAlign w:val="bottom"/>
          </w:tcPr>
          <w:p>
            <w:pPr>
              <w:spacing w:after="0"/>
              <w:rPr>
                <w:sz w:val="19"/>
                <w:szCs w:val="19"/>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280,899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(33,418)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Changes in cumulative translation adjustment</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related to postretirement benefits, net of income taxes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w w:val="95"/>
              </w:rPr>
              <w:t>Changes in unrealized gains and losses on investments, net of income taxes</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 $0.24 per share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(5,973)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Exercise of stock options</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769</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under employee stock purchase plan</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Shares issued for restricted stock units vested</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Repurchase and retirement of stock</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42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5,468</w:t>
            </w: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28, 2013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89,883</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131,546</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6,651</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253,160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4"/>
                <w:szCs w:val="14"/>
                <w:color w:val="auto"/>
                <w:w w:val="83"/>
              </w:rPr>
              <w:t>Years ended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960" w:type="dxa"/>
            <w:vAlign w:val="bottom"/>
          </w:tcPr>
          <w:p>
            <w:pPr>
              <w:spacing w:after="0"/>
              <w:rPr>
                <w:sz w:val="11"/>
                <w:szCs w:val="11"/>
                <w:color w:val="auto"/>
              </w:rPr>
            </w:pPr>
          </w:p>
        </w:tc>
        <w:tc>
          <w:tcPr>
            <w:tcW w:w="1280" w:type="dxa"/>
            <w:vAlign w:val="bottom"/>
            <w:gridSpan w:val="3"/>
          </w:tcPr>
          <w:p>
            <w:pPr>
              <w:spacing w:after="0" w:line="131" w:lineRule="exact"/>
              <w:rPr>
                <w:sz w:val="20"/>
                <w:szCs w:val="20"/>
                <w:color w:val="auto"/>
              </w:rPr>
            </w:pPr>
            <w:r>
              <w:rPr>
                <w:rFonts w:ascii="Arial" w:cs="Arial" w:eastAsia="Arial" w:hAnsi="Arial"/>
                <w:sz w:val="14"/>
                <w:szCs w:val="14"/>
                <w:color w:val="auto"/>
              </w:rPr>
              <w:t>December 28,</w:t>
            </w:r>
          </w:p>
        </w:tc>
        <w:tc>
          <w:tcPr>
            <w:tcW w:w="1280" w:type="dxa"/>
            <w:vAlign w:val="bottom"/>
            <w:gridSpan w:val="3"/>
          </w:tcPr>
          <w:p>
            <w:pPr>
              <w:spacing w:after="0" w:line="131" w:lineRule="exact"/>
              <w:rPr>
                <w:sz w:val="20"/>
                <w:szCs w:val="20"/>
                <w:color w:val="auto"/>
              </w:rPr>
            </w:pPr>
            <w:r>
              <w:rPr>
                <w:rFonts w:ascii="Arial" w:cs="Arial" w:eastAsia="Arial" w:hAnsi="Arial"/>
                <w:sz w:val="14"/>
                <w:szCs w:val="14"/>
                <w:color w:val="auto"/>
              </w:rPr>
              <w:t>December 29,</w:t>
            </w:r>
          </w:p>
        </w:tc>
        <w:tc>
          <w:tcPr>
            <w:tcW w:w="780" w:type="dxa"/>
            <w:vAlign w:val="bottom"/>
            <w:gridSpan w:val="2"/>
          </w:tcPr>
          <w:p>
            <w:pPr>
              <w:spacing w:after="0" w:line="131" w:lineRule="exact"/>
              <w:rPr>
                <w:sz w:val="20"/>
                <w:szCs w:val="20"/>
                <w:color w:val="auto"/>
              </w:rPr>
            </w:pPr>
            <w:r>
              <w:rPr>
                <w:rFonts w:ascii="Arial" w:cs="Arial" w:eastAsia="Arial" w:hAnsi="Arial"/>
                <w:sz w:val="14"/>
                <w:szCs w:val="14"/>
                <w:color w:val="auto"/>
                <w:w w:val="86"/>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9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2013</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2012</w:t>
            </w:r>
          </w:p>
        </w:tc>
        <w:tc>
          <w:tcPr>
            <w:tcW w:w="5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9" w:lineRule="exact"/>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(33,418)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(12,243)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provided from operating activities: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13,469</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9,403</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4,621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Gain on sale of facility</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(677)</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Accrued retiree benefits</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Excess tax benefit from stock options exercised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860"/>
              <w:spacing w:after="0"/>
              <w:rPr>
                <w:sz w:val="20"/>
                <w:szCs w:val="20"/>
                <w:color w:val="auto"/>
              </w:rPr>
            </w:pPr>
            <w:r>
              <w:rPr>
                <w:rFonts w:ascii="Arial" w:cs="Arial" w:eastAsia="Arial" w:hAnsi="Arial"/>
                <w:sz w:val="18"/>
                <w:szCs w:val="18"/>
                <w:color w:val="auto"/>
              </w:rPr>
              <w:t>Changes in current assets and liabilities, excluding effects from acquisitions: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(2,502)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4,979</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13,052</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19,897</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6,658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(5,458)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978</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Income taxes payable, including excess stock option exercise benefits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1280"/>
              <w:spacing w:after="0"/>
              <w:rPr>
                <w:sz w:val="20"/>
                <w:szCs w:val="20"/>
                <w:color w:val="auto"/>
              </w:rPr>
            </w:pPr>
            <w:r>
              <w:rPr>
                <w:rFonts w:ascii="Arial" w:cs="Arial" w:eastAsia="Arial" w:hAnsi="Arial"/>
                <w:sz w:val="18"/>
                <w:szCs w:val="18"/>
                <w:color w:val="auto"/>
              </w:rPr>
              <w:t>Deferred profit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3,833</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compensation, warranty and other liabilities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(6,472)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from operating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3,417</w:t>
            </w:r>
          </w:p>
        </w:tc>
        <w:tc>
          <w:tcPr>
            <w:tcW w:w="14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13,169</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 excluding effects from acquisitions: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Payment for purchase of Ismeca, net of cash received</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(53,463)</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short-term investments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6,221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84,780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Purchases of short-term investments</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(40,461)</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(75,128)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Cash received from facility sale</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1,080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paid for Duma Video, Inc.</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from (used for) investing activities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(51,326)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41,166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paid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(7,333)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Issuance of stock, net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1,570</w:t>
            </w: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 options exercised</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vMerge w:val="restart"/>
          </w:tcPr>
          <w:p>
            <w:pPr>
              <w:ind w:left="128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(3,152)</w:t>
            </w: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(5,763)</w:t>
            </w:r>
          </w:p>
        </w:tc>
        <w:tc>
          <w:tcPr>
            <w:tcW w:w="1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(3,864)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(51,140)</w:t>
            </w:r>
          </w:p>
        </w:tc>
        <w:tc>
          <w:tcPr>
            <w:tcW w:w="14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49,546</w:t>
            </w:r>
          </w:p>
        </w:tc>
        <w:tc>
          <w:tcPr>
            <w:tcW w:w="16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102,808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53,262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45,921</w:t>
            </w: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8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51,668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102,808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Cash paid (refunded) during the year for:</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420"/>
              <w:spacing w:after="0"/>
              <w:rPr>
                <w:sz w:val="20"/>
                <w:szCs w:val="20"/>
                <w:color w:val="auto"/>
              </w:rPr>
            </w:pPr>
            <w:r>
              <w:rPr>
                <w:rFonts w:ascii="Arial" w:cs="Arial" w:eastAsia="Arial" w:hAnsi="Arial"/>
                <w:sz w:val="18"/>
                <w:szCs w:val="18"/>
                <w:color w:val="auto"/>
              </w:rPr>
              <w:t>Inventory capitalized as capital assets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declared but not yet paid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0" w:lineRule="exact"/>
        <w:rPr>
          <w:rFonts w:ascii="Arial" w:cs="Arial" w:eastAsia="Arial" w:hAnsi="Arial"/>
          <w:sz w:val="18"/>
          <w:szCs w:val="18"/>
          <w:b w:val="1"/>
          <w:bCs w:val="1"/>
          <w:color w:val="auto"/>
        </w:rPr>
      </w:pPr>
    </w:p>
    <w:p>
      <w:pPr>
        <w:ind w:left="460"/>
        <w:spacing w:after="0" w:line="296"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 Cohu, Inc. (“Cohu”, “we”, “our” and “us”), through our wholly owned subsidiaries, is a provider of semiconductor test equipment,</w:t>
      </w:r>
      <w:r>
        <w:rPr>
          <w:rFonts w:ascii="Arial" w:cs="Arial" w:eastAsia="Arial" w:hAnsi="Arial"/>
          <w:sz w:val="16"/>
          <w:szCs w:val="16"/>
          <w:b w:val="1"/>
          <w:bCs w:val="1"/>
          <w:color w:val="auto"/>
        </w:rPr>
        <w:t xml:space="preserve"> </w:t>
      </w:r>
      <w:r>
        <w:rPr>
          <w:rFonts w:ascii="Arial" w:cs="Arial" w:eastAsia="Arial" w:hAnsi="Arial"/>
          <w:sz w:val="16"/>
          <w:szCs w:val="16"/>
          <w:color w:val="auto"/>
        </w:rPr>
        <w:t>microwave communication systems and video cameras. Our consolidated financial statements include the accounts of Cohu and our wholly owned subsidiaries. All significant intercompany balances and transactions have been eliminated in consolidation. The preparation of financial statements in conformity with accounting principles generally accepted in the United States of America (“GAAP”) requires management to make estimates and assumptions that affect the amounts reported in the financial statements and accompanying notes. Actual results could differ from these estimates.</w:t>
      </w:r>
    </w:p>
    <w:p>
      <w:pPr>
        <w:spacing w:after="0" w:line="32" w:lineRule="exact"/>
        <w:rPr>
          <w:rFonts w:ascii="Arial" w:cs="Arial" w:eastAsia="Arial" w:hAnsi="Arial"/>
          <w:sz w:val="18"/>
          <w:szCs w:val="18"/>
          <w:b w:val="1"/>
          <w:bCs w:val="1"/>
          <w:color w:val="auto"/>
        </w:rPr>
      </w:pPr>
    </w:p>
    <w:p>
      <w:pPr>
        <w:ind w:left="460" w:right="680"/>
        <w:spacing w:after="0" w:line="330" w:lineRule="auto"/>
        <w:rPr>
          <w:rFonts w:ascii="Arial" w:cs="Arial" w:eastAsia="Arial" w:hAnsi="Arial"/>
          <w:sz w:val="18"/>
          <w:szCs w:val="18"/>
          <w:b w:val="1"/>
          <w:bCs w:val="1"/>
          <w:color w:val="auto"/>
        </w:rPr>
      </w:pPr>
      <w:r>
        <w:rPr>
          <w:rFonts w:ascii="Arial" w:cs="Arial" w:eastAsia="Arial" w:hAnsi="Arial"/>
          <w:sz w:val="16"/>
          <w:szCs w:val="16"/>
          <w:color w:val="auto"/>
        </w:rPr>
        <w:t>Our fiscal years are based on a 52- or 53-week period ending on the last Saturday in December. Our fiscal years ended on December 28, 2013 and December 29, 2012 each consisted of 52 weeks and our fiscal year ended December 31, 2011 consisted of 53 weeks.</w:t>
      </w:r>
    </w:p>
    <w:p>
      <w:pPr>
        <w:spacing w:after="0" w:line="1" w:lineRule="exact"/>
        <w:rPr>
          <w:rFonts w:ascii="Arial" w:cs="Arial" w:eastAsia="Arial" w:hAnsi="Arial"/>
          <w:sz w:val="18"/>
          <w:szCs w:val="18"/>
          <w:b w:val="1"/>
          <w:bCs w:val="1"/>
          <w:color w:val="auto"/>
        </w:rPr>
      </w:pPr>
    </w:p>
    <w:p>
      <w:pPr>
        <w:jc w:val="both"/>
        <w:ind w:left="46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Risks and Uncertainties </w:t>
      </w:r>
      <w:r>
        <w:rPr>
          <w:rFonts w:ascii="Arial" w:cs="Arial" w:eastAsia="Arial" w:hAnsi="Arial"/>
          <w:sz w:val="18"/>
          <w:szCs w:val="18"/>
          <w:color w:val="auto"/>
        </w:rPr>
        <w:t>– We are subject to a number of risks and uncertainties that may significantly impact our future operating results. These risks and</w:t>
      </w:r>
      <w:r>
        <w:rPr>
          <w:rFonts w:ascii="Arial" w:cs="Arial" w:eastAsia="Arial" w:hAnsi="Arial"/>
          <w:sz w:val="18"/>
          <w:szCs w:val="18"/>
          <w:b w:val="1"/>
          <w:bCs w:val="1"/>
          <w:color w:val="auto"/>
        </w:rPr>
        <w:t xml:space="preserve"> </w:t>
      </w:r>
      <w:r>
        <w:rPr>
          <w:rFonts w:ascii="Arial" w:cs="Arial" w:eastAsia="Arial" w:hAnsi="Arial"/>
          <w:sz w:val="18"/>
          <w:szCs w:val="18"/>
          <w:color w:val="auto"/>
        </w:rPr>
        <w:t>uncertainties are discussed under Part I, Item 1A. “Risk Factors” included in this Annual Report on Form 10-K. Understanding these risks and uncertainties is integral to the review of our consolidated financial statements.</w:t>
      </w:r>
    </w:p>
    <w:p>
      <w:pPr>
        <w:spacing w:after="0" w:line="51" w:lineRule="exact"/>
        <w:rPr>
          <w:rFonts w:ascii="Arial" w:cs="Arial" w:eastAsia="Arial" w:hAnsi="Arial"/>
          <w:sz w:val="18"/>
          <w:szCs w:val="18"/>
          <w:b w:val="1"/>
          <w:bCs w:val="1"/>
          <w:color w:val="auto"/>
        </w:rPr>
      </w:pPr>
    </w:p>
    <w:p>
      <w:pPr>
        <w:ind w:left="46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Income (Loss) Per Share </w:t>
      </w:r>
      <w:r>
        <w:rPr>
          <w:rFonts w:ascii="Arial" w:cs="Arial" w:eastAsia="Arial" w:hAnsi="Arial"/>
          <w:sz w:val="16"/>
          <w:szCs w:val="16"/>
          <w:color w:val="auto"/>
        </w:rPr>
        <w:t>– Basic income (loss) per common share is computed by dividing net income (loss) by the weighted-average number of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outstanding during the reporting period. Diluted income per share includes the dilutive effect of common shares potentially issuable upon the exercise of stock options, vesting of outstanding restricted stock units and issuance of stock under our employee stock purchase plan using the treasury stock method. In loss periods, potentially dilutive securities are excluded from the per share computations due to their anti-dilutive effect. For purposes of computing diluted income per share, stock options with exercise prices that exceed the average fair market value of our common stock for the period are excluded. For the year ended December 31, 2011 approximately 1,956,000 shares of our common stock were excluded from the computation.</w:t>
      </w:r>
    </w:p>
    <w:p>
      <w:pPr>
        <w:spacing w:after="0" w:line="3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the denominators used in computing basic and diluted income (loss) per share:</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624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2013</w:t>
            </w:r>
          </w:p>
        </w:tc>
        <w:tc>
          <w:tcPr>
            <w:tcW w:w="960" w:type="dxa"/>
            <w:vAlign w:val="bottom"/>
            <w:gridSpan w:val="2"/>
          </w:tcPr>
          <w:p>
            <w:pPr>
              <w:jc w:val="right"/>
              <w:ind w:right="32"/>
              <w:spacing w:after="0"/>
              <w:rPr>
                <w:sz w:val="20"/>
                <w:szCs w:val="20"/>
                <w:color w:val="auto"/>
              </w:rPr>
            </w:pPr>
            <w:r>
              <w:rPr>
                <w:rFonts w:ascii="Arial" w:cs="Arial" w:eastAsia="Arial" w:hAnsi="Arial"/>
                <w:sz w:val="14"/>
                <w:szCs w:val="14"/>
                <w:color w:val="auto"/>
              </w:rPr>
              <w:t>2012</w:t>
            </w:r>
          </w:p>
        </w:tc>
        <w:tc>
          <w:tcPr>
            <w:tcW w:w="42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Arial" w:cs="Arial" w:eastAsia="Arial" w:hAnsi="Arial"/>
                <w:sz w:val="14"/>
                <w:szCs w:val="14"/>
                <w:color w:val="auto"/>
              </w:rPr>
              <w:t>2011</w:t>
            </w:r>
          </w:p>
        </w:tc>
        <w:tc>
          <w:tcPr>
            <w:tcW w:w="60" w:type="dxa"/>
            <w:vAlign w:val="bottom"/>
          </w:tcPr>
          <w:p>
            <w:pPr>
              <w:spacing w:after="0"/>
              <w:rPr>
                <w:sz w:val="15"/>
                <w:szCs w:val="15"/>
                <w:color w:val="auto"/>
              </w:rPr>
            </w:pPr>
          </w:p>
        </w:tc>
      </w:tr>
      <w:tr>
        <w:trPr>
          <w:trHeight w:val="203"/>
        </w:trPr>
        <w:tc>
          <w:tcPr>
            <w:tcW w:w="7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24,859</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24,459</w:t>
            </w:r>
          </w:p>
        </w:tc>
        <w:tc>
          <w:tcPr>
            <w:tcW w:w="4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24,134</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8"/>
                <w:szCs w:val="18"/>
                <w:color w:val="auto"/>
              </w:rPr>
              <w:t>Effect of dilutive stock options and restricted stock units</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r>
      <w:tr>
        <w:trPr>
          <w:trHeight w:val="27"/>
        </w:trPr>
        <w:tc>
          <w:tcPr>
            <w:tcW w:w="8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2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24,859</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24,459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24,501</w:t>
            </w:r>
          </w:p>
        </w:tc>
      </w:tr>
      <w:tr>
        <w:trPr>
          <w:trHeight w:val="20"/>
        </w:trPr>
        <w:tc>
          <w:tcPr>
            <w:tcW w:w="8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b w:val="1"/>
          <w:bCs w:val="1"/>
          <w:color w:val="auto"/>
        </w:rPr>
        <w:t xml:space="preserve">Cash, Cash Equivalents and Short-term Investments </w:t>
      </w:r>
      <w:r>
        <w:rPr>
          <w:rFonts w:ascii="Arial" w:cs="Arial" w:eastAsia="Arial" w:hAnsi="Arial"/>
          <w:sz w:val="16"/>
          <w:szCs w:val="16"/>
          <w:color w:val="auto"/>
        </w:rPr>
        <w:t>– Highly liquid investments with insignificant interest rate risk and original maturities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months or less are classified as cash and cash equivalents. Investments with maturities greater than three months are classified as short-term investments. All of our short-term investments are classified as available-for-sale and are reported at fair value, with any unrealized gains and losses, net of tax, recorded in the statement of comprehensive income (loss). We manage our cash equivalents and short-term investments as a single portfolio of highly marketable securities. We have the ability and intent, if necessary, to liquidate any of our investments in order to meet the liquidity needs of our current operations during the next 12 months. Accordingly, investments with contractual maturities greater than one year from December 28, 2013 have been classified as current assets in the accompanying consolidated balance sheets.</w:t>
      </w:r>
    </w:p>
    <w:p>
      <w:pPr>
        <w:spacing w:after="0" w:line="32" w:lineRule="exact"/>
        <w:rPr>
          <w:sz w:val="20"/>
          <w:szCs w:val="20"/>
          <w:color w:val="auto"/>
        </w:rPr>
      </w:pPr>
    </w:p>
    <w:p>
      <w:pPr>
        <w:ind w:left="460" w:right="200"/>
        <w:spacing w:after="0" w:line="357" w:lineRule="auto"/>
        <w:rPr>
          <w:sz w:val="20"/>
          <w:szCs w:val="20"/>
          <w:color w:val="auto"/>
        </w:rPr>
      </w:pPr>
      <w:r>
        <w:rPr>
          <w:rFonts w:ascii="Arial" w:cs="Arial" w:eastAsia="Arial" w:hAnsi="Arial"/>
          <w:sz w:val="15"/>
          <w:szCs w:val="15"/>
          <w:b w:val="1"/>
          <w:bCs w:val="1"/>
          <w:color w:val="auto"/>
        </w:rPr>
        <w:t xml:space="preserve">Fair Value of Financial Instruments </w:t>
      </w:r>
      <w:r>
        <w:rPr>
          <w:rFonts w:ascii="Arial" w:cs="Arial" w:eastAsia="Arial" w:hAnsi="Arial"/>
          <w:sz w:val="15"/>
          <w:szCs w:val="15"/>
          <w:color w:val="auto"/>
        </w:rPr>
        <w:t>– The carrying amounts of our financial instruments, including cash and cash equivalents, short-term investments,</w:t>
      </w:r>
      <w:r>
        <w:rPr>
          <w:rFonts w:ascii="Arial" w:cs="Arial" w:eastAsia="Arial" w:hAnsi="Arial"/>
          <w:sz w:val="15"/>
          <w:szCs w:val="15"/>
          <w:b w:val="1"/>
          <w:bCs w:val="1"/>
          <w:color w:val="auto"/>
        </w:rPr>
        <w:t xml:space="preserve"> </w:t>
      </w:r>
      <w:r>
        <w:rPr>
          <w:rFonts w:ascii="Arial" w:cs="Arial" w:eastAsia="Arial" w:hAnsi="Arial"/>
          <w:sz w:val="15"/>
          <w:szCs w:val="15"/>
          <w:color w:val="auto"/>
        </w:rPr>
        <w:t>accounts receivable, accounts payable and accrued expenses, approximate fair value due to the short maturities of these financial instruments.</w:t>
      </w:r>
    </w:p>
    <w:p>
      <w:pPr>
        <w:ind w:left="460" w:right="40"/>
        <w:spacing w:after="0" w:line="262"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 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Trade accounts receivable are presented net of allowance for doubtful accounts of $0.6 million at December 28, 2013 and $0.3 million at December 29,</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2012. Our customers include semiconductor manufacturers and semiconductor test subcontractors and other customers located throughout many areas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world. While we believe that our allowance for doubtful accounts is adequate and represents our best estimate of potential loss exposure 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December 28, 2013, we will continue to monitor customer liquidity and other economic conditions, which may result in changes to our estimates regarding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collectability.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spacing w:after="0" w:line="296"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 Inventories are stated at the lower of cost, determined on a current average or first-in, first-out basis, or market. Cost includes labor,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and overhead costs. Determining market value of inventories involves numerous estimates and judgments including projecting average selling prices and sales volumes for future periods and costs to complete and dispose of inventory. As a result of these analyses, we record a charge to cost of sales in advance of the period when the inventory is sold when market values are below our costs. Charges to cost of sales for excess and obsolete inventories aggregated $8.1 million, $8.9 million, and $5.8 million in 2013, 2012 and 2011, respectively.</w:t>
      </w:r>
    </w:p>
    <w:p>
      <w:pPr>
        <w:spacing w:after="0" w:line="27" w:lineRule="exact"/>
        <w:rPr>
          <w:sz w:val="20"/>
          <w:szCs w:val="20"/>
          <w:color w:val="auto"/>
        </w:rPr>
      </w:pPr>
    </w:p>
    <w:p>
      <w:pPr>
        <w:jc w:val="both"/>
        <w:ind w:left="460" w:right="240"/>
        <w:spacing w:after="0" w:line="262" w:lineRule="auto"/>
        <w:rPr>
          <w:sz w:val="20"/>
          <w:szCs w:val="20"/>
          <w:color w:val="auto"/>
        </w:rPr>
      </w:pPr>
      <w:r>
        <w:rPr>
          <w:rFonts w:ascii="Arial" w:cs="Arial" w:eastAsia="Arial" w:hAnsi="Arial"/>
          <w:sz w:val="18"/>
          <w:szCs w:val="18"/>
          <w:b w:val="1"/>
          <w:bCs w:val="1"/>
          <w:color w:val="auto"/>
        </w:rPr>
        <w:t xml:space="preserve">Property, Plant and Equipment </w:t>
      </w:r>
      <w:r>
        <w:rPr>
          <w:rFonts w:ascii="Arial" w:cs="Arial" w:eastAsia="Arial" w:hAnsi="Arial"/>
          <w:sz w:val="18"/>
          <w:szCs w:val="18"/>
          <w:color w:val="auto"/>
        </w:rPr>
        <w:t>– Depreciation and amortization of property, plant and equipment is calculated principally on the straight-line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estimated useful lives of thirty to forty years for buildings, five to fifteen years for building improvements and three to ten years for machinery, equipment and software.</w:t>
      </w:r>
    </w:p>
    <w:p>
      <w:pPr>
        <w:spacing w:after="0" w:line="51"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b w:val="1"/>
          <w:bCs w:val="1"/>
          <w:color w:val="auto"/>
        </w:rPr>
        <w:t xml:space="preserve">Goodwill, Purchased Intangible Assets and Other Long-lived Assets </w:t>
      </w:r>
      <w:r>
        <w:rPr>
          <w:rFonts w:ascii="Arial" w:cs="Arial" w:eastAsia="Arial" w:hAnsi="Arial"/>
          <w:sz w:val="16"/>
          <w:szCs w:val="16"/>
          <w:color w:val="auto"/>
        </w:rPr>
        <w:t>– We evaluate goodwill for impairment annually and when an event occurs or</w:t>
      </w:r>
      <w:r>
        <w:rPr>
          <w:rFonts w:ascii="Arial" w:cs="Arial" w:eastAsia="Arial" w:hAnsi="Arial"/>
          <w:sz w:val="16"/>
          <w:szCs w:val="16"/>
          <w:b w:val="1"/>
          <w:bCs w:val="1"/>
          <w:color w:val="auto"/>
        </w:rPr>
        <w:t xml:space="preserve"> </w:t>
      </w:r>
      <w:r>
        <w:rPr>
          <w:rFonts w:ascii="Arial" w:cs="Arial" w:eastAsia="Arial" w:hAnsi="Arial"/>
          <w:sz w:val="16"/>
          <w:szCs w:val="16"/>
          <w:color w:val="auto"/>
        </w:rPr>
        <w:t>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37" w:lineRule="exact"/>
        <w:rPr>
          <w:sz w:val="20"/>
          <w:szCs w:val="20"/>
          <w:color w:val="auto"/>
        </w:rPr>
      </w:pPr>
    </w:p>
    <w:p>
      <w:pPr>
        <w:ind w:left="460"/>
        <w:spacing w:after="0" w:line="286" w:lineRule="auto"/>
        <w:rPr>
          <w:sz w:val="20"/>
          <w:szCs w:val="20"/>
          <w:color w:val="auto"/>
        </w:rPr>
      </w:pPr>
      <w:r>
        <w:rPr>
          <w:rFonts w:ascii="Arial" w:cs="Arial" w:eastAsia="Arial" w:hAnsi="Arial"/>
          <w:sz w:val="16"/>
          <w:szCs w:val="16"/>
          <w:color w:val="auto"/>
        </w:rPr>
        <w:t>We conduct our annual impairment test as of October 1</w:t>
      </w:r>
      <w:r>
        <w:rPr>
          <w:rFonts w:ascii="Arial" w:cs="Arial" w:eastAsia="Arial" w:hAnsi="Arial"/>
          <w:sz w:val="10"/>
          <w:szCs w:val="10"/>
          <w:color w:val="auto"/>
        </w:rPr>
        <w:t>st</w:t>
      </w:r>
      <w:r>
        <w:rPr>
          <w:rFonts w:ascii="Arial" w:cs="Arial" w:eastAsia="Arial" w:hAnsi="Arial"/>
          <w:sz w:val="16"/>
          <w:szCs w:val="16"/>
          <w:color w:val="auto"/>
        </w:rPr>
        <w:t xml:space="preserve"> of each year, and have determined there is no impairment as of October 1, 2013 as we determined that the estimated fair values of our semiconductor equipment and microwave communications reporting units exceeded their carrying values by approximately 31% and 11%, respectively, on that date. Other events and changes in circumstances may also require goodwill to be tested for impairment between annual measurement dates. While a decline in stock price and market capitalization is not specifically cited as a goodwill impairment indicator, a company’s stock price and market capitalization should be considered in determining whether it is more likely than not that the fair value of a reporting unit is less than its carrying value. Additionally, a significant decline in a company’s stock price may suggest that an adverse change in the business climate may have caused the fair value of one or more reporting units to fall below their carrying value. The financial and credit market volatility directly impacts our fair value measurement through our stock price that we use to determine our market capitalization. During times of volatility, significant judgment must be applied to determine whether credit or stock price changes are a short-term swing or a longer-term trend. As of December 28, 2013 we do not believe there have been any events or circumstances that would require us to perform an interim goodwill impairment review, however, a sustained decline in Cohu’s market capitalization below its book value could lead us to determine, in a future period, that an interim goodwill impairment review is required and may result in an impairment charge, which would have a negative impact on our results of operations.</w:t>
      </w:r>
    </w:p>
    <w:p>
      <w:pPr>
        <w:spacing w:after="0" w:line="43"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33" w:lineRule="exact"/>
        <w:rPr>
          <w:sz w:val="20"/>
          <w:szCs w:val="20"/>
          <w:color w:val="auto"/>
        </w:rPr>
      </w:pPr>
    </w:p>
    <w:p>
      <w:pPr>
        <w:ind w:left="460" w:right="380"/>
        <w:spacing w:after="0" w:line="262" w:lineRule="auto"/>
        <w:rPr>
          <w:sz w:val="20"/>
          <w:szCs w:val="20"/>
          <w:color w:val="auto"/>
        </w:rPr>
      </w:pPr>
      <w:r>
        <w:rPr>
          <w:rFonts w:ascii="Arial" w:cs="Arial" w:eastAsia="Arial" w:hAnsi="Arial"/>
          <w:sz w:val="18"/>
          <w:szCs w:val="18"/>
          <w:b w:val="1"/>
          <w:bCs w:val="1"/>
          <w:color w:val="auto"/>
        </w:rPr>
        <w:t xml:space="preserve">Product Warranty </w:t>
      </w:r>
      <w:r>
        <w:rPr>
          <w:rFonts w:ascii="Arial" w:cs="Arial" w:eastAsia="Arial" w:hAnsi="Arial"/>
          <w:sz w:val="18"/>
          <w:szCs w:val="18"/>
          <w:color w:val="auto"/>
        </w:rPr>
        <w:t>– Product warranty costs are accrued in the period sales are recognized. Our products are generally sold with standard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periods, which differ by product, ranging from 12- to 36-months. Parts and labor are typically covered under the terms of the warranty agreement. Our warranty expense accruals are based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jc w:val="both"/>
        <w:ind w:left="460" w:right="160"/>
        <w:spacing w:after="0" w:line="306" w:lineRule="auto"/>
        <w:rPr>
          <w:sz w:val="20"/>
          <w:szCs w:val="20"/>
          <w:color w:val="auto"/>
        </w:rPr>
      </w:pPr>
      <w:r>
        <w:rPr>
          <w:rFonts w:ascii="Arial" w:cs="Arial" w:eastAsia="Arial" w:hAnsi="Arial"/>
          <w:sz w:val="16"/>
          <w:szCs w:val="16"/>
          <w:color w:val="auto"/>
        </w:rPr>
        <w:t>on historical and estimated costs by product and configuration. From time-to-time we offer customers extended warranties beyond the standard warranty period. In those situations the revenue relating to the extended warranty is deferred at its estimated fair value and recognized on a straight-line basis over the contract period. Costs associated with our extended warranty contracts are expensed as incurred.</w:t>
      </w:r>
    </w:p>
    <w:p>
      <w:pPr>
        <w:spacing w:after="0" w:line="20" w:lineRule="exact"/>
        <w:rPr>
          <w:sz w:val="20"/>
          <w:szCs w:val="20"/>
          <w:color w:val="auto"/>
        </w:rPr>
      </w:pPr>
    </w:p>
    <w:p>
      <w:pPr>
        <w:ind w:left="460" w:right="140"/>
        <w:spacing w:after="0" w:line="29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 We assess our income tax positions and record tax benefits for all years subject to examination based upon management’s evaluation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facts, circumstances and information available at the reporting dates. For those tax positions where it is more-likely-than-not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more-likely-than-not that a tax benefit will be sustained, no tax benefit has been recognized in the financial statements. Where applicable, associated interest and penalties have also been recognized and recorded, net of federal and state tax benefits, in income tax expense.</w:t>
      </w:r>
    </w:p>
    <w:p>
      <w:pPr>
        <w:spacing w:after="0" w:line="30" w:lineRule="exact"/>
        <w:rPr>
          <w:sz w:val="20"/>
          <w:szCs w:val="20"/>
          <w:color w:val="auto"/>
        </w:rPr>
      </w:pPr>
    </w:p>
    <w:p>
      <w:pPr>
        <w:ind w:left="460" w:right="40"/>
        <w:spacing w:after="0" w:line="334" w:lineRule="auto"/>
        <w:rPr>
          <w:sz w:val="20"/>
          <w:szCs w:val="20"/>
          <w:color w:val="auto"/>
        </w:rPr>
      </w:pPr>
      <w:r>
        <w:rPr>
          <w:rFonts w:ascii="Arial" w:cs="Arial" w:eastAsia="Arial" w:hAnsi="Arial"/>
          <w:sz w:val="16"/>
          <w:szCs w:val="16"/>
          <w:b w:val="1"/>
          <w:bCs w:val="1"/>
          <w:color w:val="auto"/>
        </w:rPr>
        <w:t xml:space="preserve">Contingencies and Litigation </w:t>
      </w:r>
      <w:r>
        <w:rPr>
          <w:rFonts w:ascii="Arial" w:cs="Arial" w:eastAsia="Arial" w:hAnsi="Arial"/>
          <w:sz w:val="16"/>
          <w:szCs w:val="16"/>
          <w:color w:val="auto"/>
        </w:rPr>
        <w:t>– We assess the probability of adverse judgments in connection with current and threatened litigation. We would accrue the</w:t>
      </w:r>
      <w:r>
        <w:rPr>
          <w:rFonts w:ascii="Arial" w:cs="Arial" w:eastAsia="Arial" w:hAnsi="Arial"/>
          <w:sz w:val="16"/>
          <w:szCs w:val="16"/>
          <w:b w:val="1"/>
          <w:bCs w:val="1"/>
          <w:color w:val="auto"/>
        </w:rPr>
        <w:t xml:space="preserve"> </w:t>
      </w:r>
      <w:r>
        <w:rPr>
          <w:rFonts w:ascii="Arial" w:cs="Arial" w:eastAsia="Arial" w:hAnsi="Arial"/>
          <w:sz w:val="16"/>
          <w:szCs w:val="16"/>
          <w:color w:val="auto"/>
        </w:rPr>
        <w:t>cost of an adverse judgment if, in our estimation, the adverse outcome is probable and we can reasonably estimate the ultimate cost.</w:t>
      </w:r>
    </w:p>
    <w:p>
      <w:pPr>
        <w:spacing w:after="0" w:line="1" w:lineRule="exact"/>
        <w:rPr>
          <w:sz w:val="20"/>
          <w:szCs w:val="20"/>
          <w:color w:val="auto"/>
        </w:rPr>
      </w:pPr>
    </w:p>
    <w:p>
      <w:pPr>
        <w:ind w:left="460" w:right="20"/>
        <w:spacing w:after="0" w:line="296"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Our net sales are derived from the sale of products and services and are adjusted for estimated returns and allowances, which</w:t>
      </w:r>
      <w:r>
        <w:rPr>
          <w:rFonts w:ascii="Arial" w:cs="Arial" w:eastAsia="Arial" w:hAnsi="Arial"/>
          <w:sz w:val="16"/>
          <w:szCs w:val="16"/>
          <w:b w:val="1"/>
          <w:bCs w:val="1"/>
          <w:color w:val="auto"/>
        </w:rPr>
        <w:t xml:space="preserve"> </w:t>
      </w:r>
      <w:r>
        <w:rPr>
          <w:rFonts w:ascii="Arial" w:cs="Arial" w:eastAsia="Arial" w:hAnsi="Arial"/>
          <w:sz w:val="16"/>
          <w:szCs w:val="16"/>
          <w:color w:val="auto"/>
        </w:rPr>
        <w:t>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33"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20%) of the equipment purchase price be paid only upon customer acceptance. In those situations, the majority portion (e.g. 80%) of revenue where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Spares and kit revenue is generally recognized upon shipment.</w:t>
      </w:r>
    </w:p>
    <w:p>
      <w:pPr>
        <w:spacing w:after="0" w:line="39"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63" w:lineRule="exact"/>
        <w:rPr>
          <w:sz w:val="20"/>
          <w:szCs w:val="20"/>
          <w:color w:val="auto"/>
        </w:rPr>
      </w:pPr>
    </w:p>
    <w:p>
      <w:pPr>
        <w:ind w:left="460" w:right="300"/>
        <w:spacing w:after="0" w:line="255" w:lineRule="auto"/>
        <w:rPr>
          <w:sz w:val="20"/>
          <w:szCs w:val="20"/>
          <w:color w:val="auto"/>
        </w:rPr>
      </w:pPr>
      <w:r>
        <w:rPr>
          <w:rFonts w:ascii="Arial" w:cs="Arial" w:eastAsia="Arial" w:hAnsi="Arial"/>
          <w:sz w:val="18"/>
          <w:szCs w:val="18"/>
          <w:color w:val="auto"/>
        </w:rPr>
        <w:t>On shipments where sales are not recognized, gross profit is generally recorded as deferred profit in our consolidated balance sheet representing the difference between the receivable recorded and the inventory shipped. In certain instances where customer payments are received prior to product shipment, the customer’s payments are recorded as customer advances in our consolidated balance sheet. At December 28, 2013, we had total deferred revenue of approximately $7.4 million and deferred profit of $6.1 million. At December 29, 2012, we had total deferred revenue of approximately $3.6 million and deferred profit of $2.1 million.</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Advertising Costs </w:t>
      </w:r>
      <w:r>
        <w:rPr>
          <w:rFonts w:ascii="Arial" w:cs="Arial" w:eastAsia="Arial" w:hAnsi="Arial"/>
          <w:sz w:val="18"/>
          <w:szCs w:val="18"/>
          <w:color w:val="auto"/>
        </w:rPr>
        <w:t>– Advertising costs are expensed as incurred and were not material for all periods presented.</w:t>
      </w:r>
    </w:p>
    <w:p>
      <w:pPr>
        <w:spacing w:after="0" w:line="90" w:lineRule="exact"/>
        <w:rPr>
          <w:sz w:val="20"/>
          <w:szCs w:val="20"/>
          <w:color w:val="auto"/>
        </w:rPr>
      </w:pPr>
    </w:p>
    <w:p>
      <w:pPr>
        <w:ind w:left="460" w:right="640"/>
        <w:spacing w:after="0" w:line="275" w:lineRule="auto"/>
        <w:rPr>
          <w:sz w:val="20"/>
          <w:szCs w:val="20"/>
          <w:color w:val="auto"/>
        </w:rPr>
      </w:pPr>
      <w:r>
        <w:rPr>
          <w:rFonts w:ascii="Arial" w:cs="Arial" w:eastAsia="Arial" w:hAnsi="Arial"/>
          <w:sz w:val="18"/>
          <w:szCs w:val="18"/>
          <w:b w:val="1"/>
          <w:bCs w:val="1"/>
          <w:color w:val="auto"/>
        </w:rPr>
        <w:t xml:space="preserve">Share-based Compensation </w:t>
      </w:r>
      <w:r>
        <w:rPr>
          <w:rFonts w:ascii="Arial" w:cs="Arial" w:eastAsia="Arial" w:hAnsi="Arial"/>
          <w:sz w:val="18"/>
          <w:szCs w:val="18"/>
          <w:color w:val="auto"/>
        </w:rPr>
        <w:t>– We measure and recognize all share-based compensation under the fair value method. Our estimate of share-based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expense requires a number of complex and subjective</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assumptions including our stock price volatility, employee exercise patterns (expected life of the options), future forfeitures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56" w:lineRule="exact"/>
        <w:rPr>
          <w:sz w:val="20"/>
          <w:szCs w:val="20"/>
          <w:color w:val="auto"/>
        </w:rPr>
      </w:pPr>
    </w:p>
    <w:p>
      <w:pPr>
        <w:ind w:left="460"/>
        <w:spacing w:after="0" w:line="290"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 Assets and liabilities of those subsidiaries that use the U.S. dollar as their functional currency are translated using</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rates in effect at the end of the period, except for nonmonetary assets, such as inventories and property, plant and equipment, which are translated using historical exchange rates. Revenues and costs are translated using average exchange rates for the period, except for costs related to those balance sheet items that are translated using historical exchange rates. Gains and losses on foreign currency transactions are recognized as incurred. 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 Foreign currency gains and losses were not significant in any period and are included in the consolidated statements of operations.</w:t>
      </w:r>
    </w:p>
    <w:p>
      <w:pPr>
        <w:spacing w:after="0" w:line="31" w:lineRule="exact"/>
        <w:rPr>
          <w:sz w:val="20"/>
          <w:szCs w:val="20"/>
          <w:color w:val="auto"/>
        </w:rPr>
      </w:pPr>
    </w:p>
    <w:p>
      <w:pPr>
        <w:ind w:left="460" w:right="120"/>
        <w:spacing w:after="0" w:line="301" w:lineRule="auto"/>
        <w:rPr>
          <w:sz w:val="20"/>
          <w:szCs w:val="20"/>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 Our accumulated other comprehensive income totaled approximately $6.7 million and $1.8 million at December 28, 2013 and</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29, 2012, respectively, and was attributed to, net of income taxes where applicable, foreign currency adjustments resulting from the translation of certain accounts into U.S. dollars, unrealized losses and gains on investments and adjustments to accumulated postretirement benefit obligations. Additional information related to accumulated other comprehensive income, on an after-tax basis is included in Note 11.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b w:val="1"/>
          <w:bCs w:val="1"/>
          <w:i w:val="1"/>
          <w:iCs w:val="1"/>
          <w:color w:val="auto"/>
        </w:rPr>
        <w:t xml:space="preserve">Recently Adopted Accounting Pronouncements – </w:t>
      </w:r>
      <w:r>
        <w:rPr>
          <w:rFonts w:ascii="Arial" w:cs="Arial" w:eastAsia="Arial" w:hAnsi="Arial"/>
          <w:sz w:val="16"/>
          <w:szCs w:val="16"/>
          <w:color w:val="auto"/>
        </w:rPr>
        <w:t>In July 2012, the Financial Accounting Standards Board (“FASB”) issued guidance to simplify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for a drop in value of intangible assets such as trademarks, patents, and distribution rights. The amended standard reduces the cost of accounting for indefinite-lived intangible assets, especially in cases where the likelihood of impairment is low. The changes permit businesses and other organizations to first use subjective criteria to determine if an intangible asset has lost value. The adoption of this new guidance in the first quarter of fiscal 2013 did not have a material impact on our consolidated financial position, results of operations or cash flows.</w:t>
      </w:r>
    </w:p>
    <w:p>
      <w:pPr>
        <w:spacing w:after="0" w:line="35" w:lineRule="exact"/>
        <w:rPr>
          <w:sz w:val="20"/>
          <w:szCs w:val="20"/>
          <w:color w:val="auto"/>
        </w:rPr>
      </w:pPr>
    </w:p>
    <w:p>
      <w:pPr>
        <w:ind w:left="460" w:right="220"/>
        <w:spacing w:after="0" w:line="256" w:lineRule="auto"/>
        <w:rPr>
          <w:sz w:val="20"/>
          <w:szCs w:val="20"/>
          <w:color w:val="auto"/>
        </w:rPr>
      </w:pPr>
      <w:r>
        <w:rPr>
          <w:rFonts w:ascii="Arial" w:cs="Arial" w:eastAsia="Arial" w:hAnsi="Arial"/>
          <w:sz w:val="18"/>
          <w:szCs w:val="18"/>
          <w:color w:val="auto"/>
        </w:rPr>
        <w:t>In February 2013, the FASB issued authoritative guidance that will require a public entity to present in its annual and interim financial statements information about reclassification adjustments from accumulated other comprehensive income in a single note or on the face of the financial statements. The adoption of this new guidance in the first quarter of fiscal 2013 did not have a material impact on our consolidated financial position, results of operations or cash flows.</w:t>
      </w:r>
    </w:p>
    <w:p>
      <w:pPr>
        <w:spacing w:after="0" w:line="62" w:lineRule="exact"/>
        <w:rPr>
          <w:sz w:val="20"/>
          <w:szCs w:val="20"/>
          <w:color w:val="auto"/>
        </w:rPr>
      </w:pPr>
    </w:p>
    <w:p>
      <w:pPr>
        <w:ind w:left="460" w:right="20"/>
        <w:spacing w:after="0" w:line="286"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 </w:t>
      </w:r>
      <w:r>
        <w:rPr>
          <w:rFonts w:ascii="Arial" w:cs="Arial" w:eastAsia="Arial" w:hAnsi="Arial"/>
          <w:sz w:val="16"/>
          <w:szCs w:val="16"/>
          <w:color w:val="auto"/>
        </w:rPr>
        <w:t>In July 2013, the FASB issued guidance on the presentation of an unrecognized tax benefit when a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loss carryforward, a similar tax loss, or a tax credit carryforward exists. This amendment to previous income tax guidance clarifies that an unrecognized tax benefit, or a portion of an unrecognized tax benefit, should be presented in the financial statements as a reduction to a deferred tax asset for a net operating loss carryforward, a similar tax loss, or a tax credit carryforward if such settlement is required or expected in the event the uncertain tax benefit is disallowed. In situations where a net operating loss carryforward, a similar tax loss, or a tax credit carryforward is not available at the reporting date under the tax law of the applicable jurisdiction or the tax law of the jurisdiction does not require, and the entity does not intend to use, the deferred tax asset for such purpose, the unrecognized tax benefit should be presented in the financial statements as a liability and should not be netted with the deferred tax asset. These amendments are effective for fiscal years, and interim periods within those years, beginning after December 15, 2013. Early adoption is permitted. The amendments should be applied prospectively to all unrecognized tax benefits that exist at the effective date. Retrospective application is permitted. We do not expect the adoption of this new guidance will have a material impact on our consolidated financial position, results of operations or cash flows.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jc w:val="both"/>
        <w:ind w:left="460" w:right="80"/>
        <w:spacing w:after="0" w:line="254" w:lineRule="auto"/>
        <w:rPr>
          <w:sz w:val="20"/>
          <w:szCs w:val="20"/>
          <w:color w:val="auto"/>
        </w:rPr>
      </w:pPr>
      <w:r>
        <w:rPr>
          <w:rFonts w:ascii="Arial" w:cs="Arial" w:eastAsia="Arial" w:hAnsi="Arial"/>
          <w:sz w:val="18"/>
          <w:szCs w:val="18"/>
          <w:color w:val="auto"/>
        </w:rPr>
        <w:t>In March 2013, the FASB issued guidance on a parent company’s accounting for the cumulative translation adjustment upon derecognition of a subsidiary or group of assets within a foreign entity. This new guidance requires that the parent release any related cumulative translation adjustment into net income only if the sale or transfer results in the complete or substantially complete liquidation of the foreign entity in which the subsidiary or group of assets had resided. The amendments will be effective for fiscal years and interim periods starting after December 15, 2013 with early adoption permitted. We do not believe our adoption of the new guidance in the first quarter of fiscal 2014 will have an impact on our consolidated financial position, results of operations or cash flows.</w:t>
      </w:r>
    </w:p>
    <w:p>
      <w:pPr>
        <w:spacing w:after="0" w:line="26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Strategic Technology Transactions, Goodwill and Purchased Intangible Assets</w:t>
      </w:r>
    </w:p>
    <w:p>
      <w:pPr>
        <w:spacing w:after="0" w:line="96"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December 31, 2012, we acquired all of the outstanding share capital of Ismeca Semiconductor Holding SA (“Ismeca”). Ismeca, headquartered in La Chaux-de-Fonds, Switzerland, and with major operations in Malacca, Malaysia and Suzhou, China, designs, manufactures and sells turret-based test handling and back-end finishing equipment for integrated circuits, light emitting diodes (LEDs) and discrete components. The acquisition of Ismeca was a strategic transaction to expand our semiconductor total available market, extend our market leadership, expand our customer base, and broaden our product and technology offerings.</w:t>
      </w:r>
    </w:p>
    <w:p>
      <w:pPr>
        <w:spacing w:after="0" w:line="61"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The acquisition has been accounted for in conformity with FASB Accounting Standards Codification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purchase price of this acquisition was approximately $90.8 million, and was funded primarily by cash reserves ($57.1 million) and certain liabilities assumed ($33.7 million). Total consideration has been allocated to the assets acquired and liabilities assumed based on their estimated respective fair values as of the completion of the acquisition. Amounts allocated to intangible assets are being amortized on a straight-line basis over their useful lives as noted below. The acquisition was nontaxable and certain of the assets acquired, including goodwill and intangibles, will generally not be deductible for tax purposes. Goodwill associated with the acquisition was primarily attributable to the opportunities from the addition of Ismeca’s products and it has been assigned to our semiconductor equipment segment.</w:t>
      </w:r>
    </w:p>
    <w:p>
      <w:pPr>
        <w:spacing w:after="0" w:line="37" w:lineRule="exact"/>
        <w:rPr>
          <w:rFonts w:ascii="Arial" w:cs="Arial" w:eastAsia="Arial" w:hAnsi="Arial"/>
          <w:sz w:val="18"/>
          <w:szCs w:val="18"/>
          <w:b w:val="1"/>
          <w:bCs w:val="1"/>
          <w:color w:val="auto"/>
        </w:rPr>
      </w:pPr>
    </w:p>
    <w:p>
      <w:pPr>
        <w:ind w:left="460" w:right="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The total purchase price has been allocated to Ismeca’s net tangible and intangible assets based on their estimated fair values as of December 31, 2012, the effective date of the acquisition. The allocation of purchase price to the acquired assets and assumed liabilities was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$ 38,058</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Fixed assets</w:t>
            </w: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assets</w:t>
            </w:r>
          </w:p>
        </w:tc>
        <w:tc>
          <w:tcPr>
            <w:tcW w:w="1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33,138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10,930</w:t>
            </w:r>
          </w:p>
        </w:tc>
        <w:tc>
          <w:tcPr>
            <w:tcW w:w="1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5360" w:type="dxa"/>
            <w:vAlign w:val="bottom"/>
            <w:gridSpan w:val="2"/>
          </w:tcPr>
          <w:p>
            <w:pPr>
              <w:ind w:left="460"/>
              <w:spacing w:after="0"/>
              <w:rPr>
                <w:sz w:val="20"/>
                <w:szCs w:val="20"/>
                <w:color w:val="auto"/>
              </w:rPr>
            </w:pPr>
            <w:r>
              <w:rPr>
                <w:rFonts w:ascii="Arial" w:cs="Arial" w:eastAsia="Arial" w:hAnsi="Arial"/>
                <w:sz w:val="18"/>
                <w:szCs w:val="18"/>
                <w:color w:val="auto"/>
              </w:rPr>
              <w:t>Total assets acquired</w:t>
            </w:r>
          </w:p>
        </w:tc>
        <w:tc>
          <w:tcPr>
            <w:tcW w:w="16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4"/>
              </w:rPr>
              <w:t>90,835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(33,692)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360" w:type="dxa"/>
            <w:vAlign w:val="bottom"/>
            <w:gridSpan w:val="2"/>
            <w:vMerge w:val="restart"/>
          </w:tcPr>
          <w:p>
            <w:pPr>
              <w:ind w:left="460"/>
              <w:spacing w:after="0"/>
              <w:rPr>
                <w:sz w:val="20"/>
                <w:szCs w:val="20"/>
                <w:color w:val="auto"/>
              </w:rPr>
            </w:pPr>
            <w:r>
              <w:rPr>
                <w:rFonts w:ascii="Arial" w:cs="Arial" w:eastAsia="Arial" w:hAnsi="Arial"/>
                <w:sz w:val="18"/>
                <w:szCs w:val="18"/>
                <w:color w:val="auto"/>
              </w:rPr>
              <w:t>Net assets acquired</w:t>
            </w: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5360" w:type="dxa"/>
            <w:vAlign w:val="bottom"/>
            <w:gridSpan w:val="2"/>
            <w:vMerge w:val="continue"/>
          </w:tcPr>
          <w:p>
            <w:pPr>
              <w:spacing w:after="0"/>
              <w:rPr>
                <w:sz w:val="19"/>
                <w:szCs w:val="19"/>
                <w:color w:val="auto"/>
              </w:rPr>
            </w:pP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rPr>
              <w:t>$ 57,143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 xml:space="preserve">The allocation of the intangible assets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1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8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w w:val="83"/>
              </w:rPr>
              <w:t>Estimated</w:t>
            </w:r>
          </w:p>
        </w:tc>
        <w:tc>
          <w:tcPr>
            <w:tcW w:w="42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Arial" w:cs="Arial" w:eastAsia="Arial" w:hAnsi="Arial"/>
                <w:sz w:val="14"/>
                <w:szCs w:val="14"/>
                <w:color w:val="auto"/>
                <w:w w:val="84"/>
              </w:rPr>
              <w:t>Average</w:t>
            </w:r>
          </w:p>
        </w:tc>
        <w:tc>
          <w:tcPr>
            <w:tcW w:w="0" w:type="dxa"/>
            <w:vAlign w:val="bottom"/>
          </w:tcPr>
          <w:p>
            <w:pPr>
              <w:spacing w:after="0"/>
              <w:rPr>
                <w:sz w:val="1"/>
                <w:szCs w:val="1"/>
                <w:color w:val="auto"/>
              </w:rPr>
            </w:pPr>
          </w:p>
        </w:tc>
      </w:tr>
      <w:tr>
        <w:trPr>
          <w:trHeight w:val="159"/>
        </w:trPr>
        <w:tc>
          <w:tcPr>
            <w:tcW w:w="920" w:type="dxa"/>
            <w:vAlign w:val="bottom"/>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4900" w:type="dxa"/>
            <w:vAlign w:val="bottom"/>
            <w:tcBorders>
              <w:bottom w:val="single" w:sz="8" w:color="CCEEFF"/>
            </w:tcBorders>
          </w:tcPr>
          <w:p>
            <w:pPr>
              <w:spacing w:after="0"/>
              <w:rPr>
                <w:sz w:val="13"/>
                <w:szCs w:val="13"/>
                <w:color w:val="auto"/>
              </w:rPr>
            </w:pPr>
          </w:p>
        </w:tc>
        <w:tc>
          <w:tcPr>
            <w:tcW w:w="16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line="159" w:lineRule="exact"/>
              <w:rPr>
                <w:sz w:val="20"/>
                <w:szCs w:val="20"/>
                <w:color w:val="auto"/>
              </w:rPr>
            </w:pPr>
            <w:r>
              <w:rPr>
                <w:rFonts w:ascii="Arial" w:cs="Arial" w:eastAsia="Arial" w:hAnsi="Arial"/>
                <w:sz w:val="14"/>
                <w:szCs w:val="14"/>
                <w:color w:val="auto"/>
                <w:w w:val="84"/>
              </w:rPr>
              <w:t>Fair Value</w:t>
            </w:r>
          </w:p>
        </w:tc>
        <w:tc>
          <w:tcPr>
            <w:tcW w:w="42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3"/>
          </w:tcPr>
          <w:p>
            <w:pPr>
              <w:jc w:val="center"/>
              <w:spacing w:after="0" w:line="159" w:lineRule="exact"/>
              <w:rPr>
                <w:sz w:val="20"/>
                <w:szCs w:val="20"/>
                <w:color w:val="auto"/>
              </w:rPr>
            </w:pPr>
            <w:r>
              <w:rPr>
                <w:rFonts w:ascii="Arial" w:cs="Arial" w:eastAsia="Arial" w:hAnsi="Arial"/>
                <w:sz w:val="14"/>
                <w:szCs w:val="14"/>
                <w:color w:val="auto"/>
                <w:w w:val="93"/>
              </w:rPr>
              <w:t>Useful Life</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Complete technology</w:t>
            </w:r>
          </w:p>
        </w:tc>
        <w:tc>
          <w:tcPr>
            <w:tcW w:w="1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$21,399</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2200" w:type="dxa"/>
            <w:vAlign w:val="bottom"/>
            <w:gridSpan w:val="3"/>
          </w:tcPr>
          <w:p>
            <w:pPr>
              <w:jc w:val="right"/>
              <w:ind w:right="20"/>
              <w:spacing w:after="0"/>
              <w:rPr>
                <w:sz w:val="20"/>
                <w:szCs w:val="20"/>
                <w:color w:val="auto"/>
              </w:rPr>
            </w:pPr>
            <w:r>
              <w:rPr>
                <w:rFonts w:ascii="Arial" w:cs="Arial" w:eastAsia="Arial" w:hAnsi="Arial"/>
                <w:sz w:val="18"/>
                <w:szCs w:val="18"/>
                <w:color w:val="auto"/>
              </w:rPr>
              <w:t>7,475</w:t>
            </w:r>
          </w:p>
        </w:tc>
        <w:tc>
          <w:tcPr>
            <w:tcW w:w="420" w:type="dxa"/>
            <w:vAlign w:val="bottom"/>
          </w:tcPr>
          <w:p>
            <w:pPr>
              <w:spacing w:after="0"/>
              <w:rPr>
                <w:sz w:val="18"/>
                <w:szCs w:val="18"/>
                <w:color w:val="auto"/>
              </w:rPr>
            </w:pPr>
          </w:p>
        </w:tc>
        <w:tc>
          <w:tcPr>
            <w:tcW w:w="700" w:type="dxa"/>
            <w:vAlign w:val="bottom"/>
            <w:gridSpan w:val="3"/>
          </w:tcPr>
          <w:p>
            <w:pPr>
              <w:jc w:val="center"/>
              <w:spacing w:after="0"/>
              <w:rPr>
                <w:sz w:val="20"/>
                <w:szCs w:val="20"/>
                <w:color w:val="auto"/>
              </w:rPr>
            </w:pPr>
            <w:r>
              <w:rPr>
                <w:rFonts w:ascii="Arial" w:cs="Arial" w:eastAsia="Arial" w:hAnsi="Arial"/>
                <w:sz w:val="18"/>
                <w:szCs w:val="18"/>
                <w:color w:val="auto"/>
                <w:w w:val="84"/>
              </w:rPr>
              <w:t>8 years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Covenants not-to-compete</w:t>
            </w:r>
          </w:p>
        </w:tc>
        <w:tc>
          <w:tcPr>
            <w:tcW w:w="2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62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3,939</w:t>
            </w:r>
          </w:p>
        </w:tc>
        <w:tc>
          <w:tcPr>
            <w:tcW w:w="1120" w:type="dxa"/>
            <w:vAlign w:val="bottom"/>
            <w:gridSpan w:val="4"/>
          </w:tcPr>
          <w:p>
            <w:pPr>
              <w:jc w:val="center"/>
              <w:ind w:left="312"/>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33,138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spacing w:after="0" w:line="291" w:lineRule="auto"/>
        <w:rPr>
          <w:sz w:val="20"/>
          <w:szCs w:val="20"/>
          <w:color w:val="auto"/>
        </w:rPr>
      </w:pPr>
      <w:r>
        <w:rPr>
          <w:rFonts w:ascii="Arial" w:cs="Arial" w:eastAsia="Arial" w:hAnsi="Arial"/>
          <w:sz w:val="16"/>
          <w:szCs w:val="16"/>
          <w:color w:val="auto"/>
        </w:rPr>
        <w:t>The value assigned to Ismeca’s complete technology was determined by discounting the estimated future cash flows associated with the existing developed and core technologies to their present value. Developed and core technology, which comprise products that have reached technological feasibility, includes the products in Ismeca’s product line. The revenue estimates used to value the complete technology were based on estimates of relevant market sizes and growth factors, expected trends in technology and the nature and expected timing of new product introductions by Ismeca and its competitors. The rates utilized to discount the net cash flows of complete technology to their present value are based on the risks associated with the respective cash flows taking into consideration the weighted average cost of capital of Cohu’s semiconductor equipment segment.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The value assigned to Ismeca’s customer relationships was determined by discounting the estimated cash flows associated with the existing customers as of the acquisition date taking into consideration expected attrition of the existing customer base. The estimated cash flows were based on revenues for those existing customers net of operating expenses and net contributory asset charges associated with servicing those customers. The estimated revenues were based on revenue growth rates for the back-end semiconductor equipment industry. Operating expenses were estimated based on the supporting infrastructure expected to sustain the assumed revenue growth rates. Net contributory asset charges were based on the estimated fair value of those assets that contribute to the generation of the estimated cash flows.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Unaudited Pro Forma Financial Information</w:t>
      </w:r>
    </w:p>
    <w:p>
      <w:pPr>
        <w:spacing w:after="0" w:line="90"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Cohu and Ismeca on a pro forma basis, as though the companies had been combined as of the beginning of each of the periods presented. The pro forma financial information is presented for informational purposes only and is not indicative of the results of operations that would have been achieved if the acquisition had taken place at the beginning of each of the periods presented. The pro forma financial information for all periods presented also includes adjustments to, amortization charges for acquired intangible assets, adjustments to interest income, and related tax effects.</w:t>
      </w:r>
    </w:p>
    <w:p>
      <w:pPr>
        <w:spacing w:after="0" w:line="35" w:lineRule="exact"/>
        <w:rPr>
          <w:sz w:val="20"/>
          <w:szCs w:val="20"/>
          <w:color w:val="auto"/>
        </w:rPr>
      </w:pPr>
    </w:p>
    <w:p>
      <w:pPr>
        <w:jc w:val="both"/>
        <w:ind w:left="460" w:right="280"/>
        <w:spacing w:after="0" w:line="306" w:lineRule="auto"/>
        <w:rPr>
          <w:sz w:val="20"/>
          <w:szCs w:val="20"/>
          <w:color w:val="auto"/>
        </w:rPr>
      </w:pPr>
      <w:r>
        <w:rPr>
          <w:rFonts w:ascii="Arial" w:cs="Arial" w:eastAsia="Arial" w:hAnsi="Arial"/>
          <w:sz w:val="16"/>
          <w:szCs w:val="16"/>
          <w:color w:val="auto"/>
        </w:rPr>
        <w:t>The pro forma financial information for the twelve months ended December 28, 2013 combines our results for that period, which include the results of Ismeca subsequent to December 31, 2012, the date of acquisition. The pro forma financial information for the twelve months ended December 29, 2012 and December 31, 2011 combines our historical results for that period with the historical results of Ismeca.</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following table summarizes the unaudited pro forma financial information </w:t>
      </w:r>
      <w:r>
        <w:rPr>
          <w:rFonts w:ascii="Arial" w:cs="Arial" w:eastAsia="Arial" w:hAnsi="Arial"/>
          <w:sz w:val="18"/>
          <w:szCs w:val="18"/>
          <w:i w:val="1"/>
          <w:i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right"/>
              <w:ind w:right="420"/>
              <w:spacing w:after="0"/>
              <w:rPr>
                <w:sz w:val="20"/>
                <w:szCs w:val="20"/>
                <w:color w:val="auto"/>
              </w:rPr>
            </w:pPr>
            <w:r>
              <w:rPr>
                <w:rFonts w:ascii="Arial" w:cs="Arial" w:eastAsia="Arial" w:hAnsi="Arial"/>
                <w:sz w:val="14"/>
                <w:szCs w:val="14"/>
                <w:color w:val="auto"/>
                <w:w w:val="90"/>
              </w:rPr>
              <w:t>Twelve Months Ended</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5"/>
          </w:tcPr>
          <w:p>
            <w:pPr>
              <w:jc w:val="right"/>
              <w:ind w:right="540"/>
              <w:spacing w:after="0" w:line="115" w:lineRule="exact"/>
              <w:rPr>
                <w:sz w:val="20"/>
                <w:szCs w:val="20"/>
                <w:color w:val="auto"/>
              </w:rPr>
            </w:pPr>
            <w:r>
              <w:rPr>
                <w:rFonts w:ascii="Arial" w:cs="Arial" w:eastAsia="Arial" w:hAnsi="Arial"/>
                <w:sz w:val="12"/>
                <w:szCs w:val="12"/>
                <w:color w:val="auto"/>
              </w:rPr>
              <w:t>December 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6"/>
          </w:tcPr>
          <w:p>
            <w:pPr>
              <w:jc w:val="right"/>
              <w:ind w:right="620"/>
              <w:spacing w:after="0" w:line="115" w:lineRule="exact"/>
              <w:rPr>
                <w:sz w:val="20"/>
                <w:szCs w:val="20"/>
                <w:color w:val="auto"/>
              </w:rPr>
            </w:pPr>
            <w:r>
              <w:rPr>
                <w:rFonts w:ascii="Arial" w:cs="Arial" w:eastAsia="Arial" w:hAnsi="Arial"/>
                <w:sz w:val="12"/>
                <w:szCs w:val="12"/>
                <w:color w:val="auto"/>
              </w:rPr>
              <w:t>December 29,</w:t>
            </w:r>
          </w:p>
        </w:tc>
        <w:tc>
          <w:tcPr>
            <w:tcW w:w="80" w:type="dxa"/>
            <w:vAlign w:val="bottom"/>
          </w:tcPr>
          <w:p>
            <w:pPr>
              <w:spacing w:after="0"/>
              <w:rPr>
                <w:sz w:val="10"/>
                <w:szCs w:val="10"/>
                <w:color w:val="auto"/>
              </w:rPr>
            </w:pPr>
          </w:p>
        </w:tc>
        <w:tc>
          <w:tcPr>
            <w:tcW w:w="1420" w:type="dxa"/>
            <w:vAlign w:val="bottom"/>
            <w:gridSpan w:val="4"/>
          </w:tcPr>
          <w:p>
            <w:pPr>
              <w:jc w:val="right"/>
              <w:ind w:right="292"/>
              <w:spacing w:after="0" w:line="115" w:lineRule="exact"/>
              <w:rPr>
                <w:sz w:val="20"/>
                <w:szCs w:val="20"/>
                <w:color w:val="auto"/>
              </w:rPr>
            </w:pPr>
            <w:r>
              <w:rPr>
                <w:rFonts w:ascii="Arial" w:cs="Arial" w:eastAsia="Arial" w:hAnsi="Arial"/>
                <w:sz w:val="12"/>
                <w:szCs w:val="12"/>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452"/>
              <w:spacing w:after="0" w:line="176" w:lineRule="exact"/>
              <w:rPr>
                <w:sz w:val="20"/>
                <w:szCs w:val="20"/>
                <w:color w:val="auto"/>
              </w:rPr>
            </w:pPr>
            <w:r>
              <w:rPr>
                <w:rFonts w:ascii="Arial" w:cs="Arial" w:eastAsia="Arial" w:hAnsi="Arial"/>
                <w:sz w:val="13"/>
                <w:szCs w:val="13"/>
                <w:color w:val="auto"/>
              </w:rPr>
              <w:t xml:space="preserve">2011 </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color w:val="auto"/>
                <w:w w:val="83"/>
              </w:rPr>
              <w:t>Reported</w:t>
            </w: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Pro Forma</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83"/>
              </w:rPr>
              <w:t>Reported</w:t>
            </w:r>
          </w:p>
        </w:tc>
        <w:tc>
          <w:tcPr>
            <w:tcW w:w="8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Pro Forma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
              <w:spacing w:after="0" w:line="142" w:lineRule="exact"/>
              <w:rPr>
                <w:sz w:val="20"/>
                <w:szCs w:val="20"/>
                <w:color w:val="auto"/>
              </w:rPr>
            </w:pPr>
            <w:r>
              <w:rPr>
                <w:rFonts w:ascii="Arial" w:cs="Arial" w:eastAsia="Arial" w:hAnsi="Arial"/>
                <w:sz w:val="14"/>
                <w:szCs w:val="14"/>
                <w:color w:val="auto"/>
                <w:w w:val="83"/>
              </w:rPr>
              <w:t>Reported</w:t>
            </w:r>
          </w:p>
        </w:tc>
        <w:tc>
          <w:tcPr>
            <w:tcW w:w="18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0"/>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247,300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247,300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221,162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306,043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308,968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410,063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(33,418)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(33,418)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(12,243)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(12,296)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15,719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21,027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(0.50)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Changes in the carrying value of goodwill by reportable segment during the years ended December 28, 2013 and December 29, 2012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color w:val="auto"/>
              </w:rPr>
              <w:t>Semiconductor</w:t>
            </w:r>
          </w:p>
        </w:tc>
        <w:tc>
          <w:tcPr>
            <w:tcW w:w="12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color w:val="auto"/>
                <w:w w:val="92"/>
              </w:rPr>
              <w:t>Microwave</w:t>
            </w:r>
          </w:p>
        </w:tc>
        <w:tc>
          <w:tcPr>
            <w:tcW w:w="62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spacing w:after="0" w:line="159" w:lineRule="exact"/>
              <w:rPr>
                <w:sz w:val="20"/>
                <w:szCs w:val="20"/>
                <w:color w:val="auto"/>
              </w:rPr>
            </w:pPr>
            <w:r>
              <w:rPr>
                <w:rFonts w:ascii="Arial" w:cs="Arial" w:eastAsia="Arial" w:hAnsi="Arial"/>
                <w:sz w:val="14"/>
                <w:szCs w:val="14"/>
                <w:color w:val="auto"/>
              </w:rPr>
              <w:t>Equipment</w:t>
            </w:r>
          </w:p>
        </w:tc>
        <w:tc>
          <w:tcPr>
            <w:tcW w:w="920" w:type="dxa"/>
            <w:vAlign w:val="bottom"/>
            <w:gridSpan w:val="2"/>
          </w:tcPr>
          <w:p>
            <w:pPr>
              <w:spacing w:after="0" w:line="159" w:lineRule="exact"/>
              <w:rPr>
                <w:sz w:val="20"/>
                <w:szCs w:val="20"/>
                <w:color w:val="auto"/>
              </w:rPr>
            </w:pPr>
            <w:r>
              <w:rPr>
                <w:rFonts w:ascii="Arial" w:cs="Arial" w:eastAsia="Arial" w:hAnsi="Arial"/>
                <w:sz w:val="14"/>
                <w:szCs w:val="14"/>
                <w:color w:val="auto"/>
                <w:w w:val="86"/>
              </w:rPr>
              <w:t>Communications</w:t>
            </w:r>
          </w:p>
        </w:tc>
        <w:tc>
          <w:tcPr>
            <w:tcW w:w="620" w:type="dxa"/>
            <w:vAlign w:val="bottom"/>
          </w:tcPr>
          <w:p>
            <w:pPr>
              <w:spacing w:after="0"/>
              <w:rPr>
                <w:sz w:val="13"/>
                <w:szCs w:val="13"/>
                <w:color w:val="auto"/>
              </w:rPr>
            </w:pPr>
          </w:p>
        </w:tc>
        <w:tc>
          <w:tcPr>
            <w:tcW w:w="64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96"/>
              </w:rPr>
              <w:t>Goodwill</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54,872</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6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$58,060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Impact of currency exchange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6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29, 2012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58,756</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Additions net of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10,930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Impact of currency exchange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Balance, December 28, 2013</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vMerge w:val="continue"/>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67,983</w:t>
            </w:r>
          </w:p>
        </w:tc>
        <w:tc>
          <w:tcPr>
            <w:tcW w:w="6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3,330</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71,313</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40"/>
        <w:spacing w:after="0" w:line="306" w:lineRule="auto"/>
        <w:rPr>
          <w:sz w:val="20"/>
          <w:szCs w:val="20"/>
          <w:color w:val="auto"/>
        </w:rPr>
      </w:pPr>
      <w:r>
        <w:rPr>
          <w:rFonts w:ascii="Arial" w:cs="Arial" w:eastAsia="Arial" w:hAnsi="Arial"/>
          <w:sz w:val="16"/>
          <w:szCs w:val="16"/>
          <w:color w:val="auto"/>
        </w:rPr>
        <w:t>In August 2012, our microwave communication equipment segment acquired the intellectual property and certain other assets of Duma Video, Inc. (“Duma”), a distributor of low latency compression video encoding and decoding devices. The purchase price of these assets was approximately $1.0 million and the amount allocated to intangible assets is being amortized on a straight-line basis over three years.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Our purchased intangible assets, subject to amortization,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gridSpan w:val="4"/>
          </w:tcPr>
          <w:p>
            <w:pPr>
              <w:ind w:left="100"/>
              <w:spacing w:after="0"/>
              <w:rPr>
                <w:sz w:val="20"/>
                <w:szCs w:val="20"/>
                <w:color w:val="auto"/>
              </w:rPr>
            </w:pPr>
            <w:r>
              <w:rPr>
                <w:rFonts w:ascii="Arial" w:cs="Arial" w:eastAsia="Arial" w:hAnsi="Arial"/>
                <w:sz w:val="14"/>
                <w:szCs w:val="14"/>
                <w:color w:val="auto"/>
              </w:rPr>
              <w:t>December 28, 2013</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6"/>
          </w:tcPr>
          <w:p>
            <w:pPr>
              <w:jc w:val="right"/>
              <w:ind w:right="480"/>
              <w:spacing w:after="0"/>
              <w:rPr>
                <w:sz w:val="20"/>
                <w:szCs w:val="20"/>
                <w:color w:val="auto"/>
              </w:rPr>
            </w:pPr>
            <w:r>
              <w:rPr>
                <w:rFonts w:ascii="Arial" w:cs="Arial" w:eastAsia="Arial" w:hAnsi="Arial"/>
                <w:sz w:val="14"/>
                <w:szCs w:val="14"/>
                <w:color w:val="auto"/>
              </w:rPr>
              <w:t>December 29, 2012</w:t>
            </w:r>
          </w:p>
        </w:tc>
      </w:tr>
      <w:tr>
        <w:trPr>
          <w:trHeight w:val="131"/>
        </w:trPr>
        <w:tc>
          <w:tcPr>
            <w:tcW w:w="6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4"/>
              </w:rPr>
              <w:t>Gross Carrying</w:t>
            </w: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ind w:left="20"/>
              <w:spacing w:after="0" w:line="131" w:lineRule="exact"/>
              <w:rPr>
                <w:sz w:val="20"/>
                <w:szCs w:val="20"/>
                <w:color w:val="auto"/>
              </w:rPr>
            </w:pPr>
            <w:r>
              <w:rPr>
                <w:rFonts w:ascii="Arial" w:cs="Arial" w:eastAsia="Arial" w:hAnsi="Arial"/>
                <w:sz w:val="14"/>
                <w:szCs w:val="14"/>
                <w:color w:val="auto"/>
              </w:rPr>
              <w:t>Accumulated</w:t>
            </w:r>
          </w:p>
        </w:tc>
        <w:tc>
          <w:tcPr>
            <w:tcW w:w="700" w:type="dxa"/>
            <w:vAlign w:val="bottom"/>
            <w:tcBorders>
              <w:top w:val="single" w:sz="8" w:color="auto"/>
            </w:tcBorders>
          </w:tcPr>
          <w:p>
            <w:pPr>
              <w:ind w:left="60"/>
              <w:spacing w:after="0" w:line="131" w:lineRule="exact"/>
              <w:rPr>
                <w:sz w:val="20"/>
                <w:szCs w:val="20"/>
                <w:color w:val="auto"/>
              </w:rPr>
            </w:pPr>
            <w:r>
              <w:rPr>
                <w:rFonts w:ascii="Arial" w:cs="Arial" w:eastAsia="Arial" w:hAnsi="Arial"/>
                <w:sz w:val="14"/>
                <w:szCs w:val="14"/>
                <w:color w:val="auto"/>
                <w:w w:val="92"/>
              </w:rPr>
              <w:t>Remaining</w:t>
            </w:r>
          </w:p>
        </w:tc>
        <w:tc>
          <w:tcPr>
            <w:tcW w:w="380" w:type="dxa"/>
            <w:vAlign w:val="bottom"/>
          </w:tcPr>
          <w:p>
            <w:pPr>
              <w:spacing w:after="0"/>
              <w:rPr>
                <w:sz w:val="11"/>
                <w:szCs w:val="11"/>
                <w:color w:val="auto"/>
              </w:rPr>
            </w:pPr>
          </w:p>
        </w:tc>
        <w:tc>
          <w:tcPr>
            <w:tcW w:w="1020" w:type="dxa"/>
            <w:vAlign w:val="bottom"/>
            <w:tcBorders>
              <w:top w:val="single" w:sz="8" w:color="auto"/>
            </w:tcBorders>
            <w:gridSpan w:val="3"/>
          </w:tcPr>
          <w:p>
            <w:pPr>
              <w:ind w:left="20"/>
              <w:spacing w:after="0" w:line="131" w:lineRule="exact"/>
              <w:rPr>
                <w:sz w:val="20"/>
                <w:szCs w:val="20"/>
                <w:color w:val="auto"/>
              </w:rPr>
            </w:pPr>
            <w:r>
              <w:rPr>
                <w:rFonts w:ascii="Arial" w:cs="Arial" w:eastAsia="Arial" w:hAnsi="Arial"/>
                <w:sz w:val="14"/>
                <w:szCs w:val="14"/>
                <w:color w:val="auto"/>
              </w:rPr>
              <w:t>Gross Carrying</w:t>
            </w:r>
          </w:p>
        </w:tc>
        <w:tc>
          <w:tcPr>
            <w:tcW w:w="1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6"/>
              </w:rPr>
              <w:t>Accumulated</w:t>
            </w:r>
          </w:p>
        </w:tc>
        <w:tc>
          <w:tcPr>
            <w:tcW w:w="60" w:type="dxa"/>
            <w:vAlign w:val="bottom"/>
          </w:tcPr>
          <w:p>
            <w:pPr>
              <w:spacing w:after="0"/>
              <w:rPr>
                <w:sz w:val="11"/>
                <w:szCs w:val="11"/>
                <w:color w:val="auto"/>
              </w:rPr>
            </w:pPr>
          </w:p>
        </w:tc>
      </w:tr>
      <w:tr>
        <w:trPr>
          <w:trHeight w:val="159"/>
        </w:trPr>
        <w:tc>
          <w:tcPr>
            <w:tcW w:w="6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116"/>
              <w:spacing w:after="0" w:line="159" w:lineRule="exact"/>
              <w:rPr>
                <w:sz w:val="20"/>
                <w:szCs w:val="20"/>
                <w:color w:val="auto"/>
              </w:rPr>
            </w:pPr>
            <w:r>
              <w:rPr>
                <w:rFonts w:ascii="Arial" w:cs="Arial" w:eastAsia="Arial" w:hAnsi="Arial"/>
                <w:sz w:val="14"/>
                <w:szCs w:val="14"/>
                <w:color w:val="auto"/>
                <w:w w:val="99"/>
              </w:rPr>
              <w:t>Amount</w:t>
            </w:r>
          </w:p>
        </w:tc>
        <w:tc>
          <w:tcPr>
            <w:tcW w:w="340" w:type="dxa"/>
            <w:vAlign w:val="bottom"/>
          </w:tcPr>
          <w:p>
            <w:pPr>
              <w:spacing w:after="0"/>
              <w:rPr>
                <w:sz w:val="13"/>
                <w:szCs w:val="13"/>
                <w:color w:val="auto"/>
              </w:rPr>
            </w:pPr>
          </w:p>
        </w:tc>
        <w:tc>
          <w:tcPr>
            <w:tcW w:w="108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Amortization</w:t>
            </w:r>
          </w:p>
        </w:tc>
        <w:tc>
          <w:tcPr>
            <w:tcW w:w="1080" w:type="dxa"/>
            <w:vAlign w:val="bottom"/>
            <w:gridSpan w:val="2"/>
          </w:tcPr>
          <w:p>
            <w:pPr>
              <w:ind w:left="40"/>
              <w:spacing w:after="0" w:line="159" w:lineRule="exact"/>
              <w:rPr>
                <w:sz w:val="20"/>
                <w:szCs w:val="20"/>
                <w:color w:val="auto"/>
              </w:rPr>
            </w:pPr>
            <w:r>
              <w:rPr>
                <w:rFonts w:ascii="Arial" w:cs="Arial" w:eastAsia="Arial" w:hAnsi="Arial"/>
                <w:sz w:val="14"/>
                <w:szCs w:val="14"/>
                <w:color w:val="auto"/>
              </w:rPr>
              <w:t>Useful Life</w:t>
            </w:r>
          </w:p>
        </w:tc>
        <w:tc>
          <w:tcPr>
            <w:tcW w:w="16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5"/>
              </w:rPr>
              <w:t>Amount</w:t>
            </w:r>
          </w:p>
        </w:tc>
        <w:tc>
          <w:tcPr>
            <w:tcW w:w="180" w:type="dxa"/>
            <w:vAlign w:val="bottom"/>
          </w:tcPr>
          <w:p>
            <w:pPr>
              <w:spacing w:after="0"/>
              <w:rPr>
                <w:sz w:val="13"/>
                <w:szCs w:val="13"/>
                <w:color w:val="auto"/>
              </w:rPr>
            </w:pPr>
          </w:p>
        </w:tc>
        <w:tc>
          <w:tcPr>
            <w:tcW w:w="780" w:type="dxa"/>
            <w:vAlign w:val="bottom"/>
            <w:gridSpan w:val="3"/>
          </w:tcPr>
          <w:p>
            <w:pPr>
              <w:spacing w:after="0" w:line="159" w:lineRule="exact"/>
              <w:rPr>
                <w:sz w:val="20"/>
                <w:szCs w:val="20"/>
                <w:color w:val="auto"/>
              </w:rPr>
            </w:pPr>
            <w:r>
              <w:rPr>
                <w:rFonts w:ascii="Arial" w:cs="Arial" w:eastAsia="Arial" w:hAnsi="Arial"/>
                <w:sz w:val="14"/>
                <w:szCs w:val="14"/>
                <w:color w:val="auto"/>
                <w:w w:val="97"/>
              </w:rPr>
              <w:t>Amortization</w:t>
            </w:r>
          </w:p>
        </w:tc>
      </w:tr>
      <w:tr>
        <w:trPr>
          <w:trHeight w:val="210"/>
        </w:trPr>
        <w:tc>
          <w:tcPr>
            <w:tcW w:w="6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Rasco technology</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21,319</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3.0 years</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16,452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Ismeca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29,915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3,809</w:t>
            </w:r>
          </w:p>
        </w:tc>
        <w:tc>
          <w:tcPr>
            <w:tcW w:w="34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color w:val="auto"/>
              </w:rPr>
              <w:t>7.0 years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Duma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1.6 years</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10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64,468</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25,536</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33,263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16,572</w:t>
            </w:r>
          </w:p>
        </w:tc>
      </w:tr>
      <w:tr>
        <w:trPr>
          <w:trHeight w:val="20"/>
        </w:trPr>
        <w:tc>
          <w:tcPr>
            <w:tcW w:w="6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140"/>
        <w:spacing w:after="0" w:line="335" w:lineRule="auto"/>
        <w:rPr>
          <w:sz w:val="20"/>
          <w:szCs w:val="20"/>
          <w:color w:val="auto"/>
        </w:rPr>
      </w:pPr>
      <w:r>
        <w:rPr>
          <w:rFonts w:ascii="Arial" w:cs="Arial" w:eastAsia="Arial" w:hAnsi="Arial"/>
          <w:sz w:val="15"/>
          <w:szCs w:val="15"/>
          <w:color w:val="auto"/>
        </w:rPr>
        <w:t>The amounts included in the table above at December 28, 2013 exclude approximately $2.4 million and $4.0 million, related to the trade names of Rasco and Ismeca, respectively, and at December 29, 2012 exclude approximately $2.3 million related to Rasco trade name which have an indefinite life and are not being amortized. Changes in the carrying values of purchased intangible assets are a result of the impact of fluctuation in currency exchange rates.</w:t>
      </w:r>
    </w:p>
    <w:p>
      <w:pPr>
        <w:spacing w:after="0" w:line="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Amortization expense related to purchased intangible assets was approximately $8.1 million, $4.1 million and $4.6 million in 2013, 2012 and 2011, respectively. As of December 28, 2013, we expect amortization expense in future periods to be as follows: 2014 – $8.3 million; 2015 – $8.2 million; 2016 – $7.6 million; 2017 – $3.7 million 2018 – $3.7 million; and thereafter $7.4 million.</w:t>
      </w:r>
    </w:p>
    <w:p>
      <w:pPr>
        <w:spacing w:after="0" w:line="256"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Short-term Investments</w:t>
      </w:r>
    </w:p>
    <w:p>
      <w:pPr>
        <w:spacing w:after="0" w:line="96" w:lineRule="exact"/>
        <w:rPr>
          <w:rFonts w:ascii="Arial" w:cs="Arial" w:eastAsia="Arial" w:hAnsi="Arial"/>
          <w:sz w:val="18"/>
          <w:szCs w:val="18"/>
          <w:b w:val="1"/>
          <w:bCs w:val="1"/>
          <w:color w:val="auto"/>
        </w:rPr>
      </w:pPr>
    </w:p>
    <w:p>
      <w:pPr>
        <w:ind w:left="460" w:right="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62" w:lineRule="exact"/>
        <w:rPr>
          <w:rFonts w:ascii="Arial" w:cs="Arial" w:eastAsia="Arial" w:hAnsi="Arial"/>
          <w:sz w:val="18"/>
          <w:szCs w:val="18"/>
          <w:b w:val="1"/>
          <w:bCs w:val="1"/>
          <w:color w:val="auto"/>
        </w:rPr>
      </w:pPr>
    </w:p>
    <w:p>
      <w:pPr>
        <w:ind w:left="460" w:right="160"/>
        <w:spacing w:after="0" w:line="320" w:lineRule="auto"/>
        <w:rPr>
          <w:rFonts w:ascii="Arial" w:cs="Arial" w:eastAsia="Arial" w:hAnsi="Arial"/>
          <w:sz w:val="18"/>
          <w:szCs w:val="18"/>
          <w:b w:val="1"/>
          <w:bCs w:val="1"/>
          <w:color w:val="auto"/>
        </w:rPr>
      </w:pPr>
      <w:r>
        <w:rPr>
          <w:rFonts w:ascii="Arial" w:cs="Arial" w:eastAsia="Arial" w:hAnsi="Arial"/>
          <w:sz w:val="16"/>
          <w:szCs w:val="16"/>
          <w:color w:val="auto"/>
        </w:rPr>
        <w:t xml:space="preserve">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 Investments that we have classified as short-term, by security type,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At December 28, 2013</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20"/>
              <w:spacing w:after="0" w:line="131" w:lineRule="exact"/>
              <w:rPr>
                <w:sz w:val="20"/>
                <w:szCs w:val="20"/>
                <w:color w:val="auto"/>
              </w:rPr>
            </w:pPr>
            <w:r>
              <w:rPr>
                <w:rFonts w:ascii="Arial" w:cs="Arial" w:eastAsia="Arial" w:hAnsi="Arial"/>
                <w:sz w:val="14"/>
                <w:szCs w:val="14"/>
                <w:color w:val="auto"/>
              </w:rPr>
              <w:t>Gross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680"/>
              <w:spacing w:after="0" w:line="131" w:lineRule="exact"/>
              <w:rPr>
                <w:sz w:val="20"/>
                <w:szCs w:val="20"/>
                <w:color w:val="auto"/>
              </w:rPr>
            </w:pPr>
            <w:r>
              <w:rPr>
                <w:rFonts w:ascii="Arial" w:cs="Arial" w:eastAsia="Arial" w:hAnsi="Arial"/>
                <w:sz w:val="14"/>
                <w:szCs w:val="14"/>
                <w:color w:val="auto"/>
                <w:w w:val="85"/>
              </w:rPr>
              <w:t>Gross</w:t>
            </w: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color w:val="auto"/>
                <w:w w:val="88"/>
              </w:rPr>
              <w:t>Amortized</w:t>
            </w:r>
          </w:p>
        </w:tc>
        <w:tc>
          <w:tcPr>
            <w:tcW w:w="5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3"/>
              </w:rPr>
              <w:t>Unrealized</w:t>
            </w:r>
          </w:p>
        </w:tc>
        <w:tc>
          <w:tcPr>
            <w:tcW w:w="6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40"/>
              <w:spacing w:after="0" w:line="159" w:lineRule="exact"/>
              <w:rPr>
                <w:sz w:val="20"/>
                <w:szCs w:val="20"/>
                <w:color w:val="auto"/>
              </w:rPr>
            </w:pPr>
            <w:r>
              <w:rPr>
                <w:rFonts w:ascii="Arial" w:cs="Arial" w:eastAsia="Arial" w:hAnsi="Arial"/>
                <w:sz w:val="14"/>
                <w:szCs w:val="14"/>
                <w:color w:val="auto"/>
              </w:rPr>
              <w:t>Cost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20"/>
              <w:spacing w:after="0" w:line="159" w:lineRule="exact"/>
              <w:rPr>
                <w:sz w:val="20"/>
                <w:szCs w:val="20"/>
                <w:color w:val="auto"/>
              </w:rPr>
            </w:pPr>
            <w:r>
              <w:rPr>
                <w:rFonts w:ascii="Arial" w:cs="Arial" w:eastAsia="Arial" w:hAnsi="Arial"/>
                <w:sz w:val="14"/>
                <w:szCs w:val="14"/>
                <w:color w:val="auto"/>
              </w:rPr>
              <w:t>Gains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1"/>
              </w:rPr>
              <w:t>Losses</w:t>
            </w:r>
          </w:p>
        </w:tc>
        <w:tc>
          <w:tcPr>
            <w:tcW w:w="6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1,200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$ 1,200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color w:val="auto"/>
              </w:rPr>
              <w:t>At December 29, 2012</w:t>
            </w: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ind w:left="20"/>
              <w:spacing w:after="0" w:line="131" w:lineRule="exact"/>
              <w:rPr>
                <w:sz w:val="20"/>
                <w:szCs w:val="20"/>
                <w:color w:val="auto"/>
              </w:rPr>
            </w:pPr>
            <w:r>
              <w:rPr>
                <w:rFonts w:ascii="Arial" w:cs="Arial" w:eastAsia="Arial" w:hAnsi="Arial"/>
                <w:sz w:val="14"/>
                <w:szCs w:val="14"/>
                <w:color w:val="auto"/>
              </w:rPr>
              <w:t>Gross</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680"/>
              <w:spacing w:after="0" w:line="131" w:lineRule="exact"/>
              <w:rPr>
                <w:sz w:val="20"/>
                <w:szCs w:val="20"/>
                <w:color w:val="auto"/>
              </w:rPr>
            </w:pPr>
            <w:r>
              <w:rPr>
                <w:rFonts w:ascii="Arial" w:cs="Arial" w:eastAsia="Arial" w:hAnsi="Arial"/>
                <w:sz w:val="14"/>
                <w:szCs w:val="14"/>
                <w:color w:val="auto"/>
                <w:w w:val="85"/>
              </w:rPr>
              <w:t>Gross</w:t>
            </w:r>
          </w:p>
        </w:tc>
        <w:tc>
          <w:tcPr>
            <w:tcW w:w="540" w:type="dxa"/>
            <w:vAlign w:val="bottom"/>
          </w:tcPr>
          <w:p>
            <w:pPr>
              <w:jc w:val="center"/>
              <w:spacing w:after="0" w:line="131" w:lineRule="exact"/>
              <w:rPr>
                <w:sz w:val="20"/>
                <w:szCs w:val="20"/>
                <w:color w:val="auto"/>
              </w:rPr>
            </w:pPr>
            <w:r>
              <w:rPr>
                <w:rFonts w:ascii="Arial" w:cs="Arial" w:eastAsia="Arial" w:hAnsi="Arial"/>
                <w:sz w:val="14"/>
                <w:szCs w:val="14"/>
                <w:color w:val="auto"/>
                <w:w w:val="86"/>
              </w:rPr>
              <w:t>Estimated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color w:val="auto"/>
                <w:w w:val="88"/>
              </w:rPr>
              <w:t>Amortized</w:t>
            </w:r>
          </w:p>
        </w:tc>
        <w:tc>
          <w:tcPr>
            <w:tcW w:w="58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3"/>
              </w:rPr>
              <w:t>Unrealized</w:t>
            </w:r>
          </w:p>
        </w:tc>
        <w:tc>
          <w:tcPr>
            <w:tcW w:w="6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rPr>
              <w:t>Unrealized</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40"/>
              <w:spacing w:after="0" w:line="159" w:lineRule="exact"/>
              <w:rPr>
                <w:sz w:val="20"/>
                <w:szCs w:val="20"/>
                <w:color w:val="auto"/>
              </w:rPr>
            </w:pPr>
            <w:r>
              <w:rPr>
                <w:rFonts w:ascii="Arial" w:cs="Arial" w:eastAsia="Arial" w:hAnsi="Arial"/>
                <w:sz w:val="14"/>
                <w:szCs w:val="14"/>
                <w:color w:val="auto"/>
              </w:rPr>
              <w:t>Cost</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ind w:left="20"/>
              <w:spacing w:after="0" w:line="159" w:lineRule="exact"/>
              <w:rPr>
                <w:sz w:val="20"/>
                <w:szCs w:val="20"/>
                <w:color w:val="auto"/>
              </w:rPr>
            </w:pPr>
            <w:r>
              <w:rPr>
                <w:rFonts w:ascii="Arial" w:cs="Arial" w:eastAsia="Arial" w:hAnsi="Arial"/>
                <w:sz w:val="14"/>
                <w:szCs w:val="14"/>
                <w:color w:val="auto"/>
              </w:rPr>
              <w:t>Gains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680"/>
              <w:spacing w:after="0" w:line="159" w:lineRule="exact"/>
              <w:rPr>
                <w:sz w:val="20"/>
                <w:szCs w:val="20"/>
                <w:color w:val="auto"/>
              </w:rPr>
            </w:pPr>
            <w:r>
              <w:rPr>
                <w:rFonts w:ascii="Arial" w:cs="Arial" w:eastAsia="Arial" w:hAnsi="Arial"/>
                <w:sz w:val="14"/>
                <w:szCs w:val="14"/>
                <w:color w:val="auto"/>
                <w:w w:val="81"/>
              </w:rPr>
              <w:t>Losses</w:t>
            </w:r>
          </w:p>
        </w:tc>
        <w:tc>
          <w:tcPr>
            <w:tcW w:w="600" w:type="dxa"/>
            <w:vAlign w:val="bottom"/>
            <w:gridSpan w:val="2"/>
          </w:tcPr>
          <w:p>
            <w:pPr>
              <w:jc w:val="center"/>
              <w:ind w:right="40"/>
              <w:spacing w:after="0" w:line="15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Municipal securities</w:t>
            </w:r>
          </w:p>
        </w:tc>
        <w:tc>
          <w:tcPr>
            <w:tcW w:w="2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1,470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$ 1,470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ind w:left="60"/>
              <w:spacing w:after="0"/>
              <w:rPr>
                <w:sz w:val="20"/>
                <w:szCs w:val="20"/>
                <w:color w:val="auto"/>
              </w:rPr>
            </w:pPr>
            <w:r>
              <w:rPr>
                <w:rFonts w:ascii="Arial" w:cs="Arial" w:eastAsia="Arial" w:hAnsi="Arial"/>
                <w:sz w:val="18"/>
                <w:szCs w:val="18"/>
                <w:color w:val="auto"/>
                <w:w w:val="84"/>
              </w:rPr>
              <w:t>5,937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79"/>
              </w:rPr>
              <w:t>14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88"/>
              </w:rPr>
              <w:t>—</w:t>
            </w:r>
          </w:p>
        </w:tc>
        <w:tc>
          <w:tcPr>
            <w:tcW w:w="5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7,407</w:t>
            </w:r>
          </w:p>
        </w:tc>
        <w:tc>
          <w:tcPr>
            <w:tcW w:w="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14</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$ 7,421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20" w:type="dxa"/>
            <w:vAlign w:val="bottom"/>
            <w:vMerge w:val="restart"/>
          </w:tcPr>
          <w:p>
            <w:pPr>
              <w:jc w:val="right"/>
              <w:ind w:right="932"/>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4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maturities of short-term investments at December 28, 2013, were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i w:val="1"/>
                <w:iCs w:val="1"/>
                <w:color w:val="auto"/>
                <w:w w:val="90"/>
              </w:rPr>
              <w:t>(in thousands)</w:t>
            </w:r>
          </w:p>
        </w:tc>
        <w:tc>
          <w:tcPr>
            <w:tcW w:w="3440" w:type="dxa"/>
            <w:vAlign w:val="bottom"/>
            <w:vMerge w:val="restart"/>
          </w:tcPr>
          <w:p>
            <w:pPr>
              <w:spacing w:after="0"/>
              <w:rPr>
                <w:sz w:val="14"/>
                <w:szCs w:val="14"/>
                <w:color w:val="auto"/>
              </w:rPr>
            </w:pPr>
          </w:p>
        </w:tc>
        <w:tc>
          <w:tcPr>
            <w:tcW w:w="3240" w:type="dxa"/>
            <w:vAlign w:val="bottom"/>
            <w:gridSpan w:val="2"/>
          </w:tcPr>
          <w:p>
            <w:pPr>
              <w:jc w:val="center"/>
              <w:ind w:left="2592"/>
              <w:spacing w:after="0"/>
              <w:rPr>
                <w:sz w:val="20"/>
                <w:szCs w:val="20"/>
                <w:color w:val="auto"/>
              </w:rPr>
            </w:pPr>
            <w:r>
              <w:rPr>
                <w:rFonts w:ascii="Arial" w:cs="Arial" w:eastAsia="Arial" w:hAnsi="Arial"/>
                <w:sz w:val="14"/>
                <w:szCs w:val="14"/>
                <w:color w:val="auto"/>
                <w:w w:val="91"/>
              </w:rPr>
              <w:t>Amortized</w:t>
            </w: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color w:val="auto"/>
                <w:w w:val="96"/>
              </w:rPr>
              <w:t>Estimated</w:t>
            </w:r>
          </w:p>
        </w:tc>
        <w:tc>
          <w:tcPr>
            <w:tcW w:w="0" w:type="dxa"/>
            <w:vAlign w:val="bottom"/>
          </w:tcPr>
          <w:p>
            <w:pPr>
              <w:spacing w:after="0"/>
              <w:rPr>
                <w:sz w:val="1"/>
                <w:szCs w:val="1"/>
                <w:color w:val="auto"/>
              </w:rPr>
            </w:pPr>
          </w:p>
        </w:tc>
      </w:tr>
      <w:tr>
        <w:trPr>
          <w:trHeight w:val="166"/>
        </w:trPr>
        <w:tc>
          <w:tcPr>
            <w:tcW w:w="820" w:type="dxa"/>
            <w:vAlign w:val="bottom"/>
            <w:tcBorders>
              <w:bottom w:val="single" w:sz="8" w:color="auto"/>
            </w:tcBorders>
            <w:vMerge w:val="continue"/>
          </w:tcPr>
          <w:p>
            <w:pPr>
              <w:spacing w:after="0"/>
              <w:rPr>
                <w:sz w:val="14"/>
                <w:szCs w:val="14"/>
                <w:color w:val="auto"/>
              </w:rPr>
            </w:pPr>
          </w:p>
        </w:tc>
        <w:tc>
          <w:tcPr>
            <w:tcW w:w="3440" w:type="dxa"/>
            <w:vAlign w:val="bottom"/>
            <w:vMerge w:val="continue"/>
          </w:tcPr>
          <w:p>
            <w:pPr>
              <w:spacing w:after="0"/>
              <w:rPr>
                <w:sz w:val="14"/>
                <w:szCs w:val="14"/>
                <w:color w:val="auto"/>
              </w:rPr>
            </w:pPr>
          </w:p>
        </w:tc>
        <w:tc>
          <w:tcPr>
            <w:tcW w:w="2660" w:type="dxa"/>
            <w:vAlign w:val="bottom"/>
          </w:tcPr>
          <w:p>
            <w:pPr>
              <w:spacing w:after="0"/>
              <w:rPr>
                <w:sz w:val="14"/>
                <w:szCs w:val="14"/>
                <w:color w:val="auto"/>
              </w:rPr>
            </w:pPr>
          </w:p>
        </w:tc>
        <w:tc>
          <w:tcPr>
            <w:tcW w:w="580" w:type="dxa"/>
            <w:vAlign w:val="bottom"/>
          </w:tcPr>
          <w:p>
            <w:pPr>
              <w:jc w:val="center"/>
              <w:spacing w:after="0" w:line="146" w:lineRule="exact"/>
              <w:rPr>
                <w:sz w:val="20"/>
                <w:szCs w:val="20"/>
                <w:color w:val="auto"/>
              </w:rPr>
            </w:pPr>
            <w:r>
              <w:rPr>
                <w:rFonts w:ascii="Arial" w:cs="Arial" w:eastAsia="Arial" w:hAnsi="Arial"/>
                <w:sz w:val="14"/>
                <w:szCs w:val="14"/>
                <w:color w:val="auto"/>
                <w:w w:val="83"/>
              </w:rPr>
              <w:t>Cost</w:t>
            </w:r>
          </w:p>
        </w:tc>
        <w:tc>
          <w:tcPr>
            <w:tcW w:w="1180" w:type="dxa"/>
            <w:vAlign w:val="bottom"/>
            <w:gridSpan w:val="3"/>
          </w:tcPr>
          <w:p>
            <w:pPr>
              <w:ind w:left="560"/>
              <w:spacing w:after="0" w:line="146"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03"/>
        </w:trPr>
        <w:tc>
          <w:tcPr>
            <w:tcW w:w="42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Due in one year or less</w:t>
            </w:r>
          </w:p>
        </w:tc>
        <w:tc>
          <w:tcPr>
            <w:tcW w:w="26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$ 1,200</w:t>
            </w:r>
          </w:p>
        </w:tc>
        <w:tc>
          <w:tcPr>
            <w:tcW w:w="5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9"/>
              </w:rPr>
              <w:t>$ 1,200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Our municipal securities include variable rate demand notes which can be put (sold at par) typically on a daily basis with settlement periods ranging from the same day to one week and have varying contractual maturities through 2037. These securities can be used for short-term liquidity needs and are held for limited periods of time. At December 28, 2013 these securities had amortized cost and fair value of $1.2 million and are included in “Due in one year or less” in the table above</w:t>
      </w:r>
      <w:r>
        <w:rPr>
          <w:rFonts w:ascii="Arial" w:cs="Arial" w:eastAsia="Arial" w:hAnsi="Arial"/>
          <w:sz w:val="18"/>
          <w:szCs w:val="18"/>
          <w:b w:val="1"/>
          <w:bCs w:val="1"/>
          <w:color w:val="auto"/>
        </w:rPr>
        <w:t>.</w:t>
      </w:r>
    </w:p>
    <w:p>
      <w:pPr>
        <w:spacing w:after="0" w:line="62"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w:t>
      </w:r>
    </w:p>
    <w:p>
      <w:pPr>
        <w:spacing w:after="0" w:line="63"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 xml:space="preserve">The following table summarizes, by major security type, our assets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20" w:type="dxa"/>
            <w:vAlign w:val="bottom"/>
            <w:gridSpan w:val="12"/>
          </w:tcPr>
          <w:p>
            <w:pPr>
              <w:jc w:val="right"/>
              <w:ind w:right="520"/>
              <w:spacing w:after="0"/>
              <w:rPr>
                <w:sz w:val="20"/>
                <w:szCs w:val="20"/>
                <w:color w:val="auto"/>
              </w:rPr>
            </w:pPr>
            <w:r>
              <w:rPr>
                <w:rFonts w:ascii="Arial" w:cs="Arial" w:eastAsia="Arial" w:hAnsi="Arial"/>
                <w:sz w:val="14"/>
                <w:szCs w:val="14"/>
                <w:color w:val="auto"/>
                <w:w w:val="96"/>
              </w:rPr>
              <w:t>Fair value measurements at December 28, 2013 using:</w:t>
            </w:r>
          </w:p>
        </w:tc>
      </w:tr>
      <w:tr>
        <w:trPr>
          <w:trHeight w:val="131"/>
        </w:trPr>
        <w:tc>
          <w:tcPr>
            <w:tcW w:w="6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Total estimated</w:t>
            </w:r>
          </w:p>
        </w:tc>
        <w:tc>
          <w:tcPr>
            <w:tcW w:w="60" w:type="dxa"/>
            <w:vAlign w:val="bottom"/>
          </w:tcPr>
          <w:p>
            <w:pPr>
              <w:spacing w:after="0"/>
              <w:rPr>
                <w:sz w:val="11"/>
                <w:szCs w:val="11"/>
                <w:color w:val="auto"/>
              </w:rPr>
            </w:pPr>
          </w:p>
        </w:tc>
      </w:tr>
      <w:tr>
        <w:trPr>
          <w:trHeight w:val="159"/>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78"/>
              <w:spacing w:after="0" w:line="159" w:lineRule="exact"/>
              <w:rPr>
                <w:sz w:val="20"/>
                <w:szCs w:val="20"/>
                <w:color w:val="auto"/>
              </w:rPr>
            </w:pPr>
            <w:r>
              <w:rPr>
                <w:rFonts w:ascii="Arial" w:cs="Arial" w:eastAsia="Arial" w:hAnsi="Arial"/>
                <w:sz w:val="14"/>
                <w:szCs w:val="14"/>
                <w:color w:val="auto"/>
                <w:w w:val="92"/>
              </w:rPr>
              <w:t>Level 1</w:t>
            </w:r>
          </w:p>
        </w:tc>
        <w:tc>
          <w:tcPr>
            <w:tcW w:w="420" w:type="dxa"/>
            <w:vAlign w:val="bottom"/>
          </w:tcPr>
          <w:p>
            <w:pPr>
              <w:spacing w:after="0"/>
              <w:rPr>
                <w:sz w:val="13"/>
                <w:szCs w:val="13"/>
                <w:color w:val="auto"/>
              </w:rPr>
            </w:pPr>
          </w:p>
        </w:tc>
        <w:tc>
          <w:tcPr>
            <w:tcW w:w="96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Level 2</w:t>
            </w:r>
          </w:p>
        </w:tc>
        <w:tc>
          <w:tcPr>
            <w:tcW w:w="640" w:type="dxa"/>
            <w:vAlign w:val="bottom"/>
            <w:gridSpan w:val="3"/>
          </w:tcPr>
          <w:p>
            <w:pPr>
              <w:spacing w:after="0" w:line="159" w:lineRule="exact"/>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1"/>
              </w:rPr>
              <w:t>fair value</w:t>
            </w: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44,165</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1,200</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7,503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7,503</w:t>
            </w:r>
          </w:p>
        </w:tc>
      </w:tr>
      <w:tr>
        <w:trPr>
          <w:trHeight w:val="20"/>
        </w:trPr>
        <w:tc>
          <w:tcPr>
            <w:tcW w:w="6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44,165</w:t>
            </w:r>
          </w:p>
        </w:tc>
        <w:tc>
          <w:tcPr>
            <w:tcW w:w="4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3"/>
              </w:rPr>
              <w:t>$ 8,703</w:t>
            </w:r>
          </w:p>
        </w:tc>
        <w:tc>
          <w:tcPr>
            <w:tcW w:w="4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52,868</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12"/>
          </w:tcPr>
          <w:p>
            <w:pPr>
              <w:jc w:val="right"/>
              <w:ind w:right="520"/>
              <w:spacing w:after="0"/>
              <w:rPr>
                <w:sz w:val="20"/>
                <w:szCs w:val="20"/>
                <w:color w:val="auto"/>
              </w:rPr>
            </w:pPr>
            <w:r>
              <w:rPr>
                <w:rFonts w:ascii="Arial" w:cs="Arial" w:eastAsia="Arial" w:hAnsi="Arial"/>
                <w:sz w:val="14"/>
                <w:szCs w:val="14"/>
                <w:color w:val="auto"/>
                <w:w w:val="96"/>
              </w:rPr>
              <w:t>Fair value measurements at December 29, 2012 using:</w:t>
            </w:r>
          </w:p>
        </w:tc>
      </w:tr>
      <w:tr>
        <w:trPr>
          <w:trHeight w:val="131"/>
        </w:trPr>
        <w:tc>
          <w:tcPr>
            <w:tcW w:w="6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87"/>
              </w:rPr>
              <w:t>Total estimated</w:t>
            </w:r>
          </w:p>
        </w:tc>
        <w:tc>
          <w:tcPr>
            <w:tcW w:w="60" w:type="dxa"/>
            <w:vAlign w:val="bottom"/>
          </w:tcPr>
          <w:p>
            <w:pPr>
              <w:spacing w:after="0"/>
              <w:rPr>
                <w:sz w:val="11"/>
                <w:szCs w:val="11"/>
                <w:color w:val="auto"/>
              </w:rPr>
            </w:pPr>
          </w:p>
        </w:tc>
      </w:tr>
      <w:tr>
        <w:trPr>
          <w:trHeight w:val="159"/>
        </w:trPr>
        <w:tc>
          <w:tcPr>
            <w:tcW w:w="6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78"/>
              <w:spacing w:after="0" w:line="159" w:lineRule="exact"/>
              <w:rPr>
                <w:sz w:val="20"/>
                <w:szCs w:val="20"/>
                <w:color w:val="auto"/>
              </w:rPr>
            </w:pPr>
            <w:r>
              <w:rPr>
                <w:rFonts w:ascii="Arial" w:cs="Arial" w:eastAsia="Arial" w:hAnsi="Arial"/>
                <w:sz w:val="14"/>
                <w:szCs w:val="14"/>
                <w:color w:val="auto"/>
                <w:w w:val="92"/>
              </w:rPr>
              <w:t>Level 1</w:t>
            </w:r>
          </w:p>
        </w:tc>
        <w:tc>
          <w:tcPr>
            <w:tcW w:w="420" w:type="dxa"/>
            <w:vAlign w:val="bottom"/>
          </w:tcPr>
          <w:p>
            <w:pPr>
              <w:spacing w:after="0"/>
              <w:rPr>
                <w:sz w:val="13"/>
                <w:szCs w:val="13"/>
                <w:color w:val="auto"/>
              </w:rPr>
            </w:pPr>
          </w:p>
        </w:tc>
        <w:tc>
          <w:tcPr>
            <w:tcW w:w="960" w:type="dxa"/>
            <w:vAlign w:val="bottom"/>
            <w:gridSpan w:val="3"/>
          </w:tcPr>
          <w:p>
            <w:pPr>
              <w:ind w:left="60"/>
              <w:spacing w:after="0" w:line="159" w:lineRule="exact"/>
              <w:rPr>
                <w:sz w:val="20"/>
                <w:szCs w:val="20"/>
                <w:color w:val="auto"/>
              </w:rPr>
            </w:pPr>
            <w:r>
              <w:rPr>
                <w:rFonts w:ascii="Arial" w:cs="Arial" w:eastAsia="Arial" w:hAnsi="Arial"/>
                <w:sz w:val="14"/>
                <w:szCs w:val="14"/>
                <w:color w:val="auto"/>
              </w:rPr>
              <w:t>Level 2</w:t>
            </w:r>
          </w:p>
        </w:tc>
        <w:tc>
          <w:tcPr>
            <w:tcW w:w="640" w:type="dxa"/>
            <w:vAlign w:val="bottom"/>
            <w:gridSpan w:val="3"/>
          </w:tcPr>
          <w:p>
            <w:pPr>
              <w:spacing w:after="0" w:line="159" w:lineRule="exact"/>
              <w:rPr>
                <w:sz w:val="20"/>
                <w:szCs w:val="20"/>
                <w:color w:val="auto"/>
              </w:rPr>
            </w:pPr>
            <w:r>
              <w:rPr>
                <w:rFonts w:ascii="Arial" w:cs="Arial" w:eastAsia="Arial" w:hAnsi="Arial"/>
                <w:sz w:val="14"/>
                <w:szCs w:val="14"/>
                <w:color w:val="auto"/>
              </w:rPr>
              <w:t>Level 3</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91"/>
              </w:rPr>
              <w:t>fair value</w:t>
            </w:r>
          </w:p>
        </w:tc>
      </w:tr>
      <w:tr>
        <w:trPr>
          <w:trHeight w:val="210"/>
        </w:trPr>
        <w:tc>
          <w:tcPr>
            <w:tcW w:w="6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101,054</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101,054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1,470</w:t>
            </w: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1,470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Government-sponsored enterprise securities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5,951</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5,951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1,754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1,754</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101,054</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$ 9,175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110,229</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20"/>
        <w:spacing w:after="0" w:line="306" w:lineRule="auto"/>
        <w:rPr>
          <w:sz w:val="20"/>
          <w:szCs w:val="20"/>
          <w:color w:val="auto"/>
        </w:rPr>
      </w:pPr>
      <w:r>
        <w:rPr>
          <w:rFonts w:ascii="Arial" w:cs="Arial" w:eastAsia="Arial" w:hAnsi="Arial"/>
          <w:sz w:val="16"/>
          <w:szCs w:val="16"/>
          <w:color w:val="auto"/>
        </w:rPr>
        <w:t>In connection with our purchase of Ismeca on December 31, 2012, we assumed forward exchange contracts and currency option contracts which were used to hedge forecasted foreign currency balances and to mitigate the effect of exchange rate fluctuations of the Swiss Franc. These contracts expired in August 2013. A net loss of approximately $0.3 million was recognized in the statement of operations for the year ended December 28, 2013.</w:t>
      </w:r>
    </w:p>
    <w:p>
      <w:pPr>
        <w:spacing w:after="0" w:line="22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0" w:lineRule="exact"/>
        <w:rPr>
          <w:rFonts w:ascii="Arial" w:cs="Arial" w:eastAsia="Arial" w:hAnsi="Arial"/>
          <w:sz w:val="18"/>
          <w:szCs w:val="18"/>
          <w:b w:val="1"/>
          <w:bCs w:val="1"/>
          <w:color w:val="auto"/>
        </w:rPr>
      </w:pPr>
    </w:p>
    <w:p>
      <w:pPr>
        <w:ind w:left="460" w:right="180"/>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Contribution Retirement Plans </w:t>
      </w:r>
      <w:r>
        <w:rPr>
          <w:rFonts w:ascii="Arial" w:cs="Arial" w:eastAsia="Arial" w:hAnsi="Arial"/>
          <w:sz w:val="18"/>
          <w:szCs w:val="18"/>
          <w:color w:val="auto"/>
        </w:rPr>
        <w:t>– We have a voluntary defined contribution retirement 401(k) plan whereby we match employee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2013, 2012 and 2011 we provided a matching contribution at 1.5% of eligible employee compensation and made contributions to the plan of approximately $0.5 million in all periods.</w:t>
      </w:r>
    </w:p>
    <w:p>
      <w:pPr>
        <w:spacing w:after="0" w:line="51" w:lineRule="exact"/>
        <w:rPr>
          <w:rFonts w:ascii="Arial" w:cs="Arial" w:eastAsia="Arial" w:hAnsi="Arial"/>
          <w:sz w:val="18"/>
          <w:szCs w:val="18"/>
          <w:b w:val="1"/>
          <w:bCs w:val="1"/>
          <w:color w:val="auto"/>
        </w:rPr>
      </w:pPr>
    </w:p>
    <w:p>
      <w:pPr>
        <w:ind w:left="460" w:right="100"/>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Defined Benefit Retirement Plans </w:t>
      </w:r>
      <w:r>
        <w:rPr>
          <w:rFonts w:ascii="Arial" w:cs="Arial" w:eastAsia="Arial" w:hAnsi="Arial"/>
          <w:sz w:val="18"/>
          <w:szCs w:val="18"/>
          <w:color w:val="auto"/>
        </w:rPr>
        <w:t>– We maintain defined benefit plans in certain foreign locations for which the obligations and the net periodic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costs were determined to be immaterial at December 28, 2013. As 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result of the acquisition of Ismeca effective December 31, 2012, we took over the Ismeca Europe Semiconductor BVG Pension Plan in Switzerland (“the Swiss Plan”) and the following discussion relates to the Swiss Plan for the year ended December 28, 2013.</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periodic benefit cost of the Swiss Plan was as follows:</w:t>
      </w:r>
    </w:p>
    <w:p>
      <w:pPr>
        <w:spacing w:after="0" w:line="208"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640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$ 841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40"/>
              <w:spacing w:after="0"/>
              <w:rPr>
                <w:sz w:val="20"/>
                <w:szCs w:val="20"/>
                <w:color w:val="auto"/>
              </w:rPr>
            </w:pPr>
            <w:r>
              <w:rPr>
                <w:rFonts w:ascii="Arial" w:cs="Arial" w:eastAsia="Arial" w:hAnsi="Arial"/>
                <w:sz w:val="18"/>
                <w:szCs w:val="18"/>
                <w:color w:val="auto"/>
              </w:rPr>
              <w:t>Net periodic costs</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$ 972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following table sets forth the projected benefit obligation, the fair value of plan assets, the funded status and the liability we have recorded in our consolidated balance sheet related to the Swiss Plan:</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0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Change in projected benefit obligation:</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000" w:type="dxa"/>
            <w:vAlign w:val="bottom"/>
            <w:gridSpan w:val="3"/>
          </w:tcPr>
          <w:p>
            <w:pPr>
              <w:spacing w:after="0"/>
              <w:rPr>
                <w:sz w:val="20"/>
                <w:szCs w:val="20"/>
                <w:color w:val="auto"/>
              </w:rPr>
            </w:pPr>
            <w:r>
              <w:rPr>
                <w:rFonts w:ascii="Arial" w:cs="Arial" w:eastAsia="Arial" w:hAnsi="Arial"/>
                <w:sz w:val="18"/>
                <w:szCs w:val="18"/>
                <w:color w:val="auto"/>
              </w:rPr>
              <w:t>Benefit obligation at December 31, 2012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(23,541)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Actuarial gain</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Participant contributions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Foreign currency exchange adjustment</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(23,850)</w:t>
            </w:r>
          </w:p>
        </w:tc>
        <w:tc>
          <w:tcPr>
            <w:tcW w:w="0" w:type="dxa"/>
            <w:vAlign w:val="bottom"/>
          </w:tcPr>
          <w:p>
            <w:pPr>
              <w:spacing w:after="0"/>
              <w:rPr>
                <w:sz w:val="1"/>
                <w:szCs w:val="1"/>
                <w:color w:val="auto"/>
              </w:rPr>
            </w:pPr>
          </w:p>
        </w:tc>
      </w:tr>
      <w:tr>
        <w:trPr>
          <w:trHeight w:val="322"/>
        </w:trPr>
        <w:tc>
          <w:tcPr>
            <w:tcW w:w="7000" w:type="dxa"/>
            <w:vAlign w:val="bottom"/>
            <w:gridSpan w:val="3"/>
          </w:tcPr>
          <w:p>
            <w:pPr>
              <w:spacing w:after="0"/>
              <w:rPr>
                <w:sz w:val="20"/>
                <w:szCs w:val="20"/>
                <w:color w:val="auto"/>
              </w:rPr>
            </w:pPr>
            <w:r>
              <w:rPr>
                <w:rFonts w:ascii="Arial" w:cs="Arial" w:eastAsia="Arial" w:hAnsi="Arial"/>
                <w:sz w:val="18"/>
                <w:szCs w:val="18"/>
                <w:color w:val="auto"/>
              </w:rPr>
              <w:t>Change in plan assets: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December 31, 2012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15,236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Return on assets, net of actuarial loss</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Participant contributions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Foreign currency exchange adjustment</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7000" w:type="dxa"/>
            <w:vAlign w:val="bottom"/>
            <w:gridSpan w:val="3"/>
          </w:tcPr>
          <w:p>
            <w:pPr>
              <w:spacing w:after="0"/>
              <w:rPr>
                <w:sz w:val="20"/>
                <w:szCs w:val="20"/>
                <w:color w:val="auto"/>
              </w:rPr>
            </w:pPr>
            <w:r>
              <w:rPr>
                <w:rFonts w:ascii="Arial" w:cs="Arial" w:eastAsia="Arial" w:hAnsi="Arial"/>
                <w:sz w:val="18"/>
                <w:szCs w:val="18"/>
                <w:color w:val="auto"/>
              </w:rPr>
              <w:t>Net liability at December 28, 2013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2" w:lineRule="auto"/>
        <w:rPr>
          <w:sz w:val="20"/>
          <w:szCs w:val="20"/>
          <w:color w:val="auto"/>
        </w:rPr>
      </w:pPr>
      <w:r>
        <w:rPr>
          <w:rFonts w:ascii="Arial" w:cs="Arial" w:eastAsia="Arial" w:hAnsi="Arial"/>
          <w:sz w:val="16"/>
          <w:szCs w:val="16"/>
          <w:color w:val="auto"/>
        </w:rPr>
        <w:t>At December 28, 2013, the net liability of the Swiss Plan is included in noncurrent accrued retirement benefits. Amounts recognized in accumulated other comprehensive income at December 28, 2013 related to the Swiss Plan consisted of an unrecognized net actuarial gain totaling $1.0 million.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Weighted-average actuarial assumptions used to determine the benefit obligation under the Swiss Plan are as follows:</w:t>
      </w:r>
    </w:p>
    <w:p>
      <w:pPr>
        <w:spacing w:after="0" w:line="30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2013</w:t>
            </w:r>
          </w:p>
        </w:tc>
        <w:tc>
          <w:tcPr>
            <w:tcW w:w="200" w:type="dxa"/>
            <w:vAlign w:val="bottom"/>
            <w:tcBorders>
              <w:bottom w:val="single" w:sz="8" w:color="CCEEFF"/>
            </w:tcBorders>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w:t>
            </w:r>
          </w:p>
        </w:tc>
      </w:tr>
      <w:tr>
        <w:trPr>
          <w:trHeight w:val="222"/>
        </w:trPr>
        <w:tc>
          <w:tcPr>
            <w:tcW w:w="138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Compensation increase</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2.0%</w:t>
            </w:r>
          </w:p>
        </w:tc>
      </w:tr>
      <w:tr>
        <w:trPr>
          <w:trHeight w:val="289"/>
        </w:trPr>
        <w:tc>
          <w:tcPr>
            <w:tcW w:w="8660" w:type="dxa"/>
            <w:vAlign w:val="bottom"/>
            <w:gridSpan w:val="2"/>
          </w:tcPr>
          <w:p>
            <w:pPr>
              <w:jc w:val="right"/>
              <w:ind w:right="1032"/>
              <w:spacing w:after="0"/>
              <w:rPr>
                <w:sz w:val="20"/>
                <w:szCs w:val="20"/>
                <w:color w:val="auto"/>
              </w:rPr>
            </w:pPr>
            <w:r>
              <w:rPr>
                <w:rFonts w:ascii="Arial" w:cs="Arial" w:eastAsia="Arial" w:hAnsi="Arial"/>
                <w:sz w:val="18"/>
                <w:szCs w:val="18"/>
                <w:color w:val="auto"/>
                <w:w w:val="87"/>
              </w:rPr>
              <w:t>Weighted-average assumptions used to determine net periodic benefit cost of the Swiss Plan are as follows:</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8"/>
        </w:trPr>
        <w:tc>
          <w:tcPr>
            <w:tcW w:w="1380" w:type="dxa"/>
            <w:vAlign w:val="bottom"/>
          </w:tcPr>
          <w:p>
            <w:pPr>
              <w:spacing w:after="0"/>
              <w:rPr>
                <w:sz w:val="24"/>
                <w:szCs w:val="24"/>
                <w:color w:val="auto"/>
              </w:rPr>
            </w:pPr>
          </w:p>
        </w:tc>
        <w:tc>
          <w:tcPr>
            <w:tcW w:w="7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2013</w:t>
            </w:r>
          </w:p>
        </w:tc>
        <w:tc>
          <w:tcPr>
            <w:tcW w:w="200" w:type="dxa"/>
            <w:vAlign w:val="bottom"/>
            <w:tcBorders>
              <w:bottom w:val="single" w:sz="8" w:color="CCEEFF"/>
            </w:tcBorders>
          </w:tcPr>
          <w:p>
            <w:pPr>
              <w:spacing w:after="0"/>
              <w:rPr>
                <w:sz w:val="24"/>
                <w:szCs w:val="24"/>
                <w:color w:val="auto"/>
              </w:rPr>
            </w:pPr>
          </w:p>
        </w:tc>
      </w:tr>
      <w:tr>
        <w:trPr>
          <w:trHeight w:val="210"/>
        </w:trPr>
        <w:tc>
          <w:tcPr>
            <w:tcW w:w="1380" w:type="dxa"/>
            <w:vAlign w:val="bottom"/>
          </w:tcPr>
          <w:p>
            <w:pPr>
              <w:spacing w:after="0"/>
              <w:rPr>
                <w:sz w:val="18"/>
                <w:szCs w:val="18"/>
                <w:color w:val="auto"/>
              </w:rPr>
            </w:pP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w:t>
            </w:r>
          </w:p>
        </w:tc>
      </w:tr>
      <w:tr>
        <w:trPr>
          <w:trHeight w:val="216"/>
        </w:trPr>
        <w:tc>
          <w:tcPr>
            <w:tcW w:w="138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Rate of return on Assets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1.8%</w:t>
            </w:r>
          </w:p>
        </w:tc>
      </w:tr>
      <w:tr>
        <w:trPr>
          <w:trHeight w:val="216"/>
        </w:trPr>
        <w:tc>
          <w:tcPr>
            <w:tcW w:w="13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Compensation increase</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w:t>
            </w:r>
          </w:p>
        </w:tc>
      </w:tr>
      <w:tr>
        <w:trPr>
          <w:trHeight w:val="363"/>
        </w:trPr>
        <w:tc>
          <w:tcPr>
            <w:tcW w:w="8660" w:type="dxa"/>
            <w:vAlign w:val="bottom"/>
            <w:gridSpan w:val="2"/>
          </w:tcPr>
          <w:p>
            <w:pPr>
              <w:jc w:val="right"/>
              <w:ind w:right="323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During 2014 employer and employee respective contributions to the Swiss Plan are expected to total $0.7 million. Estimated benefit payments are expected to be as follows: 2014 - $0.8 million; 2015 - $0.7 million; 2016 - $0.8 million; 2017 - $0.8 million; 2018 - $0.8 million; and $6.0 million thereafter through 2023.</w:t>
      </w:r>
    </w:p>
    <w:p>
      <w:pPr>
        <w:spacing w:after="0" w:line="59" w:lineRule="exact"/>
        <w:rPr>
          <w:sz w:val="20"/>
          <w:szCs w:val="20"/>
          <w:color w:val="auto"/>
        </w:rPr>
      </w:pPr>
    </w:p>
    <w:p>
      <w:pPr>
        <w:ind w:left="460"/>
        <w:spacing w:after="0" w:line="323" w:lineRule="auto"/>
        <w:rPr>
          <w:sz w:val="20"/>
          <w:szCs w:val="20"/>
          <w:color w:val="auto"/>
        </w:rPr>
      </w:pPr>
      <w:r>
        <w:rPr>
          <w:rFonts w:ascii="Arial" w:cs="Arial" w:eastAsia="Arial" w:hAnsi="Arial"/>
          <w:sz w:val="15"/>
          <w:szCs w:val="15"/>
          <w:color w:val="auto"/>
        </w:rPr>
        <w:t>As is customary with Swiss pension plans, the assets of the plan are invested in a collective fund with multiple employers. We have no investment authority over the assets of the plan that are held and invested by a Swiss insurance company. Investment holdings are made with respect to Swiss laws and target allocations for plan assets are 54% debt securities, 25% real estate investments, 15% equity securities, 1% cash, and 5% alternative investments. All assets of the plan fall within Level 2 of the fair value hierarchy. See Note 3 for a description of the levels of inputs used to determine fair value measurement.</w:t>
      </w:r>
    </w:p>
    <w:p>
      <w:pPr>
        <w:spacing w:after="0" w:line="11" w:lineRule="exact"/>
        <w:rPr>
          <w:sz w:val="20"/>
          <w:szCs w:val="20"/>
          <w:color w:val="auto"/>
        </w:rPr>
      </w:pPr>
    </w:p>
    <w:p>
      <w:pPr>
        <w:ind w:left="460" w:right="160"/>
        <w:spacing w:after="0" w:line="262" w:lineRule="auto"/>
        <w:rPr>
          <w:sz w:val="20"/>
          <w:szCs w:val="20"/>
          <w:color w:val="auto"/>
        </w:rPr>
      </w:pPr>
      <w:r>
        <w:rPr>
          <w:rFonts w:ascii="Arial" w:cs="Arial" w:eastAsia="Arial" w:hAnsi="Arial"/>
          <w:sz w:val="18"/>
          <w:szCs w:val="18"/>
          <w:b w:val="1"/>
          <w:bCs w:val="1"/>
          <w:color w:val="auto"/>
        </w:rPr>
        <w:t xml:space="preserve">Retiree Medical Benefits </w:t>
      </w:r>
      <w:r>
        <w:rPr>
          <w:rFonts w:ascii="Arial" w:cs="Arial" w:eastAsia="Arial" w:hAnsi="Arial"/>
          <w:sz w:val="18"/>
          <w:szCs w:val="18"/>
          <w:color w:val="auto"/>
        </w:rPr>
        <w:t>– We provide post-retirement health benefits to certain executives and directors under a noncontributory plan. The net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cost was $0.1 million, $0.3 million and $0.4 million in 2013, 2012 and 2011, respectively. We fund benefits as costs are incurred and as a result there are no plan assets.</w:t>
      </w:r>
    </w:p>
    <w:p>
      <w:pPr>
        <w:spacing w:after="0" w:line="57" w:lineRule="exact"/>
        <w:rPr>
          <w:sz w:val="20"/>
          <w:szCs w:val="20"/>
          <w:color w:val="auto"/>
        </w:rPr>
      </w:pPr>
    </w:p>
    <w:p>
      <w:pPr>
        <w:ind w:left="460" w:right="60"/>
        <w:spacing w:after="0" w:line="255" w:lineRule="auto"/>
        <w:rPr>
          <w:sz w:val="20"/>
          <w:szCs w:val="20"/>
          <w:color w:val="auto"/>
        </w:rPr>
      </w:pPr>
      <w:r>
        <w:rPr>
          <w:rFonts w:ascii="Arial" w:cs="Arial" w:eastAsia="Arial" w:hAnsi="Arial"/>
          <w:sz w:val="18"/>
          <w:szCs w:val="18"/>
          <w:color w:val="auto"/>
        </w:rPr>
        <w:t>The weighted average discount rate used in determining the accumulated post-retirement benefit obligation was 4.6% in 2013, 3.7% in 2012 and 4.2% in 2011. Annual rates of increase of the cost of health benefits were assumed to be 8.5% in 2014. These rates were then assumed to decrease 0.5% per year to 5.0% in 2021 and remain level thereafter. A one percent increase (decrease) in health care cost trend rates would increase (decrease) the 2013 net periodic benefit cost by approximately $13,000 ($13,000) and the accumulated post-retirement benefit obligation as of December 28, 2013, by approximately $252,000 ($212,000).</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post-retirement benefit obligation, funded status and the liability we have recorded in our consolidated balance sheets: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gridSpan w:val="2"/>
          </w:tcPr>
          <w:p>
            <w:pPr>
              <w:jc w:val="right"/>
              <w:ind w:right="52"/>
              <w:spacing w:after="0"/>
              <w:rPr>
                <w:sz w:val="20"/>
                <w:szCs w:val="20"/>
                <w:color w:val="auto"/>
              </w:rPr>
            </w:pPr>
            <w:r>
              <w:rPr>
                <w:rFonts w:ascii="Arial" w:cs="Arial" w:eastAsia="Arial" w:hAnsi="Arial"/>
                <w:sz w:val="14"/>
                <w:szCs w:val="14"/>
                <w:color w:val="auto"/>
              </w:rPr>
              <w:t>2013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ind w:right="5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Accumulated benefit obligation at beginning of year</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$ 2,366</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Service cost</w:t>
            </w: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15</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86</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8860" w:type="dxa"/>
            <w:vAlign w:val="bottom"/>
            <w:gridSpan w:val="2"/>
          </w:tcPr>
          <w:p>
            <w:pPr>
              <w:ind w:left="220"/>
              <w:spacing w:after="0"/>
              <w:rPr>
                <w:sz w:val="20"/>
                <w:szCs w:val="20"/>
                <w:color w:val="auto"/>
              </w:rPr>
            </w:pPr>
            <w:r>
              <w:rPr>
                <w:rFonts w:ascii="Arial" w:cs="Arial" w:eastAsia="Arial" w:hAnsi="Arial"/>
                <w:sz w:val="18"/>
                <w:szCs w:val="18"/>
                <w:color w:val="auto"/>
              </w:rPr>
              <w:t>Actuarial gain</w:t>
            </w: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(386)</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Accumulated benefit obligation at end of year</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2,021</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8"/>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at end of year</w:t>
            </w: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Funded status</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gridSpan w:val="2"/>
            <w:vMerge w:val="continue"/>
          </w:tcPr>
          <w:p>
            <w:pPr>
              <w:spacing w:after="0"/>
              <w:rPr>
                <w:sz w:val="19"/>
                <w:szCs w:val="19"/>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60"/>
        <w:spacing w:after="0" w:line="296" w:lineRule="auto"/>
        <w:rPr>
          <w:sz w:val="20"/>
          <w:szCs w:val="20"/>
          <w:color w:val="auto"/>
        </w:rPr>
      </w:pPr>
      <w:r>
        <w:rPr>
          <w:rFonts w:ascii="Arial" w:cs="Arial" w:eastAsia="Arial" w:hAnsi="Arial"/>
          <w:sz w:val="16"/>
          <w:szCs w:val="16"/>
          <w:b w:val="1"/>
          <w:bCs w:val="1"/>
          <w:color w:val="auto"/>
        </w:rPr>
        <w:t xml:space="preserve">Deferred Compensation </w:t>
      </w:r>
      <w:r>
        <w:rPr>
          <w:rFonts w:ascii="Arial" w:cs="Arial" w:eastAsia="Arial" w:hAnsi="Arial"/>
          <w:sz w:val="16"/>
          <w:szCs w:val="16"/>
          <w:color w:val="auto"/>
        </w:rPr>
        <w:t>– The Cohu, Inc. Deferred Compensation Plan allows certain of our officers to defer a portion of their current compensation.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purchased life insurance policies on the participants with Cohu as the named beneficiary. Participant contributions, distributions and investment earnings and losses are accumulated in a separate account for each participant. At December 28, 2013 and December 29, 2012, the payroll liability to participants, included in accrued compensation and benefits in the consolidated balance sheet, was approximately $2.4 million and $2.1 million and the cash surrender value of the related life insurance policies included in other current assets was approximately $2.1 million and $1.7 million, respectively.</w:t>
      </w:r>
    </w:p>
    <w:p>
      <w:pPr>
        <w:spacing w:after="0" w:line="27" w:lineRule="exact"/>
        <w:rPr>
          <w:sz w:val="20"/>
          <w:szCs w:val="20"/>
          <w:color w:val="auto"/>
        </w:rPr>
      </w:pPr>
    </w:p>
    <w:p>
      <w:pPr>
        <w:ind w:left="460" w:right="60"/>
        <w:spacing w:after="0" w:line="301"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provides for the issuance of a maximum of 1,900,000</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our common stock. Under the Plan, eligible employees may purchase shares of common stock through payroll deductions. The price paid for the common stock is equal to 85% of the fair market value of our common stock on specified dates. In 2013, 2012, and 2011, 163,120, 151,812 and 120,240 shares, respectively, were issued under the Plan. At December 28, 2013, there were 322,422 shares reserved for issuance under the Plan.</w:t>
      </w:r>
    </w:p>
    <w:p>
      <w:pPr>
        <w:spacing w:after="0" w:line="22"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 Under our equity incentive plans, stock options may be granted to employees, consultants and outside directors to purchase a fixed</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shares of our common stock at prices not less than 100% of the fair market value at the date of grant. Options generally vest and become exercisable after one year or in four annual increments beginning one year after the grant date and expire ten years from the grant date. At December 28, 2013, 1,199,077 shares were available for future equity grants under the Cohu, Inc. 2005 Equity Incentive Plan. We have historically issued new shares of Cohu common stock upon share option exercise.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gridSpan w:val="2"/>
          </w:tcPr>
          <w:p>
            <w:pPr>
              <w:spacing w:after="0" w:line="131" w:lineRule="exact"/>
              <w:rPr>
                <w:sz w:val="20"/>
                <w:szCs w:val="20"/>
                <w:color w:val="auto"/>
              </w:rPr>
            </w:pPr>
            <w:r>
              <w:rPr>
                <w:rFonts w:ascii="Arial" w:cs="Arial" w:eastAsia="Arial" w:hAnsi="Arial"/>
                <w:sz w:val="14"/>
                <w:szCs w:val="14"/>
                <w:color w:val="auto"/>
                <w:w w:val="90"/>
              </w:rPr>
              <w:t>Wt. Avg.</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6"/>
              </w:rPr>
              <w:t>Wt. Avg.</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6"/>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40" w:type="dxa"/>
            <w:vAlign w:val="bottom"/>
            <w:gridSpan w:val="3"/>
            <w:vMerge w:val="continue"/>
          </w:tcPr>
          <w:p>
            <w:pPr>
              <w:spacing w:after="0"/>
              <w:rPr>
                <w:sz w:val="12"/>
                <w:szCs w:val="12"/>
                <w:color w:val="auto"/>
              </w:rPr>
            </w:pPr>
          </w:p>
        </w:tc>
        <w:tc>
          <w:tcPr>
            <w:tcW w:w="7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85"/>
              </w:rPr>
              <w:t>Shares</w:t>
            </w:r>
          </w:p>
        </w:tc>
        <w:tc>
          <w:tcPr>
            <w:tcW w:w="760" w:type="dxa"/>
            <w:vAlign w:val="bottom"/>
            <w:gridSpan w:val="3"/>
          </w:tcPr>
          <w:p>
            <w:pPr>
              <w:spacing w:after="0" w:line="146" w:lineRule="exact"/>
              <w:rPr>
                <w:sz w:val="20"/>
                <w:szCs w:val="20"/>
                <w:color w:val="auto"/>
              </w:rPr>
            </w:pPr>
            <w:r>
              <w:rPr>
                <w:rFonts w:ascii="Arial" w:cs="Arial" w:eastAsia="Arial" w:hAnsi="Arial"/>
                <w:sz w:val="14"/>
                <w:szCs w:val="14"/>
                <w:color w:val="auto"/>
              </w:rPr>
              <w:t>Ex. Price</w:t>
            </w:r>
          </w:p>
        </w:tc>
        <w:tc>
          <w:tcPr>
            <w:tcW w:w="7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85"/>
              </w:rPr>
              <w:t>Shares</w:t>
            </w:r>
          </w:p>
        </w:tc>
        <w:tc>
          <w:tcPr>
            <w:tcW w:w="780" w:type="dxa"/>
            <w:vAlign w:val="bottom"/>
            <w:gridSpan w:val="3"/>
          </w:tcPr>
          <w:p>
            <w:pPr>
              <w:spacing w:after="0" w:line="146" w:lineRule="exact"/>
              <w:rPr>
                <w:sz w:val="20"/>
                <w:szCs w:val="20"/>
                <w:color w:val="auto"/>
              </w:rPr>
            </w:pPr>
            <w:r>
              <w:rPr>
                <w:rFonts w:ascii="Arial" w:cs="Arial" w:eastAsia="Arial" w:hAnsi="Arial"/>
                <w:sz w:val="14"/>
                <w:szCs w:val="14"/>
                <w:color w:val="auto"/>
              </w:rPr>
              <w:t>Ex. Price</w:t>
            </w:r>
          </w:p>
        </w:tc>
        <w:tc>
          <w:tcPr>
            <w:tcW w:w="760" w:type="dxa"/>
            <w:vAlign w:val="bottom"/>
            <w:gridSpan w:val="2"/>
          </w:tcPr>
          <w:p>
            <w:pPr>
              <w:jc w:val="right"/>
              <w:ind w:right="360"/>
              <w:spacing w:after="0" w:line="146" w:lineRule="exact"/>
              <w:rPr>
                <w:sz w:val="20"/>
                <w:szCs w:val="20"/>
                <w:color w:val="auto"/>
              </w:rPr>
            </w:pPr>
            <w:r>
              <w:rPr>
                <w:rFonts w:ascii="Arial" w:cs="Arial" w:eastAsia="Arial" w:hAnsi="Arial"/>
                <w:sz w:val="14"/>
                <w:szCs w:val="14"/>
                <w:color w:val="auto"/>
                <w:w w:val="85"/>
              </w:rPr>
              <w:t>Shares</w:t>
            </w:r>
          </w:p>
        </w:tc>
        <w:tc>
          <w:tcPr>
            <w:tcW w:w="560" w:type="dxa"/>
            <w:vAlign w:val="bottom"/>
            <w:gridSpan w:val="3"/>
          </w:tcPr>
          <w:p>
            <w:pPr>
              <w:spacing w:after="0" w:line="146" w:lineRule="exact"/>
              <w:rPr>
                <w:sz w:val="20"/>
                <w:szCs w:val="20"/>
                <w:color w:val="auto"/>
              </w:rPr>
            </w:pPr>
            <w:r>
              <w:rPr>
                <w:rFonts w:ascii="Arial" w:cs="Arial" w:eastAsia="Arial" w:hAnsi="Arial"/>
                <w:sz w:val="14"/>
                <w:szCs w:val="14"/>
                <w:color w:val="auto"/>
                <w:w w:val="96"/>
              </w:rPr>
              <w:t>Ex. 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CCEEFF"/>
            </w:tcBorders>
            <w:shd w:val="clear" w:color="auto" w:fill="000000"/>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3,113</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12.62</w:t>
            </w: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3,112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13.01</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3,210</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12.89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9.83</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437</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10.50</w:t>
            </w: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16.37</w:t>
            </w:r>
          </w:p>
        </w:tc>
        <w:tc>
          <w:tcPr>
            <w:tcW w:w="2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14.29</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3,086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12.62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13.01</w:t>
            </w:r>
          </w:p>
        </w:tc>
        <w:tc>
          <w:tcPr>
            <w:tcW w:w="0" w:type="dxa"/>
            <w:vAlign w:val="bottom"/>
          </w:tcPr>
          <w:p>
            <w:pPr>
              <w:spacing w:after="0"/>
              <w:rPr>
                <w:sz w:val="1"/>
                <w:szCs w:val="1"/>
                <w:color w:val="auto"/>
              </w:rPr>
            </w:pPr>
          </w:p>
        </w:tc>
      </w:tr>
      <w:tr>
        <w:trPr>
          <w:trHeight w:val="20"/>
        </w:trPr>
        <w:tc>
          <w:tcPr>
            <w:tcW w:w="704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040" w:type="dxa"/>
            <w:vAlign w:val="bottom"/>
            <w:gridSpan w:val="3"/>
          </w:tcPr>
          <w:p>
            <w:pPr>
              <w:spacing w:after="0"/>
              <w:rPr>
                <w:sz w:val="20"/>
                <w:szCs w:val="20"/>
                <w:color w:val="auto"/>
              </w:rPr>
            </w:pPr>
            <w:r>
              <w:rPr>
                <w:rFonts w:ascii="Arial" w:cs="Arial" w:eastAsia="Arial" w:hAnsi="Arial"/>
                <w:sz w:val="18"/>
                <w:szCs w:val="18"/>
                <w:color w:val="auto"/>
              </w:rPr>
              <w:t>Options exercisable at year end</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2,195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12.46</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2,209</w:t>
            </w: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13.52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2,112</w:t>
            </w: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14.44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aggregate intrinsic value of options exercised during 2013, 2012 and 2011 was approximately $0.4 million, $0.2 million, and $0.6 million, respectively. At December 28, 2013, the aggregate intrinsic value of options outstanding, vested and expected to vest were each approximately $2.4 million and the aggregate intrinsic value of options exercisable was approximately $2.1 million.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Information about stock options outstanding at December 28, 2013 is as follows </w:t>
      </w:r>
      <w:r>
        <w:rPr>
          <w:rFonts w:ascii="Arial" w:cs="Arial" w:eastAsia="Arial" w:hAnsi="Arial"/>
          <w:sz w:val="18"/>
          <w:szCs w:val="18"/>
          <w:i w:val="1"/>
          <w:iCs w:val="1"/>
          <w:color w:val="auto"/>
        </w:rPr>
        <w:t>(options 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color w:val="auto"/>
                <w:w w:val="98"/>
              </w:rPr>
              <w:t>Options Outstanding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6"/>
          </w:tcPr>
          <w:p>
            <w:pPr>
              <w:jc w:val="right"/>
              <w:ind w:right="300"/>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ind w:right="280"/>
              <w:spacing w:after="0" w:line="131" w:lineRule="exact"/>
              <w:rPr>
                <w:sz w:val="20"/>
                <w:szCs w:val="20"/>
                <w:color w:val="auto"/>
              </w:rPr>
            </w:pPr>
            <w:r>
              <w:rPr>
                <w:rFonts w:ascii="Arial" w:cs="Arial" w:eastAsia="Arial" w:hAnsi="Arial"/>
                <w:sz w:val="14"/>
                <w:szCs w:val="14"/>
                <w:color w:val="auto"/>
                <w:w w:val="89"/>
              </w:rPr>
              <w:t>Approximate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580" w:type="dxa"/>
            <w:vAlign w:val="bottom"/>
            <w:gridSpan w:val="4"/>
            <w:vMerge w:val="restart"/>
          </w:tcPr>
          <w:p>
            <w:pPr>
              <w:spacing w:after="0"/>
              <w:rPr>
                <w:sz w:val="20"/>
                <w:szCs w:val="20"/>
                <w:color w:val="auto"/>
              </w:rPr>
            </w:pPr>
            <w:r>
              <w:rPr>
                <w:rFonts w:ascii="Arial" w:cs="Arial" w:eastAsia="Arial" w:hAnsi="Arial"/>
                <w:sz w:val="14"/>
                <w:szCs w:val="14"/>
                <w:color w:val="auto"/>
              </w:rPr>
              <w:t>Range of</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Wt. Avg.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80" w:type="dxa"/>
            <w:vAlign w:val="bottom"/>
            <w:gridSpan w:val="4"/>
            <w:vMerge w:val="continue"/>
          </w:tcPr>
          <w:p>
            <w:pPr>
              <w:spacing w:after="0"/>
              <w:rPr>
                <w:sz w:val="11"/>
                <w:szCs w:val="11"/>
                <w:color w:val="auto"/>
              </w:rPr>
            </w:pPr>
          </w:p>
        </w:tc>
        <w:tc>
          <w:tcPr>
            <w:tcW w:w="740" w:type="dxa"/>
            <w:vAlign w:val="bottom"/>
            <w:gridSpan w:val="2"/>
          </w:tcPr>
          <w:p>
            <w:pPr>
              <w:jc w:val="center"/>
              <w:ind w:right="100"/>
              <w:spacing w:after="0" w:line="133" w:lineRule="exact"/>
              <w:rPr>
                <w:sz w:val="20"/>
                <w:szCs w:val="20"/>
                <w:color w:val="auto"/>
              </w:rPr>
            </w:pPr>
            <w:r>
              <w:rPr>
                <w:rFonts w:ascii="Arial" w:cs="Arial" w:eastAsia="Arial" w:hAnsi="Arial"/>
                <w:sz w:val="14"/>
                <w:szCs w:val="14"/>
                <w:color w:val="auto"/>
                <w:w w:val="88"/>
              </w:rPr>
              <w:t>Number</w:t>
            </w:r>
          </w:p>
        </w:tc>
        <w:tc>
          <w:tcPr>
            <w:tcW w:w="360" w:type="dxa"/>
            <w:vAlign w:val="bottom"/>
          </w:tcPr>
          <w:p>
            <w:pPr>
              <w:spacing w:after="0"/>
              <w:rPr>
                <w:sz w:val="11"/>
                <w:szCs w:val="11"/>
                <w:color w:val="auto"/>
              </w:rPr>
            </w:pPr>
          </w:p>
        </w:tc>
        <w:tc>
          <w:tcPr>
            <w:tcW w:w="1000" w:type="dxa"/>
            <w:vAlign w:val="bottom"/>
            <w:gridSpan w:val="2"/>
          </w:tcPr>
          <w:p>
            <w:pPr>
              <w:jc w:val="center"/>
              <w:ind w:right="280"/>
              <w:spacing w:after="0" w:line="133" w:lineRule="exact"/>
              <w:rPr>
                <w:sz w:val="20"/>
                <w:szCs w:val="20"/>
                <w:color w:val="auto"/>
              </w:rPr>
            </w:pPr>
            <w:r>
              <w:rPr>
                <w:rFonts w:ascii="Arial" w:cs="Arial" w:eastAsia="Arial" w:hAnsi="Arial"/>
                <w:sz w:val="14"/>
                <w:szCs w:val="14"/>
                <w:color w:val="auto"/>
                <w:w w:val="89"/>
              </w:rPr>
              <w:t>Remaining</w:t>
            </w:r>
          </w:p>
        </w:tc>
        <w:tc>
          <w:tcPr>
            <w:tcW w:w="160" w:type="dxa"/>
            <w:vAlign w:val="bottom"/>
          </w:tcPr>
          <w:p>
            <w:pPr>
              <w:spacing w:after="0"/>
              <w:rPr>
                <w:sz w:val="11"/>
                <w:szCs w:val="11"/>
                <w:color w:val="auto"/>
              </w:rPr>
            </w:pPr>
          </w:p>
        </w:tc>
        <w:tc>
          <w:tcPr>
            <w:tcW w:w="940" w:type="dxa"/>
            <w:vAlign w:val="bottom"/>
            <w:gridSpan w:val="3"/>
          </w:tcPr>
          <w:p>
            <w:pPr>
              <w:spacing w:after="0" w:line="133" w:lineRule="exact"/>
              <w:rPr>
                <w:sz w:val="20"/>
                <w:szCs w:val="20"/>
                <w:color w:val="auto"/>
              </w:rPr>
            </w:pPr>
            <w:r>
              <w:rPr>
                <w:rFonts w:ascii="Arial" w:cs="Arial" w:eastAsia="Arial" w:hAnsi="Arial"/>
                <w:sz w:val="14"/>
                <w:szCs w:val="14"/>
                <w:color w:val="auto"/>
              </w:rPr>
              <w:t>Wt. Avg.</w:t>
            </w:r>
          </w:p>
        </w:tc>
        <w:tc>
          <w:tcPr>
            <w:tcW w:w="860" w:type="dxa"/>
            <w:vAlign w:val="bottom"/>
            <w:gridSpan w:val="2"/>
          </w:tcPr>
          <w:p>
            <w:pPr>
              <w:jc w:val="right"/>
              <w:ind w:right="320"/>
              <w:spacing w:after="0" w:line="133" w:lineRule="exact"/>
              <w:rPr>
                <w:sz w:val="20"/>
                <w:szCs w:val="20"/>
                <w:color w:val="auto"/>
              </w:rPr>
            </w:pPr>
            <w:r>
              <w:rPr>
                <w:rFonts w:ascii="Arial" w:cs="Arial" w:eastAsia="Arial" w:hAnsi="Arial"/>
                <w:sz w:val="14"/>
                <w:szCs w:val="14"/>
                <w:color w:val="auto"/>
              </w:rPr>
              <w:t>Number</w:t>
            </w:r>
          </w:p>
        </w:tc>
        <w:tc>
          <w:tcPr>
            <w:tcW w:w="220" w:type="dxa"/>
            <w:vAlign w:val="bottom"/>
          </w:tcPr>
          <w:p>
            <w:pPr>
              <w:spacing w:after="0"/>
              <w:rPr>
                <w:sz w:val="11"/>
                <w:szCs w:val="11"/>
                <w:color w:val="auto"/>
              </w:rPr>
            </w:pPr>
          </w:p>
        </w:tc>
        <w:tc>
          <w:tcPr>
            <w:tcW w:w="560" w:type="dxa"/>
            <w:vAlign w:val="bottom"/>
            <w:gridSpan w:val="3"/>
          </w:tcPr>
          <w:p>
            <w:pPr>
              <w:ind w:left="20"/>
              <w:spacing w:after="0" w:line="133" w:lineRule="exact"/>
              <w:rPr>
                <w:sz w:val="20"/>
                <w:szCs w:val="20"/>
                <w:color w:val="auto"/>
              </w:rPr>
            </w:pPr>
            <w:r>
              <w:rPr>
                <w:rFonts w:ascii="Arial" w:cs="Arial" w:eastAsia="Arial" w:hAnsi="Arial"/>
                <w:sz w:val="14"/>
                <w:szCs w:val="14"/>
                <w:color w:val="auto"/>
                <w:w w:val="98"/>
              </w:rPr>
              <w:t>Wt. Avg.</w:t>
            </w:r>
          </w:p>
        </w:tc>
        <w:tc>
          <w:tcPr>
            <w:tcW w:w="0" w:type="dxa"/>
            <w:vAlign w:val="bottom"/>
          </w:tcPr>
          <w:p>
            <w:pPr>
              <w:spacing w:after="0"/>
              <w:rPr>
                <w:sz w:val="1"/>
                <w:szCs w:val="1"/>
                <w:color w:val="auto"/>
              </w:rPr>
            </w:pPr>
          </w:p>
        </w:tc>
      </w:tr>
      <w:tr>
        <w:trPr>
          <w:trHeight w:val="149"/>
        </w:trPr>
        <w:tc>
          <w:tcPr>
            <w:tcW w:w="6580" w:type="dxa"/>
            <w:vAlign w:val="bottom"/>
            <w:gridSpan w:val="4"/>
          </w:tcPr>
          <w:p>
            <w:pPr>
              <w:spacing w:after="0" w:line="129" w:lineRule="exact"/>
              <w:rPr>
                <w:sz w:val="20"/>
                <w:szCs w:val="20"/>
                <w:color w:val="auto"/>
              </w:rPr>
            </w:pPr>
            <w:r>
              <w:rPr>
                <w:rFonts w:ascii="Arial" w:cs="Arial" w:eastAsia="Arial" w:hAnsi="Arial"/>
                <w:sz w:val="14"/>
                <w:szCs w:val="14"/>
                <w:color w:val="auto"/>
              </w:rPr>
              <w:t>Exercise Prices</w:t>
            </w:r>
          </w:p>
        </w:tc>
        <w:tc>
          <w:tcPr>
            <w:tcW w:w="74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87"/>
              </w:rPr>
              <w:t>Outstanding</w:t>
            </w:r>
          </w:p>
        </w:tc>
        <w:tc>
          <w:tcPr>
            <w:tcW w:w="360" w:type="dxa"/>
            <w:vAlign w:val="bottom"/>
          </w:tcPr>
          <w:p>
            <w:pPr>
              <w:spacing w:after="0"/>
              <w:rPr>
                <w:sz w:val="12"/>
                <w:szCs w:val="12"/>
                <w:color w:val="auto"/>
              </w:rPr>
            </w:pPr>
          </w:p>
        </w:tc>
        <w:tc>
          <w:tcPr>
            <w:tcW w:w="100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8"/>
              </w:rPr>
              <w:t>Life (Years)</w:t>
            </w:r>
          </w:p>
        </w:tc>
        <w:tc>
          <w:tcPr>
            <w:tcW w:w="160" w:type="dxa"/>
            <w:vAlign w:val="bottom"/>
          </w:tcPr>
          <w:p>
            <w:pPr>
              <w:spacing w:after="0"/>
              <w:rPr>
                <w:sz w:val="12"/>
                <w:szCs w:val="12"/>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color w:val="auto"/>
              </w:rPr>
              <w:t>Ex. Price</w:t>
            </w:r>
          </w:p>
        </w:tc>
        <w:tc>
          <w:tcPr>
            <w:tcW w:w="8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w w:val="85"/>
              </w:rPr>
              <w:t>Exercisable</w:t>
            </w:r>
          </w:p>
        </w:tc>
        <w:tc>
          <w:tcPr>
            <w:tcW w:w="220" w:type="dxa"/>
            <w:vAlign w:val="bottom"/>
          </w:tcPr>
          <w:p>
            <w:pPr>
              <w:spacing w:after="0"/>
              <w:rPr>
                <w:sz w:val="12"/>
                <w:szCs w:val="12"/>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4"/>
                <w:szCs w:val="14"/>
                <w:color w:val="auto"/>
                <w:w w:val="96"/>
              </w:rPr>
              <w:t>Ex. Price</w:t>
            </w:r>
          </w:p>
        </w:tc>
        <w:tc>
          <w:tcPr>
            <w:tcW w:w="0" w:type="dxa"/>
            <w:vAlign w:val="bottom"/>
          </w:tcPr>
          <w:p>
            <w:pPr>
              <w:spacing w:after="0"/>
              <w:rPr>
                <w:sz w:val="1"/>
                <w:szCs w:val="1"/>
                <w:color w:val="auto"/>
              </w:rPr>
            </w:pPr>
          </w:p>
        </w:tc>
      </w:tr>
      <w:tr>
        <w:trPr>
          <w:trHeight w:val="20"/>
        </w:trPr>
        <w:tc>
          <w:tcPr>
            <w:tcW w:w="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7.32</w:t>
            </w:r>
          </w:p>
        </w:tc>
        <w:tc>
          <w:tcPr>
            <w:tcW w:w="6060" w:type="dxa"/>
            <w:vAlign w:val="bottom"/>
            <w:gridSpan w:val="2"/>
            <w:shd w:val="clear" w:color="auto" w:fill="CCEEFF"/>
          </w:tcPr>
          <w:p>
            <w:pPr>
              <w:jc w:val="right"/>
              <w:ind w:right="5420"/>
              <w:spacing w:after="0" w:line="196" w:lineRule="exact"/>
              <w:rPr>
                <w:sz w:val="20"/>
                <w:szCs w:val="20"/>
                <w:color w:val="auto"/>
              </w:rPr>
            </w:pPr>
            <w:r>
              <w:rPr>
                <w:rFonts w:ascii="Arial" w:cs="Arial" w:eastAsia="Arial" w:hAnsi="Arial"/>
                <w:sz w:val="18"/>
                <w:szCs w:val="18"/>
                <w:color w:val="auto"/>
                <w:w w:val="87"/>
              </w:rPr>
              <w:t>- $ 10.98</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8.82</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10.99</w:t>
            </w:r>
          </w:p>
        </w:tc>
        <w:tc>
          <w:tcPr>
            <w:tcW w:w="6060" w:type="dxa"/>
            <w:vAlign w:val="bottom"/>
            <w:gridSpan w:val="2"/>
          </w:tcPr>
          <w:p>
            <w:pPr>
              <w:jc w:val="right"/>
              <w:ind w:right="5420"/>
              <w:spacing w:after="0"/>
              <w:rPr>
                <w:sz w:val="20"/>
                <w:szCs w:val="20"/>
                <w:color w:val="auto"/>
              </w:rPr>
            </w:pPr>
            <w:r>
              <w:rPr>
                <w:rFonts w:ascii="Arial" w:cs="Arial" w:eastAsia="Arial" w:hAnsi="Arial"/>
                <w:sz w:val="18"/>
                <w:szCs w:val="18"/>
                <w:color w:val="auto"/>
                <w:w w:val="87"/>
              </w:rPr>
              <w:t>- $ 16.49</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1,081</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4.2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14.96</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967</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15.05</w:t>
            </w:r>
          </w:p>
        </w:tc>
        <w:tc>
          <w:tcPr>
            <w:tcW w:w="0" w:type="dxa"/>
            <w:vAlign w:val="bottom"/>
          </w:tcPr>
          <w:p>
            <w:pPr>
              <w:spacing w:after="0"/>
              <w:rPr>
                <w:sz w:val="1"/>
                <w:szCs w:val="1"/>
                <w:color w:val="auto"/>
              </w:rPr>
            </w:pPr>
          </w:p>
        </w:tc>
      </w:tr>
      <w:tr>
        <w:trPr>
          <w:trHeight w:val="216"/>
        </w:trPr>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16.50</w:t>
            </w:r>
          </w:p>
        </w:tc>
        <w:tc>
          <w:tcPr>
            <w:tcW w:w="6060" w:type="dxa"/>
            <w:vAlign w:val="bottom"/>
            <w:gridSpan w:val="2"/>
            <w:shd w:val="clear" w:color="auto" w:fill="CCEEFF"/>
          </w:tcPr>
          <w:p>
            <w:pPr>
              <w:jc w:val="right"/>
              <w:ind w:right="5420"/>
              <w:spacing w:after="0"/>
              <w:rPr>
                <w:sz w:val="20"/>
                <w:szCs w:val="20"/>
                <w:color w:val="auto"/>
              </w:rPr>
            </w:pPr>
            <w:r>
              <w:rPr>
                <w:rFonts w:ascii="Arial" w:cs="Arial" w:eastAsia="Arial" w:hAnsi="Arial"/>
                <w:sz w:val="18"/>
                <w:szCs w:val="18"/>
                <w:color w:val="auto"/>
                <w:w w:val="87"/>
              </w:rPr>
              <w:t>- $ 24.74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17.37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17.37</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24.75</w:t>
            </w:r>
          </w:p>
        </w:tc>
        <w:tc>
          <w:tcPr>
            <w:tcW w:w="6060" w:type="dxa"/>
            <w:vAlign w:val="bottom"/>
            <w:gridSpan w:val="2"/>
          </w:tcPr>
          <w:p>
            <w:pPr>
              <w:jc w:val="right"/>
              <w:ind w:right="5420"/>
              <w:spacing w:after="0"/>
              <w:rPr>
                <w:sz w:val="20"/>
                <w:szCs w:val="20"/>
                <w:color w:val="auto"/>
              </w:rPr>
            </w:pPr>
            <w:r>
              <w:rPr>
                <w:rFonts w:ascii="Arial" w:cs="Arial" w:eastAsia="Arial" w:hAnsi="Arial"/>
                <w:sz w:val="18"/>
                <w:szCs w:val="18"/>
                <w:color w:val="auto"/>
                <w:w w:val="87"/>
              </w:rPr>
              <w:t>- $ 37.13</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25.70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25.70</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w:t>
            </w: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11.93</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240"/>
        <w:spacing w:after="0" w:line="258" w:lineRule="auto"/>
        <w:rPr>
          <w:sz w:val="20"/>
          <w:szCs w:val="20"/>
          <w:color w:val="auto"/>
        </w:rPr>
      </w:pPr>
      <w:r>
        <w:rPr>
          <w:rFonts w:ascii="Arial" w:cs="Arial" w:eastAsia="Arial" w:hAnsi="Arial"/>
          <w:sz w:val="18"/>
          <w:szCs w:val="18"/>
          <w:b w:val="1"/>
          <w:bCs w:val="1"/>
          <w:color w:val="auto"/>
        </w:rPr>
        <w:t xml:space="preserve">Restricted Stock Units </w:t>
      </w:r>
      <w:r>
        <w:rPr>
          <w:rFonts w:ascii="Arial" w:cs="Arial" w:eastAsia="Arial" w:hAnsi="Arial"/>
          <w:sz w:val="18"/>
          <w:szCs w:val="18"/>
          <w:color w:val="auto"/>
        </w:rPr>
        <w:t>– Under our equity incentive plans, restricted stock units may be granted to employees, consultants and outside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stock units vest over either a one-year or a four-year period from the date of grant. Prior to vesting, restricted stock units do not have dividend equivalent rights, do not have voting rights and the shares underlying the restricted stock units are not considered issued and outstanding. Shares of our common stock will be issued on the date the restricted stock units vest.</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unit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6"/>
              </w:rPr>
              <w:t>2013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2012</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w w:val="96"/>
              </w:rPr>
              <w:t>2011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0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gridSpan w:val="2"/>
          </w:tcPr>
          <w:p>
            <w:pPr>
              <w:ind w:left="40"/>
              <w:spacing w:after="0" w:line="131" w:lineRule="exact"/>
              <w:rPr>
                <w:sz w:val="20"/>
                <w:szCs w:val="20"/>
                <w:color w:val="auto"/>
              </w:rPr>
            </w:pPr>
            <w:r>
              <w:rPr>
                <w:rFonts w:ascii="Arial" w:cs="Arial" w:eastAsia="Arial" w:hAnsi="Arial"/>
                <w:sz w:val="14"/>
                <w:szCs w:val="14"/>
                <w:color w:val="auto"/>
                <w:w w:val="94"/>
              </w:rPr>
              <w:t>Wt. Avg.</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8"/>
              </w:rPr>
              <w:t>Wt. Avg.</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ind w:left="40"/>
              <w:spacing w:after="0" w:line="131" w:lineRule="exact"/>
              <w:rPr>
                <w:sz w:val="20"/>
                <w:szCs w:val="20"/>
                <w:color w:val="auto"/>
              </w:rPr>
            </w:pPr>
            <w:r>
              <w:rPr>
                <w:rFonts w:ascii="Arial" w:cs="Arial" w:eastAsia="Arial" w:hAnsi="Arial"/>
                <w:sz w:val="14"/>
                <w:szCs w:val="14"/>
                <w:color w:val="auto"/>
                <w:w w:val="94"/>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80" w:type="dxa"/>
            <w:vAlign w:val="bottom"/>
            <w:gridSpan w:val="3"/>
            <w:vMerge w:val="continue"/>
          </w:tcPr>
          <w:p>
            <w:pPr>
              <w:spacing w:after="0"/>
              <w:rPr>
                <w:sz w:val="13"/>
                <w:szCs w:val="13"/>
                <w:color w:val="auto"/>
              </w:rPr>
            </w:pP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Units</w:t>
            </w:r>
          </w:p>
        </w:tc>
        <w:tc>
          <w:tcPr>
            <w:tcW w:w="240" w:type="dxa"/>
            <w:vAlign w:val="bottom"/>
          </w:tcPr>
          <w:p>
            <w:pPr>
              <w:spacing w:after="0"/>
              <w:rPr>
                <w:sz w:val="13"/>
                <w:szCs w:val="13"/>
                <w:color w:val="auto"/>
              </w:rPr>
            </w:pPr>
          </w:p>
        </w:tc>
        <w:tc>
          <w:tcPr>
            <w:tcW w:w="820" w:type="dxa"/>
            <w:vAlign w:val="bottom"/>
            <w:gridSpan w:val="3"/>
          </w:tcPr>
          <w:p>
            <w:pPr>
              <w:spacing w:after="0" w:line="159" w:lineRule="exact"/>
              <w:rPr>
                <w:sz w:val="20"/>
                <w:szCs w:val="20"/>
                <w:color w:val="auto"/>
              </w:rPr>
            </w:pPr>
            <w:r>
              <w:rPr>
                <w:rFonts w:ascii="Arial" w:cs="Arial" w:eastAsia="Arial" w:hAnsi="Arial"/>
                <w:sz w:val="14"/>
                <w:szCs w:val="14"/>
                <w:color w:val="auto"/>
              </w:rPr>
              <w:t>Fair Value</w:t>
            </w:r>
          </w:p>
        </w:tc>
        <w:tc>
          <w:tcPr>
            <w:tcW w:w="4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Units</w:t>
            </w:r>
          </w:p>
        </w:tc>
        <w:tc>
          <w:tcPr>
            <w:tcW w:w="220" w:type="dxa"/>
            <w:vAlign w:val="bottom"/>
          </w:tcPr>
          <w:p>
            <w:pPr>
              <w:spacing w:after="0"/>
              <w:rPr>
                <w:sz w:val="13"/>
                <w:szCs w:val="13"/>
                <w:color w:val="auto"/>
              </w:rPr>
            </w:pPr>
          </w:p>
        </w:tc>
        <w:tc>
          <w:tcPr>
            <w:tcW w:w="82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Fair Value</w:t>
            </w:r>
          </w:p>
        </w:tc>
        <w:tc>
          <w:tcPr>
            <w:tcW w:w="4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Units</w:t>
            </w:r>
          </w:p>
        </w:tc>
        <w:tc>
          <w:tcPr>
            <w:tcW w:w="220" w:type="dxa"/>
            <w:vAlign w:val="bottom"/>
          </w:tcPr>
          <w:p>
            <w:pPr>
              <w:spacing w:after="0"/>
              <w:rPr>
                <w:sz w:val="13"/>
                <w:szCs w:val="13"/>
                <w:color w:val="auto"/>
              </w:rPr>
            </w:pPr>
          </w:p>
        </w:tc>
        <w:tc>
          <w:tcPr>
            <w:tcW w:w="620" w:type="dxa"/>
            <w:vAlign w:val="bottom"/>
            <w:gridSpan w:val="3"/>
          </w:tcPr>
          <w:p>
            <w:pPr>
              <w:spacing w:after="0" w:line="159"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10.54</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12.98</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531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462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9.57</w:t>
            </w: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10.86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13.27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9.86</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13.92</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9.46</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10.54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180"/>
        <w:spacing w:after="0" w:line="293" w:lineRule="auto"/>
        <w:rPr>
          <w:sz w:val="20"/>
          <w:szCs w:val="20"/>
          <w:color w:val="auto"/>
        </w:rPr>
      </w:pPr>
      <w:r>
        <w:rPr>
          <w:rFonts w:ascii="Arial" w:cs="Arial" w:eastAsia="Arial" w:hAnsi="Arial"/>
          <w:sz w:val="16"/>
          <w:szCs w:val="16"/>
          <w:b w:val="1"/>
          <w:bCs w:val="1"/>
          <w:color w:val="auto"/>
        </w:rPr>
        <w:t xml:space="preserve">Equity-Based Performance Stock Units </w:t>
      </w:r>
      <w:r>
        <w:rPr>
          <w:rFonts w:ascii="Arial" w:cs="Arial" w:eastAsia="Arial" w:hAnsi="Arial"/>
          <w:sz w:val="16"/>
          <w:szCs w:val="16"/>
          <w:color w:val="auto"/>
        </w:rPr>
        <w:t>– In March 2012, we began granting equity-based performance units covering shares of our common stock to</w:t>
      </w:r>
      <w:r>
        <w:rPr>
          <w:rFonts w:ascii="Arial" w:cs="Arial" w:eastAsia="Arial" w:hAnsi="Arial"/>
          <w:sz w:val="16"/>
          <w:szCs w:val="16"/>
          <w:b w:val="1"/>
          <w:bCs w:val="1"/>
          <w:color w:val="auto"/>
        </w:rPr>
        <w:t xml:space="preserve"> </w:t>
      </w:r>
      <w:r>
        <w:rPr>
          <w:rFonts w:ascii="Arial" w:cs="Arial" w:eastAsia="Arial" w:hAnsi="Arial"/>
          <w:sz w:val="16"/>
          <w:szCs w:val="16"/>
          <w:color w:val="auto"/>
        </w:rPr>
        <w:t>certain employees. The number of shares of stock ultimately issued will depend upon the extent to which certain financial performance goals set by our Board of Directors are met during the one-year award measurement period. Based upon the level of achievement of performance goals the number of shares we ultimately issue can range from 0% up to 150% of the number of shares under each grant which vest over 3 years from the date of initial grant. We record a provision for equity-based performance units outstanding based on our current assessment of achievement of the performance goals. New shares of our common stock will be issued on the date the equity-based performance units vest.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based stock unit activity under our share-based compensation plans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2013</w:t>
            </w:r>
          </w:p>
        </w:tc>
        <w:tc>
          <w:tcPr>
            <w:tcW w:w="4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38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gridSpan w:val="2"/>
          </w:tcPr>
          <w:p>
            <w:pPr>
              <w:jc w:val="right"/>
              <w:spacing w:after="0" w:line="131" w:lineRule="exact"/>
              <w:rPr>
                <w:sz w:val="20"/>
                <w:szCs w:val="20"/>
                <w:color w:val="auto"/>
              </w:rPr>
            </w:pPr>
            <w:r>
              <w:rPr>
                <w:rFonts w:ascii="Arial" w:cs="Arial" w:eastAsia="Arial" w:hAnsi="Arial"/>
                <w:sz w:val="14"/>
                <w:szCs w:val="14"/>
                <w:color w:val="auto"/>
                <w:w w:val="94"/>
              </w:rPr>
              <w:t>Wt. Avg.</w:t>
            </w: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gridSpan w:val="2"/>
          </w:tcPr>
          <w:p>
            <w:pPr>
              <w:ind w:left="40"/>
              <w:spacing w:after="0" w:line="131" w:lineRule="exact"/>
              <w:rPr>
                <w:sz w:val="20"/>
                <w:szCs w:val="20"/>
                <w:color w:val="auto"/>
              </w:rPr>
            </w:pPr>
            <w:r>
              <w:rPr>
                <w:rFonts w:ascii="Arial" w:cs="Arial" w:eastAsia="Arial" w:hAnsi="Arial"/>
                <w:sz w:val="14"/>
                <w:szCs w:val="14"/>
                <w:color w:val="auto"/>
                <w:w w:val="94"/>
              </w:rPr>
              <w:t>Wt. Avg.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380" w:type="dxa"/>
            <w:vAlign w:val="bottom"/>
            <w:gridSpan w:val="3"/>
            <w:vMerge w:val="continue"/>
          </w:tcPr>
          <w:p>
            <w:pPr>
              <w:spacing w:after="0"/>
              <w:rPr>
                <w:sz w:val="13"/>
                <w:szCs w:val="13"/>
                <w:color w:val="auto"/>
              </w:rPr>
            </w:pPr>
          </w:p>
        </w:tc>
        <w:tc>
          <w:tcPr>
            <w:tcW w:w="4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87"/>
              </w:rPr>
              <w:t>Units</w:t>
            </w:r>
          </w:p>
        </w:tc>
        <w:tc>
          <w:tcPr>
            <w:tcW w:w="280" w:type="dxa"/>
            <w:vAlign w:val="bottom"/>
          </w:tcPr>
          <w:p>
            <w:pPr>
              <w:spacing w:after="0"/>
              <w:rPr>
                <w:sz w:val="13"/>
                <w:szCs w:val="13"/>
                <w:color w:val="auto"/>
              </w:rPr>
            </w:pPr>
          </w:p>
        </w:tc>
        <w:tc>
          <w:tcPr>
            <w:tcW w:w="940" w:type="dxa"/>
            <w:vAlign w:val="bottom"/>
            <w:gridSpan w:val="3"/>
          </w:tcPr>
          <w:p>
            <w:pPr>
              <w:spacing w:after="0" w:line="159" w:lineRule="exact"/>
              <w:rPr>
                <w:sz w:val="20"/>
                <w:szCs w:val="20"/>
                <w:color w:val="auto"/>
              </w:rPr>
            </w:pPr>
            <w:r>
              <w:rPr>
                <w:rFonts w:ascii="Arial" w:cs="Arial" w:eastAsia="Arial" w:hAnsi="Arial"/>
                <w:sz w:val="14"/>
                <w:szCs w:val="14"/>
                <w:color w:val="auto"/>
              </w:rPr>
              <w:t>Fair Value</w:t>
            </w:r>
          </w:p>
        </w:tc>
        <w:tc>
          <w:tcPr>
            <w:tcW w:w="4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w w:val="87"/>
              </w:rPr>
              <w:t>Units</w:t>
            </w:r>
          </w:p>
        </w:tc>
        <w:tc>
          <w:tcPr>
            <w:tcW w:w="300" w:type="dxa"/>
            <w:vAlign w:val="bottom"/>
          </w:tcPr>
          <w:p>
            <w:pPr>
              <w:spacing w:after="0"/>
              <w:rPr>
                <w:sz w:val="13"/>
                <w:szCs w:val="13"/>
                <w:color w:val="auto"/>
              </w:rPr>
            </w:pPr>
          </w:p>
        </w:tc>
        <w:tc>
          <w:tcPr>
            <w:tcW w:w="620" w:type="dxa"/>
            <w:vAlign w:val="bottom"/>
            <w:gridSpan w:val="3"/>
          </w:tcPr>
          <w:p>
            <w:pPr>
              <w:spacing w:after="0" w:line="159" w:lineRule="exact"/>
              <w:rPr>
                <w:sz w:val="20"/>
                <w:szCs w:val="20"/>
                <w:color w:val="auto"/>
              </w:rPr>
            </w:pPr>
            <w:r>
              <w:rPr>
                <w:rFonts w:ascii="Arial" w:cs="Arial" w:eastAsia="Arial" w:hAnsi="Arial"/>
                <w:sz w:val="14"/>
                <w:szCs w:val="14"/>
                <w:color w:val="auto"/>
                <w:w w:val="93"/>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158</w:t>
            </w:r>
          </w:p>
        </w:tc>
        <w:tc>
          <w:tcPr>
            <w:tcW w:w="14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9.03</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129</w:t>
            </w:r>
          </w:p>
        </w:tc>
        <w:tc>
          <w:tcPr>
            <w:tcW w:w="12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Released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9.89</w:t>
            </w:r>
          </w:p>
        </w:tc>
        <w:tc>
          <w:tcPr>
            <w:tcW w:w="360" w:type="dxa"/>
            <w:vAlign w:val="bottom"/>
          </w:tcPr>
          <w:p>
            <w:pPr>
              <w:spacing w:after="0"/>
              <w:rPr>
                <w:sz w:val="19"/>
                <w:szCs w:val="19"/>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end of year</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238</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36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122</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right="80"/>
        <w:spacing w:after="0" w:line="289" w:lineRule="auto"/>
        <w:rPr>
          <w:sz w:val="20"/>
          <w:szCs w:val="20"/>
          <w:color w:val="auto"/>
        </w:rPr>
      </w:pPr>
      <w:r>
        <w:rPr>
          <w:rFonts w:ascii="Arial" w:cs="Arial" w:eastAsia="Arial" w:hAnsi="Arial"/>
          <w:sz w:val="16"/>
          <w:szCs w:val="16"/>
          <w:b w:val="1"/>
          <w:bCs w:val="1"/>
          <w:color w:val="auto"/>
        </w:rPr>
        <w:t xml:space="preserve">Share-based Compensation </w:t>
      </w:r>
      <w:r>
        <w:rPr>
          <w:rFonts w:ascii="Arial" w:cs="Arial" w:eastAsia="Arial" w:hAnsi="Arial"/>
          <w:sz w:val="16"/>
          <w:szCs w:val="16"/>
          <w:color w:val="auto"/>
        </w:rPr>
        <w:t>– We estimate the fair value of each share-based award on the grant date using the Black-Scholes valuation model. Option</w:t>
      </w:r>
      <w:r>
        <w:rPr>
          <w:rFonts w:ascii="Arial" w:cs="Arial" w:eastAsia="Arial" w:hAnsi="Arial"/>
          <w:sz w:val="16"/>
          <w:szCs w:val="16"/>
          <w:b w:val="1"/>
          <w:bCs w:val="1"/>
          <w:color w:val="auto"/>
        </w:rPr>
        <w:t xml:space="preserve"> </w:t>
      </w:r>
      <w:r>
        <w:rPr>
          <w:rFonts w:ascii="Arial" w:cs="Arial" w:eastAsia="Arial" w:hAnsi="Arial"/>
          <w:sz w:val="16"/>
          <w:szCs w:val="16"/>
          <w:color w:val="auto"/>
        </w:rPr>
        <w:t>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as of the grant date.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Expected life of the award is based on historical option exercise data. Estimated forfeitures are required to be included as a part of the grant date expense estimate. We used historical data to estimate expected employee behaviors related to option exercises and forfeitures.</w:t>
      </w:r>
    </w:p>
    <w:p>
      <w:pPr>
        <w:spacing w:after="0" w:line="38"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Share-based compensation expense related to restricted stock unit awards is calculated based on the market price of our common stock on the date of grant, reduced by the present value of dividends expected to be paid on our common stock prior to vesting of the restricted stock unit.</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20"/>
                <w:szCs w:val="20"/>
                <w:color w:val="auto"/>
              </w:rPr>
            </w:pPr>
            <w:r>
              <w:rPr>
                <w:rFonts w:ascii="Arial" w:cs="Arial" w:eastAsia="Arial" w:hAnsi="Arial"/>
                <w:sz w:val="14"/>
                <w:szCs w:val="14"/>
                <w:i w:val="1"/>
                <w:iCs w:val="1"/>
                <w:color w:val="auto"/>
              </w:rPr>
              <w:t>Employee Stock Purchase Plan</w:t>
            </w:r>
          </w:p>
        </w:tc>
        <w:tc>
          <w:tcPr>
            <w:tcW w:w="5100" w:type="dxa"/>
            <w:vAlign w:val="bottom"/>
            <w:gridSpan w:val="5"/>
          </w:tcPr>
          <w:p>
            <w:pPr>
              <w:jc w:val="center"/>
              <w:ind w:left="4580"/>
              <w:spacing w:after="0"/>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5"/>
                <w:szCs w:val="15"/>
                <w:color w:val="auto"/>
              </w:rPr>
            </w:pPr>
          </w:p>
        </w:tc>
        <w:tc>
          <w:tcPr>
            <w:tcW w:w="840" w:type="dxa"/>
            <w:vAlign w:val="bottom"/>
            <w:gridSpan w:val="3"/>
          </w:tcPr>
          <w:p>
            <w:pPr>
              <w:jc w:val="center"/>
              <w:ind w:left="140"/>
              <w:spacing w:after="0"/>
              <w:rPr>
                <w:sz w:val="20"/>
                <w:szCs w:val="20"/>
                <w:color w:val="auto"/>
              </w:rPr>
            </w:pPr>
            <w:r>
              <w:rPr>
                <w:rFonts w:ascii="Arial" w:cs="Arial" w:eastAsia="Arial" w:hAnsi="Arial"/>
                <w:sz w:val="14"/>
                <w:szCs w:val="14"/>
                <w:color w:val="auto"/>
                <w:w w:val="83"/>
              </w:rPr>
              <w:t>2012</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3"/>
              </w:rPr>
              <w:t>2011</w:t>
            </w: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7"/>
              </w:rPr>
              <w:t>2.6%</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5200" w:type="dxa"/>
            <w:vAlign w:val="bottom"/>
            <w:gridSpan w:val="6"/>
          </w:tcPr>
          <w:p>
            <w:pPr>
              <w:jc w:val="center"/>
              <w:ind w:left="4480"/>
              <w:spacing w:after="0"/>
              <w:rPr>
                <w:sz w:val="20"/>
                <w:szCs w:val="20"/>
                <w:color w:val="auto"/>
              </w:rPr>
            </w:pPr>
            <w:r>
              <w:rPr>
                <w:rFonts w:ascii="Arial" w:cs="Arial" w:eastAsia="Arial" w:hAnsi="Arial"/>
                <w:sz w:val="18"/>
                <w:szCs w:val="18"/>
                <w:color w:val="auto"/>
                <w:w w:val="86"/>
              </w:rPr>
              <w:t>38.4%</w:t>
            </w:r>
          </w:p>
        </w:tc>
        <w:tc>
          <w:tcPr>
            <w:tcW w:w="840" w:type="dxa"/>
            <w:vAlign w:val="bottom"/>
            <w:gridSpan w:val="3"/>
          </w:tcPr>
          <w:p>
            <w:pPr>
              <w:jc w:val="center"/>
              <w:ind w:left="140"/>
              <w:spacing w:after="0"/>
              <w:rPr>
                <w:sz w:val="20"/>
                <w:szCs w:val="20"/>
                <w:color w:val="auto"/>
              </w:rPr>
            </w:pPr>
            <w:r>
              <w:rPr>
                <w:rFonts w:ascii="Arial" w:cs="Arial" w:eastAsia="Arial" w:hAnsi="Arial"/>
                <w:sz w:val="18"/>
                <w:szCs w:val="18"/>
                <w:color w:val="auto"/>
                <w:w w:val="90"/>
              </w:rPr>
              <w:t>43.6%</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42.4%</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00" w:type="dxa"/>
            <w:vAlign w:val="bottom"/>
            <w:gridSpan w:val="5"/>
            <w:shd w:val="clear" w:color="auto" w:fill="CCEEFF"/>
          </w:tcPr>
          <w:p>
            <w:pPr>
              <w:jc w:val="center"/>
              <w:ind w:left="4580"/>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140"/>
              <w:spacing w:after="0"/>
              <w:rPr>
                <w:sz w:val="20"/>
                <w:szCs w:val="20"/>
                <w:color w:val="auto"/>
              </w:rPr>
            </w:pPr>
            <w:r>
              <w:rPr>
                <w:rFonts w:ascii="Arial" w:cs="Arial" w:eastAsia="Arial" w:hAnsi="Arial"/>
                <w:sz w:val="18"/>
                <w:szCs w:val="18"/>
                <w:color w:val="auto"/>
                <w:w w:val="92"/>
              </w:rPr>
              <w:t>0.1%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auto"/>
                <w:w w:val="83"/>
              </w:rPr>
              <w:t>0.5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0"/>
              </w:rPr>
              <w:t>0.5 years</w:t>
            </w:r>
          </w:p>
        </w:tc>
        <w:tc>
          <w:tcPr>
            <w:tcW w:w="640" w:type="dxa"/>
            <w:vAlign w:val="bottom"/>
          </w:tcPr>
          <w:p>
            <w:pPr>
              <w:spacing w:after="0"/>
              <w:rPr>
                <w:sz w:val="20"/>
                <w:szCs w:val="20"/>
                <w:color w:val="auto"/>
              </w:rPr>
            </w:pPr>
            <w:r>
              <w:rPr>
                <w:rFonts w:ascii="Arial" w:cs="Arial" w:eastAsia="Arial" w:hAnsi="Arial"/>
                <w:sz w:val="18"/>
                <w:szCs w:val="18"/>
                <w:color w:val="auto"/>
                <w:w w:val="83"/>
              </w:rPr>
              <w:t>0.5 years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100" w:type="dxa"/>
            <w:vAlign w:val="bottom"/>
            <w:gridSpan w:val="5"/>
            <w:shd w:val="clear" w:color="auto" w:fill="CCEEFF"/>
          </w:tcPr>
          <w:p>
            <w:pPr>
              <w:jc w:val="center"/>
              <w:ind w:left="4580"/>
              <w:spacing w:after="0"/>
              <w:rPr>
                <w:sz w:val="20"/>
                <w:szCs w:val="20"/>
                <w:color w:val="auto"/>
              </w:rPr>
            </w:pPr>
            <w:r>
              <w:rPr>
                <w:rFonts w:ascii="Arial" w:cs="Arial" w:eastAsia="Arial" w:hAnsi="Arial"/>
                <w:sz w:val="18"/>
                <w:szCs w:val="18"/>
                <w:color w:val="auto"/>
                <w:w w:val="88"/>
              </w:rPr>
              <w:t>$2.32</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140"/>
              <w:spacing w:after="0"/>
              <w:rPr>
                <w:sz w:val="20"/>
                <w:szCs w:val="20"/>
                <w:color w:val="auto"/>
              </w:rPr>
            </w:pPr>
            <w:r>
              <w:rPr>
                <w:rFonts w:ascii="Arial" w:cs="Arial" w:eastAsia="Arial" w:hAnsi="Arial"/>
                <w:sz w:val="18"/>
                <w:szCs w:val="18"/>
                <w:color w:val="auto"/>
                <w:w w:val="84"/>
              </w:rPr>
              <w:t>$2.78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$3.77</w:t>
            </w:r>
          </w:p>
        </w:tc>
      </w:tr>
      <w:tr>
        <w:trPr>
          <w:trHeight w:val="365"/>
        </w:trPr>
        <w:tc>
          <w:tcPr>
            <w:tcW w:w="4520" w:type="dxa"/>
            <w:vAlign w:val="bottom"/>
          </w:tcPr>
          <w:p>
            <w:pPr>
              <w:spacing w:after="0"/>
              <w:rPr>
                <w:sz w:val="20"/>
                <w:szCs w:val="20"/>
                <w:color w:val="auto"/>
              </w:rPr>
            </w:pPr>
            <w:r>
              <w:rPr>
                <w:rFonts w:ascii="Arial" w:cs="Arial" w:eastAsia="Arial" w:hAnsi="Arial"/>
                <w:sz w:val="14"/>
                <w:szCs w:val="14"/>
                <w:i w:val="1"/>
                <w:iCs w:val="1"/>
                <w:color w:val="auto"/>
              </w:rPr>
              <w:t>Employee Stock Options</w:t>
            </w:r>
          </w:p>
        </w:tc>
        <w:tc>
          <w:tcPr>
            <w:tcW w:w="5100" w:type="dxa"/>
            <w:vAlign w:val="bottom"/>
            <w:gridSpan w:val="5"/>
          </w:tcPr>
          <w:p>
            <w:pPr>
              <w:jc w:val="center"/>
              <w:ind w:left="4400"/>
              <w:spacing w:after="0"/>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24"/>
                <w:szCs w:val="24"/>
                <w:color w:val="auto"/>
              </w:rPr>
            </w:pPr>
          </w:p>
        </w:tc>
        <w:tc>
          <w:tcPr>
            <w:tcW w:w="840" w:type="dxa"/>
            <w:vAlign w:val="bottom"/>
            <w:gridSpan w:val="3"/>
          </w:tcPr>
          <w:p>
            <w:pPr>
              <w:jc w:val="center"/>
              <w:ind w:left="40"/>
              <w:spacing w:after="0"/>
              <w:rPr>
                <w:sz w:val="20"/>
                <w:szCs w:val="20"/>
                <w:color w:val="auto"/>
              </w:rPr>
            </w:pPr>
            <w:r>
              <w:rPr>
                <w:rFonts w:ascii="Arial" w:cs="Arial" w:eastAsia="Arial" w:hAnsi="Arial"/>
                <w:sz w:val="14"/>
                <w:szCs w:val="14"/>
                <w:color w:val="auto"/>
                <w:w w:val="89"/>
              </w:rPr>
              <w:t>2012</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3"/>
              </w:rPr>
              <w:t>2011</w:t>
            </w: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5100" w:type="dxa"/>
            <w:vAlign w:val="bottom"/>
            <w:gridSpan w:val="5"/>
          </w:tcPr>
          <w:p>
            <w:pPr>
              <w:jc w:val="center"/>
              <w:ind w:left="4400"/>
              <w:spacing w:after="0"/>
              <w:rPr>
                <w:sz w:val="20"/>
                <w:szCs w:val="20"/>
                <w:color w:val="auto"/>
              </w:rPr>
            </w:pPr>
            <w:r>
              <w:rPr>
                <w:rFonts w:ascii="Arial" w:cs="Arial" w:eastAsia="Arial" w:hAnsi="Arial"/>
                <w:sz w:val="18"/>
                <w:szCs w:val="18"/>
                <w:color w:val="auto"/>
                <w:w w:val="90"/>
              </w:rPr>
              <w:t>44.9%</w:t>
            </w:r>
          </w:p>
        </w:tc>
        <w:tc>
          <w:tcPr>
            <w:tcW w:w="100" w:type="dxa"/>
            <w:vAlign w:val="bottom"/>
          </w:tcPr>
          <w:p>
            <w:pPr>
              <w:spacing w:after="0"/>
              <w:rPr>
                <w:sz w:val="18"/>
                <w:szCs w:val="18"/>
                <w:color w:val="auto"/>
              </w:rPr>
            </w:pPr>
          </w:p>
        </w:tc>
        <w:tc>
          <w:tcPr>
            <w:tcW w:w="840" w:type="dxa"/>
            <w:vAlign w:val="bottom"/>
            <w:gridSpan w:val="3"/>
          </w:tcPr>
          <w:p>
            <w:pPr>
              <w:jc w:val="center"/>
              <w:ind w:left="60"/>
              <w:spacing w:after="0"/>
              <w:rPr>
                <w:sz w:val="20"/>
                <w:szCs w:val="20"/>
                <w:color w:val="auto"/>
              </w:rPr>
            </w:pPr>
            <w:r>
              <w:rPr>
                <w:rFonts w:ascii="Arial" w:cs="Arial" w:eastAsia="Arial" w:hAnsi="Arial"/>
                <w:sz w:val="18"/>
                <w:szCs w:val="18"/>
                <w:color w:val="auto"/>
                <w:w w:val="90"/>
              </w:rPr>
              <w:t>46.3%</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45.8%</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00" w:type="dxa"/>
            <w:vAlign w:val="bottom"/>
            <w:gridSpan w:val="5"/>
            <w:shd w:val="clear" w:color="auto" w:fill="CCEEFF"/>
          </w:tcPr>
          <w:p>
            <w:pPr>
              <w:jc w:val="center"/>
              <w:ind w:left="4380"/>
              <w:spacing w:after="0"/>
              <w:rPr>
                <w:sz w:val="20"/>
                <w:szCs w:val="20"/>
                <w:color w:val="auto"/>
              </w:rPr>
            </w:pPr>
            <w:r>
              <w:rPr>
                <w:rFonts w:ascii="Arial" w:cs="Arial" w:eastAsia="Arial" w:hAnsi="Arial"/>
                <w:sz w:val="18"/>
                <w:szCs w:val="18"/>
                <w:color w:val="auto"/>
                <w:w w:val="87"/>
              </w:rPr>
              <w:t>1.1%</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40"/>
              <w:spacing w:after="0"/>
              <w:rPr>
                <w:sz w:val="20"/>
                <w:szCs w:val="20"/>
                <w:color w:val="auto"/>
              </w:rPr>
            </w:pPr>
            <w:r>
              <w:rPr>
                <w:rFonts w:ascii="Arial" w:cs="Arial" w:eastAsia="Arial" w:hAnsi="Arial"/>
                <w:sz w:val="18"/>
                <w:szCs w:val="18"/>
                <w:color w:val="auto"/>
                <w:w w:val="87"/>
              </w:rPr>
              <w:t>1.2%</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4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w w:val="97"/>
              </w:rPr>
              <w:t>6.4 years</w:t>
            </w:r>
          </w:p>
        </w:tc>
        <w:tc>
          <w:tcPr>
            <w:tcW w:w="12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w w:val="83"/>
              </w:rPr>
              <w:t>6.25 years</w:t>
            </w:r>
          </w:p>
        </w:tc>
        <w:tc>
          <w:tcPr>
            <w:tcW w:w="640" w:type="dxa"/>
            <w:vAlign w:val="bottom"/>
          </w:tcPr>
          <w:p>
            <w:pPr>
              <w:spacing w:after="0"/>
              <w:rPr>
                <w:sz w:val="20"/>
                <w:szCs w:val="20"/>
                <w:color w:val="auto"/>
              </w:rPr>
            </w:pPr>
            <w:r>
              <w:rPr>
                <w:rFonts w:ascii="Arial" w:cs="Arial" w:eastAsia="Arial" w:hAnsi="Arial"/>
                <w:sz w:val="18"/>
                <w:szCs w:val="18"/>
                <w:color w:val="auto"/>
                <w:w w:val="83"/>
              </w:rPr>
              <w:t>6.0 years</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5100" w:type="dxa"/>
            <w:vAlign w:val="bottom"/>
            <w:gridSpan w:val="5"/>
            <w:shd w:val="clear" w:color="auto" w:fill="CCEEFF"/>
          </w:tcPr>
          <w:p>
            <w:pPr>
              <w:jc w:val="center"/>
              <w:ind w:left="4380"/>
              <w:spacing w:after="0"/>
              <w:rPr>
                <w:sz w:val="20"/>
                <w:szCs w:val="20"/>
                <w:color w:val="auto"/>
              </w:rPr>
            </w:pPr>
            <w:r>
              <w:rPr>
                <w:rFonts w:ascii="Arial" w:cs="Arial" w:eastAsia="Arial" w:hAnsi="Arial"/>
                <w:sz w:val="18"/>
                <w:szCs w:val="18"/>
                <w:color w:val="auto"/>
                <w:w w:val="88"/>
              </w:rPr>
              <w:t>$3.37</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left="40"/>
              <w:spacing w:after="0"/>
              <w:rPr>
                <w:sz w:val="20"/>
                <w:szCs w:val="20"/>
                <w:color w:val="auto"/>
              </w:rPr>
            </w:pPr>
            <w:r>
              <w:rPr>
                <w:rFonts w:ascii="Arial" w:cs="Arial" w:eastAsia="Arial" w:hAnsi="Arial"/>
                <w:sz w:val="18"/>
                <w:szCs w:val="18"/>
                <w:color w:val="auto"/>
                <w:w w:val="88"/>
              </w:rPr>
              <w:t>$3.87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$5.06</w:t>
            </w:r>
          </w:p>
        </w:tc>
      </w:tr>
      <w:tr>
        <w:trPr>
          <w:trHeight w:val="378"/>
        </w:trPr>
        <w:tc>
          <w:tcPr>
            <w:tcW w:w="4520" w:type="dxa"/>
            <w:vAlign w:val="bottom"/>
          </w:tcPr>
          <w:p>
            <w:pPr>
              <w:spacing w:after="0"/>
              <w:rPr>
                <w:sz w:val="20"/>
                <w:szCs w:val="20"/>
                <w:color w:val="auto"/>
              </w:rPr>
            </w:pPr>
            <w:r>
              <w:rPr>
                <w:rFonts w:ascii="Arial" w:cs="Arial" w:eastAsia="Arial" w:hAnsi="Arial"/>
                <w:sz w:val="14"/>
                <w:szCs w:val="14"/>
                <w:i w:val="1"/>
                <w:iCs w:val="1"/>
                <w:color w:val="auto"/>
              </w:rPr>
              <w:t>Restricted Stock Units</w:t>
            </w:r>
          </w:p>
        </w:tc>
        <w:tc>
          <w:tcPr>
            <w:tcW w:w="5100" w:type="dxa"/>
            <w:vAlign w:val="bottom"/>
            <w:gridSpan w:val="5"/>
          </w:tcPr>
          <w:p>
            <w:pPr>
              <w:jc w:val="center"/>
              <w:ind w:left="4400"/>
              <w:spacing w:after="0"/>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24"/>
                <w:szCs w:val="24"/>
                <w:color w:val="auto"/>
              </w:rPr>
            </w:pPr>
          </w:p>
        </w:tc>
        <w:tc>
          <w:tcPr>
            <w:tcW w:w="840" w:type="dxa"/>
            <w:vAlign w:val="bottom"/>
            <w:gridSpan w:val="3"/>
          </w:tcPr>
          <w:p>
            <w:pPr>
              <w:jc w:val="center"/>
              <w:ind w:left="40"/>
              <w:spacing w:after="0"/>
              <w:rPr>
                <w:sz w:val="20"/>
                <w:szCs w:val="20"/>
                <w:color w:val="auto"/>
              </w:rPr>
            </w:pPr>
            <w:r>
              <w:rPr>
                <w:rFonts w:ascii="Arial" w:cs="Arial" w:eastAsia="Arial" w:hAnsi="Arial"/>
                <w:sz w:val="14"/>
                <w:szCs w:val="14"/>
                <w:color w:val="auto"/>
                <w:w w:val="89"/>
              </w:rPr>
              <w:t>2012</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3"/>
              </w:rPr>
              <w:t>2011</w:t>
            </w: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1.8%</w:t>
            </w:r>
          </w:p>
        </w:tc>
      </w:tr>
      <w:tr>
        <w:trPr>
          <w:trHeight w:val="378"/>
        </w:trPr>
        <w:tc>
          <w:tcPr>
            <w:tcW w:w="4520" w:type="dxa"/>
            <w:vAlign w:val="bottom"/>
          </w:tcPr>
          <w:p>
            <w:pPr>
              <w:spacing w:after="0"/>
              <w:rPr>
                <w:sz w:val="20"/>
                <w:szCs w:val="20"/>
                <w:color w:val="auto"/>
              </w:rPr>
            </w:pPr>
            <w:r>
              <w:rPr>
                <w:rFonts w:ascii="Arial" w:cs="Arial" w:eastAsia="Arial" w:hAnsi="Arial"/>
                <w:sz w:val="14"/>
                <w:szCs w:val="14"/>
                <w:i w:val="1"/>
                <w:iCs w:val="1"/>
                <w:color w:val="auto"/>
              </w:rPr>
              <w:t>Performance Stock Units</w:t>
            </w:r>
          </w:p>
        </w:tc>
        <w:tc>
          <w:tcPr>
            <w:tcW w:w="5100" w:type="dxa"/>
            <w:vAlign w:val="bottom"/>
            <w:gridSpan w:val="5"/>
          </w:tcPr>
          <w:p>
            <w:pPr>
              <w:jc w:val="center"/>
              <w:ind w:left="4400"/>
              <w:spacing w:after="0"/>
              <w:rPr>
                <w:sz w:val="20"/>
                <w:szCs w:val="20"/>
                <w:color w:val="auto"/>
              </w:rPr>
            </w:pPr>
            <w:r>
              <w:rPr>
                <w:rFonts w:ascii="Arial" w:cs="Arial" w:eastAsia="Arial" w:hAnsi="Arial"/>
                <w:sz w:val="14"/>
                <w:szCs w:val="14"/>
                <w:color w:val="auto"/>
                <w:w w:val="83"/>
              </w:rPr>
              <w:t>2013</w:t>
            </w:r>
          </w:p>
        </w:tc>
        <w:tc>
          <w:tcPr>
            <w:tcW w:w="100" w:type="dxa"/>
            <w:vAlign w:val="bottom"/>
          </w:tcPr>
          <w:p>
            <w:pPr>
              <w:spacing w:after="0"/>
              <w:rPr>
                <w:sz w:val="24"/>
                <w:szCs w:val="24"/>
                <w:color w:val="auto"/>
              </w:rPr>
            </w:pPr>
          </w:p>
        </w:tc>
        <w:tc>
          <w:tcPr>
            <w:tcW w:w="840" w:type="dxa"/>
            <w:vAlign w:val="bottom"/>
            <w:gridSpan w:val="3"/>
          </w:tcPr>
          <w:p>
            <w:pPr>
              <w:jc w:val="center"/>
              <w:ind w:left="40"/>
              <w:spacing w:after="0"/>
              <w:rPr>
                <w:sz w:val="20"/>
                <w:szCs w:val="20"/>
                <w:color w:val="auto"/>
              </w:rPr>
            </w:pPr>
            <w:r>
              <w:rPr>
                <w:rFonts w:ascii="Arial" w:cs="Arial" w:eastAsia="Arial" w:hAnsi="Arial"/>
                <w:sz w:val="14"/>
                <w:szCs w:val="14"/>
                <w:color w:val="auto"/>
                <w:w w:val="89"/>
              </w:rPr>
              <w:t>2012</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0"/>
        </w:trPr>
        <w:tc>
          <w:tcPr>
            <w:tcW w:w="4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r>
      <w:tr>
        <w:trPr>
          <w:trHeight w:val="363"/>
        </w:trPr>
        <w:tc>
          <w:tcPr>
            <w:tcW w:w="4520" w:type="dxa"/>
            <w:vAlign w:val="bottom"/>
          </w:tcPr>
          <w:p>
            <w:pPr>
              <w:spacing w:after="0"/>
              <w:rPr>
                <w:sz w:val="24"/>
                <w:szCs w:val="24"/>
                <w:color w:val="auto"/>
              </w:rPr>
            </w:pPr>
          </w:p>
        </w:tc>
        <w:tc>
          <w:tcPr>
            <w:tcW w:w="4260" w:type="dxa"/>
            <w:vAlign w:val="bottom"/>
          </w:tcPr>
          <w:p>
            <w:pPr>
              <w:jc w:val="right"/>
              <w:ind w:right="290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Reported share-based compensation is classified in the consolidated financial statements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2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color w:val="auto"/>
                <w:w w:val="83"/>
              </w:rPr>
              <w:t>2013</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color w:val="auto"/>
                <w:w w:val="83"/>
              </w:rPr>
              <w:t>2012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color w:val="auto"/>
                <w:w w:val="83"/>
              </w:rPr>
              <w:t>2011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1,364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1,356</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3,380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2,511</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Total share-based compensation</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5,468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4,621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4,287</w:t>
            </w:r>
          </w:p>
        </w:tc>
        <w:tc>
          <w:tcPr>
            <w:tcW w:w="0" w:type="dxa"/>
            <w:vAlign w:val="bottom"/>
          </w:tcPr>
          <w:p>
            <w:pPr>
              <w:spacing w:after="0"/>
              <w:rPr>
                <w:sz w:val="1"/>
                <w:szCs w:val="1"/>
                <w:color w:val="auto"/>
              </w:rPr>
            </w:pPr>
          </w:p>
        </w:tc>
      </w:tr>
      <w:tr>
        <w:trPr>
          <w:trHeight w:val="218"/>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color w:val="auto"/>
              </w:rPr>
              <w:t>Total share-based compensation, net of tax</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5,468</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4,621</w:t>
            </w: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4,287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340"/>
        <w:spacing w:after="0" w:line="332" w:lineRule="auto"/>
        <w:rPr>
          <w:sz w:val="20"/>
          <w:szCs w:val="20"/>
          <w:color w:val="auto"/>
        </w:rPr>
      </w:pPr>
      <w:r>
        <w:rPr>
          <w:rFonts w:ascii="Arial" w:cs="Arial" w:eastAsia="Arial" w:hAnsi="Arial"/>
          <w:sz w:val="16"/>
          <w:szCs w:val="16"/>
          <w:color w:val="auto"/>
        </w:rPr>
        <w:t>At December 28, 2013, excluding a reduction for forfeitures, we had approximately $2.8 million of pre-tax unrecognized compensation cost related to unvested stock options which is expected to be recognized over a weighted-average period of approximately 1.9 years.</w:t>
      </w:r>
    </w:p>
    <w:p>
      <w:pPr>
        <w:spacing w:after="0" w:line="4" w:lineRule="exact"/>
        <w:rPr>
          <w:sz w:val="20"/>
          <w:szCs w:val="20"/>
          <w:color w:val="auto"/>
        </w:rPr>
      </w:pPr>
    </w:p>
    <w:p>
      <w:pPr>
        <w:ind w:left="460"/>
        <w:spacing w:after="0" w:line="352" w:lineRule="auto"/>
        <w:rPr>
          <w:sz w:val="20"/>
          <w:szCs w:val="20"/>
          <w:color w:val="auto"/>
        </w:rPr>
      </w:pPr>
      <w:r>
        <w:rPr>
          <w:rFonts w:ascii="Arial" w:cs="Arial" w:eastAsia="Arial" w:hAnsi="Arial"/>
          <w:sz w:val="15"/>
          <w:szCs w:val="15"/>
          <w:color w:val="auto"/>
        </w:rPr>
        <w:t>At December 28, 2013, excluding a reduction for forfeitures, we had approximately $7.2 million of pre-tax unrecognized compensation cost related to unvested restricted stock units and performance stock units which is expected to be recognized over a weighted-average period of approximately 1.9 years.</w:t>
      </w:r>
    </w:p>
    <w:p>
      <w:pPr>
        <w:spacing w:after="0" w:line="1"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the provision (benefit) for income taxes are as follows: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20" w:type="dxa"/>
            <w:vAlign w:val="bottom"/>
            <w:gridSpan w:val="5"/>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gridSpan w:val="2"/>
          </w:tcPr>
          <w:p>
            <w:pPr>
              <w:jc w:val="right"/>
              <w:ind w:right="52"/>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75"/>
              <w:spacing w:after="0"/>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4040" w:type="dxa"/>
            <w:vAlign w:val="bottom"/>
            <w:gridSpan w:val="7"/>
          </w:tcPr>
          <w:p>
            <w:pPr>
              <w:jc w:val="right"/>
              <w:ind w:right="260"/>
              <w:spacing w:after="0"/>
              <w:rPr>
                <w:sz w:val="20"/>
                <w:szCs w:val="20"/>
                <w:color w:val="auto"/>
              </w:rPr>
            </w:pPr>
            <w:r>
              <w:rPr>
                <w:rFonts w:ascii="Arial" w:cs="Arial" w:eastAsia="Arial" w:hAnsi="Arial"/>
                <w:sz w:val="18"/>
                <w:szCs w:val="18"/>
                <w:color w:val="auto"/>
              </w:rPr>
              <w:t>$(1,538)</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$(1,898)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4040" w:type="dxa"/>
            <w:vAlign w:val="bottom"/>
            <w:gridSpan w:val="7"/>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(388)</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Foreign</w:t>
            </w:r>
          </w:p>
        </w:tc>
        <w:tc>
          <w:tcPr>
            <w:tcW w:w="3160" w:type="dxa"/>
            <w:vAlign w:val="bottom"/>
            <w:gridSpan w:val="4"/>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w:t>
            </w:r>
          </w:p>
        </w:tc>
        <w:tc>
          <w:tcPr>
            <w:tcW w:w="4040" w:type="dxa"/>
            <w:vAlign w:val="bottom"/>
            <w:gridSpan w:val="7"/>
            <w:shd w:val="clear" w:color="auto" w:fill="CCEEFF"/>
          </w:tcPr>
          <w:p>
            <w:pPr>
              <w:jc w:val="right"/>
              <w:ind w:right="260"/>
              <w:spacing w:after="0"/>
              <w:rPr>
                <w:sz w:val="20"/>
                <w:szCs w:val="20"/>
                <w:color w:val="auto"/>
              </w:rPr>
            </w:pPr>
            <w:r>
              <w:rPr>
                <w:rFonts w:ascii="Arial" w:cs="Arial" w:eastAsia="Arial" w:hAnsi="Arial"/>
                <w:sz w:val="18"/>
                <w:szCs w:val="18"/>
                <w:color w:val="auto"/>
              </w:rPr>
              <w:t>(671)</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Deferred:</w:t>
            </w: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4040" w:type="dxa"/>
            <w:vAlign w:val="bottom"/>
            <w:gridSpan w:val="7"/>
            <w:shd w:val="clear" w:color="auto" w:fill="CCEEFF"/>
          </w:tcPr>
          <w:p>
            <w:pPr>
              <w:jc w:val="right"/>
              <w:ind w:right="320"/>
              <w:spacing w:after="0"/>
              <w:rPr>
                <w:sz w:val="20"/>
                <w:szCs w:val="20"/>
                <w:color w:val="auto"/>
              </w:rPr>
            </w:pPr>
            <w:r>
              <w:rPr>
                <w:rFonts w:ascii="Arial" w:cs="Arial" w:eastAsia="Arial" w:hAnsi="Arial"/>
                <w:sz w:val="18"/>
                <w:szCs w:val="18"/>
                <w:color w:val="auto"/>
              </w:rPr>
              <w:t>761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200"/>
              <w:spacing w:after="0"/>
              <w:rPr>
                <w:sz w:val="20"/>
                <w:szCs w:val="20"/>
                <w:color w:val="auto"/>
              </w:rPr>
            </w:pPr>
            <w:r>
              <w:rPr>
                <w:rFonts w:ascii="Arial" w:cs="Arial" w:eastAsia="Arial" w:hAnsi="Arial"/>
                <w:sz w:val="18"/>
                <w:szCs w:val="18"/>
                <w:color w:val="auto"/>
              </w:rPr>
              <w:t>U.S. State</w:t>
            </w:r>
          </w:p>
        </w:tc>
        <w:tc>
          <w:tcPr>
            <w:tcW w:w="4040" w:type="dxa"/>
            <w:vAlign w:val="bottom"/>
            <w:gridSpan w:val="7"/>
          </w:tcPr>
          <w:p>
            <w:pPr>
              <w:jc w:val="right"/>
              <w:ind w:right="320"/>
              <w:spacing w:after="0"/>
              <w:rPr>
                <w:sz w:val="20"/>
                <w:szCs w:val="20"/>
                <w:color w:val="auto"/>
              </w:rPr>
            </w:pPr>
            <w:r>
              <w:rPr>
                <w:rFonts w:ascii="Arial" w:cs="Arial" w:eastAsia="Arial" w:hAnsi="Arial"/>
                <w:sz w:val="18"/>
                <w:szCs w:val="18"/>
                <w:color w:val="auto"/>
              </w:rPr>
              <w:t>26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3160" w:type="dxa"/>
            <w:vAlign w:val="bottom"/>
            <w:gridSpan w:val="4"/>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(2,444)</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420"/>
              <w:spacing w:after="0"/>
              <w:rPr>
                <w:sz w:val="20"/>
                <w:szCs w:val="20"/>
                <w:color w:val="auto"/>
              </w:rPr>
            </w:pPr>
            <w:r>
              <w:rPr>
                <w:rFonts w:ascii="Arial" w:cs="Arial" w:eastAsia="Arial" w:hAnsi="Arial"/>
                <w:sz w:val="18"/>
                <w:szCs w:val="18"/>
                <w:color w:val="auto"/>
              </w:rPr>
              <w:t>Total deferred</w:t>
            </w: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vMerge w:val="continue"/>
          </w:tcPr>
          <w:p>
            <w:pPr>
              <w:spacing w:after="0"/>
              <w:rPr>
                <w:sz w:val="19"/>
                <w:szCs w:val="19"/>
                <w:color w:val="auto"/>
              </w:rPr>
            </w:pPr>
          </w:p>
        </w:tc>
        <w:tc>
          <w:tcPr>
            <w:tcW w:w="3160" w:type="dxa"/>
            <w:vAlign w:val="bottom"/>
            <w:gridSpan w:val="4"/>
          </w:tcPr>
          <w:p>
            <w:pPr>
              <w:spacing w:after="0"/>
              <w:rPr>
                <w:sz w:val="19"/>
                <w:szCs w:val="19"/>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(1,657)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Pr>
          <w:p>
            <w:pPr>
              <w:spacing w:after="0"/>
              <w:rPr>
                <w:sz w:val="19"/>
                <w:szCs w:val="19"/>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160" w:type="dxa"/>
            <w:vAlign w:val="bottom"/>
            <w:gridSpan w:val="4"/>
            <w:shd w:val="clear" w:color="auto" w:fill="CCEEFF"/>
          </w:tcPr>
          <w:p>
            <w:pPr>
              <w:spacing w:after="0"/>
              <w:rPr>
                <w:sz w:val="18"/>
                <w:szCs w:val="18"/>
                <w:color w:val="auto"/>
              </w:rPr>
            </w:pPr>
          </w:p>
        </w:tc>
        <w:tc>
          <w:tcPr>
            <w:tcW w:w="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(2,328)</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(874)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2,059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w w:val="97"/>
              </w:rPr>
              <w:t>Income (loss) before income taxes consisted of the following:</w:t>
            </w:r>
          </w:p>
        </w:tc>
        <w:tc>
          <w:tcPr>
            <w:tcW w:w="2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76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20" w:type="dxa"/>
            <w:vAlign w:val="bottom"/>
            <w:gridSpan w:val="5"/>
          </w:tcPr>
          <w:p>
            <w:pPr>
              <w:jc w:val="right"/>
              <w:ind w:right="92"/>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2"/>
          </w:tcPr>
          <w:p>
            <w:pPr>
              <w:jc w:val="right"/>
              <w:ind w:right="92"/>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35"/>
              <w:spacing w:after="0"/>
              <w:rPr>
                <w:sz w:val="20"/>
                <w:szCs w:val="20"/>
                <w:color w:val="auto"/>
              </w:rPr>
            </w:pPr>
            <w:r>
              <w:rPr>
                <w:rFonts w:ascii="Arial" w:cs="Arial" w:eastAsia="Arial" w:hAnsi="Arial"/>
                <w:sz w:val="14"/>
                <w:szCs w:val="14"/>
                <w:color w:val="auto"/>
                <w:w w:val="96"/>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2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 (27,902)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 (10,189)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8,154</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Foreign</w:t>
            </w:r>
          </w:p>
        </w:tc>
        <w:tc>
          <w:tcPr>
            <w:tcW w:w="2980" w:type="dxa"/>
            <w:vAlign w:val="bottom"/>
            <w:gridSpan w:val="3"/>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(7,844)</w:t>
            </w:r>
          </w:p>
        </w:tc>
        <w:tc>
          <w:tcPr>
            <w:tcW w:w="32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(2,928)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9,624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(35,746)</w:t>
            </w:r>
          </w:p>
        </w:tc>
        <w:tc>
          <w:tcPr>
            <w:tcW w:w="3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2"/>
              </w:rPr>
              <w:t>$ (13,117)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17,778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660" w:type="dxa"/>
            <w:vAlign w:val="bottom"/>
            <w:vMerge w:val="restart"/>
          </w:tcPr>
          <w:p>
            <w:pPr>
              <w:jc w:val="right"/>
              <w:ind w:right="1997"/>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and tax purposes. Significant components of our deferred tax assets and liabilities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5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5"/>
                <w:szCs w:val="15"/>
                <w:color w:val="auto"/>
              </w:rPr>
            </w:pPr>
          </w:p>
        </w:tc>
      </w:tr>
      <w:tr>
        <w:trPr>
          <w:trHeight w:val="190"/>
        </w:trPr>
        <w:tc>
          <w:tcPr>
            <w:tcW w:w="5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Deferred tax assets:</w:t>
            </w:r>
          </w:p>
        </w:tc>
        <w:tc>
          <w:tcPr>
            <w:tcW w:w="26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Inventory, receivable and warranty reserves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13,290</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11,434</w:t>
            </w: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2,299</w:t>
            </w: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Tax credit carryforwards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11,258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7,764</w:t>
            </w: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Accrued employee benefits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2,167</w:t>
            </w: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Deferred profit</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w:t>
            </w: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Acquisition basis differences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2,226</w:t>
            </w: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fixed asset related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r>
      <w:tr>
        <w:trPr>
          <w:trHeight w:val="223"/>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r>
      <w:tr>
        <w:trPr>
          <w:trHeight w:val="216"/>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Gross deferred tax 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45,195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30,362</w:t>
            </w:r>
          </w:p>
        </w:tc>
      </w:tr>
      <w:tr>
        <w:trPr>
          <w:trHeight w:val="223"/>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Less valuation allowance</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(36,064)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(24,948)</w:t>
            </w:r>
          </w:p>
        </w:tc>
      </w:tr>
      <w:tr>
        <w:trPr>
          <w:trHeight w:val="216"/>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deferred tax assets</w:t>
            </w:r>
          </w:p>
        </w:tc>
        <w:tc>
          <w:tcPr>
            <w:tcW w:w="2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fixed asset related</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2,792</w:t>
            </w:r>
          </w:p>
        </w:tc>
      </w:tr>
      <w:tr>
        <w:trPr>
          <w:trHeight w:val="216"/>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Acquisition basis differences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13,193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9,340</w:t>
            </w:r>
          </w:p>
        </w:tc>
      </w:tr>
      <w:tr>
        <w:trPr>
          <w:trHeight w:val="216"/>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r>
      <w:tr>
        <w:trPr>
          <w:trHeight w:val="230"/>
        </w:trPr>
        <w:tc>
          <w:tcPr>
            <w:tcW w:w="5940" w:type="dxa"/>
            <w:vAlign w:val="bottom"/>
            <w:gridSpan w:val="2"/>
          </w:tcPr>
          <w:p>
            <w:pPr>
              <w:ind w:left="440"/>
              <w:spacing w:after="0"/>
              <w:rPr>
                <w:sz w:val="20"/>
                <w:szCs w:val="20"/>
                <w:color w:val="auto"/>
              </w:rPr>
            </w:pPr>
            <w:r>
              <w:rPr>
                <w:rFonts w:ascii="Arial" w:cs="Arial" w:eastAsia="Arial" w:hAnsi="Arial"/>
                <w:sz w:val="18"/>
                <w:szCs w:val="18"/>
                <w:color w:val="auto"/>
              </w:rPr>
              <w:t>Total deferred tax liabilities</w:t>
            </w:r>
          </w:p>
        </w:tc>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16,563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12,415</w:t>
            </w:r>
          </w:p>
        </w:tc>
        <w:tc>
          <w:tcPr>
            <w:tcW w:w="100" w:type="dxa"/>
            <w:vAlign w:val="bottom"/>
          </w:tcPr>
          <w:p>
            <w:pPr>
              <w:spacing w:after="0"/>
              <w:rPr>
                <w:sz w:val="20"/>
                <w:szCs w:val="20"/>
                <w:color w:val="auto"/>
              </w:rPr>
            </w:pPr>
          </w:p>
        </w:tc>
      </w:tr>
      <w:tr>
        <w:trPr>
          <w:trHeight w:val="216"/>
        </w:trPr>
        <w:tc>
          <w:tcPr>
            <w:tcW w:w="5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deferred tax liabilities</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(7,001)</w:t>
            </w:r>
          </w:p>
        </w:tc>
      </w:tr>
      <w:tr>
        <w:trPr>
          <w:trHeight w:val="20"/>
        </w:trPr>
        <w:tc>
          <w:tcPr>
            <w:tcW w:w="8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60"/>
        <w:spacing w:after="0" w:line="294" w:lineRule="auto"/>
        <w:rPr>
          <w:sz w:val="20"/>
          <w:szCs w:val="20"/>
          <w:color w:val="auto"/>
        </w:rPr>
      </w:pPr>
      <w:r>
        <w:rPr>
          <w:rFonts w:ascii="Arial" w:cs="Arial" w:eastAsia="Arial" w:hAnsi="Arial"/>
          <w:sz w:val="16"/>
          <w:szCs w:val="16"/>
          <w:color w:val="auto"/>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spacing w:after="0" w:line="35" w:lineRule="exact"/>
        <w:rPr>
          <w:sz w:val="20"/>
          <w:szCs w:val="20"/>
          <w:color w:val="auto"/>
        </w:rPr>
      </w:pPr>
    </w:p>
    <w:p>
      <w:pPr>
        <w:jc w:val="both"/>
        <w:ind w:left="460" w:right="20"/>
        <w:spacing w:after="0" w:line="256" w:lineRule="auto"/>
        <w:rPr>
          <w:sz w:val="20"/>
          <w:szCs w:val="20"/>
          <w:color w:val="auto"/>
        </w:rPr>
      </w:pPr>
      <w:r>
        <w:rPr>
          <w:rFonts w:ascii="Arial" w:cs="Arial" w:eastAsia="Arial" w:hAnsi="Arial"/>
          <w:sz w:val="18"/>
          <w:szCs w:val="18"/>
          <w:color w:val="auto"/>
        </w:rPr>
        <w:t>In assessing whether a valuation allowance is required, significant weight is to be given to evidence that can be objectively verified. We have evaluated our DTAs each reporting period, including an assessment of our cumulative income or loss over the prior three-year period and future periods, to determine if a valuation allowance was required. A significant negative factor in our assessment was Cohu’s three-year cumulative U.S. loss history at the end of various fiscal periods including 2013.</w:t>
      </w:r>
    </w:p>
    <w:p>
      <w:pPr>
        <w:spacing w:after="0" w:line="62" w:lineRule="exact"/>
        <w:rPr>
          <w:sz w:val="20"/>
          <w:szCs w:val="20"/>
          <w:color w:val="auto"/>
        </w:rPr>
      </w:pPr>
    </w:p>
    <w:p>
      <w:pPr>
        <w:ind w:left="460" w:right="60"/>
        <w:spacing w:after="0" w:line="256" w:lineRule="auto"/>
        <w:rPr>
          <w:sz w:val="20"/>
          <w:szCs w:val="20"/>
          <w:color w:val="auto"/>
        </w:rPr>
      </w:pPr>
      <w:r>
        <w:rPr>
          <w:rFonts w:ascii="Arial" w:cs="Arial" w:eastAsia="Arial" w:hAnsi="Arial"/>
          <w:sz w:val="18"/>
          <w:szCs w:val="18"/>
          <w:color w:val="auto"/>
        </w:rPr>
        <w:t>As a result of our cumulative, three-year GAAP domestic pretax loss of approximately $29.9 million at the end of 2013, and our loss in 2013, we were unable to conclude at December 28, 2013 that it was “more likely than not” that our U.S. DTAs would be realized. We will evaluate the realizability of our DTAs at the end of each quarterly reporting period in 2014 and should circumstances change it is possible the remaining valuation allowance, or a portion thereof, will be reversed in a future period.</w:t>
      </w:r>
    </w:p>
    <w:p>
      <w:pPr>
        <w:spacing w:after="0" w:line="6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Our valuation allowance on our DTAs at December 28, 2013 and December 29, 2012 was approximately $36.1 million and $24.9 million, respectively. The remaining gross DTAs for which a valuation allowance was not recorded are realizable primarily through future reversals of existing taxable temporary differences. As the realization of DTAs is determined by tax jurisdiction, the significant deferred tax liabilities recorded as part of the 2008 acquisition of Rasco, a German corporation, and the fiscal 2013 acquisition of Ismeca, a Swiss Corporation, were not a source of taxable income in assessing the realization of our DTAs in the U.S.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income tax computed at the U.S. federal statutory tax rate to the provision (benefit) for income taxes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2013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color w:val="auto"/>
                <w:w w:val="96"/>
              </w:rPr>
              <w:t>2012</w:t>
            </w:r>
          </w:p>
        </w:tc>
        <w:tc>
          <w:tcPr>
            <w:tcW w:w="200" w:type="dxa"/>
            <w:vAlign w:val="bottom"/>
          </w:tcPr>
          <w:p>
            <w:pPr>
              <w:spacing w:after="0"/>
              <w:rPr>
                <w:sz w:val="15"/>
                <w:szCs w:val="15"/>
                <w:color w:val="auto"/>
              </w:rPr>
            </w:pPr>
          </w:p>
        </w:tc>
        <w:tc>
          <w:tcPr>
            <w:tcW w:w="640" w:type="dxa"/>
            <w:vAlign w:val="bottom"/>
            <w:gridSpan w:val="2"/>
          </w:tcPr>
          <w:p>
            <w:pPr>
              <w:jc w:val="right"/>
              <w:ind w:right="3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210"/>
        </w:trPr>
        <w:tc>
          <w:tcPr>
            <w:tcW w:w="8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Tax provision (benefit) at U.S. 35% statutory rate</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(12,511)</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(4,591)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$6,223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State income taxes, net of federal tax benefit</w:t>
            </w: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(645)</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(941)</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adjustments and releases from statute expirations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(791)</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Change in effective tax rate for deferred balances</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Stock-based compensation on which no tax benefit provided</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2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2,614</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(483)</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Foreign income taxed at different rates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(726)</w:t>
            </w: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r>
      <w:tr>
        <w:trPr>
          <w:trHeight w:val="27"/>
        </w:trPr>
        <w:tc>
          <w:tcPr>
            <w:tcW w:w="8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2,059</w:t>
            </w:r>
          </w:p>
        </w:tc>
      </w:tr>
      <w:tr>
        <w:trPr>
          <w:trHeight w:val="20"/>
        </w:trPr>
        <w:tc>
          <w:tcPr>
            <w:tcW w:w="8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State income taxes, net of federal benefit, have been reduced by research tax credits totaling approximately $0.7 million, $0.6 million and $0.6 million in 2013, 2012 and 2011.</w:t>
      </w:r>
    </w:p>
    <w:p>
      <w:pPr>
        <w:spacing w:after="0" w:line="51" w:lineRule="exact"/>
        <w:rPr>
          <w:sz w:val="20"/>
          <w:szCs w:val="20"/>
          <w:color w:val="auto"/>
        </w:rPr>
      </w:pPr>
    </w:p>
    <w:p>
      <w:pPr>
        <w:ind w:left="460" w:right="60"/>
        <w:spacing w:after="0" w:line="290" w:lineRule="auto"/>
        <w:rPr>
          <w:sz w:val="20"/>
          <w:szCs w:val="20"/>
          <w:color w:val="auto"/>
        </w:rPr>
      </w:pPr>
      <w:r>
        <w:rPr>
          <w:rFonts w:ascii="Arial" w:cs="Arial" w:eastAsia="Arial" w:hAnsi="Arial"/>
          <w:sz w:val="16"/>
          <w:szCs w:val="16"/>
          <w:color w:val="auto"/>
        </w:rPr>
        <w:t>At December 28, 2013, we had federal, state and foreign net operating loss carryforwards of approximately $16.3 million, $29.1 million and $19.1 million, respectively, that expire in various tax years through 2033 or have no expiration date. We also have federal and state tax credit carryforwards at December 28, 2013 of approximately $6.3 million and $12.5 million, respectively, some of which expire in various tax years beginning in 2014 through 2033 or have no expiration date. The federal and state loss and credit carryforwards are subject to annual limitations under Sections 382 and 383 of the Internal Revenue Code and applicable state tax law. Approximately $5.1 million of U.S. federal net operating loss carryforwards acquired in the Ismeca acquisition are expected to expire unutilized as a result of the annual limitations imposed by Section 382. As a result we have reduced our deferred tax assets and valuation allowance related to these net operating loss carryforwards.</w:t>
      </w:r>
    </w:p>
    <w:p>
      <w:pPr>
        <w:spacing w:after="0" w:line="37"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American Taxpayer Relief Act of 2012, which reinstated the United States federal research and development tax credit retroactively from January 1, 2012 through December 31, 2013, was not enacted into law until the first quarter of 2013. Therefore, the tax benefit from the credits for 2012 and 2013 are reflected in our 2013 income tax provision.</w:t>
      </w:r>
    </w:p>
    <w:p>
      <w:pPr>
        <w:spacing w:after="0" w:line="59"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U.S. income taxes have not been provided on approximately $17.0 million of accumulated undistributed earnings of certain foreign subsidiaries, as we currently intend to indefinitely reinvest these earnings in operations outside the U.S. It is not practicable to estimate the amount of tax that might be payable if some or all of such earnings were to be remitted. We have certain tax holidays or incentives with respect to our operations in Malaysia, Singapore and the Philippines. These holidays or incentives require compliance with certain conditions and expire at various dates through 2023. The impact of these holidays or incentives on net income was not significant for fiscal years ended December 2013, 2012 and 2011.</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our gross unrecognized tax benefits, excluding accrued interest and penalties,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color w:val="auto"/>
                <w:w w:val="96"/>
              </w:rPr>
              <w:t>2013</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$5,381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Gross additions for tax positions of current year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933</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additions for tax positions of prior years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Reductions due to lapse of the statute of limitations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10,483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6,080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$ 5,381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2013 gross additions for tax positions of prior years are primarily composed of additions from the Ismeca acquisition.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If the unrecognized tax benefits at December 28, 2013 are ultimately recognized, approximately $6.2 million ($2.5 million at December 29, 2012) would result in a reduction in our income tax expense and effective tax rate.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unable to estimate the range of any reasonably possible increase or decrease in our gross</w:t>
      </w:r>
    </w:p>
    <w:p>
      <w:pPr>
        <w:spacing w:after="0" w:line="15" w:lineRule="exact"/>
        <w:rPr>
          <w:sz w:val="20"/>
          <w:szCs w:val="20"/>
          <w:color w:val="auto"/>
        </w:rPr>
      </w:pPr>
    </w:p>
    <w:p>
      <w:pPr>
        <w:ind w:left="460" w:right="60"/>
        <w:spacing w:after="0" w:line="261" w:lineRule="auto"/>
        <w:rPr>
          <w:sz w:val="20"/>
          <w:szCs w:val="20"/>
          <w:color w:val="auto"/>
        </w:rPr>
      </w:pPr>
      <w:r>
        <w:rPr>
          <w:rFonts w:ascii="Arial" w:cs="Arial" w:eastAsia="Arial" w:hAnsi="Arial"/>
          <w:sz w:val="18"/>
          <w:szCs w:val="18"/>
          <w:color w:val="auto"/>
        </w:rPr>
        <w:t>unrecognized tax benefits over the next 12 months. However, we do not expect any such outcome will result in a material change to our financial condition or results of operations.</w:t>
      </w:r>
    </w:p>
    <w:p>
      <w:pPr>
        <w:spacing w:after="0" w:line="57"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We recognize interest and penalties related to unrecognized tax benefits in income tax expense. Cohu had approximately $1.5 million accrued for the payment of interest and penalties at December 28, 2013 and $0.4 million at December 29, 2012. The increase in accrued interest and penalties is due to the Ismeca acquisition. Interest expense, net of accrued interest reversed, in 2013, 2012 and 2011 was approximately $(0.1) million, $0.1 million and $0.2 million, respectively.</w:t>
      </w:r>
    </w:p>
    <w:p>
      <w:pPr>
        <w:spacing w:after="0" w:line="62"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Our U.S. federal and state income tax returns for years after 2009 and 2008, respectively, remain open to examination, subject to the statute of limitations. Net operating loss and credit carryforwards arising prior to these years are also open to examination if and when utilized. The statute of limitations for the assessment and collection of income taxes related to our foreign tax returns varies by country. In the foreign countries where we have significant operations these time periods generally range from four to ten years after the year for which the tax return is due or the tax is assessed.</w:t>
      </w:r>
    </w:p>
    <w:p>
      <w:pPr>
        <w:spacing w:after="0" w:line="26"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96" w:lineRule="exact"/>
        <w:rPr>
          <w:rFonts w:ascii="Arial" w:cs="Arial" w:eastAsia="Arial" w:hAnsi="Arial"/>
          <w:sz w:val="18"/>
          <w:szCs w:val="18"/>
          <w:b w:val="1"/>
          <w:bCs w:val="1"/>
          <w:color w:val="auto"/>
        </w:rPr>
      </w:pPr>
    </w:p>
    <w:p>
      <w:pPr>
        <w:ind w:left="460" w:right="3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Our reportable segments are business units that offer different products and are managed separately because each business requires different technology and marketing strategies. Our three segments are: semiconductor equipment, microwave communications and video cameras.</w:t>
      </w:r>
    </w:p>
    <w:p>
      <w:pPr>
        <w:spacing w:after="0" w:line="4"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accounting policies of the reportable segments are the same as those described in the summary of significant accounting policies. We allocate resources and evaluate the performance of segments based on profit or loss from operations, excluding interest, corporate expenses and unusual gains or losses. Intersegment sales were not significant for any period.</w:t>
      </w:r>
    </w:p>
    <w:p>
      <w:pPr>
        <w:spacing w:after="0" w:line="5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Financial information by industry segment is presented below</w:t>
      </w:r>
      <w:r>
        <w:rPr>
          <w:rFonts w:ascii="Arial" w:cs="Arial" w:eastAsia="Arial" w:hAnsi="Arial"/>
          <w:sz w:val="18"/>
          <w:szCs w:val="18"/>
          <w:i w:val="1"/>
          <w:iCs w:val="1"/>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gridSpan w:val="2"/>
          </w:tcPr>
          <w:p>
            <w:pPr>
              <w:jc w:val="right"/>
              <w:ind w:right="112"/>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4"/>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sales by segment: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220"/>
              <w:spacing w:after="0"/>
              <w:rPr>
                <w:sz w:val="20"/>
                <w:szCs w:val="20"/>
                <w:color w:val="auto"/>
              </w:rPr>
            </w:pPr>
            <w:r>
              <w:rPr>
                <w:rFonts w:ascii="Arial" w:cs="Arial" w:eastAsia="Arial" w:hAnsi="Arial"/>
                <w:sz w:val="18"/>
                <w:szCs w:val="18"/>
                <w:color w:val="auto"/>
              </w:rPr>
              <w:t>Semiconductor equipment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$ 214,511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179,449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260,648</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29,967</w:t>
            </w:r>
          </w:p>
        </w:tc>
        <w:tc>
          <w:tcPr>
            <w:tcW w:w="0" w:type="dxa"/>
            <w:vAlign w:val="bottom"/>
          </w:tcPr>
          <w:p>
            <w:pPr>
              <w:spacing w:after="0"/>
              <w:rPr>
                <w:sz w:val="1"/>
                <w:szCs w:val="1"/>
                <w:color w:val="auto"/>
              </w:rPr>
            </w:pPr>
          </w:p>
        </w:tc>
      </w:tr>
      <w:tr>
        <w:trPr>
          <w:trHeight w:val="223"/>
        </w:trPr>
        <w:tc>
          <w:tcPr>
            <w:tcW w:w="8420" w:type="dxa"/>
            <w:vAlign w:val="bottom"/>
            <w:gridSpan w:val="2"/>
          </w:tcPr>
          <w:p>
            <w:pPr>
              <w:ind w:left="220"/>
              <w:spacing w:after="0"/>
              <w:rPr>
                <w:sz w:val="20"/>
                <w:szCs w:val="20"/>
                <w:color w:val="auto"/>
              </w:rPr>
            </w:pPr>
            <w:r>
              <w:rPr>
                <w:rFonts w:ascii="Arial" w:cs="Arial" w:eastAsia="Arial" w:hAnsi="Arial"/>
                <w:sz w:val="18"/>
                <w:szCs w:val="18"/>
                <w:color w:val="auto"/>
              </w:rPr>
              <w:t>Video cameras</w:t>
            </w:r>
          </w:p>
        </w:tc>
        <w:tc>
          <w:tcPr>
            <w:tcW w:w="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247,300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221,162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308,968</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Segment profit (loss):</w:t>
            </w: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Semiconductor equipment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(24,998)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20,040</w:t>
            </w:r>
          </w:p>
        </w:tc>
        <w:tc>
          <w:tcPr>
            <w:tcW w:w="0" w:type="dxa"/>
            <w:vAlign w:val="bottom"/>
          </w:tcPr>
          <w:p>
            <w:pPr>
              <w:spacing w:after="0"/>
              <w:rPr>
                <w:sz w:val="1"/>
                <w:szCs w:val="1"/>
                <w:color w:val="auto"/>
              </w:rPr>
            </w:pPr>
          </w:p>
        </w:tc>
      </w:tr>
      <w:tr>
        <w:trPr>
          <w:trHeight w:val="216"/>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Microwave communications</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Video cameras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ind w:left="440"/>
              <w:spacing w:after="0"/>
              <w:rPr>
                <w:sz w:val="20"/>
                <w:szCs w:val="20"/>
                <w:color w:val="auto"/>
              </w:rPr>
            </w:pPr>
            <w:r>
              <w:rPr>
                <w:rFonts w:ascii="Arial" w:cs="Arial" w:eastAsia="Arial" w:hAnsi="Arial"/>
                <w:sz w:val="18"/>
                <w:szCs w:val="18"/>
                <w:color w:val="auto"/>
              </w:rPr>
              <w:t>Profit (loss) for reportable segments</w:t>
            </w: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22,357</w:t>
            </w:r>
          </w:p>
        </w:tc>
        <w:tc>
          <w:tcPr>
            <w:tcW w:w="0" w:type="dxa"/>
            <w:vAlign w:val="bottom"/>
          </w:tcPr>
          <w:p>
            <w:pPr>
              <w:spacing w:after="0"/>
              <w:rPr>
                <w:sz w:val="1"/>
                <w:szCs w:val="1"/>
                <w:color w:val="auto"/>
              </w:rPr>
            </w:pPr>
          </w:p>
        </w:tc>
      </w:tr>
      <w:tr>
        <w:trPr>
          <w:trHeight w:val="218"/>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unallocated amounts: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gridSpan w:val="2"/>
          </w:tcPr>
          <w:p>
            <w:pPr>
              <w:ind w:left="220"/>
              <w:spacing w:after="0"/>
              <w:rPr>
                <w:sz w:val="20"/>
                <w:szCs w:val="20"/>
                <w:color w:val="auto"/>
              </w:rPr>
            </w:pPr>
            <w:r>
              <w:rPr>
                <w:rFonts w:ascii="Arial" w:cs="Arial" w:eastAsia="Arial" w:hAnsi="Arial"/>
                <w:sz w:val="18"/>
                <w:szCs w:val="18"/>
                <w:color w:val="auto"/>
              </w:rPr>
              <w:t xml:space="preserve">Corporate expenses </w:t>
            </w:r>
            <w:r>
              <w:rPr>
                <w:rFonts w:ascii="Arial" w:cs="Arial" w:eastAsia="Arial" w:hAnsi="Arial"/>
                <w:sz w:val="11"/>
                <w:szCs w:val="11"/>
                <w:color w:val="auto"/>
              </w:rPr>
              <w:t>(1)</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8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and other income</w:t>
            </w:r>
          </w:p>
        </w:tc>
        <w:tc>
          <w:tcPr>
            <w:tcW w:w="2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20" w:type="dxa"/>
            <w:vAlign w:val="bottom"/>
            <w:gridSpan w:val="2"/>
          </w:tcPr>
          <w:p>
            <w:pPr>
              <w:ind w:left="440"/>
              <w:spacing w:after="0"/>
              <w:rPr>
                <w:sz w:val="20"/>
                <w:szCs w:val="20"/>
                <w:color w:val="auto"/>
              </w:rPr>
            </w:pPr>
            <w:r>
              <w:rPr>
                <w:rFonts w:ascii="Arial" w:cs="Arial" w:eastAsia="Arial" w:hAnsi="Arial"/>
                <w:sz w:val="18"/>
                <w:szCs w:val="18"/>
                <w:color w:val="auto"/>
              </w:rPr>
              <w:t>Income (loss) from operations before income taxes</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(35,746)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(13,117)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17,778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160" w:type="dxa"/>
            <w:vAlign w:val="bottom"/>
            <w:shd w:val="clear" w:color="auto" w:fill="CCEEFF"/>
          </w:tcPr>
          <w:p>
            <w:pPr>
              <w:spacing w:after="0"/>
              <w:rPr>
                <w:sz w:val="12"/>
                <w:szCs w:val="12"/>
                <w:color w:val="auto"/>
              </w:rPr>
            </w:pPr>
          </w:p>
        </w:tc>
        <w:tc>
          <w:tcPr>
            <w:tcW w:w="7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140" w:hanging="5612"/>
        <w:spacing w:after="0" w:line="440"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corporate expense in 2012 was primarily a result of $2.3 million in Ismeca acquisition related costs. 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1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w w:val="98"/>
              </w:rPr>
              <w:t>Depreciation and amortization by segment deducted in arriving at profit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4,723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4,313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Intangible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4,057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depreciation and amortization for reportable segments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10,067</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i w:val="1"/>
                <w:iCs w:val="1"/>
                <w:color w:val="auto"/>
              </w:rPr>
              <w:t>Capital expenditures by segment:</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440"/>
              <w:spacing w:after="0"/>
              <w:rPr>
                <w:sz w:val="20"/>
                <w:szCs w:val="20"/>
                <w:color w:val="auto"/>
              </w:rPr>
            </w:pPr>
            <w:r>
              <w:rPr>
                <w:rFonts w:ascii="Arial" w:cs="Arial" w:eastAsia="Arial" w:hAnsi="Arial"/>
                <w:sz w:val="18"/>
                <w:szCs w:val="18"/>
                <w:color w:val="auto"/>
              </w:rPr>
              <w:t>Total consolidated capital expenditures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1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3,908</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6120" w:type="dxa"/>
            <w:vAlign w:val="bottom"/>
            <w:tcBorders>
              <w:bottom w:val="single" w:sz="8" w:color="auto"/>
            </w:tcBorders>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2013</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Semiconductor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297,175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281,173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255,189</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Microwave communications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22,156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21,968</w:t>
            </w:r>
          </w:p>
        </w:tc>
        <w:tc>
          <w:tcPr>
            <w:tcW w:w="0" w:type="dxa"/>
            <w:vAlign w:val="bottom"/>
          </w:tcPr>
          <w:p>
            <w:pPr>
              <w:spacing w:after="0"/>
              <w:rPr>
                <w:sz w:val="1"/>
                <w:szCs w:val="1"/>
                <w:color w:val="auto"/>
              </w:rPr>
            </w:pPr>
          </w:p>
        </w:tc>
      </w:tr>
      <w:tr>
        <w:trPr>
          <w:trHeight w:val="216"/>
        </w:trPr>
        <w:tc>
          <w:tcPr>
            <w:tcW w:w="6120" w:type="dxa"/>
            <w:vAlign w:val="bottom"/>
          </w:tcPr>
          <w:p>
            <w:pPr>
              <w:ind w:left="220"/>
              <w:spacing w:after="0"/>
              <w:rPr>
                <w:sz w:val="20"/>
                <w:szCs w:val="20"/>
                <w:color w:val="auto"/>
              </w:rPr>
            </w:pPr>
            <w:r>
              <w:rPr>
                <w:rFonts w:ascii="Arial" w:cs="Arial" w:eastAsia="Arial" w:hAnsi="Arial"/>
                <w:sz w:val="18"/>
                <w:szCs w:val="18"/>
                <w:color w:val="auto"/>
              </w:rPr>
              <w:t>Video cameras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8,870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9,424</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11,598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 for reportable segments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328,201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313,232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288,755</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Corporate, principally cash and investments and deferred taxes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72,853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consolidated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345,423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334,873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361,608</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Customers from the semiconductor equipment segment comprising 10% or greater of our consolidated net sales are summarized as follows: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89"/>
              </w:rPr>
              <w:t>2013</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color w:val="auto"/>
              </w:rPr>
              <w:t>2012</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2011</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Intel</w:t>
            </w:r>
          </w:p>
        </w:tc>
        <w:tc>
          <w:tcPr>
            <w:tcW w:w="27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3"/>
            <w:shd w:val="clear" w:color="auto" w:fill="CCEEFF"/>
          </w:tcPr>
          <w:p>
            <w:pPr>
              <w:ind w:left="60"/>
              <w:spacing w:after="0"/>
              <w:rPr>
                <w:sz w:val="20"/>
                <w:szCs w:val="20"/>
                <w:color w:val="auto"/>
              </w:rPr>
            </w:pPr>
            <w:r>
              <w:rPr>
                <w:rFonts w:ascii="Arial" w:cs="Arial" w:eastAsia="Arial" w:hAnsi="Arial"/>
                <w:sz w:val="18"/>
                <w:szCs w:val="18"/>
                <w:color w:val="auto"/>
                <w:w w:val="99"/>
              </w:rPr>
              <w:t>39</w:t>
            </w:r>
          </w:p>
        </w:tc>
        <w:tc>
          <w:tcPr>
            <w:tcW w:w="440" w:type="dxa"/>
            <w:vAlign w:val="bottom"/>
            <w:tcBorders>
              <w:top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Texas Instruments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3"/>
          </w:tcPr>
          <w:p>
            <w:pPr>
              <w:jc w:val="center"/>
              <w:spacing w:after="0"/>
              <w:rPr>
                <w:sz w:val="20"/>
                <w:szCs w:val="20"/>
                <w:color w:val="auto"/>
              </w:rPr>
            </w:pPr>
            <w:r>
              <w:rPr>
                <w:rFonts w:ascii="Arial" w:cs="Arial" w:eastAsia="Arial" w:hAnsi="Arial"/>
                <w:sz w:val="18"/>
                <w:szCs w:val="18"/>
                <w:color w:val="auto"/>
                <w:w w:val="87"/>
              </w:rPr>
              <w:t>11 %</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3600" w:type="dxa"/>
            <w:vAlign w:val="bottom"/>
            <w:gridSpan w:val="3"/>
          </w:tcPr>
          <w:p>
            <w:pPr>
              <w:ind w:left="460"/>
              <w:spacing w:after="0"/>
              <w:rPr>
                <w:sz w:val="20"/>
                <w:szCs w:val="20"/>
                <w:color w:val="auto"/>
              </w:rPr>
            </w:pPr>
            <w:r>
              <w:rPr>
                <w:rFonts w:ascii="Arial" w:cs="Arial" w:eastAsia="Arial" w:hAnsi="Arial"/>
                <w:sz w:val="18"/>
                <w:szCs w:val="18"/>
                <w:color w:val="auto"/>
              </w:rPr>
              <w:t>* Less than 10% of net sales</w:t>
            </w:r>
          </w:p>
        </w:tc>
        <w:tc>
          <w:tcPr>
            <w:tcW w:w="2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220" w:type="dxa"/>
            <w:vAlign w:val="bottom"/>
            <w:gridSpan w:val="7"/>
          </w:tcPr>
          <w:p>
            <w:pPr>
              <w:jc w:val="right"/>
              <w:spacing w:after="0"/>
              <w:rPr>
                <w:sz w:val="20"/>
                <w:szCs w:val="20"/>
                <w:color w:val="auto"/>
              </w:rPr>
            </w:pPr>
            <w:r>
              <w:rPr>
                <w:rFonts w:ascii="Arial" w:cs="Arial" w:eastAsia="Arial" w:hAnsi="Arial"/>
                <w:sz w:val="18"/>
                <w:szCs w:val="18"/>
                <w:color w:val="auto"/>
                <w:w w:val="87"/>
              </w:rPr>
              <w:t>Net sales to customers, attributed to countries based on product shipment destination, were as follows: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3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(in thousands)</w:t>
            </w:r>
          </w:p>
        </w:tc>
        <w:tc>
          <w:tcPr>
            <w:tcW w:w="2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color w:val="auto"/>
              </w:rPr>
              <w:t>2012</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58,856</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57,193</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77,563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Malaysia</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51,661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40,326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48,624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China</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37,623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37,824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Philippines</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4"/>
          </w:tcPr>
          <w:p>
            <w:pPr>
              <w:jc w:val="right"/>
              <w:ind w:right="180"/>
              <w:spacing w:after="0"/>
              <w:rPr>
                <w:sz w:val="20"/>
                <w:szCs w:val="20"/>
                <w:color w:val="auto"/>
              </w:rPr>
            </w:pPr>
            <w:r>
              <w:rPr>
                <w:rFonts w:ascii="Arial" w:cs="Arial" w:eastAsia="Arial" w:hAnsi="Arial"/>
                <w:sz w:val="18"/>
                <w:szCs w:val="18"/>
                <w:color w:val="auto"/>
              </w:rPr>
              <w:t>26,563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22,507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40,368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Costa Rica</w:t>
            </w:r>
          </w:p>
        </w:tc>
        <w:tc>
          <w:tcPr>
            <w:tcW w:w="2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5,127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2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67,470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46,229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90,437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247,300</w:t>
            </w:r>
          </w:p>
        </w:tc>
        <w:tc>
          <w:tcPr>
            <w:tcW w:w="1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221,162</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ind w:left="136"/>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308,968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740" w:type="dxa"/>
            <w:vAlign w:val="bottom"/>
            <w:vMerge w:val="restart"/>
          </w:tcPr>
          <w:p>
            <w:pPr>
              <w:jc w:val="right"/>
              <w:ind w:right="1372"/>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Geographic location of our property, plant and equipment and other long-lived assets was as follows:</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8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color w:val="auto"/>
              </w:rPr>
              <w:t>2013</w:t>
            </w:r>
          </w:p>
        </w:tc>
        <w:tc>
          <w:tcPr>
            <w:tcW w:w="940" w:type="dxa"/>
            <w:vAlign w:val="bottom"/>
            <w:gridSpan w:val="2"/>
          </w:tcPr>
          <w:p>
            <w:pPr>
              <w:jc w:val="right"/>
              <w:ind w:right="52"/>
              <w:spacing w:after="0"/>
              <w:rPr>
                <w:sz w:val="20"/>
                <w:szCs w:val="20"/>
                <w:color w:val="auto"/>
              </w:rPr>
            </w:pPr>
            <w:r>
              <w:rPr>
                <w:rFonts w:ascii="Arial" w:cs="Arial" w:eastAsia="Arial" w:hAnsi="Arial"/>
                <w:sz w:val="14"/>
                <w:szCs w:val="14"/>
                <w:color w:val="auto"/>
              </w:rPr>
              <w:t>2012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Property, plant and equipment:</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21,894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$22,621</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8,802</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3,851</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36,226</w:t>
            </w: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35,464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Goodwill and other intangible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51,032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$53,190</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Switzerland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32,513</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17,698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17,985</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Malaysia</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gridSpan w:val="2"/>
          </w:tcPr>
          <w:p>
            <w:pPr>
              <w:spacing w:after="0"/>
              <w:rPr>
                <w:sz w:val="20"/>
                <w:szCs w:val="20"/>
                <w:color w:val="auto"/>
              </w:rPr>
            </w:pPr>
            <w:r>
              <w:rPr>
                <w:rFonts w:ascii="Arial" w:cs="Arial" w:eastAsia="Arial" w:hAnsi="Arial"/>
                <w:sz w:val="18"/>
                <w:szCs w:val="18"/>
                <w:color w:val="auto"/>
              </w:rPr>
              <w:t>Singapore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4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net</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116,628</w:t>
            </w:r>
          </w:p>
        </w:tc>
        <w:tc>
          <w:tcPr>
            <w:tcW w:w="3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77,733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 Rights Plan</w:t>
      </w:r>
    </w:p>
    <w:p>
      <w:pPr>
        <w:spacing w:after="0" w:line="96"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1996, we adopted a Stockholder Rights Plan (“Rights Plan”) and declared a dividend distribution of one Preferred Stock Purchase Right (“Right”) for each share of common stock, payable to holders of record on December 3, 1996. Under the Rights Plan, each stockholder received one Right for each share of common stock owned. Each Right entitled the holder to buy one one-hundredth (1/100) of a share of Cohu’s Series A Preferred Stock for $90. As a result of the two-for-one stock split in September, 1999, each share of common stock was associated with one-half of a Right entitling the holder to purchase one two-hundredth (1/200) of a share of Series A Preferred Stock for $45. In November, 2006, we amended and restated our existing Rights Plan to extend its term to November 9, 2016 and make certain other changes. Pursuant to the amendment, to reflect the increase in the price of our common stock since the adoption of the Rights Plan, the exercise price of each Right was increased to $190. Consequently, each one-half of a Right entitles the holder to purchase one two-hundredth (1/200) of a share of Series A Preferred Stock for $95. The Rights are not presently exercisable and will only become exercisable following the occurrence of certain specified events. If these specified events occur, each Right will be adjusted to entitle its holder to receive, upon exercise, common stock having a value equal to two times the exercise price of the Right, or each Right will be adjusted to entitle its holder to receive common stock of the acquiring company having a value equal to two times the exercise price of the Right, depending on the circumstances. The Rights expire on November 9, 2016, and we may redeem them for $0.001 per Right. The Rights do not have voting or dividend rights and, until they become exercisable, have no dilutive effect on our earnings per share.</w:t>
      </w:r>
    </w:p>
    <w:p>
      <w:pPr>
        <w:spacing w:after="0" w:line="155" w:lineRule="exact"/>
        <w:rPr>
          <w:rFonts w:ascii="Arial" w:cs="Arial" w:eastAsia="Arial" w:hAnsi="Arial"/>
          <w:sz w:val="18"/>
          <w:szCs w:val="18"/>
          <w:b w:val="1"/>
          <w:bCs w:val="1"/>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We lease certain of our facilities and equipment under non-cancelable operating leases. Rental expense was $1.8 million in 2013 and $1.1 million, in both</w:t>
      </w:r>
    </w:p>
    <w:p>
      <w:pPr>
        <w:spacing w:after="0" w:line="38"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2012 and 2011. Future minimum lease payments at December 28, 2013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0"/>
              </w:rPr>
              <w:t>(in thousands)</w:t>
            </w:r>
          </w:p>
        </w:tc>
        <w:tc>
          <w:tcPr>
            <w:tcW w:w="3260" w:type="dxa"/>
            <w:vAlign w:val="bottom"/>
          </w:tcPr>
          <w:p>
            <w:pPr>
              <w:spacing w:after="0"/>
              <w:rPr>
                <w:sz w:val="15"/>
                <w:szCs w:val="15"/>
                <w:color w:val="auto"/>
              </w:rPr>
            </w:pPr>
          </w:p>
        </w:tc>
        <w:tc>
          <w:tcPr>
            <w:tcW w:w="2300" w:type="dxa"/>
            <w:vAlign w:val="bottom"/>
            <w:gridSpan w:val="2"/>
          </w:tcPr>
          <w:p>
            <w:pPr>
              <w:jc w:val="right"/>
              <w:ind w:right="12"/>
              <w:spacing w:after="0"/>
              <w:rPr>
                <w:sz w:val="20"/>
                <w:szCs w:val="20"/>
                <w:color w:val="auto"/>
              </w:rPr>
            </w:pPr>
            <w:r>
              <w:rPr>
                <w:rFonts w:ascii="Arial" w:cs="Arial" w:eastAsia="Arial" w:hAnsi="Arial"/>
                <w:sz w:val="14"/>
                <w:szCs w:val="14"/>
                <w:color w:val="auto"/>
              </w:rPr>
              <w:t>2014</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2016</w:t>
            </w:r>
          </w:p>
        </w:tc>
        <w:tc>
          <w:tcPr>
            <w:tcW w:w="26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2017</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6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color w:val="auto"/>
                <w:w w:val="86"/>
              </w:rPr>
              <w:t>Thereafter</w:t>
            </w:r>
          </w:p>
        </w:tc>
        <w:tc>
          <w:tcPr>
            <w:tcW w:w="240" w:type="dxa"/>
            <w:vAlign w:val="bottom"/>
          </w:tcPr>
          <w:p>
            <w:pPr>
              <w:spacing w:after="0"/>
              <w:rPr>
                <w:sz w:val="15"/>
                <w:szCs w:val="15"/>
                <w:color w:val="auto"/>
              </w:rPr>
            </w:pPr>
          </w:p>
        </w:tc>
        <w:tc>
          <w:tcPr>
            <w:tcW w:w="560" w:type="dxa"/>
            <w:vAlign w:val="bottom"/>
            <w:gridSpan w:val="2"/>
          </w:tcPr>
          <w:p>
            <w:pPr>
              <w:jc w:val="center"/>
              <w:ind w:right="40"/>
              <w:spacing w:after="0"/>
              <w:rPr>
                <w:sz w:val="20"/>
                <w:szCs w:val="20"/>
                <w:color w:val="auto"/>
              </w:rPr>
            </w:pPr>
            <w:r>
              <w:rPr>
                <w:rFonts w:ascii="Arial" w:cs="Arial" w:eastAsia="Arial" w:hAnsi="Arial"/>
                <w:sz w:val="14"/>
                <w:szCs w:val="14"/>
                <w:color w:val="auto"/>
                <w:w w:val="89"/>
              </w:rPr>
              <w:t>Total</w:t>
            </w:r>
          </w:p>
        </w:tc>
      </w:tr>
      <w:tr>
        <w:trPr>
          <w:trHeight w:val="203"/>
        </w:trPr>
        <w:tc>
          <w:tcPr>
            <w:tcW w:w="4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Non-cancelable operating leases</w:t>
            </w:r>
          </w:p>
        </w:tc>
        <w:tc>
          <w:tcPr>
            <w:tcW w:w="18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$1,114</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$565</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$430</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$377</w:t>
            </w: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$377</w:t>
            </w:r>
          </w:p>
        </w:tc>
        <w:tc>
          <w:tcPr>
            <w:tcW w:w="2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$ 1,508</w:t>
            </w: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$4,371</w:t>
            </w:r>
          </w:p>
        </w:tc>
        <w:tc>
          <w:tcPr>
            <w:tcW w:w="60" w:type="dxa"/>
            <w:vAlign w:val="bottom"/>
            <w:tcBorders>
              <w:top w:val="single" w:sz="8" w:color="CCEEFF"/>
            </w:tcBorders>
            <w:shd w:val="clear" w:color="auto" w:fill="CCEEFF"/>
          </w:tcPr>
          <w:p>
            <w:pPr>
              <w:spacing w:after="0"/>
              <w:rPr>
                <w:sz w:val="17"/>
                <w:szCs w:val="17"/>
                <w:color w:val="auto"/>
              </w:rPr>
            </w:pPr>
          </w:p>
        </w:tc>
      </w:tr>
    </w:tbl>
    <w:p>
      <w:pPr>
        <w:spacing w:after="0" w:line="154"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From time-to-time we are involved in various legal proceedings, examinations by various tax authorities and claims that have arisen in the ordinary course of our businesses.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During the period from February through May 2013, Cohu’s subsidiary Delta Design, Inc. (“Delta”) made several inquiries of Essai, Inc. (“Essai”) asking it to confirm that it had not incorporated any of the technology covered by Delta’s patents in its current product offerings. On May 23, 2013 Essai filed a complaint against Delta in the U.S. District Court for the Northern District of California (the “Court”) seeking a declaratory judgment of non-infringement and invalidity of one Delta U. S. patent that issued in 1998. On July 19, 2013 Delta filed a motion with the Court to dismiss Essai’s complaint and Essai filed its opposition to Delta’s motion to dismiss on August 2, 2013. On December 2, 2013 the Court granted Delta’s motion to dismiss the case and judgment was entered in favor of Delta and against Essai on February 5, 2014. Delta intends to vigorously defend its intellectual property rights.</w:t>
      </w:r>
    </w:p>
    <w:p>
      <w:pPr>
        <w:spacing w:after="0" w:line="39" w:lineRule="exact"/>
        <w:rPr>
          <w:sz w:val="20"/>
          <w:szCs w:val="20"/>
          <w:color w:val="auto"/>
        </w:rPr>
      </w:pPr>
    </w:p>
    <w:p>
      <w:pPr>
        <w:ind w:left="460" w:right="480"/>
        <w:spacing w:after="0" w:line="330" w:lineRule="auto"/>
        <w:rPr>
          <w:sz w:val="20"/>
          <w:szCs w:val="20"/>
          <w:color w:val="auto"/>
        </w:rPr>
      </w:pPr>
      <w:r>
        <w:rPr>
          <w:rFonts w:ascii="Arial" w:cs="Arial" w:eastAsia="Arial" w:hAnsi="Arial"/>
          <w:sz w:val="16"/>
          <w:szCs w:val="16"/>
          <w:color w:val="auto"/>
        </w:rPr>
        <w:t>The outcome of any litigation is inherently uncertain. While there can be no assurance, we do not believe at the present time that the resolution of the matters described above will have a material adverse effect on our assets, financial position or results of operations.</w:t>
      </w:r>
    </w:p>
    <w:p>
      <w:pPr>
        <w:spacing w:after="0" w:line="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Changes in accrued warranty during the three-year period ended December 28, 2013 were as follows:</w:t>
      </w:r>
    </w:p>
    <w:p>
      <w:pPr>
        <w:spacing w:after="0" w:line="20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6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2013</w:t>
            </w:r>
          </w:p>
        </w:tc>
        <w:tc>
          <w:tcPr>
            <w:tcW w:w="54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2012</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5"/>
                <w:szCs w:val="15"/>
                <w:color w:val="auto"/>
              </w:rPr>
            </w:pP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$ 4,692</w:t>
            </w:r>
          </w:p>
        </w:tc>
        <w:tc>
          <w:tcPr>
            <w:tcW w:w="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$ 6,801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Warranty accruals</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5,410</w:t>
            </w:r>
          </w:p>
        </w:tc>
        <w:tc>
          <w:tcPr>
            <w:tcW w:w="560" w:type="dxa"/>
            <w:vAlign w:val="bottom"/>
          </w:tcPr>
          <w:p>
            <w:pPr>
              <w:jc w:val="right"/>
              <w:spacing w:after="0"/>
              <w:rPr>
                <w:sz w:val="20"/>
                <w:szCs w:val="20"/>
                <w:color w:val="auto"/>
              </w:rPr>
            </w:pPr>
            <w:r>
              <w:rPr>
                <w:rFonts w:ascii="Arial" w:cs="Arial" w:eastAsia="Arial" w:hAnsi="Arial"/>
                <w:sz w:val="18"/>
                <w:szCs w:val="18"/>
                <w:color w:val="auto"/>
              </w:rPr>
              <w:t>4,214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10,987</w:t>
            </w: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(6,667)</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(9,202)</w:t>
            </w:r>
          </w:p>
        </w:tc>
      </w:tr>
      <w:tr>
        <w:trPr>
          <w:trHeight w:val="223"/>
        </w:trPr>
        <w:tc>
          <w:tcPr>
            <w:tcW w:w="6700" w:type="dxa"/>
            <w:vAlign w:val="bottom"/>
            <w:gridSpan w:val="2"/>
          </w:tcPr>
          <w:p>
            <w:pPr>
              <w:spacing w:after="0"/>
              <w:rPr>
                <w:sz w:val="20"/>
                <w:szCs w:val="20"/>
                <w:color w:val="auto"/>
              </w:rPr>
            </w:pPr>
            <w:r>
              <w:rPr>
                <w:rFonts w:ascii="Arial" w:cs="Arial" w:eastAsia="Arial" w:hAnsi="Arial"/>
                <w:sz w:val="18"/>
                <w:szCs w:val="18"/>
                <w:color w:val="auto"/>
              </w:rPr>
              <w:t>Warranty liability assumed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5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$ 5,252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$ 4,692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w:t>
            </w:r>
          </w:p>
        </w:tc>
      </w:tr>
      <w:tr>
        <w:trPr>
          <w:trHeight w:val="20"/>
        </w:trPr>
        <w:tc>
          <w:tcPr>
            <w:tcW w:w="6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During the ordinary course of business, we provide standby letters of credit instruments to certain parties as required. At December 28, 2013, the maximum potential amount of future payments that we could be required to make under these standby letters of credit was approximately $0.8 million. We have not recorded any liability in connection with these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5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b w:val="1"/>
          <w:bCs w:val="1"/>
          <w:color w:val="auto"/>
        </w:rPr>
      </w:pPr>
    </w:p>
    <w:p>
      <w:pPr>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William E. Bendush, a member of the Cohu Board of Directors since December 8, 2011, is a member of the Board of Directors of Microsemi Corporation (“MSC”), a customer of our semiconductor equipment segment. During 2013, 2012 and 2011, total sales to MSC were approximately $1.8 million, $1.1 million and $1.7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other comprehensive income (loss), on an after-tax basis, were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tcPr>
          <w:p>
            <w:pPr>
              <w:jc w:val="right"/>
              <w:ind w:right="312"/>
              <w:spacing w:after="0"/>
              <w:rPr>
                <w:sz w:val="20"/>
                <w:szCs w:val="20"/>
                <w:color w:val="auto"/>
              </w:rPr>
            </w:pPr>
            <w:r>
              <w:rPr>
                <w:rFonts w:ascii="Arial" w:cs="Arial" w:eastAsia="Arial" w:hAnsi="Arial"/>
                <w:sz w:val="14"/>
                <w:szCs w:val="14"/>
                <w:color w:val="auto"/>
                <w:w w:val="94"/>
              </w:rPr>
              <w:t>Tax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040" w:type="dxa"/>
            <w:vAlign w:val="bottom"/>
            <w:gridSpan w:val="3"/>
          </w:tcPr>
          <w:p>
            <w:pPr>
              <w:spacing w:after="0" w:line="149" w:lineRule="exact"/>
              <w:rPr>
                <w:sz w:val="20"/>
                <w:szCs w:val="20"/>
                <w:color w:val="auto"/>
              </w:rPr>
            </w:pPr>
            <w:r>
              <w:rPr>
                <w:rFonts w:ascii="Arial" w:cs="Arial" w:eastAsia="Arial" w:hAnsi="Arial"/>
                <w:sz w:val="14"/>
                <w:szCs w:val="14"/>
                <w:color w:val="auto"/>
              </w:rPr>
              <w:t>Before Tax</w:t>
            </w:r>
          </w:p>
        </w:tc>
        <w:tc>
          <w:tcPr>
            <w:tcW w:w="80" w:type="dxa"/>
            <w:vAlign w:val="bottom"/>
          </w:tcPr>
          <w:p>
            <w:pPr>
              <w:spacing w:after="0"/>
              <w:rPr>
                <w:sz w:val="12"/>
                <w:szCs w:val="12"/>
                <w:color w:val="auto"/>
              </w:rPr>
            </w:pPr>
          </w:p>
        </w:tc>
        <w:tc>
          <w:tcPr>
            <w:tcW w:w="780" w:type="dxa"/>
            <w:vAlign w:val="bottom"/>
            <w:gridSpan w:val="4"/>
          </w:tcPr>
          <w:p>
            <w:pPr>
              <w:spacing w:after="0" w:line="149" w:lineRule="exact"/>
              <w:rPr>
                <w:sz w:val="20"/>
                <w:szCs w:val="20"/>
                <w:color w:val="auto"/>
              </w:rPr>
            </w:pPr>
            <w:r>
              <w:rPr>
                <w:rFonts w:ascii="Arial" w:cs="Arial" w:eastAsia="Arial" w:hAnsi="Arial"/>
                <w:sz w:val="14"/>
                <w:szCs w:val="14"/>
                <w:color w:val="auto"/>
              </w:rPr>
              <w:t>(Expense)</w:t>
            </w:r>
          </w:p>
        </w:tc>
        <w:tc>
          <w:tcPr>
            <w:tcW w:w="300" w:type="dxa"/>
            <w:vAlign w:val="bottom"/>
          </w:tcPr>
          <w:p>
            <w:pPr>
              <w:spacing w:after="0"/>
              <w:rPr>
                <w:sz w:val="12"/>
                <w:szCs w:val="12"/>
                <w:color w:val="auto"/>
              </w:rPr>
            </w:pPr>
          </w:p>
        </w:tc>
        <w:tc>
          <w:tcPr>
            <w:tcW w:w="720" w:type="dxa"/>
            <w:vAlign w:val="bottom"/>
            <w:gridSpan w:val="4"/>
          </w:tcPr>
          <w:p>
            <w:pPr>
              <w:ind w:left="20"/>
              <w:spacing w:after="0" w:line="149" w:lineRule="exact"/>
              <w:rPr>
                <w:sz w:val="20"/>
                <w:szCs w:val="20"/>
                <w:color w:val="auto"/>
              </w:rPr>
            </w:pPr>
            <w:r>
              <w:rPr>
                <w:rFonts w:ascii="Arial" w:cs="Arial" w:eastAsia="Arial" w:hAnsi="Arial"/>
                <w:sz w:val="14"/>
                <w:szCs w:val="14"/>
                <w:color w:val="auto"/>
              </w:rPr>
              <w:t>Net-of-Tax</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6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w w:val="85"/>
              </w:rPr>
              <w:t>amount</w:t>
            </w:r>
          </w:p>
        </w:tc>
        <w:tc>
          <w:tcPr>
            <w:tcW w:w="80" w:type="dxa"/>
            <w:vAlign w:val="bottom"/>
          </w:tcPr>
          <w:p>
            <w:pPr>
              <w:spacing w:after="0"/>
              <w:rPr>
                <w:sz w:val="13"/>
                <w:szCs w:val="13"/>
                <w:color w:val="auto"/>
              </w:rPr>
            </w:pPr>
          </w:p>
        </w:tc>
        <w:tc>
          <w:tcPr>
            <w:tcW w:w="780" w:type="dxa"/>
            <w:vAlign w:val="bottom"/>
            <w:gridSpan w:val="4"/>
          </w:tcPr>
          <w:p>
            <w:pPr>
              <w:jc w:val="right"/>
              <w:ind w:right="212"/>
              <w:spacing w:after="0" w:line="159" w:lineRule="exact"/>
              <w:rPr>
                <w:sz w:val="20"/>
                <w:szCs w:val="20"/>
                <w:color w:val="auto"/>
              </w:rPr>
            </w:pPr>
            <w:r>
              <w:rPr>
                <w:rFonts w:ascii="Arial" w:cs="Arial" w:eastAsia="Arial" w:hAnsi="Arial"/>
                <w:sz w:val="14"/>
                <w:szCs w:val="14"/>
                <w:color w:val="auto"/>
              </w:rPr>
              <w:t>Benefit</w:t>
            </w:r>
          </w:p>
        </w:tc>
        <w:tc>
          <w:tcPr>
            <w:tcW w:w="300" w:type="dxa"/>
            <w:vAlign w:val="bottom"/>
          </w:tcPr>
          <w:p>
            <w:pPr>
              <w:spacing w:after="0"/>
              <w:rPr>
                <w:sz w:val="13"/>
                <w:szCs w:val="13"/>
                <w:color w:val="auto"/>
              </w:rPr>
            </w:pPr>
          </w:p>
        </w:tc>
        <w:tc>
          <w:tcPr>
            <w:tcW w:w="72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(1,076)</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 (1,076)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related to postretirement benefits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660" w:type="dxa"/>
            <w:vAlign w:val="bottom"/>
            <w:gridSpan w:val="2"/>
          </w:tcPr>
          <w:p>
            <w:pPr>
              <w:ind w:left="220"/>
              <w:spacing w:after="0"/>
              <w:rPr>
                <w:sz w:val="20"/>
                <w:szCs w:val="20"/>
                <w:color w:val="auto"/>
              </w:rPr>
            </w:pPr>
            <w:r>
              <w:rPr>
                <w:rFonts w:ascii="Arial" w:cs="Arial" w:eastAsia="Arial" w:hAnsi="Arial"/>
                <w:sz w:val="18"/>
                <w:szCs w:val="18"/>
                <w:color w:val="auto"/>
              </w:rPr>
              <w:t>Change in unrealized gain/loss on investments</w:t>
            </w:r>
          </w:p>
        </w:tc>
        <w:tc>
          <w:tcPr>
            <w:tcW w:w="8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60" w:type="dxa"/>
            <w:vAlign w:val="bottom"/>
            <w:gridSpan w:val="2"/>
            <w:vMerge w:val="restart"/>
          </w:tcPr>
          <w:p>
            <w:pPr>
              <w:spacing w:after="0"/>
              <w:rPr>
                <w:sz w:val="20"/>
                <w:szCs w:val="20"/>
                <w:color w:val="auto"/>
              </w:rPr>
            </w:pPr>
            <w:r>
              <w:rPr>
                <w:rFonts w:ascii="Arial" w:cs="Arial" w:eastAsia="Arial" w:hAnsi="Arial"/>
                <w:sz w:val="18"/>
                <w:szCs w:val="18"/>
                <w:color w:val="auto"/>
              </w:rPr>
              <w:t>Year Ended December 29, 2012</w:t>
            </w: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60" w:type="dxa"/>
            <w:vAlign w:val="bottom"/>
          </w:tcPr>
          <w:p>
            <w:pPr>
              <w:spacing w:after="0"/>
              <w:rPr>
                <w:sz w:val="24"/>
                <w:szCs w:val="24"/>
                <w:color w:val="auto"/>
              </w:rPr>
            </w:pPr>
          </w:p>
        </w:tc>
        <w:tc>
          <w:tcPr>
            <w:tcW w:w="6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1,689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ind w:left="220"/>
              <w:spacing w:after="0"/>
              <w:rPr>
                <w:sz w:val="20"/>
                <w:szCs w:val="20"/>
                <w:color w:val="auto"/>
              </w:rPr>
            </w:pPr>
            <w:r>
              <w:rPr>
                <w:rFonts w:ascii="Arial" w:cs="Arial" w:eastAsia="Arial" w:hAnsi="Arial"/>
                <w:sz w:val="18"/>
                <w:szCs w:val="18"/>
                <w:color w:val="auto"/>
              </w:rPr>
              <w:t>Adjustments related to postretirement benefits</w:t>
            </w:r>
          </w:p>
        </w:tc>
        <w:tc>
          <w:tcPr>
            <w:tcW w:w="8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72"/>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unrealized gain/loss on investments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660" w:type="dxa"/>
            <w:vAlign w:val="bottom"/>
            <w:gridSpan w:val="2"/>
            <w:vMerge w:val="restart"/>
          </w:tcPr>
          <w:p>
            <w:pPr>
              <w:ind w:left="440"/>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660" w:type="dxa"/>
            <w:vAlign w:val="bottom"/>
            <w:gridSpan w:val="2"/>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2,035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72"/>
              <w:spacing w:after="0"/>
              <w:rPr>
                <w:sz w:val="20"/>
                <w:szCs w:val="20"/>
                <w:color w:val="auto"/>
              </w:rPr>
            </w:pPr>
            <w:r>
              <w:rPr>
                <w:rFonts w:ascii="Arial" w:cs="Arial" w:eastAsia="Arial" w:hAnsi="Arial"/>
                <w:sz w:val="18"/>
                <w:szCs w:val="18"/>
                <w:color w:val="auto"/>
              </w:rPr>
              <w:t>(240)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Pr>
          <w:p>
            <w:pPr>
              <w:spacing w:after="0"/>
              <w:rPr>
                <w:sz w:val="8"/>
                <w:szCs w:val="8"/>
                <w:color w:val="auto"/>
              </w:rPr>
            </w:pPr>
          </w:p>
        </w:tc>
        <w:tc>
          <w:tcPr>
            <w:tcW w:w="6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28, 2013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3,270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3,270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Adjustments related to postretirement benefits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ind w:left="220"/>
              <w:spacing w:after="0"/>
              <w:rPr>
                <w:sz w:val="20"/>
                <w:szCs w:val="20"/>
                <w:color w:val="auto"/>
              </w:rPr>
            </w:pPr>
            <w:r>
              <w:rPr>
                <w:rFonts w:ascii="Arial" w:cs="Arial" w:eastAsia="Arial" w:hAnsi="Arial"/>
                <w:sz w:val="18"/>
                <w:szCs w:val="18"/>
                <w:color w:val="auto"/>
              </w:rPr>
              <w:t>Change in unrealized gain/loss on investments</w:t>
            </w:r>
          </w:p>
        </w:tc>
        <w:tc>
          <w:tcPr>
            <w:tcW w:w="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32"/>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(277)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0"/>
        </w:trPr>
        <w:tc>
          <w:tcPr>
            <w:tcW w:w="66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160" w:type="dxa"/>
            <w:vAlign w:val="bottom"/>
            <w:gridSpan w:val="6"/>
          </w:tcPr>
          <w:p>
            <w:pPr>
              <w:jc w:val="right"/>
              <w:ind w:right="440"/>
              <w:spacing w:after="0"/>
              <w:rPr>
                <w:sz w:val="20"/>
                <w:szCs w:val="20"/>
                <w:color w:val="auto"/>
              </w:rPr>
            </w:pPr>
            <w:r>
              <w:rPr>
                <w:rFonts w:ascii="Arial" w:cs="Arial" w:eastAsia="Arial" w:hAnsi="Arial"/>
                <w:sz w:val="18"/>
                <w:szCs w:val="18"/>
                <w:color w:val="auto"/>
                <w:w w:val="87"/>
              </w:rPr>
              <w:t>Components of accumulated other comprehensive income, net of tax, at the end of each period are as follows: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60" w:type="dxa"/>
            <w:vAlign w:val="bottom"/>
          </w:tcPr>
          <w:p>
            <w:pPr>
              <w:spacing w:after="0"/>
              <w:rPr>
                <w:sz w:val="24"/>
                <w:szCs w:val="24"/>
                <w:color w:val="auto"/>
              </w:rPr>
            </w:pPr>
          </w:p>
        </w:tc>
        <w:tc>
          <w:tcPr>
            <w:tcW w:w="66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32"/>
              <w:spacing w:after="0"/>
              <w:rPr>
                <w:sz w:val="20"/>
                <w:szCs w:val="20"/>
                <w:color w:val="auto"/>
              </w:rPr>
            </w:pPr>
            <w:r>
              <w:rPr>
                <w:rFonts w:ascii="Arial" w:cs="Arial" w:eastAsia="Arial" w:hAnsi="Arial"/>
                <w:sz w:val="14"/>
                <w:szCs w:val="14"/>
                <w:color w:val="auto"/>
              </w:rPr>
              <w:t>2013</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jc w:val="right"/>
              <w:ind w:right="3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Accumulated net currency translation adjustments</w:t>
            </w: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$5,780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Accumulated net adjustments related to postretirement benefits</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unrealized gain/loss on investments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660" w:type="dxa"/>
            <w:vAlign w:val="bottom"/>
            <w:gridSpan w:val="2"/>
          </w:tcPr>
          <w:p>
            <w:pPr>
              <w:ind w:left="220"/>
              <w:spacing w:after="0"/>
              <w:rPr>
                <w:sz w:val="20"/>
                <w:szCs w:val="20"/>
                <w:color w:val="auto"/>
              </w:rPr>
            </w:pPr>
            <w:r>
              <w:rPr>
                <w:rFonts w:ascii="Arial" w:cs="Arial" w:eastAsia="Arial" w:hAnsi="Arial"/>
                <w:sz w:val="18"/>
                <w:szCs w:val="18"/>
                <w:color w:val="auto"/>
              </w:rPr>
              <w:t>Total accumulated other comprehensive income</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1,783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308"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408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w w:val="87"/>
              </w:rPr>
              <w:t>First (a)</w:t>
            </w:r>
          </w:p>
        </w:tc>
        <w:tc>
          <w:tcPr>
            <w:tcW w:w="1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color w:val="auto"/>
              </w:rPr>
              <w:t>Second (a)</w:t>
            </w:r>
          </w:p>
        </w:tc>
        <w:tc>
          <w:tcPr>
            <w:tcW w:w="16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color w:val="auto"/>
              </w:rPr>
              <w:t>Third (a)</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Fourth (a)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Year</w:t>
            </w:r>
          </w:p>
        </w:tc>
      </w:tr>
      <w:tr>
        <w:trPr>
          <w:trHeight w:val="149"/>
        </w:trPr>
        <w:tc>
          <w:tcPr>
            <w:tcW w:w="382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 thousands, except per share data)</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323"/>
        </w:trPr>
        <w:tc>
          <w:tcPr>
            <w:tcW w:w="40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56,016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66,652</w:t>
            </w:r>
          </w:p>
        </w:tc>
        <w:tc>
          <w:tcPr>
            <w:tcW w:w="22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59,962</w:t>
            </w:r>
          </w:p>
        </w:tc>
        <w:tc>
          <w:tcPr>
            <w:tcW w:w="22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64,670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247,300</w:t>
            </w:r>
          </w:p>
        </w:tc>
      </w:tr>
      <w:tr>
        <w:trPr>
          <w:trHeight w:val="217"/>
        </w:trPr>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53,296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59,404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57,748</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50,714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221,162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15,584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21,473</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14,521</w:t>
            </w:r>
          </w:p>
        </w:tc>
        <w:tc>
          <w:tcPr>
            <w:tcW w:w="220" w:type="dxa"/>
            <w:vAlign w:val="bottom"/>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83"/>
              </w:rPr>
              <w:t>18,948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70,526</w:t>
            </w:r>
          </w:p>
        </w:tc>
      </w:tr>
      <w:tr>
        <w:trPr>
          <w:trHeight w:val="216"/>
        </w:trPr>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15,539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17,664</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18,126</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3"/>
              </w:rPr>
              <w:t>16,649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67,978</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(12,103)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(4,045)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(10,820)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(6,450)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(33,418)</w:t>
            </w:r>
          </w:p>
        </w:tc>
      </w:tr>
      <w:tr>
        <w:trPr>
          <w:trHeight w:val="216"/>
        </w:trPr>
        <w:tc>
          <w:tcPr>
            <w:tcW w:w="3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2012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(2,109)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(5,161)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(12,243)</w:t>
            </w:r>
          </w:p>
        </w:tc>
      </w:tr>
      <w:tr>
        <w:trPr>
          <w:trHeight w:val="323"/>
        </w:trPr>
        <w:tc>
          <w:tcPr>
            <w:tcW w:w="4080" w:type="dxa"/>
            <w:vAlign w:val="bottom"/>
            <w:gridSpan w:val="2"/>
          </w:tcPr>
          <w:p>
            <w:pPr>
              <w:spacing w:after="0"/>
              <w:rPr>
                <w:sz w:val="20"/>
                <w:szCs w:val="20"/>
                <w:color w:val="auto"/>
              </w:rPr>
            </w:pPr>
            <w:r>
              <w:rPr>
                <w:rFonts w:ascii="Arial" w:cs="Arial" w:eastAsia="Arial" w:hAnsi="Arial"/>
                <w:sz w:val="18"/>
                <w:szCs w:val="18"/>
                <w:color w:val="auto"/>
              </w:rPr>
              <w:t>Net loss per share (b):</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3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(0.43)</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r>
      <w:tr>
        <w:trPr>
          <w:trHeight w:val="222"/>
        </w:trPr>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55880</wp:posOffset>
            </wp:positionV>
            <wp:extent cx="6775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14"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quarters presented above were comprised of 13 weeks.</w:t>
      </w:r>
    </w:p>
    <w:p>
      <w:pPr>
        <w:spacing w:after="0" w:line="9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the four quarters may not agree to the year total due to rounding within a quarter and the inclusion or exclusion of common stock equivalents.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have audited the accompanying consolidated balance sheets of Cohu, Inc. as of December 28, 2013 and December 29, 2012, and the related consolidated statements of operations, comprehensive income (loss), stockholders’ equity, and cash flows for each of the three years in the period ended December 28, 2013.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Cohu, Inc. at December 28, 2013 and December 29, 2012, and the consolidated results of its operations and its cash flows for each of the three years in the period ended December 28, 2013,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Cohu, Inc.’s internal control over financial reporting as of December 28, 2013, based on criteria established in Internal Control—Integrated Framework issued by the Committee of Sponsoring Organizations of the Treadway Commission (1992 framework) and our report dated March 4, 2014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15. (b)</w:t>
      </w:r>
      <w:r>
        <w:rPr>
          <w:sz w:val="20"/>
          <w:szCs w:val="20"/>
          <w:color w:val="auto"/>
        </w:rPr>
        <w:tab/>
      </w:r>
      <w:r>
        <w:rPr>
          <w:rFonts w:ascii="Arial" w:cs="Arial" w:eastAsia="Arial" w:hAnsi="Arial"/>
          <w:sz w:val="16"/>
          <w:szCs w:val="16"/>
          <w:color w:val="auto"/>
        </w:rPr>
        <w:t>The following exhibits are filed as part of, or incorporated into, the 2013 Cohu, Inc. Annual Report on Form 10-K:</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680" w:type="dxa"/>
            <w:vAlign w:val="bottom"/>
            <w:gridSpan w:val="3"/>
          </w:tcPr>
          <w:p>
            <w:pPr>
              <w:ind w:left="8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10-Q for the quarterly period ended June 30, 1999</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3.1(a)</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Certificate of Amendment of Amended and Restated Certificate of Incorporation of Cohu, Inc. incorporated herein by reference from the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Cohu, Inc. Form S-8 filed June 30, 2000, Exhibit 4.1(a)</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Amended and Restated Bylaws of Cohu, Inc. incorporated herein by reference to Exhibit 3.2 from the Cohu, Inc. Current Report on Form</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8-K filed with the Securities and Exchange Commission on December 12, 1996</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Amended and Restated Rights Agreement dated November 10, 2006, between Cohu, Inc. and Mellon Investor Services LLC, as Rights</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6"/>
              </w:rPr>
              <w:t>Agent, incorporated herein by reference from the Cohu, Inc. Current Report on Form 8-K, filed with the Securities and Exchange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Commission on November 13, 2006, Exhibit 99.1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Amended Cohu, Inc. 2005 Equity Incentive Plan incorporated herein by reference to Exhibit 10.1 from the Cohu, Inc. Current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8-K filed with the Securities and Exchange Commission on May 9, 2012 *</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8"/>
              </w:rPr>
              <w:t>Amended Cohu, Inc. 1997 Employee Stock Purchase Plan, incorporated herein by reference from the Cohu, Inc. Current Report on Form 8-</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K filed with the Securities and Exchange Commission on May 13, 2011,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8"/>
              </w:rPr>
              <w:t>Cohu, Inc. Deferred Compensation Plan (as amended and restated) incorporated herein by reference from the Cohu, Inc. Current Report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Form 8-K filed with the Securities and Exchange Commission on December 29, 2008, Exhibit 10.1*</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Form of stock option agreement for use with stock options granted pursuant to the Cohu, Inc. 2005 Equity Incentive Plan incorporated</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herein by reference from the Cohu, Inc. Current Report on Form 8-K filed with the Securities and Exchange Commission on August 7,</w:t>
            </w:r>
          </w:p>
        </w:tc>
      </w:tr>
      <w:tr>
        <w:trPr>
          <w:trHeight w:val="222"/>
        </w:trPr>
        <w:tc>
          <w:tcPr>
            <w:tcW w:w="720" w:type="dxa"/>
            <w:vAlign w:val="bottom"/>
          </w:tcPr>
          <w:p>
            <w:pPr>
              <w:spacing w:after="0"/>
              <w:rPr>
                <w:sz w:val="19"/>
                <w:szCs w:val="19"/>
                <w:color w:val="auto"/>
              </w:rPr>
            </w:pPr>
          </w:p>
        </w:tc>
        <w:tc>
          <w:tcPr>
            <w:tcW w:w="1560" w:type="dxa"/>
            <w:vAlign w:val="bottom"/>
            <w:gridSpan w:val="2"/>
          </w:tcPr>
          <w:p>
            <w:pPr>
              <w:ind w:left="860"/>
              <w:spacing w:after="0"/>
              <w:rPr>
                <w:sz w:val="20"/>
                <w:szCs w:val="20"/>
                <w:color w:val="auto"/>
              </w:rPr>
            </w:pPr>
            <w:r>
              <w:rPr>
                <w:rFonts w:ascii="Arial" w:cs="Arial" w:eastAsia="Arial" w:hAnsi="Arial"/>
                <w:sz w:val="18"/>
                <w:szCs w:val="18"/>
                <w:color w:val="auto"/>
              </w:rPr>
              <w:t>2006*</w:t>
            </w:r>
          </w:p>
        </w:tc>
        <w:tc>
          <w:tcPr>
            <w:tcW w:w="9120" w:type="dxa"/>
            <w:vAlign w:val="bottom"/>
          </w:tcPr>
          <w:p>
            <w:pPr>
              <w:spacing w:after="0"/>
              <w:rPr>
                <w:sz w:val="19"/>
                <w:szCs w:val="19"/>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6"/>
              </w:rPr>
              <w:t>Restricted stock unit agreement for use with restricted stock units granted pursuant to the Cohu, Inc. 2005 Equity Incentive Plan</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incorporated herein by reference from the Cohu, Inc. Current Report on Form 8-K filed with the Securities and Exchange Commission on</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April 1, 2013*</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10.6</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Intel Corporation Purchase Agreement Capital Equipment, Goods and Services, dated April 30, 2012, by and between Delta Design, Inc.</w:t>
            </w: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1"/>
              </w:rPr>
              <w:t>and Intel Corporation incorporated herein by reference to Exhibit 99.1 from the Cohu, Inc. Current Report on Form 8-K/A filed August 1,</w:t>
            </w:r>
          </w:p>
        </w:tc>
      </w:tr>
      <w:tr>
        <w:trPr>
          <w:trHeight w:val="222"/>
        </w:trPr>
        <w:tc>
          <w:tcPr>
            <w:tcW w:w="720" w:type="dxa"/>
            <w:vAlign w:val="bottom"/>
          </w:tcPr>
          <w:p>
            <w:pPr>
              <w:spacing w:after="0"/>
              <w:rPr>
                <w:sz w:val="19"/>
                <w:szCs w:val="19"/>
                <w:color w:val="auto"/>
              </w:rPr>
            </w:pPr>
          </w:p>
        </w:tc>
        <w:tc>
          <w:tcPr>
            <w:tcW w:w="1560" w:type="dxa"/>
            <w:vAlign w:val="bottom"/>
            <w:gridSpan w:val="2"/>
          </w:tcPr>
          <w:p>
            <w:pPr>
              <w:ind w:left="860"/>
              <w:spacing w:after="0"/>
              <w:rPr>
                <w:sz w:val="20"/>
                <w:szCs w:val="20"/>
                <w:color w:val="auto"/>
              </w:rPr>
            </w:pPr>
            <w:r>
              <w:rPr>
                <w:rFonts w:ascii="Arial" w:cs="Arial" w:eastAsia="Arial" w:hAnsi="Arial"/>
                <w:sz w:val="18"/>
                <w:szCs w:val="18"/>
                <w:color w:val="auto"/>
              </w:rPr>
              <w:t>2012</w:t>
            </w:r>
          </w:p>
        </w:tc>
        <w:tc>
          <w:tcPr>
            <w:tcW w:w="9120" w:type="dxa"/>
            <w:vAlign w:val="bottom"/>
          </w:tcPr>
          <w:p>
            <w:pPr>
              <w:spacing w:after="0"/>
              <w:rPr>
                <w:sz w:val="19"/>
                <w:szCs w:val="19"/>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2"/>
              </w:rPr>
              <w:t>Form of Indemnity Agreement, incorporated by reference from the Cohu, Inc. Current Report on Form 8-K filed July 28, 2008, Exhibit</w:t>
            </w:r>
          </w:p>
        </w:tc>
      </w:tr>
      <w:tr>
        <w:trPr>
          <w:trHeight w:val="222"/>
        </w:trPr>
        <w:tc>
          <w:tcPr>
            <w:tcW w:w="720" w:type="dxa"/>
            <w:vAlign w:val="bottom"/>
          </w:tcPr>
          <w:p>
            <w:pPr>
              <w:spacing w:after="0"/>
              <w:rPr>
                <w:sz w:val="19"/>
                <w:szCs w:val="19"/>
                <w:color w:val="auto"/>
              </w:rPr>
            </w:pPr>
          </w:p>
        </w:tc>
        <w:tc>
          <w:tcPr>
            <w:tcW w:w="1560" w:type="dxa"/>
            <w:vAlign w:val="bottom"/>
            <w:gridSpan w:val="2"/>
          </w:tcPr>
          <w:p>
            <w:pPr>
              <w:ind w:left="860"/>
              <w:spacing w:after="0"/>
              <w:rPr>
                <w:sz w:val="20"/>
                <w:szCs w:val="20"/>
                <w:color w:val="auto"/>
              </w:rPr>
            </w:pPr>
            <w:r>
              <w:rPr>
                <w:rFonts w:ascii="Arial" w:cs="Arial" w:eastAsia="Arial" w:hAnsi="Arial"/>
                <w:sz w:val="18"/>
                <w:szCs w:val="18"/>
                <w:color w:val="auto"/>
              </w:rPr>
              <w:t>10.1*</w:t>
            </w:r>
          </w:p>
        </w:tc>
        <w:tc>
          <w:tcPr>
            <w:tcW w:w="9120" w:type="dxa"/>
            <w:vAlign w:val="bottom"/>
          </w:tcPr>
          <w:p>
            <w:pPr>
              <w:spacing w:after="0"/>
              <w:rPr>
                <w:sz w:val="19"/>
                <w:szCs w:val="19"/>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10.8</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89"/>
              </w:rPr>
              <w:t>Cohu, Inc. Retiree Health Benefits Agreement (as amended) incorporated herein by reference from the Cohu, Inc. Current Report on Form</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8-K filed with the Securities and Exchange Commission on December 29, 2008, Exhibit 10.2*</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w w:val="90"/>
              </w:rPr>
              <w:t>Cohu, Inc. Change in Control Agreement incorporated herein by reference from the Cohu, Inc. Current Report on Form 8-K filed with the</w:t>
            </w:r>
          </w:p>
        </w:tc>
      </w:tr>
      <w:tr>
        <w:trPr>
          <w:trHeight w:val="222"/>
        </w:trPr>
        <w:tc>
          <w:tcPr>
            <w:tcW w:w="720" w:type="dxa"/>
            <w:vAlign w:val="bottom"/>
          </w:tcPr>
          <w:p>
            <w:pPr>
              <w:spacing w:after="0"/>
              <w:rPr>
                <w:sz w:val="19"/>
                <w:szCs w:val="19"/>
                <w:color w:val="auto"/>
              </w:rPr>
            </w:pPr>
          </w:p>
        </w:tc>
        <w:tc>
          <w:tcPr>
            <w:tcW w:w="10680" w:type="dxa"/>
            <w:vAlign w:val="bottom"/>
            <w:gridSpan w:val="3"/>
          </w:tcPr>
          <w:p>
            <w:pPr>
              <w:ind w:left="860"/>
              <w:spacing w:after="0"/>
              <w:rPr>
                <w:sz w:val="20"/>
                <w:szCs w:val="20"/>
                <w:color w:val="auto"/>
              </w:rPr>
            </w:pPr>
            <w:r>
              <w:rPr>
                <w:rFonts w:ascii="Arial" w:cs="Arial" w:eastAsia="Arial" w:hAnsi="Arial"/>
                <w:sz w:val="18"/>
                <w:szCs w:val="18"/>
                <w:color w:val="auto"/>
              </w:rPr>
              <w:t>Securities and Exchange Commission on December 29, 2008, Exhibit 10.3*</w:t>
            </w:r>
          </w:p>
        </w:tc>
      </w:tr>
      <w:tr>
        <w:trPr>
          <w:trHeight w:val="365"/>
        </w:trPr>
        <w:tc>
          <w:tcPr>
            <w:tcW w:w="720" w:type="dxa"/>
            <w:vAlign w:val="bottom"/>
          </w:tcPr>
          <w:p>
            <w:pPr>
              <w:spacing w:after="0"/>
              <w:rPr>
                <w:sz w:val="24"/>
                <w:szCs w:val="24"/>
                <w:color w:val="auto"/>
              </w:rPr>
            </w:pPr>
          </w:p>
        </w:tc>
        <w:tc>
          <w:tcPr>
            <w:tcW w:w="10680" w:type="dxa"/>
            <w:vAlign w:val="bottom"/>
            <w:gridSpan w:val="3"/>
          </w:tcPr>
          <w:p>
            <w:pPr>
              <w:ind w:left="490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tcPr>
          <w:p>
            <w:pPr>
              <w:ind w:left="240"/>
              <w:spacing w:after="0"/>
              <w:rPr>
                <w:sz w:val="20"/>
                <w:szCs w:val="20"/>
                <w:color w:val="auto"/>
              </w:rPr>
            </w:pPr>
            <w:r>
              <w:rPr>
                <w:rFonts w:ascii="Arial" w:cs="Arial" w:eastAsia="Arial" w:hAnsi="Arial"/>
                <w:sz w:val="18"/>
                <w:szCs w:val="18"/>
                <w:color w:val="auto"/>
              </w:rPr>
              <w:t>Subsidiaries of Cohu, Inc.</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23</w:t>
            </w:r>
          </w:p>
        </w:tc>
        <w:tc>
          <w:tcPr>
            <w:tcW w:w="10300" w:type="dxa"/>
            <w:vAlign w:val="bottom"/>
          </w:tcPr>
          <w:p>
            <w:pPr>
              <w:ind w:left="24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Section 302(a) of the Sarbanes-Oxley Act of 2002 for James A. Donahue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300" w:type="dxa"/>
            <w:vAlign w:val="bottom"/>
          </w:tcPr>
          <w:p>
            <w:pPr>
              <w:ind w:left="240"/>
              <w:spacing w:after="0"/>
              <w:rPr>
                <w:sz w:val="20"/>
                <w:szCs w:val="20"/>
                <w:color w:val="auto"/>
              </w:rPr>
            </w:pPr>
            <w:r>
              <w:rPr>
                <w:rFonts w:ascii="Arial" w:cs="Arial" w:eastAsia="Arial" w:hAnsi="Arial"/>
                <w:sz w:val="18"/>
                <w:szCs w:val="18"/>
                <w:color w:val="auto"/>
              </w:rPr>
              <w:t>Certification pursuant to Section 302(a) of the Sarbanes-Oxley Act of 2002 for Jeffrey D. Jones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tcPr>
          <w:p>
            <w:pPr>
              <w:ind w:left="24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Sarbanes-Oxley Act of 2002 for James A. Donahue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300" w:type="dxa"/>
            <w:vAlign w:val="bottom"/>
          </w:tcPr>
          <w:p>
            <w:pPr>
              <w:ind w:left="240"/>
              <w:spacing w:after="0"/>
              <w:rPr>
                <w:sz w:val="20"/>
                <w:szCs w:val="20"/>
                <w:color w:val="auto"/>
              </w:rPr>
            </w:pPr>
            <w:r>
              <w:rPr>
                <w:rFonts w:ascii="Arial" w:cs="Arial" w:eastAsia="Arial" w:hAnsi="Arial"/>
                <w:sz w:val="18"/>
                <w:szCs w:val="18"/>
                <w:color w:val="auto"/>
                <w:w w:val="89"/>
              </w:rPr>
              <w:t>Certification pursuant to 18 U.S.C. Section 1350, as adopted pursuant to Section 906 of the Sarbanes-Oxley Act of 2002 for Jeffrey D. Jones</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0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COHU, INC.</w:t>
            </w:r>
          </w:p>
        </w:tc>
      </w:tr>
      <w:tr>
        <w:trPr>
          <w:trHeight w:val="434"/>
        </w:trPr>
        <w:tc>
          <w:tcPr>
            <w:tcW w:w="3700" w:type="dxa"/>
            <w:vAlign w:val="bottom"/>
          </w:tcPr>
          <w:p>
            <w:pPr>
              <w:spacing w:after="0"/>
              <w:rPr>
                <w:sz w:val="20"/>
                <w:szCs w:val="20"/>
                <w:color w:val="auto"/>
              </w:rPr>
            </w:pPr>
            <w:r>
              <w:rPr>
                <w:rFonts w:ascii="Arial" w:cs="Arial" w:eastAsia="Arial" w:hAnsi="Arial"/>
                <w:sz w:val="18"/>
                <w:szCs w:val="18"/>
                <w:color w:val="auto"/>
              </w:rPr>
              <w:t>Date: March 5, 2014</w:t>
            </w:r>
          </w:p>
        </w:tc>
        <w:tc>
          <w:tcPr>
            <w:tcW w:w="7720" w:type="dxa"/>
            <w:vAlign w:val="bottom"/>
            <w:gridSpan w:val="2"/>
          </w:tcPr>
          <w:p>
            <w:pPr>
              <w:ind w:left="2220"/>
              <w:spacing w:after="0"/>
              <w:rPr>
                <w:sz w:val="20"/>
                <w:szCs w:val="20"/>
                <w:color w:val="auto"/>
              </w:rPr>
            </w:pPr>
            <w:r>
              <w:rPr>
                <w:rFonts w:ascii="Arial" w:cs="Arial" w:eastAsia="Arial" w:hAnsi="Arial"/>
                <w:sz w:val="18"/>
                <w:szCs w:val="18"/>
                <w:color w:val="auto"/>
              </w:rPr>
              <w:t>By:  /s/ James A. Donahue</w:t>
            </w:r>
          </w:p>
        </w:tc>
      </w:tr>
      <w:tr>
        <w:trPr>
          <w:trHeight w:val="215"/>
        </w:trPr>
        <w:tc>
          <w:tcPr>
            <w:tcW w:w="37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A. Donahue</w:t>
            </w:r>
          </w:p>
        </w:tc>
      </w:tr>
      <w:tr>
        <w:trPr>
          <w:trHeight w:val="222"/>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5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w:t>
            </w:r>
          </w:p>
        </w:tc>
      </w:tr>
      <w:tr>
        <w:trPr>
          <w:trHeight w:val="41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Donahue</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Director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8"/>
        </w:trPr>
        <w:tc>
          <w:tcPr>
            <w:tcW w:w="4280" w:type="dxa"/>
            <w:vAlign w:val="bottom"/>
            <w:gridSpan w:val="2"/>
          </w:tcPr>
          <w:p>
            <w:pPr>
              <w:spacing w:after="0"/>
              <w:rPr>
                <w:sz w:val="20"/>
                <w:szCs w:val="20"/>
                <w:color w:val="auto"/>
              </w:rPr>
            </w:pPr>
            <w:r>
              <w:rPr>
                <w:rFonts w:ascii="Arial" w:cs="Arial" w:eastAsia="Arial" w:hAnsi="Arial"/>
                <w:sz w:val="18"/>
                <w:szCs w:val="18"/>
                <w:color w:val="auto"/>
              </w:rPr>
              <w:t>James A. Donahue</w:t>
            </w:r>
          </w:p>
        </w:tc>
        <w:tc>
          <w:tcPr>
            <w:tcW w:w="100" w:type="dxa"/>
            <w:vAlign w:val="bottom"/>
          </w:tcPr>
          <w:p>
            <w:pPr>
              <w:spacing w:after="0"/>
              <w:rPr>
                <w:sz w:val="18"/>
                <w:szCs w:val="18"/>
                <w:color w:val="auto"/>
              </w:rPr>
            </w:pPr>
          </w:p>
        </w:tc>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18"/>
                <w:szCs w:val="18"/>
                <w:color w:val="auto"/>
              </w:rPr>
            </w:pPr>
          </w:p>
        </w:tc>
      </w:tr>
      <w:tr>
        <w:trPr>
          <w:trHeight w:val="43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Jeffrey D. Jones</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Vice President, Finance and Chief Financial Officer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8"/>
        </w:trPr>
        <w:tc>
          <w:tcPr>
            <w:tcW w:w="4280" w:type="dxa"/>
            <w:vAlign w:val="bottom"/>
            <w:gridSpan w:val="2"/>
          </w:tcPr>
          <w:p>
            <w:pPr>
              <w:spacing w:after="0"/>
              <w:rPr>
                <w:sz w:val="20"/>
                <w:szCs w:val="20"/>
                <w:color w:val="auto"/>
              </w:rPr>
            </w:pPr>
            <w:r>
              <w:rPr>
                <w:rFonts w:ascii="Arial" w:cs="Arial" w:eastAsia="Arial" w:hAnsi="Arial"/>
                <w:sz w:val="18"/>
                <w:szCs w:val="18"/>
                <w:color w:val="auto"/>
              </w:rPr>
              <w:t>Jeffrey D. Jones</w:t>
            </w:r>
          </w:p>
        </w:tc>
        <w:tc>
          <w:tcPr>
            <w:tcW w:w="100" w:type="dxa"/>
            <w:vAlign w:val="bottom"/>
          </w:tcPr>
          <w:p>
            <w:pPr>
              <w:spacing w:after="0"/>
              <w:rPr>
                <w:sz w:val="18"/>
                <w:szCs w:val="18"/>
                <w:color w:val="auto"/>
              </w:rPr>
            </w:pPr>
          </w:p>
        </w:tc>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1740" w:type="dxa"/>
            <w:vAlign w:val="bottom"/>
          </w:tcPr>
          <w:p>
            <w:pPr>
              <w:spacing w:after="0"/>
              <w:rPr>
                <w:sz w:val="18"/>
                <w:szCs w:val="18"/>
                <w:color w:val="auto"/>
              </w:rPr>
            </w:pPr>
          </w:p>
        </w:tc>
      </w:tr>
      <w:tr>
        <w:trPr>
          <w:trHeight w:val="4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E. Bendush</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William E, Bendush</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Steven J. Bilodeau</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Steven J. Bilodeau</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Harry L. Casari</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Harry L. Casari</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L. Ciardella</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Robert L. Ciardella</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Harold Harrigian</w:t>
            </w:r>
          </w:p>
        </w:tc>
        <w:tc>
          <w:tcPr>
            <w:tcW w:w="100" w:type="dxa"/>
            <w:vAlign w:val="bottom"/>
          </w:tcPr>
          <w:p>
            <w:pPr>
              <w:spacing w:after="0"/>
              <w:rPr>
                <w:sz w:val="24"/>
                <w:szCs w:val="24"/>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spacing w:after="0"/>
              <w:rPr>
                <w:sz w:val="20"/>
                <w:szCs w:val="20"/>
                <w:color w:val="auto"/>
              </w:rPr>
            </w:pPr>
            <w:r>
              <w:rPr>
                <w:rFonts w:ascii="Arial" w:cs="Arial" w:eastAsia="Arial" w:hAnsi="Arial"/>
                <w:sz w:val="18"/>
                <w:szCs w:val="18"/>
                <w:color w:val="auto"/>
              </w:rPr>
              <w:t>March 5, 2014</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Harold Harrigian</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70"/>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74"/>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COHU,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color w:val="auto"/>
                <w:w w:val="90"/>
              </w:rPr>
              <w:t>Additions</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4"/>
                <w:szCs w:val="14"/>
                <w:color w:val="auto"/>
              </w:rPr>
              <w:t>Additions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82"/>
              </w:rPr>
              <w:t>Balance</w:t>
            </w:r>
          </w:p>
        </w:tc>
        <w:tc>
          <w:tcPr>
            <w:tcW w:w="80" w:type="dxa"/>
            <w:vAlign w:val="bottom"/>
          </w:tcPr>
          <w:p>
            <w:pPr>
              <w:spacing w:after="0"/>
              <w:rPr>
                <w:sz w:val="12"/>
                <w:szCs w:val="12"/>
                <w:color w:val="auto"/>
              </w:rPr>
            </w:pPr>
          </w:p>
        </w:tc>
        <w:tc>
          <w:tcPr>
            <w:tcW w:w="460" w:type="dxa"/>
            <w:vAlign w:val="bottom"/>
          </w:tcPr>
          <w:p>
            <w:pPr>
              <w:jc w:val="center"/>
              <w:ind w:right="17"/>
              <w:spacing w:after="0" w:line="149" w:lineRule="exact"/>
              <w:rPr>
                <w:sz w:val="20"/>
                <w:szCs w:val="20"/>
                <w:color w:val="auto"/>
              </w:rPr>
            </w:pPr>
            <w:r>
              <w:rPr>
                <w:rFonts w:ascii="Arial" w:cs="Arial" w:eastAsia="Arial" w:hAnsi="Arial"/>
                <w:sz w:val="14"/>
                <w:szCs w:val="14"/>
                <w:color w:val="auto"/>
                <w:w w:val="91"/>
              </w:rPr>
              <w:t>Not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(Reductions)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5"/>
              </w:rPr>
              <w:t>at</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1"/>
              </w:rPr>
              <w:t>Charged</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w w:val="85"/>
              </w:rPr>
              <w:t>Charged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6"/>
              </w:rPr>
              <w:t>Balance</w:t>
            </w:r>
          </w:p>
        </w:tc>
        <w:tc>
          <w:tcPr>
            <w:tcW w:w="0" w:type="dxa"/>
            <w:vAlign w:val="bottom"/>
          </w:tcPr>
          <w:p>
            <w:pPr>
              <w:spacing w:after="0"/>
              <w:rPr>
                <w:sz w:val="1"/>
                <w:szCs w:val="1"/>
                <w:color w:val="auto"/>
              </w:rPr>
            </w:pPr>
          </w:p>
        </w:tc>
      </w:tr>
      <w:tr>
        <w:trPr>
          <w:trHeight w:val="149"/>
        </w:trPr>
        <w:tc>
          <w:tcPr>
            <w:tcW w:w="6640" w:type="dxa"/>
            <w:vAlign w:val="bottom"/>
            <w:gridSpan w:val="3"/>
            <w:vMerge w:val="restart"/>
          </w:tcPr>
          <w:p>
            <w:pPr>
              <w:spacing w:after="0"/>
              <w:rPr>
                <w:sz w:val="20"/>
                <w:szCs w:val="20"/>
                <w:color w:val="auto"/>
              </w:rPr>
            </w:pPr>
            <w:r>
              <w:rPr>
                <w:rFonts w:ascii="Arial" w:cs="Arial" w:eastAsia="Arial" w:hAnsi="Arial"/>
                <w:sz w:val="14"/>
                <w:szCs w:val="14"/>
                <w:color w:val="auto"/>
              </w:rPr>
              <w:t>Description</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Beginning</w:t>
            </w:r>
          </w:p>
        </w:tc>
        <w:tc>
          <w:tcPr>
            <w:tcW w:w="80" w:type="dxa"/>
            <w:vAlign w:val="bottom"/>
          </w:tcPr>
          <w:p>
            <w:pPr>
              <w:spacing w:after="0"/>
              <w:rPr>
                <w:sz w:val="12"/>
                <w:szCs w:val="12"/>
                <w:color w:val="auto"/>
              </w:rPr>
            </w:pPr>
          </w:p>
        </w:tc>
        <w:tc>
          <w:tcPr>
            <w:tcW w:w="460" w:type="dxa"/>
            <w:vAlign w:val="bottom"/>
          </w:tcPr>
          <w:p>
            <w:pPr>
              <w:jc w:val="center"/>
              <w:ind w:right="17"/>
              <w:spacing w:after="0" w:line="149" w:lineRule="exact"/>
              <w:rPr>
                <w:sz w:val="20"/>
                <w:szCs w:val="20"/>
                <w:color w:val="auto"/>
              </w:rPr>
            </w:pPr>
            <w:r>
              <w:rPr>
                <w:rFonts w:ascii="Arial" w:cs="Arial" w:eastAsia="Arial" w:hAnsi="Arial"/>
                <w:sz w:val="14"/>
                <w:szCs w:val="14"/>
                <w:color w:val="auto"/>
              </w:rPr>
              <w:t>to</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color w:val="auto"/>
              </w:rPr>
              <w:t>(Credited) to</w:t>
            </w:r>
          </w:p>
        </w:tc>
        <w:tc>
          <w:tcPr>
            <w:tcW w:w="660" w:type="dxa"/>
            <w:vAlign w:val="bottom"/>
            <w:gridSpan w:val="2"/>
          </w:tcPr>
          <w:p>
            <w:pPr>
              <w:spacing w:after="0" w:line="149" w:lineRule="exact"/>
              <w:rPr>
                <w:sz w:val="20"/>
                <w:szCs w:val="20"/>
                <w:color w:val="auto"/>
              </w:rPr>
            </w:pPr>
            <w:r>
              <w:rPr>
                <w:rFonts w:ascii="Arial" w:cs="Arial" w:eastAsia="Arial" w:hAnsi="Arial"/>
                <w:sz w:val="14"/>
                <w:szCs w:val="14"/>
                <w:color w:val="auto"/>
                <w:w w:val="86"/>
              </w:rPr>
              <w:t>Deductions/</w:t>
            </w:r>
          </w:p>
        </w:tc>
        <w:tc>
          <w:tcPr>
            <w:tcW w:w="34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at End of</w:t>
            </w:r>
          </w:p>
        </w:tc>
        <w:tc>
          <w:tcPr>
            <w:tcW w:w="0" w:type="dxa"/>
            <w:vAlign w:val="bottom"/>
          </w:tcPr>
          <w:p>
            <w:pPr>
              <w:spacing w:after="0"/>
              <w:rPr>
                <w:sz w:val="1"/>
                <w:szCs w:val="1"/>
                <w:color w:val="auto"/>
              </w:rPr>
            </w:pPr>
          </w:p>
        </w:tc>
      </w:tr>
      <w:tr>
        <w:trPr>
          <w:trHeight w:val="146"/>
        </w:trPr>
        <w:tc>
          <w:tcPr>
            <w:tcW w:w="6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440"/>
              <w:spacing w:after="0" w:line="146" w:lineRule="exact"/>
              <w:rPr>
                <w:sz w:val="20"/>
                <w:szCs w:val="20"/>
                <w:color w:val="auto"/>
              </w:rPr>
            </w:pPr>
            <w:r>
              <w:rPr>
                <w:rFonts w:ascii="Arial" w:cs="Arial" w:eastAsia="Arial" w:hAnsi="Arial"/>
                <w:sz w:val="14"/>
                <w:szCs w:val="14"/>
                <w:color w:val="auto"/>
                <w:w w:val="84"/>
              </w:rPr>
              <w:t>of Year</w:t>
            </w:r>
          </w:p>
        </w:tc>
        <w:tc>
          <w:tcPr>
            <w:tcW w:w="540" w:type="dxa"/>
            <w:vAlign w:val="bottom"/>
            <w:gridSpan w:val="2"/>
          </w:tcPr>
          <w:p>
            <w:pPr>
              <w:jc w:val="center"/>
              <w:spacing w:after="0" w:line="146" w:lineRule="exact"/>
              <w:rPr>
                <w:sz w:val="20"/>
                <w:szCs w:val="20"/>
                <w:color w:val="auto"/>
              </w:rPr>
            </w:pPr>
            <w:r>
              <w:rPr>
                <w:rFonts w:ascii="Arial" w:cs="Arial" w:eastAsia="Arial" w:hAnsi="Arial"/>
                <w:sz w:val="14"/>
                <w:szCs w:val="14"/>
                <w:color w:val="auto"/>
                <w:w w:val="80"/>
              </w:rPr>
              <w:t>Expense</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6" w:lineRule="exact"/>
              <w:rPr>
                <w:sz w:val="20"/>
                <w:szCs w:val="20"/>
                <w:color w:val="auto"/>
              </w:rPr>
            </w:pPr>
            <w:r>
              <w:rPr>
                <w:rFonts w:ascii="Arial" w:cs="Arial" w:eastAsia="Arial" w:hAnsi="Arial"/>
                <w:sz w:val="14"/>
                <w:szCs w:val="14"/>
                <w:color w:val="auto"/>
                <w:w w:val="84"/>
              </w:rPr>
              <w:t>Expense</w:t>
            </w:r>
          </w:p>
        </w:tc>
        <w:tc>
          <w:tcPr>
            <w:tcW w:w="660" w:type="dxa"/>
            <w:vAlign w:val="bottom"/>
            <w:gridSpan w:val="2"/>
          </w:tcPr>
          <w:p>
            <w:pPr>
              <w:ind w:left="40"/>
              <w:spacing w:after="0" w:line="146" w:lineRule="exact"/>
              <w:rPr>
                <w:sz w:val="20"/>
                <w:szCs w:val="20"/>
                <w:color w:val="auto"/>
              </w:rPr>
            </w:pPr>
            <w:r>
              <w:rPr>
                <w:rFonts w:ascii="Arial" w:cs="Arial" w:eastAsia="Arial" w:hAnsi="Arial"/>
                <w:sz w:val="14"/>
                <w:szCs w:val="14"/>
                <w:color w:val="auto"/>
              </w:rPr>
              <w:t>Write-offs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140"/>
              <w:spacing w:after="0" w:line="146" w:lineRule="exact"/>
              <w:rPr>
                <w:sz w:val="20"/>
                <w:szCs w:val="20"/>
                <w:color w:val="auto"/>
              </w:rPr>
            </w:pPr>
            <w:r>
              <w:rPr>
                <w:rFonts w:ascii="Arial" w:cs="Arial" w:eastAsia="Arial" w:hAnsi="Arial"/>
                <w:sz w:val="14"/>
                <w:szCs w:val="14"/>
                <w:color w:val="auto"/>
                <w:w w:val="81"/>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31, 2011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92"/>
              <w:spacing w:after="0"/>
              <w:rPr>
                <w:sz w:val="20"/>
                <w:szCs w:val="20"/>
                <w:color w:val="auto"/>
              </w:rPr>
            </w:pPr>
            <w:r>
              <w:rPr>
                <w:rFonts w:ascii="Arial" w:cs="Arial" w:eastAsia="Arial" w:hAnsi="Arial"/>
                <w:sz w:val="18"/>
                <w:szCs w:val="18"/>
                <w:color w:val="auto"/>
              </w:rPr>
              <w:t>(2)(1)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29, 2012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(1)</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28, 2013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308</w:t>
            </w:r>
          </w:p>
        </w:tc>
        <w:tc>
          <w:tcPr>
            <w:tcW w:w="3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354</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31, 2011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23,783</w:t>
            </w:r>
          </w:p>
        </w:tc>
        <w:tc>
          <w:tcPr>
            <w:tcW w:w="3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(1)</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5,796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4,092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25,575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29, 2012</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25,575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1"/>
              </w:rPr>
              <w:t>(2)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8,884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28,062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Year ended December 28, 2013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28,062</w:t>
            </w:r>
          </w:p>
        </w:tc>
        <w:tc>
          <w:tcPr>
            <w:tcW w:w="3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7,423</w:t>
            </w:r>
          </w:p>
        </w:tc>
        <w:tc>
          <w:tcPr>
            <w:tcW w:w="380" w:type="dxa"/>
            <w:vAlign w:val="bottom"/>
          </w:tcPr>
          <w:p>
            <w:pPr>
              <w:jc w:val="right"/>
              <w:ind w:right="92"/>
              <w:spacing w:after="0"/>
              <w:rPr>
                <w:sz w:val="20"/>
                <w:szCs w:val="20"/>
                <w:color w:val="auto"/>
              </w:rPr>
            </w:pPr>
            <w:r>
              <w:rPr>
                <w:rFonts w:ascii="Arial" w:cs="Arial" w:eastAsia="Arial" w:hAnsi="Arial"/>
                <w:sz w:val="18"/>
                <w:szCs w:val="18"/>
                <w:color w:val="auto"/>
                <w:w w:val="81"/>
              </w:rPr>
              <w:t>(4)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8,129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4,786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38,828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reserve balances resulting from foreign currency impact.</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reserve balances resulting from foreign currency impact and reclass from other reserves.</w:t>
      </w:r>
    </w:p>
    <w:p>
      <w:pPr>
        <w:ind w:left="340" w:hanging="332"/>
        <w:spacing w:after="0" w:line="221"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$0.4 million resulting from Ismeca Acquisition on December 31, 2012 and foreign currency impact.</w:t>
      </w: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$6.5 million resulting from Ismeca Acquisition on December 31, 2012 and foreign currency impact.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360" w:type="dxa"/>
            <w:vAlign w:val="bottom"/>
            <w:gridSpan w:val="2"/>
          </w:tcPr>
          <w:p>
            <w:pPr>
              <w:ind w:left="2960"/>
              <w:spacing w:after="0"/>
              <w:rPr>
                <w:sz w:val="20"/>
                <w:szCs w:val="20"/>
                <w:color w:val="auto"/>
              </w:rPr>
            </w:pPr>
            <w:r>
              <w:rPr>
                <w:rFonts w:ascii="Arial" w:cs="Arial" w:eastAsia="Arial" w:hAnsi="Arial"/>
                <w:sz w:val="18"/>
                <w:szCs w:val="18"/>
                <w:b w:val="1"/>
                <w:bCs w:val="1"/>
                <w:color w:val="auto"/>
              </w:rPr>
              <w:t>SUBSIDIARIES OF COHU, INC.</w:t>
            </w:r>
          </w:p>
        </w:tc>
      </w:tr>
      <w:tr>
        <w:trPr>
          <w:trHeight w:val="353"/>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LEGAL ENTITY NAME</w:t>
            </w:r>
          </w:p>
        </w:tc>
        <w:tc>
          <w:tcPr>
            <w:tcW w:w="4480" w:type="dxa"/>
            <w:vAlign w:val="bottom"/>
          </w:tcPr>
          <w:p>
            <w:pPr>
              <w:spacing w:after="0"/>
              <w:rPr>
                <w:sz w:val="24"/>
                <w:szCs w:val="24"/>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PLACE OF INCORPORATION</w:t>
            </w:r>
          </w:p>
        </w:tc>
      </w:tr>
      <w:tr>
        <w:trPr>
          <w:trHeight w:val="309"/>
        </w:trPr>
        <w:tc>
          <w:tcPr>
            <w:tcW w:w="5960" w:type="dxa"/>
            <w:vAlign w:val="bottom"/>
            <w:gridSpan w:val="3"/>
          </w:tcPr>
          <w:p>
            <w:pPr>
              <w:spacing w:after="0"/>
              <w:rPr>
                <w:sz w:val="20"/>
                <w:szCs w:val="20"/>
                <w:color w:val="auto"/>
              </w:rPr>
            </w:pPr>
            <w:r>
              <w:rPr>
                <w:rFonts w:ascii="Arial" w:cs="Arial" w:eastAsia="Arial" w:hAnsi="Arial"/>
                <w:sz w:val="18"/>
                <w:szCs w:val="18"/>
                <w:color w:val="auto"/>
              </w:rPr>
              <w:t>Delta Design, Inc. (1)</w:t>
            </w:r>
          </w:p>
        </w:tc>
        <w:tc>
          <w:tcPr>
            <w:tcW w:w="18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FRL, Incorporated</w:t>
            </w:r>
          </w:p>
        </w:tc>
        <w:tc>
          <w:tcPr>
            <w:tcW w:w="18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Broadcast Microwave Services, Inc. (2)</w:t>
            </w:r>
          </w:p>
        </w:tc>
        <w:tc>
          <w:tcPr>
            <w:tcW w:w="18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16"/>
        </w:trPr>
        <w:tc>
          <w:tcPr>
            <w:tcW w:w="5960" w:type="dxa"/>
            <w:vAlign w:val="bottom"/>
            <w:gridSpan w:val="3"/>
          </w:tcPr>
          <w:p>
            <w:pPr>
              <w:spacing w:after="0"/>
              <w:rPr>
                <w:sz w:val="20"/>
                <w:szCs w:val="20"/>
                <w:color w:val="auto"/>
              </w:rPr>
            </w:pPr>
            <w:r>
              <w:rPr>
                <w:rFonts w:ascii="Arial" w:cs="Arial" w:eastAsia="Arial" w:hAnsi="Arial"/>
                <w:sz w:val="18"/>
                <w:szCs w:val="18"/>
                <w:color w:val="auto"/>
              </w:rPr>
              <w:t>Delta Design (Littleton), Inc.</w:t>
            </w:r>
          </w:p>
        </w:tc>
        <w:tc>
          <w:tcPr>
            <w:tcW w:w="1880" w:type="dxa"/>
            <w:vAlign w:val="bottom"/>
          </w:tcPr>
          <w:p>
            <w:pPr>
              <w:spacing w:after="0"/>
              <w:rPr>
                <w:sz w:val="20"/>
                <w:szCs w:val="20"/>
                <w:color w:val="auto"/>
              </w:rPr>
            </w:pPr>
            <w:r>
              <w:rPr>
                <w:rFonts w:ascii="Arial" w:cs="Arial" w:eastAsia="Arial" w:hAnsi="Arial"/>
                <w:sz w:val="18"/>
                <w:szCs w:val="18"/>
                <w:color w:val="auto"/>
              </w:rPr>
              <w:t>Delaware</w:t>
            </w:r>
          </w:p>
        </w:tc>
      </w:tr>
      <w:tr>
        <w:trPr>
          <w:trHeight w:val="222"/>
        </w:trPr>
        <w:tc>
          <w:tcPr>
            <w:tcW w:w="5960" w:type="dxa"/>
            <w:vAlign w:val="bottom"/>
            <w:gridSpan w:val="3"/>
          </w:tcPr>
          <w:p>
            <w:pPr>
              <w:spacing w:after="0"/>
              <w:rPr>
                <w:sz w:val="20"/>
                <w:szCs w:val="20"/>
                <w:color w:val="auto"/>
              </w:rPr>
            </w:pPr>
            <w:r>
              <w:rPr>
                <w:rFonts w:ascii="Arial" w:cs="Arial" w:eastAsia="Arial" w:hAnsi="Arial"/>
                <w:sz w:val="18"/>
                <w:szCs w:val="18"/>
                <w:color w:val="auto"/>
              </w:rPr>
              <w:t>Cohu Foreign Sales Ltd.</w:t>
            </w:r>
          </w:p>
        </w:tc>
        <w:tc>
          <w:tcPr>
            <w:tcW w:w="1880" w:type="dxa"/>
            <w:vAlign w:val="bottom"/>
          </w:tcPr>
          <w:p>
            <w:pPr>
              <w:spacing w:after="0"/>
              <w:rPr>
                <w:sz w:val="20"/>
                <w:szCs w:val="20"/>
                <w:color w:val="auto"/>
              </w:rPr>
            </w:pPr>
            <w:r>
              <w:rPr>
                <w:rFonts w:ascii="Arial" w:cs="Arial" w:eastAsia="Arial" w:hAnsi="Arial"/>
                <w:sz w:val="18"/>
                <w:szCs w:val="18"/>
                <w:color w:val="auto"/>
              </w:rPr>
              <w:t>Barbados</w:t>
            </w:r>
          </w:p>
        </w:tc>
      </w:tr>
      <w:tr>
        <w:trPr>
          <w:trHeight w:val="110"/>
        </w:trPr>
        <w:tc>
          <w:tcPr>
            <w:tcW w:w="1160" w:type="dxa"/>
            <w:vAlign w:val="bottom"/>
            <w:tcBorders>
              <w:bottom w:val="single" w:sz="8" w:color="auto"/>
            </w:tcBorders>
          </w:tcPr>
          <w:p>
            <w:pPr>
              <w:spacing w:after="0"/>
              <w:rPr>
                <w:sz w:val="9"/>
                <w:szCs w:val="9"/>
                <w:color w:val="auto"/>
              </w:rPr>
            </w:pPr>
          </w:p>
        </w:tc>
        <w:tc>
          <w:tcPr>
            <w:tcW w:w="4800" w:type="dxa"/>
            <w:vAlign w:val="bottom"/>
            <w:gridSpan w:val="2"/>
          </w:tcPr>
          <w:p>
            <w:pPr>
              <w:spacing w:after="0"/>
              <w:rPr>
                <w:sz w:val="9"/>
                <w:szCs w:val="9"/>
                <w:color w:val="auto"/>
              </w:rPr>
            </w:pPr>
          </w:p>
        </w:tc>
        <w:tc>
          <w:tcPr>
            <w:tcW w:w="1880" w:type="dxa"/>
            <w:vAlign w:val="bottom"/>
          </w:tcPr>
          <w:p>
            <w:pPr>
              <w:spacing w:after="0"/>
              <w:rPr>
                <w:sz w:val="9"/>
                <w:szCs w:val="9"/>
                <w:color w:val="auto"/>
              </w:rPr>
            </w:pPr>
          </w:p>
        </w:tc>
      </w:tr>
      <w:tr>
        <w:trPr>
          <w:trHeight w:val="235"/>
        </w:trPr>
        <w:tc>
          <w:tcPr>
            <w:tcW w:w="5960" w:type="dxa"/>
            <w:vAlign w:val="bottom"/>
            <w:gridSpan w:val="3"/>
          </w:tcPr>
          <w:p>
            <w:pPr>
              <w:spacing w:after="0"/>
              <w:rPr>
                <w:sz w:val="20"/>
                <w:szCs w:val="20"/>
                <w:color w:val="auto"/>
              </w:rPr>
            </w:pPr>
            <w:r>
              <w:rPr>
                <w:rFonts w:ascii="Arial" w:cs="Arial" w:eastAsia="Arial" w:hAnsi="Arial"/>
                <w:sz w:val="18"/>
                <w:szCs w:val="18"/>
                <w:color w:val="auto"/>
              </w:rPr>
              <w:t>(1)   Delta Design, Inc. owns the following subsidiaries:</w:t>
            </w:r>
          </w:p>
        </w:tc>
        <w:tc>
          <w:tcPr>
            <w:tcW w:w="1880" w:type="dxa"/>
            <w:vAlign w:val="bottom"/>
          </w:tcPr>
          <w:p>
            <w:pPr>
              <w:spacing w:after="0"/>
              <w:rPr>
                <w:sz w:val="20"/>
                <w:szCs w:val="20"/>
                <w:color w:val="auto"/>
              </w:rPr>
            </w:pPr>
          </w:p>
        </w:tc>
      </w:tr>
      <w:tr>
        <w:trPr>
          <w:trHeight w:val="291"/>
        </w:trPr>
        <w:tc>
          <w:tcPr>
            <w:tcW w:w="1160" w:type="dxa"/>
            <w:vAlign w:val="bottom"/>
          </w:tcPr>
          <w:p>
            <w:pPr>
              <w:spacing w:after="0"/>
              <w:rPr>
                <w:sz w:val="24"/>
                <w:szCs w:val="24"/>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Delta Design Luxembourg S.à r.l</w:t>
            </w:r>
          </w:p>
        </w:tc>
        <w:tc>
          <w:tcPr>
            <w:tcW w:w="18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16"/>
        </w:trPr>
        <w:tc>
          <w:tcPr>
            <w:tcW w:w="116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Delta Design Singapore PTE LTD</w:t>
            </w:r>
          </w:p>
        </w:tc>
        <w:tc>
          <w:tcPr>
            <w:tcW w:w="1880" w:type="dxa"/>
            <w:vAlign w:val="bottom"/>
          </w:tcPr>
          <w:p>
            <w:pPr>
              <w:spacing w:after="0"/>
              <w:rPr>
                <w:sz w:val="20"/>
                <w:szCs w:val="20"/>
                <w:color w:val="auto"/>
              </w:rPr>
            </w:pPr>
            <w:r>
              <w:rPr>
                <w:rFonts w:ascii="Arial" w:cs="Arial" w:eastAsia="Arial" w:hAnsi="Arial"/>
                <w:sz w:val="18"/>
                <w:szCs w:val="18"/>
                <w:color w:val="auto"/>
              </w:rPr>
              <w:t>Singapore</w:t>
            </w:r>
          </w:p>
        </w:tc>
      </w:tr>
      <w:tr>
        <w:trPr>
          <w:trHeight w:val="216"/>
        </w:trPr>
        <w:tc>
          <w:tcPr>
            <w:tcW w:w="116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Delta Design Philippines LLC</w:t>
            </w:r>
          </w:p>
        </w:tc>
        <w:tc>
          <w:tcPr>
            <w:tcW w:w="1880" w:type="dxa"/>
            <w:vAlign w:val="bottom"/>
          </w:tcPr>
          <w:p>
            <w:pPr>
              <w:spacing w:after="0"/>
              <w:rPr>
                <w:sz w:val="20"/>
                <w:szCs w:val="20"/>
                <w:color w:val="auto"/>
              </w:rPr>
            </w:pPr>
            <w:r>
              <w:rPr>
                <w:rFonts w:ascii="Arial" w:cs="Arial" w:eastAsia="Arial" w:hAnsi="Arial"/>
                <w:sz w:val="18"/>
                <w:szCs w:val="18"/>
                <w:color w:val="auto"/>
              </w:rPr>
              <w:t>Delaware</w:t>
            </w:r>
          </w:p>
        </w:tc>
      </w:tr>
      <w:tr>
        <w:trPr>
          <w:trHeight w:val="216"/>
        </w:trPr>
        <w:tc>
          <w:tcPr>
            <w:tcW w:w="116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Cohu S.A.</w:t>
            </w:r>
          </w:p>
        </w:tc>
        <w:tc>
          <w:tcPr>
            <w:tcW w:w="1880" w:type="dxa"/>
            <w:vAlign w:val="bottom"/>
          </w:tcPr>
          <w:p>
            <w:pPr>
              <w:spacing w:after="0"/>
              <w:rPr>
                <w:sz w:val="20"/>
                <w:szCs w:val="20"/>
                <w:color w:val="auto"/>
              </w:rPr>
            </w:pPr>
            <w:r>
              <w:rPr>
                <w:rFonts w:ascii="Arial" w:cs="Arial" w:eastAsia="Arial" w:hAnsi="Arial"/>
                <w:sz w:val="18"/>
                <w:szCs w:val="18"/>
                <w:color w:val="auto"/>
              </w:rPr>
              <w:t>Costa Rica</w:t>
            </w:r>
          </w:p>
        </w:tc>
      </w:tr>
      <w:tr>
        <w:trPr>
          <w:trHeight w:val="216"/>
        </w:trPr>
        <w:tc>
          <w:tcPr>
            <w:tcW w:w="116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Delta Design Europe GmbH</w:t>
            </w:r>
          </w:p>
        </w:tc>
        <w:tc>
          <w:tcPr>
            <w:tcW w:w="18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6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Rasco GmbH</w:t>
            </w:r>
          </w:p>
        </w:tc>
        <w:tc>
          <w:tcPr>
            <w:tcW w:w="188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60" w:type="dxa"/>
            <w:vAlign w:val="bottom"/>
          </w:tcPr>
          <w:p>
            <w:pPr>
              <w:spacing w:after="0"/>
              <w:rPr>
                <w:sz w:val="18"/>
                <w:szCs w:val="18"/>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Rosenheim Automation Systems Corporation</w:t>
            </w:r>
          </w:p>
        </w:tc>
        <w:tc>
          <w:tcPr>
            <w:tcW w:w="1880" w:type="dxa"/>
            <w:vAlign w:val="bottom"/>
          </w:tcPr>
          <w:p>
            <w:pPr>
              <w:spacing w:after="0"/>
              <w:rPr>
                <w:sz w:val="20"/>
                <w:szCs w:val="20"/>
                <w:color w:val="auto"/>
              </w:rPr>
            </w:pPr>
            <w:r>
              <w:rPr>
                <w:rFonts w:ascii="Arial" w:cs="Arial" w:eastAsia="Arial" w:hAnsi="Arial"/>
                <w:sz w:val="18"/>
                <w:szCs w:val="18"/>
                <w:color w:val="auto"/>
              </w:rPr>
              <w:t>California</w:t>
            </w:r>
          </w:p>
        </w:tc>
      </w:tr>
      <w:tr>
        <w:trPr>
          <w:trHeight w:val="222"/>
        </w:trPr>
        <w:tc>
          <w:tcPr>
            <w:tcW w:w="1160" w:type="dxa"/>
            <w:vAlign w:val="bottom"/>
          </w:tcPr>
          <w:p>
            <w:pPr>
              <w:spacing w:after="0"/>
              <w:rPr>
                <w:sz w:val="19"/>
                <w:szCs w:val="19"/>
                <w:color w:val="auto"/>
              </w:rPr>
            </w:pPr>
          </w:p>
        </w:tc>
        <w:tc>
          <w:tcPr>
            <w:tcW w:w="4800" w:type="dxa"/>
            <w:vAlign w:val="bottom"/>
            <w:gridSpan w:val="2"/>
          </w:tcPr>
          <w:p>
            <w:pPr>
              <w:ind w:left="140"/>
              <w:spacing w:after="0"/>
              <w:rPr>
                <w:sz w:val="20"/>
                <w:szCs w:val="20"/>
                <w:color w:val="auto"/>
              </w:rPr>
            </w:pPr>
            <w:r>
              <w:rPr>
                <w:rFonts w:ascii="Arial" w:cs="Arial" w:eastAsia="Arial" w:hAnsi="Arial"/>
                <w:sz w:val="18"/>
                <w:szCs w:val="18"/>
                <w:color w:val="auto"/>
              </w:rPr>
              <w:t>Ismeca Semiconductor Holding SA (3)</w:t>
            </w:r>
          </w:p>
        </w:tc>
        <w:tc>
          <w:tcPr>
            <w:tcW w:w="1880" w:type="dxa"/>
            <w:vAlign w:val="bottom"/>
          </w:tcPr>
          <w:p>
            <w:pPr>
              <w:spacing w:after="0"/>
              <w:rPr>
                <w:sz w:val="20"/>
                <w:szCs w:val="20"/>
                <w:color w:val="auto"/>
              </w:rPr>
            </w:pPr>
            <w:r>
              <w:rPr>
                <w:rFonts w:ascii="Arial" w:cs="Arial" w:eastAsia="Arial" w:hAnsi="Arial"/>
                <w:sz w:val="18"/>
                <w:szCs w:val="18"/>
                <w:color w:val="auto"/>
              </w:rPr>
              <w:t>Switzerland</w:t>
            </w:r>
          </w:p>
        </w:tc>
      </w:tr>
    </w:tbl>
    <w:p>
      <w:pPr>
        <w:spacing w:after="0" w:line="75"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Broadcast Microwave Services, Inc. owns the following subsidiary:</w:t>
      </w:r>
    </w:p>
    <w:p>
      <w:pPr>
        <w:spacing w:after="0" w:line="90" w:lineRule="exact"/>
        <w:rPr>
          <w:sz w:val="20"/>
          <w:szCs w:val="20"/>
          <w:color w:val="auto"/>
        </w:rPr>
      </w:pPr>
    </w:p>
    <w:p>
      <w:pPr>
        <w:ind w:left="1300"/>
        <w:spacing w:after="0"/>
        <w:tabs>
          <w:tab w:leader="none" w:pos="5940" w:val="left"/>
        </w:tabs>
        <w:rPr>
          <w:sz w:val="20"/>
          <w:szCs w:val="20"/>
          <w:color w:val="auto"/>
        </w:rPr>
      </w:pPr>
      <w:r>
        <w:rPr>
          <w:rFonts w:ascii="Arial" w:cs="Arial" w:eastAsia="Arial" w:hAnsi="Arial"/>
          <w:sz w:val="18"/>
          <w:szCs w:val="18"/>
          <w:color w:val="auto"/>
        </w:rPr>
        <w:t>Broadcast Microwave Services Europe GmbH</w:t>
      </w:r>
      <w:r>
        <w:rPr>
          <w:sz w:val="20"/>
          <w:szCs w:val="20"/>
          <w:color w:val="auto"/>
        </w:rPr>
        <w:tab/>
      </w:r>
      <w:r>
        <w:rPr>
          <w:rFonts w:ascii="Arial" w:cs="Arial" w:eastAsia="Arial" w:hAnsi="Arial"/>
          <w:sz w:val="15"/>
          <w:szCs w:val="15"/>
          <w:color w:val="auto"/>
        </w:rPr>
        <w:t>Germany</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Ismeca Semiconductor Holding SA owns the following subsidiaries:</w:t>
      </w:r>
    </w:p>
    <w:p>
      <w:pPr>
        <w:sectPr>
          <w:pgSz w:w="11900" w:h="16838" w:orient="portrait"/>
          <w:cols w:equalWidth="0" w:num="1">
            <w:col w:w="11420"/>
          </w:cols>
          <w:pgMar w:left="240" w:top="131" w:right="239" w:bottom="1440" w:gutter="0" w:footer="0" w:header="0"/>
        </w:sectPr>
      </w:pPr>
    </w:p>
    <w:p>
      <w:pPr>
        <w:spacing w:after="0" w:line="9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Ismeca Europe Semiconductor SA</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CDF Holding USA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Ismeca USA, Inc.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Ismeca Malaysia Sdn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Ismeca Semiconductor (Suzhou) Co Ltd</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Switzerland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ectPr>
          <w:pgSz w:w="11900" w:h="16838" w:orient="portrait"/>
          <w:cols w:equalWidth="0" w:num="2">
            <w:col w:w="5240" w:space="720"/>
            <w:col w:w="5460"/>
          </w:cols>
          <w:pgMar w:left="240" w:top="131" w:right="239" w:bottom="1440" w:gutter="0" w:footer="0" w:header="0"/>
          <w:type w:val="continuous"/>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23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(Form S-8 Nos. 333-62803, 333-27663, 333-40610, 333-66466, 333-97449, 333-117554, 333-132605, 333-142579, 333-160760, 333-177453 and 333-186973) pertaining to the Cohu, Inc. 1996 and 1998 Stock Option Plans, 1996 Outside Directors Stock Option Plan, 1997 Employee Stock Purchase Plan and 2005 Equity Incentive Plan of Cohu, Inc. of our reports dated March 4, 2014, with respect to the consolidated financial statements and schedule of Cohu, Inc., and the effectiveness of internal control over financial reporting of Cohu, Inc., included in this Annual Report (Form 10-K) for the year ended December 28, 2013, filed with the Securities and Exchange Commission.</w:t>
      </w:r>
    </w:p>
    <w:p>
      <w:pPr>
        <w:spacing w:after="0" w:line="1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4, 2014</w:t>
      </w:r>
    </w:p>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31.1</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71" w:lineRule="exact"/>
        <w:rPr>
          <w:sz w:val="20"/>
          <w:szCs w:val="20"/>
          <w:color w:val="auto"/>
        </w:rPr>
      </w:pPr>
    </w:p>
    <w:p>
      <w:pPr>
        <w:ind w:left="640" w:hanging="176"/>
        <w:spacing w:after="0"/>
        <w:tabs>
          <w:tab w:leader="none" w:pos="6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1"/>
          <w:numId w:val="3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1"/>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31.2</w:t>
      </w:r>
    </w:p>
    <w:p>
      <w:pPr>
        <w:spacing w:after="0" w:line="16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171" w:lineRule="exact"/>
        <w:rPr>
          <w:sz w:val="20"/>
          <w:szCs w:val="20"/>
          <w:color w:val="auto"/>
        </w:rPr>
      </w:pPr>
    </w:p>
    <w:p>
      <w:pPr>
        <w:ind w:left="640" w:hanging="176"/>
        <w:spacing w:after="0"/>
        <w:tabs>
          <w:tab w:leader="none" w:pos="6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 have reviewed this Form 10-K of Cohu,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1"/>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1"/>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60" w:firstLine="464"/>
        <w:spacing w:after="0" w:line="332" w:lineRule="auto"/>
        <w:tabs>
          <w:tab w:leader="none" w:pos="632"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connection with the accompanying Annual Report of Cohu, Inc. (the “Company”) on Form 10-K for the fiscal year ended December 28, 2013 (the “Report”), I, James A. Donahue, President and Chief Executive Officer of the Company, certify, pursuant to 18 U.S.C. Section 1350, as adopted pursuant to Section 906 of the Sarbanes-Oxley Act of 2002, that, based on my knowledge:</w:t>
      </w:r>
    </w:p>
    <w:p>
      <w:pPr>
        <w:spacing w:after="0" w:line="140"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56" w:lineRule="auto"/>
        <w:tabs>
          <w:tab w:leader="none" w:pos="2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5, 2014</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32.2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65"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In connection with the accompanying Annual Report of Cohu, Inc. (the “Company”) on Form 10-K for the fiscal year ended December 28, 2013 (the “Report”), I, Jeffrey D. Jones, Vice President Finance and Chief Financial Officer of the Company, certify, pursuant to 18 U.S.C. Section 1350, as adopted pursuant to Section 906 of the Sarbanes-Oxley Act of 2002, that, based on my knowledge:</w:t>
      </w:r>
    </w:p>
    <w:p>
      <w:pPr>
        <w:spacing w:after="0" w:line="107"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980" w:firstLine="8"/>
        <w:spacing w:after="0" w:line="456"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March 5, 2014</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2588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lowerLetter"/>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lowerRoman"/>
      <w:start w:val="1"/>
    </w:lvl>
  </w:abstractNum>
  <w:abstractNum w:abstractNumId="12">
    <w:nsid w:val="189A769B"/>
    <w:multiLevelType w:val="hybridMultilevel"/>
    <w:lvl w:ilvl="0">
      <w:lvlJc w:val="left"/>
      <w:lvlText w:val="(%1)"/>
      <w:numFmt w:val="decimal"/>
      <w:start w:val="2"/>
    </w:lvl>
  </w:abstractNum>
  <w:abstractNum w:abstractNumId="13">
    <w:nsid w:val="54E49EB4"/>
    <w:multiLevelType w:val="hybridMultilevel"/>
    <w:lvl w:ilvl="0">
      <w:lvlJc w:val="left"/>
      <w:lvlText w:val="(%1)"/>
      <w:numFmt w:val="lowerLetter"/>
      <w:start w:val="1"/>
    </w:lvl>
    <w:lvl w:ilvl="1">
      <w:lvlJc w:val="left"/>
      <w:lvlText w:val="(%2)"/>
      <w:numFmt w:val="decimal"/>
      <w:start w:val="1"/>
    </w:lvl>
  </w:abstractNum>
  <w:abstractNum w:abstractNumId="14">
    <w:nsid w:val="71F32454"/>
    <w:multiLevelType w:val="hybridMultilevel"/>
    <w:lvl w:ilvl="0">
      <w:lvlJc w:val="left"/>
      <w:lvlText w:val="(%1)"/>
      <w:numFmt w:val="decimal"/>
      <w:start w:val="3"/>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2"/>
    </w:lvl>
  </w:abstractNum>
  <w:abstractNum w:abstractNumId="17">
    <w:nsid w:val="2901D82"/>
    <w:multiLevelType w:val="hybridMultilevel"/>
    <w:lvl w:ilvl="0">
      <w:lvlJc w:val="left"/>
      <w:lvlText w:val="%1."/>
      <w:numFmt w:val="decimal"/>
      <w:start w:val="3"/>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5"/>
    </w:lvl>
  </w:abstractNum>
  <w:abstractNum w:abstractNumId="20">
    <w:nsid w:val="1E7FF521"/>
    <w:multiLevelType w:val="hybridMultilevel"/>
    <w:lvl w:ilvl="0">
      <w:lvlJc w:val="left"/>
      <w:lvlText w:val="%1."/>
      <w:numFmt w:val="decimal"/>
      <w:start w:val="6"/>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7"/>
    </w:lvl>
  </w:abstractNum>
  <w:abstractNum w:abstractNumId="23">
    <w:nsid w:val="6CEAF087"/>
    <w:multiLevelType w:val="hybridMultilevel"/>
    <w:lvl w:ilvl="0">
      <w:lvlJc w:val="left"/>
      <w:lvlText w:val="%1."/>
      <w:numFmt w:val="decimal"/>
      <w:start w:val="9"/>
    </w:lvl>
  </w:abstractNum>
  <w:abstractNum w:abstractNumId="24">
    <w:nsid w:val="22221A70"/>
    <w:multiLevelType w:val="hybridMultilevel"/>
    <w:lvl w:ilvl="0">
      <w:lvlJc w:val="left"/>
      <w:lvlText w:val="%1."/>
      <w:numFmt w:val="decimal"/>
      <w:start w:val="10"/>
    </w:lvl>
  </w:abstractNum>
  <w:abstractNum w:abstractNumId="25">
    <w:nsid w:val="4516DDE9"/>
    <w:multiLevelType w:val="hybridMultilevel"/>
    <w:lvl w:ilvl="0">
      <w:lvlJc w:val="left"/>
      <w:lvlText w:val="%1."/>
      <w:numFmt w:val="decimal"/>
      <w:start w:val="11"/>
    </w:lvl>
  </w:abstractNum>
  <w:abstractNum w:abstractNumId="26">
    <w:nsid w:val="3006C83E"/>
    <w:multiLevelType w:val="hybridMultilevel"/>
    <w:lvl w:ilvl="0">
      <w:lvlJc w:val="left"/>
      <w:lvlText w:val="%1."/>
      <w:numFmt w:val="decimal"/>
      <w:start w:val="12"/>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2"/>
    </w:lvl>
  </w:abstractNum>
  <w:abstractNum w:abstractNumId="31">
    <w:nsid w:val="5072367"/>
    <w:multiLevelType w:val="hybridMultilevel"/>
    <w:lvl w:ilvl="0">
      <w:lvlJc w:val="left"/>
      <w:lvlText w:val="(%1)"/>
      <w:numFmt w:val="decimal"/>
      <w:start w:val="3"/>
    </w:lvl>
  </w:abstractNum>
  <w:abstractNum w:abstractNumId="32">
    <w:nsid w:val="3804823E"/>
    <w:multiLevelType w:val="hybridMultilevel"/>
    <w:lvl w:ilvl="0">
      <w:lvlJc w:val="left"/>
      <w:lvlText w:val="%1"/>
      <w:numFmt w:val="lowerLetter"/>
      <w:start w:val="1"/>
    </w:lvl>
    <w:lvl w:ilvl="1">
      <w:lvlJc w:val="left"/>
      <w:lvlText w:val="%2."/>
      <w:numFmt w:val="decimal"/>
      <w:start w:val="1"/>
    </w:lvl>
  </w:abstractNum>
  <w:abstractNum w:abstractNumId="33">
    <w:nsid w:val="77465F01"/>
    <w:multiLevelType w:val="hybridMultilevel"/>
    <w:lvl w:ilvl="0">
      <w:lvlJc w:val="left"/>
      <w:lvlText w:val="%1)"/>
      <w:numFmt w:val="lowerLetter"/>
      <w:start w:val="1"/>
    </w:lvl>
    <w:lvl w:ilvl="1">
      <w:lvlJc w:val="left"/>
      <w:lvlText w:val="%2."/>
      <w:numFmt w:val="decimal"/>
      <w:start w:val="5"/>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1"/>
    </w:lvl>
    <w:lvl w:ilvl="1">
      <w:lvlJc w:val="left"/>
      <w:lvlText w:val="%2."/>
      <w:numFmt w:val="decimal"/>
      <w:start w:val="1"/>
    </w:lvl>
  </w:abstractNum>
  <w:abstractNum w:abstractNumId="36">
    <w:nsid w:val="2463B9EA"/>
    <w:multiLevelType w:val="hybridMultilevel"/>
    <w:lvl w:ilvl="0">
      <w:lvlJc w:val="left"/>
      <w:lvlText w:val="%1)"/>
      <w:numFmt w:val="lowerLetter"/>
      <w:start w:val="1"/>
    </w:lvl>
    <w:lvl w:ilvl="1">
      <w:lvlJc w:val="left"/>
      <w:lvlText w:val="%2."/>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2019-12-05T08:06:10Z</dcterms:created>
  <dcterms:modified xsi:type="dcterms:W3CDTF">2019-12-05T08:06:10Z</dcterms:modified>
</cp:coreProperties>
</file>