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color w:val="auto"/>
        </w:rPr>
        <w:t>UNITED STATES</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SECURITIES AND EXCHANGE COMMISSION</w:t>
      </w: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5"/>
          </w:tcPr>
          <w:p>
            <w:pPr>
              <w:spacing w:after="0"/>
              <w:rPr>
                <w:sz w:val="20"/>
                <w:szCs w:val="20"/>
                <w:color w:val="auto"/>
              </w:rPr>
            </w:pPr>
            <w:r>
              <w:rPr>
                <w:rFonts w:ascii="Arial" w:cs="Arial" w:eastAsia="Arial" w:hAnsi="Arial"/>
                <w:sz w:val="18"/>
                <w:szCs w:val="18"/>
                <w:color w:val="auto"/>
              </w:rPr>
              <w:t>Date of Report (Date of Earliest Event Reported):</w:t>
            </w: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00" w:type="dxa"/>
            <w:vAlign w:val="bottom"/>
            <w:gridSpan w:val="4"/>
          </w:tcPr>
          <w:p>
            <w:pPr>
              <w:ind w:left="340"/>
              <w:spacing w:after="0"/>
              <w:rPr>
                <w:sz w:val="20"/>
                <w:szCs w:val="20"/>
                <w:color w:val="auto"/>
              </w:rPr>
            </w:pPr>
            <w:r>
              <w:rPr>
                <w:rFonts w:ascii="Arial" w:cs="Arial" w:eastAsia="Arial" w:hAnsi="Arial"/>
                <w:sz w:val="18"/>
                <w:szCs w:val="18"/>
                <w:color w:val="auto"/>
              </w:rPr>
              <w:t>February 12, 2020</w:t>
            </w:r>
          </w:p>
        </w:tc>
      </w:tr>
      <w:tr>
        <w:trPr>
          <w:trHeight w:val="738"/>
        </w:trPr>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40" w:type="dxa"/>
            <w:vAlign w:val="bottom"/>
            <w:gridSpan w:val="4"/>
          </w:tcPr>
          <w:p>
            <w:pPr>
              <w:jc w:val="center"/>
              <w:ind w:right="780"/>
              <w:spacing w:after="0"/>
              <w:rPr>
                <w:sz w:val="20"/>
                <w:szCs w:val="20"/>
                <w:color w:val="auto"/>
              </w:rPr>
            </w:pPr>
            <w:r>
              <w:rPr>
                <w:rFonts w:ascii="Arial" w:cs="Arial" w:eastAsia="Arial" w:hAnsi="Arial"/>
                <w:sz w:val="43"/>
                <w:szCs w:val="43"/>
                <w:color w:val="auto"/>
                <w:w w:val="92"/>
              </w:rPr>
              <w:t>Cohu, Inc.</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54"/>
        </w:trPr>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64"/>
        </w:trPr>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10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(Exact name of registrant as specified in its charter)</w:t>
            </w: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432"/>
        </w:trPr>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gridSpan w:val="3"/>
          </w:tcPr>
          <w:p>
            <w:pPr>
              <w:jc w:val="center"/>
              <w:ind w:right="910"/>
              <w:spacing w:after="0"/>
              <w:rPr>
                <w:sz w:val="20"/>
                <w:szCs w:val="20"/>
                <w:color w:val="auto"/>
              </w:rPr>
            </w:pPr>
            <w:r>
              <w:rPr>
                <w:rFonts w:ascii="Arial" w:cs="Arial" w:eastAsia="Arial" w:hAnsi="Arial"/>
                <w:sz w:val="18"/>
                <w:szCs w:val="18"/>
                <w:color w:val="auto"/>
                <w:w w:val="92"/>
              </w:rPr>
              <w:t>Delaware</w:t>
            </w:r>
          </w:p>
        </w:tc>
        <w:tc>
          <w:tcPr>
            <w:tcW w:w="1960" w:type="dxa"/>
            <w:vAlign w:val="bottom"/>
            <w:gridSpan w:val="2"/>
          </w:tcPr>
          <w:p>
            <w:pPr>
              <w:jc w:val="center"/>
              <w:ind w:left="768"/>
              <w:spacing w:after="0"/>
              <w:rPr>
                <w:sz w:val="20"/>
                <w:szCs w:val="20"/>
                <w:color w:val="auto"/>
              </w:rPr>
            </w:pPr>
            <w:r>
              <w:rPr>
                <w:rFonts w:ascii="Arial" w:cs="Arial" w:eastAsia="Arial" w:hAnsi="Arial"/>
                <w:sz w:val="18"/>
                <w:szCs w:val="18"/>
                <w:color w:val="auto"/>
                <w:w w:val="90"/>
              </w:rPr>
              <w:t>001-04298</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gridSpan w:val="4"/>
          </w:tcPr>
          <w:p>
            <w:pPr>
              <w:jc w:val="center"/>
              <w:ind w:left="430"/>
              <w:spacing w:after="0"/>
              <w:rPr>
                <w:sz w:val="20"/>
                <w:szCs w:val="20"/>
                <w:color w:val="auto"/>
              </w:rPr>
            </w:pPr>
            <w:r>
              <w:rPr>
                <w:rFonts w:ascii="Arial" w:cs="Arial" w:eastAsia="Arial" w:hAnsi="Arial"/>
                <w:sz w:val="18"/>
                <w:szCs w:val="18"/>
                <w:color w:val="auto"/>
                <w:w w:val="89"/>
              </w:rPr>
              <w:t>95-1934119</w:t>
            </w:r>
          </w:p>
        </w:tc>
      </w:tr>
      <w:tr>
        <w:trPr>
          <w:trHeight w:val="176"/>
        </w:trPr>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8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r>
      <w:tr>
        <w:trPr>
          <w:trHeight w:val="222"/>
        </w:trPr>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980" w:type="dxa"/>
            <w:vAlign w:val="bottom"/>
            <w:gridSpan w:val="3"/>
          </w:tcPr>
          <w:p>
            <w:pPr>
              <w:jc w:val="center"/>
              <w:ind w:right="910"/>
              <w:spacing w:after="0"/>
              <w:rPr>
                <w:sz w:val="20"/>
                <w:szCs w:val="20"/>
                <w:color w:val="auto"/>
              </w:rPr>
            </w:pPr>
            <w:r>
              <w:rPr>
                <w:rFonts w:ascii="Arial" w:cs="Arial" w:eastAsia="Arial" w:hAnsi="Arial"/>
                <w:sz w:val="18"/>
                <w:szCs w:val="18"/>
                <w:color w:val="auto"/>
                <w:w w:val="92"/>
              </w:rPr>
              <w:t>(State or other jurisdiction</w:t>
            </w:r>
          </w:p>
        </w:tc>
        <w:tc>
          <w:tcPr>
            <w:tcW w:w="920" w:type="dxa"/>
            <w:vAlign w:val="bottom"/>
          </w:tcPr>
          <w:p>
            <w:pPr>
              <w:spacing w:after="0"/>
              <w:rPr>
                <w:sz w:val="19"/>
                <w:szCs w:val="19"/>
                <w:color w:val="auto"/>
              </w:rPr>
            </w:pPr>
          </w:p>
        </w:tc>
        <w:tc>
          <w:tcPr>
            <w:tcW w:w="2720" w:type="dxa"/>
            <w:vAlign w:val="bottom"/>
            <w:gridSpan w:val="3"/>
          </w:tcPr>
          <w:p>
            <w:pPr>
              <w:jc w:val="center"/>
              <w:ind w:right="1700"/>
              <w:spacing w:after="0"/>
              <w:rPr>
                <w:sz w:val="20"/>
                <w:szCs w:val="20"/>
                <w:color w:val="auto"/>
              </w:rPr>
            </w:pPr>
            <w:r>
              <w:rPr>
                <w:rFonts w:ascii="Arial" w:cs="Arial" w:eastAsia="Arial" w:hAnsi="Arial"/>
                <w:sz w:val="18"/>
                <w:szCs w:val="18"/>
                <w:color w:val="auto"/>
                <w:w w:val="93"/>
              </w:rPr>
              <w:t>(Commission</w:t>
            </w:r>
          </w:p>
        </w:tc>
        <w:tc>
          <w:tcPr>
            <w:tcW w:w="540" w:type="dxa"/>
            <w:vAlign w:val="bottom"/>
          </w:tcPr>
          <w:p>
            <w:pPr>
              <w:spacing w:after="0"/>
              <w:rPr>
                <w:sz w:val="19"/>
                <w:szCs w:val="19"/>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80" w:type="dxa"/>
            <w:vAlign w:val="bottom"/>
            <w:gridSpan w:val="3"/>
          </w:tcPr>
          <w:p>
            <w:pPr>
              <w:jc w:val="center"/>
              <w:ind w:right="910"/>
              <w:spacing w:after="0"/>
              <w:rPr>
                <w:sz w:val="20"/>
                <w:szCs w:val="20"/>
                <w:color w:val="auto"/>
              </w:rPr>
            </w:pPr>
            <w:r>
              <w:rPr>
                <w:rFonts w:ascii="Arial" w:cs="Arial" w:eastAsia="Arial" w:hAnsi="Arial"/>
                <w:sz w:val="18"/>
                <w:szCs w:val="18"/>
                <w:color w:val="auto"/>
                <w:w w:val="93"/>
              </w:rPr>
              <w:t>of incorporation)</w:t>
            </w:r>
          </w:p>
        </w:tc>
        <w:tc>
          <w:tcPr>
            <w:tcW w:w="920" w:type="dxa"/>
            <w:vAlign w:val="bottom"/>
          </w:tcPr>
          <w:p>
            <w:pPr>
              <w:spacing w:after="0"/>
              <w:rPr>
                <w:sz w:val="20"/>
                <w:szCs w:val="20"/>
                <w:color w:val="auto"/>
              </w:rPr>
            </w:pPr>
          </w:p>
        </w:tc>
        <w:tc>
          <w:tcPr>
            <w:tcW w:w="2720" w:type="dxa"/>
            <w:vAlign w:val="bottom"/>
            <w:gridSpan w:val="3"/>
          </w:tcPr>
          <w:p>
            <w:pPr>
              <w:jc w:val="center"/>
              <w:ind w:right="1700"/>
              <w:spacing w:after="0"/>
              <w:rPr>
                <w:sz w:val="20"/>
                <w:szCs w:val="20"/>
                <w:color w:val="auto"/>
              </w:rPr>
            </w:pPr>
            <w:r>
              <w:rPr>
                <w:rFonts w:ascii="Arial" w:cs="Arial" w:eastAsia="Arial" w:hAnsi="Arial"/>
                <w:sz w:val="18"/>
                <w:szCs w:val="18"/>
                <w:color w:val="auto"/>
                <w:w w:val="94"/>
              </w:rPr>
              <w:t>File Number)</w:t>
            </w:r>
          </w:p>
        </w:tc>
        <w:tc>
          <w:tcPr>
            <w:tcW w:w="540" w:type="dxa"/>
            <w:vAlign w:val="bottom"/>
          </w:tcPr>
          <w:p>
            <w:pPr>
              <w:spacing w:after="0"/>
              <w:rPr>
                <w:sz w:val="20"/>
                <w:szCs w:val="20"/>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4280" w:type="dxa"/>
            <w:vAlign w:val="bottom"/>
            <w:gridSpan w:val="5"/>
          </w:tcPr>
          <w:p>
            <w:pPr>
              <w:jc w:val="center"/>
              <w:ind w:left="210"/>
              <w:spacing w:after="0"/>
              <w:rPr>
                <w:sz w:val="20"/>
                <w:szCs w:val="20"/>
                <w:color w:val="auto"/>
              </w:rPr>
            </w:pPr>
            <w:r>
              <w:rPr>
                <w:rFonts w:ascii="Arial" w:cs="Arial" w:eastAsia="Arial" w:hAnsi="Arial"/>
                <w:sz w:val="18"/>
                <w:szCs w:val="18"/>
                <w:color w:val="auto"/>
                <w:w w:val="91"/>
              </w:rPr>
              <w:t>12367 Crosthwaite Circle, Poway, California</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gridSpan w:val="3"/>
          </w:tcPr>
          <w:p>
            <w:pPr>
              <w:jc w:val="center"/>
              <w:ind w:left="730"/>
              <w:spacing w:after="0"/>
              <w:rPr>
                <w:sz w:val="20"/>
                <w:szCs w:val="20"/>
                <w:color w:val="auto"/>
              </w:rPr>
            </w:pPr>
            <w:r>
              <w:rPr>
                <w:rFonts w:ascii="Arial" w:cs="Arial" w:eastAsia="Arial" w:hAnsi="Arial"/>
                <w:sz w:val="18"/>
                <w:szCs w:val="18"/>
                <w:color w:val="auto"/>
                <w:w w:val="87"/>
              </w:rPr>
              <w:t>92064</w:t>
            </w:r>
          </w:p>
        </w:tc>
        <w:tc>
          <w:tcPr>
            <w:tcW w:w="280" w:type="dxa"/>
            <w:vAlign w:val="bottom"/>
          </w:tcPr>
          <w:p>
            <w:pPr>
              <w:spacing w:after="0"/>
              <w:rPr>
                <w:sz w:val="24"/>
                <w:szCs w:val="24"/>
                <w:color w:val="auto"/>
              </w:rPr>
            </w:pPr>
          </w:p>
        </w:tc>
      </w:tr>
      <w:tr>
        <w:trPr>
          <w:trHeight w:val="176"/>
        </w:trPr>
        <w:tc>
          <w:tcPr>
            <w:tcW w:w="760" w:type="dxa"/>
            <w:vAlign w:val="bottom"/>
          </w:tcPr>
          <w:p>
            <w:pPr>
              <w:spacing w:after="0"/>
              <w:rPr>
                <w:sz w:val="15"/>
                <w:szCs w:val="15"/>
                <w:color w:val="auto"/>
              </w:rPr>
            </w:pPr>
          </w:p>
        </w:tc>
        <w:tc>
          <w:tcPr>
            <w:tcW w:w="3060" w:type="dxa"/>
            <w:vAlign w:val="bottom"/>
            <w:tcBorders>
              <w:bottom w:val="single" w:sz="8" w:color="auto"/>
            </w:tcBorders>
            <w:gridSpan w:val="3"/>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237"/>
        </w:trPr>
        <w:tc>
          <w:tcPr>
            <w:tcW w:w="760" w:type="dxa"/>
            <w:vAlign w:val="bottom"/>
          </w:tcPr>
          <w:p>
            <w:pPr>
              <w:spacing w:after="0"/>
              <w:rPr>
                <w:sz w:val="20"/>
                <w:szCs w:val="20"/>
                <w:color w:val="auto"/>
              </w:rPr>
            </w:pPr>
          </w:p>
        </w:tc>
        <w:tc>
          <w:tcPr>
            <w:tcW w:w="3520" w:type="dxa"/>
            <w:vAlign w:val="bottom"/>
            <w:gridSpan w:val="4"/>
          </w:tcPr>
          <w:p>
            <w:pPr>
              <w:jc w:val="center"/>
              <w:ind w:right="370"/>
              <w:spacing w:after="0"/>
              <w:rPr>
                <w:sz w:val="20"/>
                <w:szCs w:val="20"/>
                <w:color w:val="auto"/>
              </w:rPr>
            </w:pPr>
            <w:r>
              <w:rPr>
                <w:rFonts w:ascii="Arial" w:cs="Arial" w:eastAsia="Arial" w:hAnsi="Arial"/>
                <w:sz w:val="18"/>
                <w:szCs w:val="18"/>
                <w:color w:val="auto"/>
                <w:w w:val="92"/>
              </w:rPr>
              <w:t>(Address of principal executive offices)</w:t>
            </w: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(Zip Code)</w:t>
            </w:r>
          </w:p>
        </w:tc>
      </w:tr>
      <w:tr>
        <w:trPr>
          <w:trHeight w:val="459"/>
        </w:trPr>
        <w:tc>
          <w:tcPr>
            <w:tcW w:w="4280" w:type="dxa"/>
            <w:vAlign w:val="bottom"/>
            <w:gridSpan w:val="5"/>
          </w:tcPr>
          <w:p>
            <w:pPr>
              <w:jc w:val="center"/>
              <w:ind w:left="210"/>
              <w:spacing w:after="0"/>
              <w:rPr>
                <w:sz w:val="20"/>
                <w:szCs w:val="20"/>
                <w:color w:val="auto"/>
              </w:rPr>
            </w:pPr>
            <w:r>
              <w:rPr>
                <w:rFonts w:ascii="Arial" w:cs="Arial" w:eastAsia="Arial" w:hAnsi="Arial"/>
                <w:sz w:val="18"/>
                <w:szCs w:val="18"/>
                <w:color w:val="auto"/>
                <w:w w:val="89"/>
              </w:rPr>
              <w:t>Registrant’s telephone number, including area code:</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gridSpan w:val="4"/>
          </w:tcPr>
          <w:p>
            <w:pPr>
              <w:jc w:val="center"/>
              <w:ind w:left="430"/>
              <w:spacing w:after="0"/>
              <w:rPr>
                <w:sz w:val="20"/>
                <w:szCs w:val="20"/>
                <w:color w:val="auto"/>
              </w:rPr>
            </w:pPr>
            <w:r>
              <w:rPr>
                <w:rFonts w:ascii="Arial" w:cs="Arial" w:eastAsia="Arial" w:hAnsi="Arial"/>
                <w:sz w:val="18"/>
                <w:szCs w:val="18"/>
                <w:color w:val="auto"/>
                <w:w w:val="90"/>
              </w:rPr>
              <w:t>858-848-8100</w:t>
            </w:r>
          </w:p>
        </w:tc>
      </w:tr>
      <w:tr>
        <w:trPr>
          <w:trHeight w:val="432"/>
        </w:trPr>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40" w:type="dxa"/>
            <w:vAlign w:val="bottom"/>
            <w:gridSpan w:val="4"/>
          </w:tcPr>
          <w:p>
            <w:pPr>
              <w:jc w:val="center"/>
              <w:ind w:right="780"/>
              <w:spacing w:after="0"/>
              <w:rPr>
                <w:sz w:val="20"/>
                <w:szCs w:val="20"/>
                <w:color w:val="auto"/>
              </w:rPr>
            </w:pPr>
            <w:r>
              <w:rPr>
                <w:rFonts w:ascii="Arial" w:cs="Arial" w:eastAsia="Arial" w:hAnsi="Arial"/>
                <w:sz w:val="18"/>
                <w:szCs w:val="18"/>
                <w:color w:val="auto"/>
                <w:w w:val="94"/>
              </w:rPr>
              <w:t>Not Applicable</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2171065</wp:posOffset>
            </wp:positionH>
            <wp:positionV relativeFrom="paragraph">
              <wp:posOffset>111760</wp:posOffset>
            </wp:positionV>
            <wp:extent cx="2914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392"/>
        </w:trPr>
        <w:tc>
          <w:tcPr>
            <w:tcW w:w="16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1560" w:type="dxa"/>
            <w:vAlign w:val="bottom"/>
          </w:tcPr>
          <w:p>
            <w:pPr>
              <w:spacing w:after="0"/>
              <w:rPr>
                <w:sz w:val="24"/>
                <w:szCs w:val="24"/>
                <w:color w:val="auto"/>
              </w:rPr>
            </w:pPr>
          </w:p>
        </w:tc>
        <w:tc>
          <w:tcPr>
            <w:tcW w:w="244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344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Name of exchange on which registered</w:t>
            </w:r>
          </w:p>
        </w:tc>
      </w:tr>
      <w:tr>
        <w:trPr>
          <w:trHeight w:val="20"/>
        </w:trPr>
        <w:tc>
          <w:tcPr>
            <w:tcW w:w="16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37"/>
        </w:trPr>
        <w:tc>
          <w:tcPr>
            <w:tcW w:w="460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Common Stock, $1.00 par value</w:t>
            </w:r>
          </w:p>
        </w:tc>
        <w:tc>
          <w:tcPr>
            <w:tcW w:w="440" w:type="dxa"/>
            <w:vAlign w:val="bottom"/>
          </w:tcPr>
          <w:p>
            <w:pPr>
              <w:spacing w:after="0"/>
              <w:rPr>
                <w:sz w:val="20"/>
                <w:szCs w:val="20"/>
                <w:color w:val="auto"/>
              </w:rPr>
            </w:pPr>
          </w:p>
        </w:tc>
        <w:tc>
          <w:tcPr>
            <w:tcW w:w="2000" w:type="dxa"/>
            <w:vAlign w:val="bottom"/>
            <w:gridSpan w:val="2"/>
          </w:tcPr>
          <w:p>
            <w:pPr>
              <w:jc w:val="center"/>
              <w:ind w:right="640"/>
              <w:spacing w:after="0"/>
              <w:rPr>
                <w:sz w:val="20"/>
                <w:szCs w:val="20"/>
                <w:color w:val="auto"/>
              </w:rPr>
            </w:pPr>
            <w:r>
              <w:rPr>
                <w:rFonts w:ascii="Arial" w:cs="Arial" w:eastAsia="Arial" w:hAnsi="Arial"/>
                <w:sz w:val="18"/>
                <w:szCs w:val="18"/>
                <w:color w:val="auto"/>
                <w:w w:val="98"/>
              </w:rPr>
              <w:t>COHU</w:t>
            </w:r>
          </w:p>
        </w:tc>
        <w:tc>
          <w:tcPr>
            <w:tcW w:w="62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4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On February 12, 2020, Cohu, Inc. (the “Company”) issued a press release regarding its financial results for the fourth quarter and full year ended December 28, 2019. The Company’s press release is attached as Exhibit 99.1 to this Current Report on Form 8-K and incorporated by reference herein.</w:t>
      </w:r>
    </w:p>
    <w:p>
      <w:pPr>
        <w:spacing w:after="0" w:line="12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financial results determined in accordance with generally accepted accounting principles (“GAAP”), this press release refers to financial information determined by methods other than in accordance with GAAP, including non-GAAP Gross Margin, Income and Income (adjusted earnings) per share, Adjusted EBITDA, and Operating Expense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including favorable/unfavorable lease adjustments, restructuring costs, manufacturing transition and severance costs, acquisition-related costs and associated professional fees, fair value adjustment to contingent consideration, reduction of indemnification receivable, depreciation of purchase accounting adjustments to property, plant and equipment and purchase accounting inventory step-up included in cost of sales. Reconciliations of GAAP to non-GAAP amounts for the periods presented herein are provided in schedules accompanying this release and should be considered together with the Condensed Consolidated Statements of Operations. With respect to forward looking non-GAAP figures, we are unable to provide without unreasonable efforts, at this time, a GAAP to non-GAAP reconciliation of any forward-looking figures due to their inherent uncertainty.</w:t>
      </w:r>
    </w:p>
    <w:p>
      <w:pPr>
        <w:spacing w:after="0" w:line="18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Certain statements contained in this release and accompanying materials may be considered forward-looking statements within the meaning of the U.S. Private Securities Litigation Reform Act of 1995, including statements regarding integration and cost synergy savings, timing and factory closings; additional cost savings and expense reductions; new products and solutions; 5G, industrial and automotive growth; cross-selling opportunities; mobility sales growth in 2020; strength in data center, cloud and AI segments; automotive segment driven by ADAS and EV growth; 5G-driven tester order growth; sales growth for high-end digital device test; increased contactor to handler attach rate; other incremental sales opportunities; growth through selling complete solutions; semiconductor and semi-test market conditions and prospects for 2020; business model for FY’20 and mid-term model; % of incremental revenue expected to fall to operating income; the company’s first quarter 2020 sales forecast, guidance, sales mix, non-GAAP operating expenses, gross margin, adjusted EBITDA and effective tax rate, and cash and shares outstanding; forecasted first quarter risks and impact of novel coronavirus and ERP implementation; second quarter 2020 revenue forecast; minimum cash required to operate business;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revenue recognition impacts due to ASC 606;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trade wars and Huawei export restrictions; retention of key staff; health epidemics such as the novel coronavirus; ERP system implementation issues particularly as Cohu launches a new ERP system in first quarter 2020; the seasonal, volatile and unpredictable nature of capital expenditures by semiconductor manufacturers and the 2019 significantly weakened demand in this market; ongoing weakness in Greater China market; rapid technological change; and significant risks associated with the Xcerra acquisition including but not limited to (i) the ability of Cohu and Xcerra to integrate their businesses successfully and to achieve anticipated synergies and cost savings, (ii) the possibility that other anticipated benefits of the acquisition will not be realized, (iii) the possibility that restructuring charges will significantly exceed estimates, (iv) potential adverse reactions or changes to relationships with customers, employees, suppliers or other parties resulting from the acquisition, (v) potential disruptions, expenses and lost revenue associated with the transition to direct sales in China and Taiwan; (vi) the discovery of liabilities, product return issues or deficiencies associated with Xcerra that were not identified in advance,</w:t>
      </w:r>
    </w:p>
    <w:p>
      <w:pPr>
        <w:spacing w:after="0" w:line="12" w:lineRule="exact"/>
        <w:rPr>
          <w:sz w:val="20"/>
          <w:szCs w:val="20"/>
          <w:color w:val="auto"/>
        </w:rPr>
      </w:pPr>
    </w:p>
    <w:p>
      <w:pPr>
        <w:ind w:right="20" w:firstLine="8"/>
        <w:spacing w:after="0" w:line="268" w:lineRule="auto"/>
        <w:tabs>
          <w:tab w:leader="none" w:pos="355" w:val="left"/>
        </w:tabs>
        <w:numPr>
          <w:ilvl w:val="0"/>
          <w:numId w:val="2"/>
        </w:numPr>
        <w:rPr>
          <w:rFonts w:ascii="Arial" w:cs="Arial" w:eastAsia="Arial" w:hAnsi="Arial"/>
          <w:sz w:val="17"/>
          <w:szCs w:val="17"/>
          <w:color w:val="auto"/>
        </w:rPr>
      </w:pPr>
      <w:r>
        <w:rPr>
          <w:rFonts w:ascii="Arial" w:cs="Arial" w:eastAsia="Arial" w:hAnsi="Arial"/>
          <w:sz w:val="17"/>
          <w:szCs w:val="17"/>
          <w:color w:val="auto"/>
        </w:rPr>
        <w:t>potential failures to maintain adequate internal controls over financial reporting given the significant increase in size, number of employees, global operations and complexity of Cohu’s business, (viii) mandatory ongoing impairment evaluation of goodwill and other intangibles whereby Cohu could be required to write off some or all of this goodwill and other intangibles, (ix) the adverse impact to Cohu’s operating results and potential inability to pay cash dividends due to interest expense on the financing debt, rising interest rates, changes to LIBOR in 2021, and any restrictions on operations related to such debt, and (x) continued availability of capital and financing and rating agency downgrade actions, and limited market access given our high debt levels. 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For press releases and other information of interest to investors, please visit Cohu’s website at www.cohu.com.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p>
      <w:pPr>
        <w:ind w:right="8899" w:firstLine="8"/>
        <w:spacing w:after="0" w:line="530"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Exhibits Exhibit No. - 99.1</w:t>
      </w:r>
    </w:p>
    <w:p>
      <w:pPr>
        <w:spacing w:after="0"/>
        <w:rPr>
          <w:rFonts w:ascii="Arial" w:cs="Arial" w:eastAsia="Arial" w:hAnsi="Arial"/>
          <w:sz w:val="16"/>
          <w:szCs w:val="16"/>
          <w:color w:val="auto"/>
        </w:rPr>
      </w:pPr>
      <w:r>
        <w:rPr>
          <w:rFonts w:ascii="Arial" w:cs="Arial" w:eastAsia="Arial" w:hAnsi="Arial"/>
          <w:sz w:val="16"/>
          <w:szCs w:val="16"/>
          <w:color w:val="auto"/>
        </w:rPr>
        <w:t xml:space="preserve">Description – </w:t>
      </w:r>
      <w:hyperlink w:anchor="page6">
        <w:r>
          <w:rPr>
            <w:rFonts w:ascii="Arial" w:cs="Arial" w:eastAsia="Arial" w:hAnsi="Arial"/>
            <w:sz w:val="16"/>
            <w:szCs w:val="16"/>
            <w:u w:val="single" w:color="auto"/>
            <w:color w:val="0000EE"/>
          </w:rPr>
          <w:t>Fourth Quarter and Full Year 2019 Earnings Release, dated February 12, 2020, of Cohu,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6520" w:type="dxa"/>
            <w:vAlign w:val="bottom"/>
            <w:gridSpan w:val="2"/>
          </w:tcPr>
          <w:p>
            <w:pPr>
              <w:ind w:left="2200"/>
              <w:spacing w:after="0"/>
              <w:rPr>
                <w:sz w:val="20"/>
                <w:szCs w:val="20"/>
                <w:color w:val="auto"/>
              </w:rPr>
            </w:pPr>
            <w:r>
              <w:rPr>
                <w:rFonts w:ascii="Arial" w:cs="Arial" w:eastAsia="Arial" w:hAnsi="Arial"/>
                <w:sz w:val="18"/>
                <w:szCs w:val="18"/>
                <w:color w:val="auto"/>
              </w:rPr>
              <w:t>Cohu, Inc.</w:t>
            </w:r>
          </w:p>
        </w:tc>
        <w:tc>
          <w:tcPr>
            <w:tcW w:w="136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i w:val="1"/>
                <w:iCs w:val="1"/>
                <w:color w:val="auto"/>
              </w:rPr>
              <w:t>February 13, 2020</w:t>
            </w:r>
          </w:p>
        </w:tc>
        <w:tc>
          <w:tcPr>
            <w:tcW w:w="6520" w:type="dxa"/>
            <w:vAlign w:val="bottom"/>
            <w:gridSpan w:val="2"/>
          </w:tcPr>
          <w:p>
            <w:pPr>
              <w:ind w:left="2180"/>
              <w:spacing w:after="0"/>
              <w:rPr>
                <w:sz w:val="20"/>
                <w:szCs w:val="20"/>
                <w:color w:val="auto"/>
              </w:rPr>
            </w:pPr>
            <w:r>
              <w:rPr>
                <w:rFonts w:ascii="Arial" w:cs="Arial" w:eastAsia="Arial" w:hAnsi="Arial"/>
                <w:sz w:val="18"/>
                <w:szCs w:val="18"/>
                <w:i w:val="1"/>
                <w:iCs w:val="1"/>
                <w:color w:val="auto"/>
              </w:rPr>
              <w:t>By:   /s/ Jeffrey D. Jones</w:t>
            </w:r>
          </w:p>
        </w:tc>
        <w:tc>
          <w:tcPr>
            <w:tcW w:w="136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Name: Jeffrey D. Jones</w:t>
            </w:r>
          </w:p>
        </w:tc>
        <w:tc>
          <w:tcPr>
            <w:tcW w:w="136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6520" w:type="dxa"/>
            <w:vAlign w:val="bottom"/>
            <w:gridSpan w:val="2"/>
          </w:tcPr>
          <w:p>
            <w:pPr>
              <w:ind w:left="2540"/>
              <w:spacing w:after="0"/>
              <w:rPr>
                <w:sz w:val="20"/>
                <w:szCs w:val="20"/>
                <w:color w:val="auto"/>
              </w:rPr>
            </w:pPr>
            <w:r>
              <w:rPr>
                <w:rFonts w:ascii="Arial" w:cs="Arial" w:eastAsia="Arial" w:hAnsi="Arial"/>
                <w:sz w:val="18"/>
                <w:szCs w:val="18"/>
                <w:i w:val="1"/>
                <w:iCs w:val="1"/>
                <w:color w:val="auto"/>
              </w:rPr>
              <w:t>Title: VP Finance and Chief Financial Officer</w:t>
            </w:r>
          </w:p>
        </w:tc>
        <w:tc>
          <w:tcPr>
            <w:tcW w:w="1360" w:type="dxa"/>
            <w:vAlign w:val="bottom"/>
          </w:tcPr>
          <w:p>
            <w:pPr>
              <w:spacing w:after="0"/>
              <w:rPr>
                <w:sz w:val="20"/>
                <w:szCs w:val="20"/>
                <w:color w:val="auto"/>
              </w:rPr>
            </w:pPr>
          </w:p>
        </w:tc>
      </w:tr>
      <w:tr>
        <w:trPr>
          <w:trHeight w:val="574"/>
        </w:trPr>
        <w:tc>
          <w:tcPr>
            <w:tcW w:w="35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780" w:type="dxa"/>
            <w:vAlign w:val="bottom"/>
          </w:tcPr>
          <w:p>
            <w:pPr>
              <w:ind w:left="2580"/>
              <w:spacing w:after="0"/>
              <w:rPr>
                <w:sz w:val="20"/>
                <w:szCs w:val="20"/>
                <w:color w:val="auto"/>
              </w:rPr>
            </w:pPr>
            <w:r>
              <w:rPr>
                <w:rFonts w:ascii="Arial" w:cs="Arial" w:eastAsia="Arial" w:hAnsi="Arial"/>
                <w:sz w:val="18"/>
                <w:szCs w:val="18"/>
                <w:color w:val="auto"/>
              </w:rPr>
              <w:t>Exhibit Index</w:t>
            </w:r>
          </w:p>
        </w:tc>
      </w:tr>
      <w:tr>
        <w:trPr>
          <w:trHeight w:val="432"/>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40" w:type="dxa"/>
            <w:vAlign w:val="bottom"/>
          </w:tcPr>
          <w:p>
            <w:pPr>
              <w:spacing w:after="0"/>
              <w:rPr>
                <w:sz w:val="24"/>
                <w:szCs w:val="24"/>
                <w:color w:val="auto"/>
              </w:rPr>
            </w:pPr>
          </w:p>
        </w:tc>
        <w:tc>
          <w:tcPr>
            <w:tcW w:w="8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30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Description – Fourth Quarter and Full Year 2019 Earnings Release, dated February 12, 2020, of Cohu, Inc.</w:t>
            </w:r>
          </w:p>
        </w:tc>
      </w:tr>
    </w:tbl>
    <w:p>
      <w:pPr>
        <w:sectPr>
          <w:pgSz w:w="11900" w:h="16838" w:orient="portrait"/>
          <w:cols w:equalWidth="0" w:num="1">
            <w:col w:w="11420"/>
          </w:cols>
          <w:pgMar w:left="240" w:top="58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154940</wp:posOffset>
            </wp:positionV>
            <wp:extent cx="3087370" cy="1680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7370"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POWAY, CA 92064</w:t>
      </w:r>
    </w:p>
    <w:p>
      <w:pPr>
        <w:spacing w:after="0" w:line="9"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FAX (858) 848-8185</w:t>
      </w:r>
    </w:p>
    <w:p>
      <w:pPr>
        <w:spacing w:after="0" w:line="9"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PHONE (858) 858-8100</w:t>
      </w:r>
    </w:p>
    <w:p>
      <w:pPr>
        <w:spacing w:after="0" w:line="9"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www.cohu.com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Fourth Quarter and Full Year 2019 Operating Results</w:t>
      </w:r>
    </w:p>
    <w:p>
      <w:pPr>
        <w:spacing w:after="0" w:line="229" w:lineRule="exact"/>
        <w:rPr>
          <w:sz w:val="20"/>
          <w:szCs w:val="20"/>
          <w:color w:val="auto"/>
        </w:rPr>
      </w:pPr>
    </w:p>
    <w:p>
      <w:pPr>
        <w:ind w:left="580" w:hanging="329"/>
        <w:spacing w:after="0"/>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Fourth consecutive year of revenue growth; 4-year CAGR 21%</w:t>
      </w:r>
    </w:p>
    <w:p>
      <w:pPr>
        <w:spacing w:after="0" w:line="225" w:lineRule="exact"/>
        <w:rPr>
          <w:rFonts w:ascii="Arial" w:cs="Arial" w:eastAsia="Arial" w:hAnsi="Arial"/>
          <w:sz w:val="18"/>
          <w:szCs w:val="18"/>
          <w:i w:val="1"/>
          <w:iCs w:val="1"/>
          <w:color w:val="auto"/>
        </w:rPr>
      </w:pPr>
    </w:p>
    <w:p>
      <w:pPr>
        <w:ind w:left="580" w:hanging="329"/>
        <w:spacing w:after="0"/>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Delivering $40 million of annual run-rate cost synergies from the Xcerra integration</w:t>
      </w:r>
    </w:p>
    <w:p>
      <w:pPr>
        <w:spacing w:after="0" w:line="225" w:lineRule="exact"/>
        <w:rPr>
          <w:rFonts w:ascii="Arial" w:cs="Arial" w:eastAsia="Arial" w:hAnsi="Arial"/>
          <w:sz w:val="18"/>
          <w:szCs w:val="18"/>
          <w:i w:val="1"/>
          <w:iCs w:val="1"/>
          <w:color w:val="auto"/>
        </w:rPr>
      </w:pPr>
    </w:p>
    <w:p>
      <w:pPr>
        <w:ind w:left="580" w:hanging="329"/>
        <w:spacing w:after="0"/>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5G-driven and automotive semiconductor test orders improved in late Q4</w:t>
      </w:r>
    </w:p>
    <w:p>
      <w:pPr>
        <w:spacing w:after="0" w:line="225"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POWAY, Calif., February 12, 2020 -- Cohu, Inc. (NASDAQ: COHU), a global leader in back-end semiconductor equipment and services, today reported fiscal 2019 fourth quarter net sales of $142.0 million and a GAAP loss of $16.3 million or $0.39 per share. Net sales for full year 2019 were $583.3 million and GAAP loss was $69.0 million or $1.68 per share.</w:t>
      </w:r>
      <w:r>
        <w:rPr>
          <w:rFonts w:ascii="Arial" w:cs="Arial" w:eastAsia="Arial" w:hAnsi="Arial"/>
          <w:sz w:val="30"/>
          <w:szCs w:val="30"/>
          <w:color w:val="auto"/>
          <w:vertAlign w:val="superscript"/>
        </w:rPr>
        <w:t>(1)</w:t>
      </w:r>
    </w:p>
    <w:p>
      <w:pPr>
        <w:spacing w:after="0" w:line="54"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color w:val="auto"/>
        </w:rPr>
        <w:t xml:space="preserve">The Company also reported non-GAAP results, with fourth quarter 2019 loss of $0.5 million or $0.01 per share and income of $3.8 million or $0.09 per share for full year 2019. </w:t>
      </w:r>
      <w:r>
        <w:rPr>
          <w:rFonts w:ascii="Arial" w:cs="Arial" w:eastAsia="Arial" w:hAnsi="Arial"/>
          <w:sz w:val="30"/>
          <w:szCs w:val="30"/>
          <w:color w:val="auto"/>
          <w:vertAlign w:val="superscript"/>
        </w:rPr>
        <w:t>(1)</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472"/>
        </w:trPr>
        <w:tc>
          <w:tcPr>
            <w:tcW w:w="3700" w:type="dxa"/>
            <w:vAlign w:val="bottom"/>
            <w:tcBorders>
              <w:top w:val="single" w:sz="8" w:color="auto"/>
              <w:left w:val="single" w:sz="8" w:color="auto"/>
            </w:tcBorders>
          </w:tcPr>
          <w:p>
            <w:pPr>
              <w:ind w:left="260"/>
              <w:spacing w:after="0"/>
              <w:rPr>
                <w:sz w:val="20"/>
                <w:szCs w:val="20"/>
                <w:color w:val="auto"/>
              </w:rPr>
            </w:pPr>
            <w:r>
              <w:rPr>
                <w:rFonts w:ascii="Arial" w:cs="Arial" w:eastAsia="Arial" w:hAnsi="Arial"/>
                <w:sz w:val="18"/>
                <w:szCs w:val="18"/>
                <w:b w:val="1"/>
                <w:bCs w:val="1"/>
                <w:color w:val="auto"/>
              </w:rPr>
              <w:t xml:space="preserve">GAAP Results </w:t>
            </w:r>
            <w:r>
              <w:rPr>
                <w:rFonts w:ascii="Arial" w:cs="Arial" w:eastAsia="Arial" w:hAnsi="Arial"/>
                <w:sz w:val="30"/>
                <w:szCs w:val="30"/>
                <w:b w:val="1"/>
                <w:bCs w:val="1"/>
                <w:color w:val="auto"/>
                <w:vertAlign w:val="superscript"/>
              </w:rPr>
              <w:t>(1)</w:t>
            </w: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6"/>
              </w:rPr>
              <w:t>Q4 FY</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6"/>
              </w:rPr>
              <w:t>Q3 FY</w:t>
            </w: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9"/>
              </w:rPr>
              <w:t>Q4 FY</w:t>
            </w: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2"/>
              </w:rPr>
              <w:t>12 Months</w:t>
            </w: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right w:val="single" w:sz="8" w:color="auto"/>
            </w:tcBorders>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2"/>
              </w:rPr>
              <w:t>12 Months</w:t>
            </w:r>
          </w:p>
        </w:tc>
        <w:tc>
          <w:tcPr>
            <w:tcW w:w="0" w:type="dxa"/>
            <w:vAlign w:val="bottom"/>
          </w:tcPr>
          <w:p>
            <w:pPr>
              <w:spacing w:after="0"/>
              <w:rPr>
                <w:sz w:val="1"/>
                <w:szCs w:val="1"/>
                <w:color w:val="auto"/>
              </w:rPr>
            </w:pPr>
          </w:p>
        </w:tc>
      </w:tr>
      <w:tr>
        <w:trPr>
          <w:trHeight w:val="212"/>
        </w:trPr>
        <w:tc>
          <w:tcPr>
            <w:tcW w:w="3700" w:type="dxa"/>
            <w:vAlign w:val="bottom"/>
            <w:tcBorders>
              <w:left w:val="single" w:sz="8" w:color="auto"/>
            </w:tcBorders>
          </w:tcPr>
          <w:p>
            <w:pPr>
              <w:ind w:left="260"/>
              <w:spacing w:after="0"/>
              <w:rPr>
                <w:sz w:val="20"/>
                <w:szCs w:val="20"/>
                <w:color w:val="auto"/>
              </w:rPr>
            </w:pPr>
            <w:r>
              <w:rPr>
                <w:rFonts w:ascii="Arial" w:cs="Arial" w:eastAsia="Arial" w:hAnsi="Arial"/>
                <w:sz w:val="18"/>
                <w:szCs w:val="18"/>
                <w:i w:val="1"/>
                <w:iCs w:val="1"/>
                <w:color w:val="auto"/>
              </w:rPr>
              <w:t>(in millions, except per share amounts)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Borders>
              <w:lef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Net sales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tcPr>
          <w:p>
            <w:pPr>
              <w:ind w:left="500"/>
              <w:spacing w:after="0"/>
              <w:rPr>
                <w:sz w:val="20"/>
                <w:szCs w:val="20"/>
                <w:color w:val="auto"/>
              </w:rPr>
            </w:pPr>
            <w:r>
              <w:rPr>
                <w:rFonts w:ascii="Arial" w:cs="Arial" w:eastAsia="Arial" w:hAnsi="Arial"/>
                <w:sz w:val="18"/>
                <w:szCs w:val="18"/>
                <w:color w:val="auto"/>
              </w:rPr>
              <w:t>Loss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Loss per share</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700" w:type="dxa"/>
            <w:vAlign w:val="bottom"/>
            <w:tcBorders>
              <w:left w:val="single" w:sz="8" w:color="auto"/>
            </w:tcBorders>
          </w:tcPr>
          <w:p>
            <w:pPr>
              <w:ind w:left="260"/>
              <w:spacing w:after="0"/>
              <w:rPr>
                <w:sz w:val="20"/>
                <w:szCs w:val="20"/>
                <w:color w:val="auto"/>
              </w:rPr>
            </w:pPr>
            <w:r>
              <w:rPr>
                <w:rFonts w:ascii="Arial" w:cs="Arial" w:eastAsia="Arial" w:hAnsi="Arial"/>
                <w:sz w:val="18"/>
                <w:szCs w:val="18"/>
                <w:b w:val="1"/>
                <w:bCs w:val="1"/>
                <w:color w:val="auto"/>
              </w:rPr>
              <w:t xml:space="preserve">Non-GAAP Results </w:t>
            </w:r>
            <w:r>
              <w:rPr>
                <w:rFonts w:ascii="Arial" w:cs="Arial" w:eastAsia="Arial" w:hAnsi="Arial"/>
                <w:sz w:val="30"/>
                <w:szCs w:val="30"/>
                <w:b w:val="1"/>
                <w:bCs w:val="1"/>
                <w:color w:val="auto"/>
                <w:vertAlign w:val="superscript"/>
              </w:rPr>
              <w:t>(1)</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6"/>
              </w:rPr>
              <w:t>Q4 FY</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6"/>
              </w:rPr>
              <w:t>Q3 FY</w:t>
            </w:r>
          </w:p>
        </w:tc>
        <w:tc>
          <w:tcPr>
            <w:tcW w:w="160" w:type="dxa"/>
            <w:vAlign w:val="bottom"/>
          </w:tcPr>
          <w:p>
            <w:pPr>
              <w:spacing w:after="0"/>
              <w:rPr>
                <w:sz w:val="24"/>
                <w:szCs w:val="24"/>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9"/>
              </w:rPr>
              <w:t>Q4 FY</w:t>
            </w:r>
          </w:p>
        </w:tc>
        <w:tc>
          <w:tcPr>
            <w:tcW w:w="100" w:type="dxa"/>
            <w:vAlign w:val="bottom"/>
          </w:tcPr>
          <w:p>
            <w:pPr>
              <w:spacing w:after="0"/>
              <w:rPr>
                <w:sz w:val="24"/>
                <w:szCs w:val="2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2"/>
              </w:rPr>
              <w:t>12 Months</w:t>
            </w:r>
          </w:p>
        </w:tc>
        <w:tc>
          <w:tcPr>
            <w:tcW w:w="100" w:type="dxa"/>
            <w:vAlign w:val="bottom"/>
          </w:tcPr>
          <w:p>
            <w:pPr>
              <w:spacing w:after="0"/>
              <w:rPr>
                <w:sz w:val="24"/>
                <w:szCs w:val="24"/>
                <w:color w:val="auto"/>
              </w:rPr>
            </w:pPr>
          </w:p>
        </w:tc>
        <w:tc>
          <w:tcPr>
            <w:tcW w:w="1080" w:type="dxa"/>
            <w:vAlign w:val="bottom"/>
            <w:tcBorders>
              <w:right w:val="single" w:sz="8" w:color="auto"/>
            </w:tcBorders>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2"/>
              </w:rPr>
              <w:t>12 Months</w:t>
            </w:r>
          </w:p>
        </w:tc>
        <w:tc>
          <w:tcPr>
            <w:tcW w:w="0" w:type="dxa"/>
            <w:vAlign w:val="bottom"/>
          </w:tcPr>
          <w:p>
            <w:pPr>
              <w:spacing w:after="0"/>
              <w:rPr>
                <w:sz w:val="1"/>
                <w:szCs w:val="1"/>
                <w:color w:val="auto"/>
              </w:rPr>
            </w:pPr>
          </w:p>
        </w:tc>
      </w:tr>
      <w:tr>
        <w:trPr>
          <w:trHeight w:val="212"/>
        </w:trPr>
        <w:tc>
          <w:tcPr>
            <w:tcW w:w="3700" w:type="dxa"/>
            <w:vAlign w:val="bottom"/>
            <w:tcBorders>
              <w:left w:val="single" w:sz="8" w:color="auto"/>
            </w:tcBorders>
          </w:tcPr>
          <w:p>
            <w:pPr>
              <w:ind w:left="260"/>
              <w:spacing w:after="0"/>
              <w:rPr>
                <w:sz w:val="20"/>
                <w:szCs w:val="20"/>
                <w:color w:val="auto"/>
              </w:rPr>
            </w:pPr>
            <w:r>
              <w:rPr>
                <w:rFonts w:ascii="Arial" w:cs="Arial" w:eastAsia="Arial" w:hAnsi="Arial"/>
                <w:sz w:val="18"/>
                <w:szCs w:val="18"/>
                <w:i w:val="1"/>
                <w:iCs w:val="1"/>
                <w:color w:val="auto"/>
              </w:rPr>
              <w:t>(in millions, except per share amounts)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Borders>
              <w:lef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Income (loss)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0"/>
        </w:trPr>
        <w:tc>
          <w:tcPr>
            <w:tcW w:w="3700" w:type="dxa"/>
            <w:vAlign w:val="bottom"/>
            <w:tcBorders>
              <w:left w:val="single" w:sz="8" w:color="auto"/>
            </w:tcBorders>
          </w:tcPr>
          <w:p>
            <w:pPr>
              <w:ind w:left="500"/>
              <w:spacing w:after="0"/>
              <w:rPr>
                <w:sz w:val="20"/>
                <w:szCs w:val="20"/>
                <w:color w:val="auto"/>
              </w:rPr>
            </w:pPr>
            <w:r>
              <w:rPr>
                <w:rFonts w:ascii="Arial" w:cs="Arial" w:eastAsia="Arial" w:hAnsi="Arial"/>
                <w:sz w:val="18"/>
                <w:szCs w:val="18"/>
                <w:color w:val="auto"/>
              </w:rPr>
              <w:t>Income (loss) per share</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right="60" w:hanging="250"/>
        <w:spacing w:after="0" w:line="277"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8"/>
          <w:szCs w:val="18"/>
          <w:color w:val="auto"/>
        </w:rPr>
        <w:t>All amounts presented are from continuing operations. Results for the fourth quarter of 2018 and all 2019 amounts include Xcerra Corporation acquired on October 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cash and investments at year-end 2019 were $156.1 million.</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accelerated the integration of Xcerra amid a challenging market environment in 2019. Fourth quarter orders gained momentum, primarily driven by mobility and a late quarter uptick in automotive,” said Cohu President and CEO Luis Müller. “We remain optimistic about our business prospects in 2020, focusing on cross-selling opportunities across our broad product line of test and inspection equipment, test contactors, and supporting our customers’ deployment of 5G RF capabilities on next generation smartphones.”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Cohu expects first quarter 2020 sales to be between $140 million and $152 million. Cohu's Board of Directors approved a quarterly cash dividend of $0.06 per share payable on April 9, 2020 to shareholders of record on February 25,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company will host a live conference call and webcast with slides to discuss fourth quarter and full year 2019 results at 5:30 a.m. Pacific Time/8:30 a.m. Eastern Time on February 13, 2020. Interested investors and analysts are invited to dial into the conference call by using 1-866-434-5330 (domestic) or +1-213-660-0873 (international) and entering the pass code 8977256. Webcast access will be available on the Investor Information section of the company’s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 Replays of the call can be accessed at www.cohu.com.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885"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Cohu (NASDAQ: COHU) is a global leader in back-end semiconductor equipment and services, delivering leading-edge solutions for the manufacturing of semiconductors and printed circuit boards.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Included within this press release and accompanying materials are non-GAAP financial measures, including non-GAAP Gross Margin/Profit, Income and Income (adjusted earnings) per share, Operating Income, Operating Expense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including favorable/unfavorable lease adjustments, restructuring costs, manufacturing transition and severance costs, acquisition-related costs and associated professional fees, fair value adjustment to contingent consideration, reduction of indemnification receivable, depreciation of purchase accounting adjustments to property, plant and equipment and purchase accounting inventory step-up included in cost of sales. Reconciliations of GAAP to non-GAAP amounts for the periods presented herein are provided in schedules accompanying this release and should be considered together with the Condensed Consolidated Statements of Operations. With respect to forward looking non-GAAP figures, we are unable to provide without unreasonable efforts, at this time, a GAAP to non-GAAP reconciliation of any forward-looking figures due to their inherent uncertainty.</w:t>
      </w:r>
    </w:p>
    <w:p>
      <w:pPr>
        <w:spacing w:after="0" w:line="16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Certain statements contained in this release and accompanying materials may be considered forward-looking statements within the meaning of the U.S. Private Securities Litigation Reform Act of 1995, including statements regarding integration and cost synergy savings, timing and factory closings; additional cost savings and expense reductions; new products and solutions; 5G, industrial and automotive growth; cross-selling opportunities; mobility sales growth in 2020; strength in data center, cloud and AI segments; automotive segment driven by ADAS and EV growth; 5G-driven tester order growth; sales growth for high-end digital device test application; increased contactor to handler attach rate; other incremental sales opportunities; growth through selling complete solutions; semiconductor and semi-test market conditions and prospects for 2020; business model for FY’20 and mid-term model; % of incremental revenue expected to fall to operating income; the company’s first quarter 2020 sales forecast, guidance, sales mix, non-GAAP operating expenses, gross margin, adjusted EBITDA and effective tax rate, and cash and shares outstanding; forecasted first quarter risks and impact of novel coronavirus and ERP implementation; second quarter 2020 revenue forecast; minimum cash required to operate business;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revenue recognition impacts due to ASC 606;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trade wars and Huawei export restrictions; retention of key staff; health epidemics such as the novel coronavirus; ERP system implementation issues particularly as Cohu launches a new ERP system in first quarter 2020; the seasonal, volatile and unpredictable nature of capital expenditures by semiconductor manufacturers and the 2019 significantly weakened demand in this market; ongoing weakness in Greater China market; rapid technological change; and significant risks associated with the Xcerra acquisition including but not limited to (i) the ability of Cohu and Xcerra to integrate their businesses successfully and to achieve anticipated synergies and cost savings, (ii) the possibility that other anticipated benefits of the acquisition will not be realized, (iii) the possibility that restructuring charges will significantly exceed estimates, (iv) potential adverse reactions or changes to relationships with customers, employees, suppliers or other parties resulting from the acquisition, (v) potential disruptions, expenses and lost revenue associated with the transition to direct sales in China and Taiwan; (vi) the discovery of liabilities, product return issues or deficiencies associated with Xcerra that were not identified in advance,</w:t>
      </w:r>
    </w:p>
    <w:p>
      <w:pPr>
        <w:spacing w:after="0" w:line="12" w:lineRule="exact"/>
        <w:rPr>
          <w:sz w:val="20"/>
          <w:szCs w:val="20"/>
          <w:color w:val="auto"/>
        </w:rPr>
      </w:pPr>
    </w:p>
    <w:p>
      <w:pPr>
        <w:ind w:right="20" w:firstLine="8"/>
        <w:spacing w:after="0" w:line="268" w:lineRule="auto"/>
        <w:tabs>
          <w:tab w:leader="none" w:pos="355" w:val="left"/>
        </w:tabs>
        <w:numPr>
          <w:ilvl w:val="0"/>
          <w:numId w:val="6"/>
        </w:numPr>
        <w:rPr>
          <w:rFonts w:ascii="Arial" w:cs="Arial" w:eastAsia="Arial" w:hAnsi="Arial"/>
          <w:sz w:val="17"/>
          <w:szCs w:val="17"/>
          <w:color w:val="auto"/>
        </w:rPr>
      </w:pPr>
      <w:r>
        <w:rPr>
          <w:rFonts w:ascii="Arial" w:cs="Arial" w:eastAsia="Arial" w:hAnsi="Arial"/>
          <w:sz w:val="17"/>
          <w:szCs w:val="17"/>
          <w:color w:val="auto"/>
        </w:rPr>
        <w:t>potential failures to maintain adequate internal controls over financial reporting given the significant increase in size, number of employees, global operations and complexity of Cohu’s business, (viii) mandatory ongoing impairment evaluation of goodwill and other intangibles whereby Cohu could be required to write-off some or all of this goodwill and other intangibles, (ix) the adverse impact to Cohu’s operating results and potential inability to pay cash dividends due to interest expense on the financing debt, rising interest rates, changes to LIBOR in 2021, and any restrictions on operations related to such debt, and (x) continued availability of capital and financing and rating agency downgrade actions, and limited market access given our high debt levels. 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press releases and other information of interest to investors, please visit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774"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COHU, INC.</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260" w:type="dxa"/>
            <w:vAlign w:val="bottom"/>
          </w:tcPr>
          <w:p>
            <w:pPr>
              <w:spacing w:after="0"/>
              <w:rPr>
                <w:sz w:val="20"/>
                <w:szCs w:val="20"/>
                <w:color w:val="auto"/>
              </w:rPr>
            </w:pPr>
          </w:p>
        </w:tc>
        <w:tc>
          <w:tcPr>
            <w:tcW w:w="2460" w:type="dxa"/>
            <w:vAlign w:val="bottom"/>
            <w:gridSpan w:val="5"/>
            <w:vMerge w:val="restart"/>
          </w:tcPr>
          <w:p>
            <w:pPr>
              <w:jc w:val="right"/>
              <w:ind w:right="560"/>
              <w:spacing w:after="0"/>
              <w:rPr>
                <w:sz w:val="20"/>
                <w:szCs w:val="20"/>
                <w:color w:val="auto"/>
              </w:rPr>
            </w:pPr>
            <w:r>
              <w:rPr>
                <w:rFonts w:ascii="Arial" w:cs="Arial" w:eastAsia="Arial" w:hAnsi="Arial"/>
                <w:sz w:val="18"/>
                <w:szCs w:val="18"/>
                <w:color w:val="auto"/>
                <w:w w:val="95"/>
              </w:rPr>
              <w:t xml:space="preserve">Three Months Ended </w:t>
            </w:r>
            <w:r>
              <w:rPr>
                <w:rFonts w:ascii="Arial" w:cs="Arial" w:eastAsia="Arial" w:hAnsi="Arial"/>
                <w:sz w:val="30"/>
                <w:szCs w:val="30"/>
                <w:color w:val="auto"/>
                <w:w w:val="95"/>
                <w:vertAlign w:val="superscript"/>
              </w:rPr>
              <w:t>(1)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vMerge w:val="restart"/>
          </w:tcPr>
          <w:p>
            <w:pPr>
              <w:jc w:val="right"/>
              <w:ind w:right="520"/>
              <w:spacing w:after="0"/>
              <w:rPr>
                <w:sz w:val="20"/>
                <w:szCs w:val="20"/>
                <w:color w:val="auto"/>
              </w:rPr>
            </w:pPr>
            <w:r>
              <w:rPr>
                <w:rFonts w:ascii="Arial" w:cs="Arial" w:eastAsia="Arial" w:hAnsi="Arial"/>
                <w:sz w:val="18"/>
                <w:szCs w:val="18"/>
                <w:color w:val="auto"/>
                <w:w w:val="95"/>
              </w:rPr>
              <w:t xml:space="preserve">Twelve Months Ended </w:t>
            </w:r>
            <w:r>
              <w:rPr>
                <w:rFonts w:ascii="Arial" w:cs="Arial" w:eastAsia="Arial" w:hAnsi="Arial"/>
                <w:sz w:val="30"/>
                <w:szCs w:val="30"/>
                <w:color w:val="auto"/>
                <w:w w:val="95"/>
                <w:vertAlign w:val="superscript"/>
              </w:rPr>
              <w:t>(1)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December 28,</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December 29,</w:t>
            </w:r>
          </w:p>
        </w:tc>
        <w:tc>
          <w:tcPr>
            <w:tcW w:w="80" w:type="dxa"/>
            <w:vAlign w:val="bottom"/>
          </w:tcPr>
          <w:p>
            <w:pPr>
              <w:spacing w:after="0"/>
              <w:rPr>
                <w:sz w:val="19"/>
                <w:szCs w:val="19"/>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December 28,</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December 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142,011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170,637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583,329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Cost and expenses: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Cost of sales (excludes amortization shown below) </w:t>
            </w:r>
            <w:r>
              <w:rPr>
                <w:rFonts w:ascii="Arial" w:cs="Arial" w:eastAsia="Arial" w:hAnsi="Arial"/>
                <w:sz w:val="29"/>
                <w:szCs w:val="29"/>
                <w:color w:val="auto"/>
                <w:vertAlign w:val="superscript"/>
              </w:rPr>
              <w:t>(2) (3)</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87,936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128,718</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353,500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292,460</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20,823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22,520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86,147</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56,434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Selling, general and administrative </w:t>
            </w:r>
            <w:r>
              <w:rPr>
                <w:rFonts w:ascii="Arial" w:cs="Arial" w:eastAsia="Arial" w:hAnsi="Arial"/>
                <w:sz w:val="29"/>
                <w:szCs w:val="29"/>
                <w:color w:val="auto"/>
                <w:vertAlign w:val="superscript"/>
              </w:rPr>
              <w:t>(3) (4)</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34,532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45,766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142,936</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Amortization of purchased intangible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9,615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14,080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39,590</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charges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13,484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155,670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229,788</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635,657</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481,549</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(13,659)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(52,328)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 (expense) income: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(4,767)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(20,556)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764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transaction gain (loss)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(1,259)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Loss from continuing operations before taxes</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(19,524)</w:t>
            </w: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(63,382)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(72,077)</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(3,243)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(3,082)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(16,281)</w:t>
            </w: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(57,116)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(68,995)</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(32,543)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Discontinued operations: </w:t>
            </w:r>
            <w:r>
              <w:rPr>
                <w:rFonts w:ascii="Arial" w:cs="Arial" w:eastAsia="Arial" w:hAnsi="Arial"/>
                <w:sz w:val="28"/>
                <w:szCs w:val="28"/>
                <w:color w:val="auto"/>
                <w:vertAlign w:val="superscript"/>
              </w:rPr>
              <w:t>(5)</w:t>
            </w:r>
          </w:p>
        </w:tc>
        <w:tc>
          <w:tcPr>
            <w:tcW w:w="2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Income (loss) from discontinued operations before taxes</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(1,061)</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(661)</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(1,039)</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(697)</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(17,320)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(56,997)</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(69,692)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Cohu</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(17,266)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(56,754)</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(69,700)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(32,181)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continuing operations before noncontrolling interest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(0.03)</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(0.01)</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ind w:left="320"/>
              <w:spacing w:after="0"/>
              <w:rPr>
                <w:sz w:val="20"/>
                <w:szCs w:val="20"/>
                <w:color w:val="auto"/>
              </w:rPr>
            </w:pPr>
            <w:r>
              <w:rPr>
                <w:rFonts w:ascii="Arial" w:cs="Arial" w:eastAsia="Arial" w:hAnsi="Arial"/>
                <w:sz w:val="18"/>
                <w:szCs w:val="18"/>
                <w:color w:val="auto"/>
              </w:rPr>
              <w:t>Net loss attributable to Cohu</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continuing operations before noncontrolling interest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(0.03)</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(0.01)</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ind w:left="320"/>
              <w:spacing w:after="0"/>
              <w:rPr>
                <w:sz w:val="20"/>
                <w:szCs w:val="20"/>
                <w:color w:val="auto"/>
              </w:rPr>
            </w:pPr>
            <w:r>
              <w:rPr>
                <w:rFonts w:ascii="Arial" w:cs="Arial" w:eastAsia="Arial" w:hAnsi="Arial"/>
                <w:sz w:val="18"/>
                <w:szCs w:val="18"/>
                <w:color w:val="auto"/>
              </w:rPr>
              <w:t>Net loss attributable to Cohu</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40" w:type="dxa"/>
            <w:vAlign w:val="bottom"/>
          </w:tcPr>
          <w:p>
            <w:pPr>
              <w:spacing w:after="0" w:line="256" w:lineRule="exact"/>
              <w:rPr>
                <w:sz w:val="20"/>
                <w:szCs w:val="20"/>
                <w:color w:val="auto"/>
              </w:rPr>
            </w:pPr>
            <w:r>
              <w:rPr>
                <w:rFonts w:ascii="Arial" w:cs="Arial" w:eastAsia="Arial" w:hAnsi="Arial"/>
                <w:sz w:val="18"/>
                <w:szCs w:val="18"/>
                <w:color w:val="auto"/>
              </w:rPr>
              <w:t xml:space="preserve">Weighted average shares used in computing loss per share: </w:t>
            </w:r>
            <w:r>
              <w:rPr>
                <w:rFonts w:ascii="Arial" w:cs="Arial" w:eastAsia="Arial" w:hAnsi="Arial"/>
                <w:sz w:val="29"/>
                <w:szCs w:val="29"/>
                <w:color w:val="auto"/>
                <w:vertAlign w:val="superscript"/>
              </w:rPr>
              <w:t>(6)</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41,409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40,660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41,159</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tcPr>
          <w:p>
            <w:pPr>
              <w:ind w:left="16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41,409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40,660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41,159</w:t>
            </w:r>
          </w:p>
        </w:tc>
        <w:tc>
          <w:tcPr>
            <w:tcW w:w="100" w:type="dxa"/>
            <w:vAlign w:val="bottom"/>
          </w:tcPr>
          <w:p>
            <w:pPr>
              <w:spacing w:after="0"/>
              <w:rPr>
                <w:sz w:val="17"/>
                <w:szCs w:val="17"/>
                <w:color w:val="auto"/>
              </w:rPr>
            </w:pPr>
          </w:p>
        </w:tc>
        <w:tc>
          <w:tcPr>
            <w:tcW w:w="12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31,776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5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500" w:right="80" w:hanging="330"/>
        <w:spacing w:after="0" w:line="265"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three- and twelve-month periods ended December 28, 2019 and December 29, 2018 were both comprised of 13 weeks and 52 weeks, respectively. The Company’s results for the three-month period ended December 29, 2018 and the three- and twelve-month periods ended December 28, 2019, include the results of Xcerra which was acquired on October 1, 2018.</w:t>
      </w:r>
    </w:p>
    <w:p>
      <w:pPr>
        <w:spacing w:after="0" w:line="2" w:lineRule="exact"/>
        <w:rPr>
          <w:rFonts w:ascii="Arial" w:cs="Arial" w:eastAsia="Arial" w:hAnsi="Arial"/>
          <w:sz w:val="16"/>
          <w:szCs w:val="16"/>
          <w:color w:val="auto"/>
        </w:rPr>
      </w:pPr>
    </w:p>
    <w:p>
      <w:pPr>
        <w:ind w:left="500" w:right="240" w:hanging="330"/>
        <w:spacing w:after="0" w:line="264"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Cost of sales for the three- and twelve-month periods ended December 28, 2019 includes charges totaling $2.4 million and $2.7 million, respectively, related to restructuring activities and the decision to end manufacturing of certain of Xcerra’s semiconductor test handler products. The three- and twelve-month periods ended December 29, 2018 include charges totaling $19.1 million.</w:t>
      </w:r>
    </w:p>
    <w:p>
      <w:pPr>
        <w:ind w:left="500" w:right="20" w:hanging="330"/>
        <w:spacing w:after="0" w:line="264"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conjunction with the acquisition of Xcerra the Company assessed the need to realign its historical financial statement presentation and certain statement of operations classifications were reclassified to conform to current period presentation. The changes made were as follows:</w:t>
      </w:r>
    </w:p>
    <w:p>
      <w:pPr>
        <w:ind w:left="660" w:right="120" w:hanging="166"/>
        <w:spacing w:after="0" w:line="264" w:lineRule="auto"/>
        <w:tabs>
          <w:tab w:leader="none" w:pos="6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Amortization of intangibles previously were presented in cost of sales and SG&amp;A. These amounts are now presented as a separate line item “Amortization of purchased intangible assets” within operating expenses. Amounts associated with purchased intangible assets that previously would have been included in cost of sales are $7.3 million and $30.1 million for the three- and twelve-month periods ended December 28, 2019, respectively and $11.6 million and $13.6 million for the three- and twelve-month periods ended December 29, 2018, respectively.</w:t>
      </w:r>
    </w:p>
    <w:p>
      <w:pPr>
        <w:ind w:left="660" w:right="20" w:hanging="166"/>
        <w:spacing w:after="0" w:line="264" w:lineRule="auto"/>
        <w:tabs>
          <w:tab w:leader="none" w:pos="660" w:val="left"/>
        </w:tabs>
        <w:numPr>
          <w:ilvl w:val="1"/>
          <w:numId w:val="7"/>
        </w:numPr>
        <w:rPr>
          <w:rFonts w:ascii="Arial" w:cs="Arial" w:eastAsia="Arial" w:hAnsi="Arial"/>
          <w:sz w:val="16"/>
          <w:szCs w:val="16"/>
          <w:color w:val="auto"/>
        </w:rPr>
      </w:pPr>
      <w:r>
        <w:rPr>
          <w:rFonts w:ascii="Arial" w:cs="Arial" w:eastAsia="Arial" w:hAnsi="Arial"/>
          <w:sz w:val="16"/>
          <w:szCs w:val="16"/>
          <w:color w:val="auto"/>
        </w:rPr>
        <w:t>Prior to October 1, 2018, gains and losses associated with foreign currency translation and remeasurement were included within SG&amp;A which resulted in fluctuations in expenses as foreign exchange rates change. These amounts are now presented within foreign transaction gain (loss) and other as it provides investors more insight into the Company’s operating expenses.</w:t>
      </w:r>
    </w:p>
    <w:p>
      <w:pPr>
        <w:ind w:left="500" w:hanging="330"/>
        <w:spacing w:after="0" w:line="264"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SG&amp;A expense for the three- and twelve-month periods ended December 28, 2019 includes Xcerra transaction costs totaling $28,000 and $0.4 million, respectively. For the three- and twelve-month periods ended December 29, 2018 Xcerra transaction costs were $4.6 million and $9.8 million, respectively.</w:t>
      </w:r>
    </w:p>
    <w:p>
      <w:pPr>
        <w:ind w:left="500" w:hanging="330"/>
        <w:spacing w:after="0" w:line="281" w:lineRule="auto"/>
        <w:tabs>
          <w:tab w:leader="none" w:pos="500" w:val="left"/>
        </w:tabs>
        <w:numPr>
          <w:ilvl w:val="0"/>
          <w:numId w:val="7"/>
        </w:numPr>
        <w:rPr>
          <w:rFonts w:ascii="Arial" w:cs="Arial" w:eastAsia="Arial" w:hAnsi="Arial"/>
          <w:sz w:val="15"/>
          <w:szCs w:val="15"/>
          <w:color w:val="auto"/>
        </w:rPr>
      </w:pPr>
      <w:r>
        <w:rPr>
          <w:rFonts w:ascii="Arial" w:cs="Arial" w:eastAsia="Arial" w:hAnsi="Arial"/>
          <w:sz w:val="15"/>
          <w:szCs w:val="15"/>
          <w:color w:val="auto"/>
        </w:rPr>
        <w:t>On October 1, 2018, the Company made the decision to sell the fixtures business acquired from Xcerra, and, as a result, the operating results of this business have been presented as discontinued operations. In February 2020, we completed the sale of the fixtures business for $3.1 million and recognized a loss on disposal of $1.1 million primarily related to the write-off of goodwill and purchased intangible assets that were not pushed down in the consolidated financial statements.</w:t>
      </w:r>
    </w:p>
    <w:p>
      <w:pPr>
        <w:spacing w:after="0" w:line="1" w:lineRule="exact"/>
        <w:rPr>
          <w:rFonts w:ascii="Arial" w:cs="Arial" w:eastAsia="Arial" w:hAnsi="Arial"/>
          <w:sz w:val="15"/>
          <w:szCs w:val="15"/>
          <w:color w:val="auto"/>
        </w:rPr>
      </w:pPr>
    </w:p>
    <w:p>
      <w:pPr>
        <w:ind w:left="500" w:right="160" w:hanging="330"/>
        <w:spacing w:after="0" w:line="270"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three- and twelve-month periods ended December 28, 2019, potentially dilutive securities were excluded from the per share computations due to their antidilutive effect. The Company has utilized the "control number" concept in the computation of diluted earnings per share to determine whether a potential common stock instrument is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ectPr>
          <w:pgSz w:w="11900" w:h="16838" w:orient="portrait"/>
          <w:cols w:equalWidth="0" w:num="1">
            <w:col w:w="11420"/>
          </w:cols>
          <w:pgMar w:left="240" w:top="364" w:right="239" w:bottom="0" w:gutter="0" w:footer="0" w:header="0"/>
        </w:sectPr>
      </w:pPr>
    </w:p>
    <w:bookmarkStart w:id="8" w:name="page9"/>
    <w:bookmarkEnd w:id="8"/>
    <w:p>
      <w:pPr>
        <w:spacing w:after="0" w:line="270" w:lineRule="auto"/>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COHU, INC.</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93"/>
              </w:rPr>
              <w:t>December 28,</w:t>
            </w:r>
          </w:p>
        </w:tc>
        <w:tc>
          <w:tcPr>
            <w:tcW w:w="180" w:type="dxa"/>
            <w:vAlign w:val="bottom"/>
          </w:tcPr>
          <w:p>
            <w:pPr>
              <w:spacing w:after="0"/>
              <w:rPr>
                <w:sz w:val="20"/>
                <w:szCs w:val="20"/>
                <w:color w:val="auto"/>
              </w:rPr>
            </w:pPr>
          </w:p>
        </w:tc>
        <w:tc>
          <w:tcPr>
            <w:tcW w:w="150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w w:val="95"/>
              </w:rPr>
              <w:t>December 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Current assets: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investments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156,098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127,921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149,276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130,706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21,468</w:t>
            </w: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27,888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assets of discontinued operations</w:t>
            </w:r>
          </w:p>
        </w:tc>
        <w:tc>
          <w:tcPr>
            <w:tcW w:w="1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439,696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485,239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 net</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70,912</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Goodwill</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238,669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242,127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275,019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20" w:type="dxa"/>
            <w:vAlign w:val="bottom"/>
          </w:tcPr>
          <w:p>
            <w:pPr>
              <w:spacing w:after="0" w:line="256" w:lineRule="exact"/>
              <w:rPr>
                <w:sz w:val="20"/>
                <w:szCs w:val="20"/>
                <w:color w:val="auto"/>
              </w:rPr>
            </w:pPr>
            <w:r>
              <w:rPr>
                <w:rFonts w:ascii="Arial" w:cs="Arial" w:eastAsia="Arial" w:hAnsi="Arial"/>
                <w:sz w:val="18"/>
                <w:szCs w:val="18"/>
                <w:color w:val="auto"/>
              </w:rPr>
              <w:t xml:space="preserve">Operating lease right of use assets </w:t>
            </w:r>
            <w:r>
              <w:rPr>
                <w:rFonts w:ascii="Arial" w:cs="Arial" w:eastAsia="Arial" w:hAnsi="Arial"/>
                <w:sz w:val="29"/>
                <w:szCs w:val="29"/>
                <w:b w:val="1"/>
                <w:bCs w:val="1"/>
                <w:color w:val="auto"/>
                <w:vertAlign w:val="superscript"/>
              </w:rPr>
              <w:t>(1)</w:t>
            </w:r>
          </w:p>
        </w:tc>
        <w:tc>
          <w:tcPr>
            <w:tcW w:w="1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33,269</w:t>
            </w: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20,030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115</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1,077,710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1,134,002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Current liabilities: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Current installments of long-term debt</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3,322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profit</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134,124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146,388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 of discontinued operations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599</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18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148,885</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160,589</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346,518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20" w:type="dxa"/>
            <w:vAlign w:val="bottom"/>
          </w:tcPr>
          <w:p>
            <w:pPr>
              <w:spacing w:after="0" w:line="256" w:lineRule="exact"/>
              <w:rPr>
                <w:sz w:val="20"/>
                <w:szCs w:val="20"/>
                <w:color w:val="auto"/>
              </w:rPr>
            </w:pPr>
            <w:r>
              <w:rPr>
                <w:rFonts w:ascii="Arial" w:cs="Arial" w:eastAsia="Arial" w:hAnsi="Arial"/>
                <w:sz w:val="18"/>
                <w:szCs w:val="18"/>
                <w:color w:val="auto"/>
              </w:rPr>
              <w:t xml:space="preserve">Non-current operating lease liabilities </w:t>
            </w:r>
            <w:r>
              <w:rPr>
                <w:rFonts w:ascii="Arial" w:cs="Arial" w:eastAsia="Arial" w:hAnsi="Arial"/>
                <w:sz w:val="29"/>
                <w:szCs w:val="29"/>
                <w:b w:val="1"/>
                <w:bCs w:val="1"/>
                <w:color w:val="auto"/>
                <w:vertAlign w:val="superscript"/>
              </w:rPr>
              <w:t>(1)</w:t>
            </w:r>
          </w:p>
        </w:tc>
        <w:tc>
          <w:tcPr>
            <w:tcW w:w="1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28,877</w:t>
            </w: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70,334</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Noncurrent liabilities of discontinued operations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Cohu stockholders’ equity</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483,072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&amp; stockholders’ equity</w:t>
            </w:r>
          </w:p>
        </w:tc>
        <w:tc>
          <w:tcPr>
            <w:tcW w:w="1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1,077,710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1,134,002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1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200" w:hanging="330"/>
        <w:spacing w:after="0" w:line="264"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8"/>
          <w:szCs w:val="18"/>
          <w:color w:val="auto"/>
        </w:rPr>
        <w:t>Cohu adopted ASU 2016-02, Leases (Topic 842), as of December 30, 2018. Upon adoption, we recorded operating lease assets and operating lease liabilities based on the present value of future lease obligations. We applied the practical expedient available in this guidance, which does not require the restatement of prior year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COHU, INC.</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40" w:type="dxa"/>
            <w:vAlign w:val="bottom"/>
            <w:gridSpan w:val="5"/>
          </w:tcPr>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4"/>
            <w:vMerge w:val="restart"/>
          </w:tcPr>
          <w:p>
            <w:pPr>
              <w:jc w:val="right"/>
              <w:ind w:right="140"/>
              <w:spacing w:after="0"/>
              <w:rPr>
                <w:sz w:val="20"/>
                <w:szCs w:val="20"/>
                <w:color w:val="auto"/>
              </w:rPr>
            </w:pPr>
            <w:r>
              <w:rPr>
                <w:rFonts w:ascii="Arial" w:cs="Arial" w:eastAsia="Arial" w:hAnsi="Arial"/>
                <w:sz w:val="18"/>
                <w:szCs w:val="18"/>
                <w:color w:val="auto"/>
                <w:w w:val="92"/>
              </w:rPr>
              <w:t>Three Months 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December 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September 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December 29,</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30"/>
              <w:spacing w:after="0" w:line="266" w:lineRule="exact"/>
              <w:rPr>
                <w:sz w:val="20"/>
                <w:szCs w:val="20"/>
                <w:color w:val="auto"/>
              </w:rPr>
            </w:pPr>
            <w:r>
              <w:rPr>
                <w:rFonts w:ascii="Arial" w:cs="Arial" w:eastAsia="Arial" w:hAnsi="Arial"/>
                <w:sz w:val="18"/>
                <w:szCs w:val="18"/>
                <w:color w:val="auto"/>
              </w:rPr>
              <w:t>2019</w:t>
            </w:r>
            <w:r>
              <w:rPr>
                <w:rFonts w:ascii="Arial" w:cs="Arial" w:eastAsia="Arial" w:hAnsi="Arial"/>
                <w:sz w:val="30"/>
                <w:szCs w:val="30"/>
                <w:color w:val="auto"/>
                <w:vertAlign w:val="superscript"/>
              </w:rPr>
              <w:t>(1)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30"/>
              <w:spacing w:after="0" w:line="266" w:lineRule="exact"/>
              <w:rPr>
                <w:sz w:val="20"/>
                <w:szCs w:val="20"/>
                <w:color w:val="auto"/>
              </w:rPr>
            </w:pPr>
            <w:r>
              <w:rPr>
                <w:rFonts w:ascii="Arial" w:cs="Arial" w:eastAsia="Arial" w:hAnsi="Arial"/>
                <w:sz w:val="18"/>
                <w:szCs w:val="18"/>
                <w:color w:val="auto"/>
              </w:rPr>
              <w:t>2019</w:t>
            </w:r>
            <w:r>
              <w:rPr>
                <w:rFonts w:ascii="Arial" w:cs="Arial" w:eastAsia="Arial" w:hAnsi="Arial"/>
                <w:sz w:val="30"/>
                <w:szCs w:val="30"/>
                <w:color w:val="auto"/>
                <w:vertAlign w:val="superscript"/>
              </w:rPr>
              <w:t>(1)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30"/>
              <w:spacing w:after="0" w:line="266" w:lineRule="exact"/>
              <w:rPr>
                <w:sz w:val="20"/>
                <w:szCs w:val="20"/>
                <w:color w:val="auto"/>
              </w:rPr>
            </w:pPr>
            <w:r>
              <w:rPr>
                <w:rFonts w:ascii="Arial" w:cs="Arial" w:eastAsia="Arial" w:hAnsi="Arial"/>
                <w:sz w:val="18"/>
                <w:szCs w:val="18"/>
                <w:color w:val="auto"/>
              </w:rPr>
              <w:t>2018</w:t>
            </w:r>
            <w:r>
              <w:rPr>
                <w:rFonts w:ascii="Arial" w:cs="Arial" w:eastAsia="Arial" w:hAnsi="Arial"/>
                <w:sz w:val="30"/>
                <w:szCs w:val="30"/>
                <w:color w:val="auto"/>
                <w:vertAlign w:val="superscript"/>
              </w:rPr>
              <w:t>(1)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 GAAP basis (a)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(13,659)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Non-GAAP adjustments: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included in (b):</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Cost of sales (COS)</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 (R&amp;D)</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Selling, general and administrative (SG&amp;A)</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2,336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2,474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Amortization of purchased intangible assets (c)</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9,615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9,969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charges related to inventory adjustments in COS (d)</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Restructuring charges (d)</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2,764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Manufacturing and sales transition costs included in (e):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R&amp;D</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SG&amp;A</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costs included in SG&amp;A (f)</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Inventory step-up included in COS (g)</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PP&amp;E step-up included in SG&amp;A (h)</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Reduction of indemnification receivable included in SG&amp;A (i)</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 - non-GAAP basis (j)</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11,205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 GAAP basis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(16,281)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(10,480)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Non-GAAP adjustments (as scheduled above)</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19,664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17,228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78,429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effect of non-GAAP adjustments (k)</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 non-GAAP basis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(531)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4,912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GAAP loss from continuing operations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(0.39)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(0.25)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Non-GAAP income (loss) from continuing operations per share - diluted (l)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Includes operating results from Xcerra acquired on October 1, 2018</w:t>
      </w:r>
    </w:p>
    <w:p>
      <w:pPr>
        <w:spacing w:after="0" w:line="22"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Acquisition costs and adjustments for inventory and PP&amp;E step-up costs have been excluded by management as they are unrelated to the core operating activities of the Company and the frequency and variability in the nature of the charges can vary significantly from period to period. Management believes the reduction of an uncertain tax position liability and related indemnification receivable is better reflected within income tax expense rather than a charge to SG&amp;A and credit to the income tax provision.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1" w:lineRule="exact"/>
        <w:rPr>
          <w:sz w:val="20"/>
          <w:szCs w:val="20"/>
          <w:color w:val="auto"/>
        </w:rPr>
      </w:pPr>
    </w:p>
    <w:p>
      <w:pPr>
        <w:ind w:left="500" w:hanging="33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(9.6)%, (4.2)% and (34.7)% of net sales, respectively.</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eliminate compensation expense for employee stock options, stock units and our employee stock purchase plan.</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eliminate the amortization of acquired intangible assets.</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eliminate restructuring costs incurred related to the integration of Xcerra.</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eliminate manufacturing and sales transition and severance costs.</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eliminate professional fees and other direct incremental expenses incurred related to acquisition of Xcerra.</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eliminate the inventory step-up costs incurred related to the acquisition of Xcerra.</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eliminate the accelerated depreciation from the property, plant &amp; equipment step-up related to the acquisition of Xcerra.</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eliminate the impact of the reduction of an uncertain tax position liability and related indemnification receivable.</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4.2%, 7.8% and 11.3% of net sales, respectively.</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adjust the provision for income taxes related to the adjustments described above based on applicable tax rates.</w:t>
      </w:r>
    </w:p>
    <w:p>
      <w:pPr>
        <w:spacing w:after="0" w:line="18" w:lineRule="exact"/>
        <w:rPr>
          <w:rFonts w:ascii="Arial" w:cs="Arial" w:eastAsia="Arial" w:hAnsi="Arial"/>
          <w:sz w:val="16"/>
          <w:szCs w:val="16"/>
          <w:color w:val="auto"/>
        </w:rPr>
      </w:pPr>
    </w:p>
    <w:p>
      <w:pPr>
        <w:ind w:left="500" w:right="60" w:hanging="330"/>
        <w:spacing w:after="0" w:line="332"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three months ended September 28, 2019 and December 29, 2018 were computed using 41,587 and 41,241 shares outstanding respectively, as the effect of dilutive securities was excluded from GAAP diluted common shares due to the reported net loss under GAAP, but are included for non-GAAP diluted common shares since the Company has non-GAAP net income. All other periods presented were computed using number of GAAP diluted shares outstanding for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846"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COHU, INC.</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w w:val="94"/>
              </w:rPr>
              <w:t>Supplemental Reconciliation of GAAP Results to Non-GAAP Financial Measures (Unaudited)</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40" w:type="dxa"/>
            <w:vAlign w:val="bottom"/>
            <w:gridSpan w:val="5"/>
            <w:vMerge w:val="restart"/>
          </w:tcPr>
          <w:p>
            <w:pPr>
              <w:jc w:val="right"/>
              <w:ind w:right="1100"/>
              <w:spacing w:after="0"/>
              <w:rPr>
                <w:sz w:val="20"/>
                <w:szCs w:val="20"/>
                <w:color w:val="auto"/>
              </w:rPr>
            </w:pPr>
            <w:r>
              <w:rPr>
                <w:rFonts w:ascii="Arial" w:cs="Arial" w:eastAsia="Arial" w:hAnsi="Arial"/>
                <w:sz w:val="18"/>
                <w:szCs w:val="18"/>
                <w:color w:val="auto"/>
              </w:rPr>
              <w:t>Twelve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December 28,</w:t>
            </w:r>
          </w:p>
        </w:tc>
        <w:tc>
          <w:tcPr>
            <w:tcW w:w="160" w:type="dxa"/>
            <w:vAlign w:val="bottom"/>
          </w:tcPr>
          <w:p>
            <w:pPr>
              <w:spacing w:after="0"/>
              <w:rPr>
                <w:sz w:val="19"/>
                <w:szCs w:val="19"/>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December 29,</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30"/>
              <w:spacing w:after="0" w:line="266" w:lineRule="exact"/>
              <w:rPr>
                <w:sz w:val="20"/>
                <w:szCs w:val="20"/>
                <w:color w:val="auto"/>
              </w:rPr>
            </w:pPr>
            <w:r>
              <w:rPr>
                <w:rFonts w:ascii="Arial" w:cs="Arial" w:eastAsia="Arial" w:hAnsi="Arial"/>
                <w:sz w:val="18"/>
                <w:szCs w:val="18"/>
                <w:color w:val="auto"/>
              </w:rPr>
              <w:t>2019</w:t>
            </w:r>
            <w:r>
              <w:rPr>
                <w:rFonts w:ascii="Arial" w:cs="Arial" w:eastAsia="Arial" w:hAnsi="Arial"/>
                <w:sz w:val="30"/>
                <w:szCs w:val="30"/>
                <w:color w:val="auto"/>
                <w:vertAlign w:val="superscript"/>
              </w:rPr>
              <w:t>(1)</w:t>
            </w:r>
          </w:p>
        </w:tc>
        <w:tc>
          <w:tcPr>
            <w:tcW w:w="3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70"/>
              <w:spacing w:after="0" w:line="266" w:lineRule="exact"/>
              <w:rPr>
                <w:sz w:val="20"/>
                <w:szCs w:val="20"/>
                <w:color w:val="auto"/>
              </w:rPr>
            </w:pPr>
            <w:r>
              <w:rPr>
                <w:rFonts w:ascii="Arial" w:cs="Arial" w:eastAsia="Arial" w:hAnsi="Arial"/>
                <w:sz w:val="18"/>
                <w:szCs w:val="18"/>
                <w:color w:val="auto"/>
              </w:rPr>
              <w:t>2018</w:t>
            </w:r>
            <w:r>
              <w:rPr>
                <w:rFonts w:ascii="Arial" w:cs="Arial" w:eastAsia="Arial" w:hAnsi="Arial"/>
                <w:sz w:val="30"/>
                <w:szCs w:val="30"/>
                <w:color w:val="auto"/>
                <w:vertAlign w:val="superscript"/>
              </w:rPr>
              <w:t>(1)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 GAAP basis (a)</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(52,328)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Non-GAAP adjustments: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included in (b):</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Cost of sales (COS)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736</w:t>
            </w: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 (R&amp;D)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2,994</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Selling, general and administrative (SG&amp;A)</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10,418</w:t>
            </w: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14,148</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Amortization of purchased intangible assets (c)</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39,590</w:t>
            </w: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charges related to inventory adjustments in COS (d)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2,729</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Restructuring charges included in operating expenses (d):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Restructuring charges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13,484</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13,484</w:t>
            </w: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Manufacturing and sales transition costs included in (e):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COS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1,211</w:t>
            </w: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R&amp;D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SG&amp;A</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1,383</w:t>
            </w: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2,594</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Adjustment to contingent consideration included in SG&amp;A (f)</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costs included in SG&amp;A (g)</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Inventory step-up included in COS (h)</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6,038</w:t>
            </w: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14,782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PP&amp;E step-up included in SG&amp;A (i)</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4,014</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Reduction of indemnification receivable included in SG&amp;A (j)</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1,202</w:t>
            </w: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non-GAAP basis (k)</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31,903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63,587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 GAAP basis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(68,995)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Non-GAAP adjustments (as scheduled above)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84,231</w:t>
            </w: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effect of non-GAAP adjustments (l)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(11,456)</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tcPr>
          <w:p>
            <w:pPr>
              <w:spacing w:after="0"/>
              <w:rPr>
                <w:sz w:val="20"/>
                <w:szCs w:val="20"/>
                <w:color w:val="auto"/>
              </w:rPr>
            </w:pPr>
            <w:r>
              <w:rPr>
                <w:rFonts w:ascii="Arial" w:cs="Arial" w:eastAsia="Arial" w:hAnsi="Arial"/>
                <w:sz w:val="18"/>
                <w:szCs w:val="18"/>
                <w:color w:val="auto"/>
              </w:rPr>
              <w:t>Income from continuing operations - non-GAAP basis</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3,780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48,344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GAAP loss per share from continuing operations - diluted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(1.68)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Non-GAAP income per share - diluted (m)</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0.09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7" w:lineRule="exact"/>
        <w:rPr>
          <w:sz w:val="20"/>
          <w:szCs w:val="20"/>
          <w:color w:val="auto"/>
        </w:rPr>
      </w:pPr>
    </w:p>
    <w:p>
      <w:pPr>
        <w:ind w:firstLine="238"/>
        <w:spacing w:after="0" w:line="282" w:lineRule="auto"/>
        <w:tabs>
          <w:tab w:leader="none" w:pos="486" w:val="left"/>
        </w:tabs>
        <w:numPr>
          <w:ilvl w:val="1"/>
          <w:numId w:val="10"/>
        </w:numPr>
        <w:rPr>
          <w:rFonts w:ascii="Arial" w:cs="Arial" w:eastAsia="Arial" w:hAnsi="Arial"/>
          <w:sz w:val="15"/>
          <w:szCs w:val="15"/>
          <w:color w:val="auto"/>
        </w:rPr>
      </w:pPr>
      <w:r>
        <w:rPr>
          <w:rFonts w:ascii="Arial" w:cs="Arial" w:eastAsia="Arial" w:hAnsi="Arial"/>
          <w:sz w:val="15"/>
          <w:szCs w:val="15"/>
          <w:color w:val="auto"/>
        </w:rPr>
        <w:t>Results for the full year ended December 28, 2019 and the three months ended December 29, 2018 include operating results from Xcerra acquired on October 1, 2018. 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Acquisition costs, fair value adjustment to contingent consideration and adjustments for inventory and PP&amp;E step-up costs have been excluded by management as they are unrelated to the core operating activities of the Company and the frequency and variability in the nature of the charges can vary significantly from period to period. Management believes the reduction of an uncertain tax position liability and related indemnification receivable is better reflected within income tax expense rather than a charge to SG&amp;A and credit to the income tax provision.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2" w:lineRule="exact"/>
        <w:rPr>
          <w:rFonts w:ascii="Arial" w:cs="Arial" w:eastAsia="Arial" w:hAnsi="Arial"/>
          <w:sz w:val="15"/>
          <w:szCs w:val="15"/>
          <w:color w:val="auto"/>
        </w:rPr>
      </w:pPr>
    </w:p>
    <w:p>
      <w:pPr>
        <w:ind w:left="500" w:hanging="330"/>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(9.0)% and (6.6)% of net sales, respectively.</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eliminate compensation expense for employee stock options, stock units and our employee stock purchase plan.</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eliminate the amortization of acquired intangible assets.</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eliminate restructuring costs incurred related to the integration of Xcerra.</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eliminate manufacturing and sales transition and severance costs.</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eliminate fair value adjustment to contingent consideration related to the acquisition of Kita.</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eliminate professional fees and other direct incremental expenses incurred related to the acquisition of Xcerra.</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eliminate the inventory step-up costs incurred related to the acquisition of Xcerra.</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eliminate the property, plant &amp; equipment step-up depreciation accelerated related to the acquisition of Xcerra.</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eliminate the impact of the reduction of an uncertain tax position liability and related indemnification receivable.</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5.5% and 14.1% of net sales, respectively.</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adjust the provision for income taxes related to the adjustments described above based on applicable tax rates.</w:t>
      </w:r>
    </w:p>
    <w:p>
      <w:pPr>
        <w:spacing w:after="0" w:line="18" w:lineRule="exact"/>
        <w:rPr>
          <w:rFonts w:ascii="Arial" w:cs="Arial" w:eastAsia="Arial" w:hAnsi="Arial"/>
          <w:sz w:val="16"/>
          <w:szCs w:val="16"/>
          <w:color w:val="auto"/>
        </w:rPr>
      </w:pPr>
    </w:p>
    <w:p>
      <w:pPr>
        <w:ind w:left="500" w:right="40" w:hanging="330"/>
        <w:spacing w:after="0" w:line="276"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twelve months ended December 28, 2019 and December 29, 2018 were computed using 41,652 and 32,548 shares outstanding as the effect of dilutive securities was excluded from GAAP diluted common shares due to the reported net loss under GAAP, but are included for non-GAAP diluted common shares since the Company has non-GAAP net income.</w:t>
      </w:r>
    </w:p>
    <w:p>
      <w:pPr>
        <w:sectPr>
          <w:pgSz w:w="11900" w:h="16838" w:orient="portrait"/>
          <w:cols w:equalWidth="0" w:num="1">
            <w:col w:w="11420"/>
          </w:cols>
          <w:pgMar w:left="240" w:top="580" w:right="239" w:bottom="0" w:gutter="0" w:footer="0" w:header="0"/>
        </w:sectPr>
      </w:pPr>
    </w:p>
    <w:bookmarkStart w:id="12" w:name="page13"/>
    <w:bookmarkEnd w:id="12"/>
    <w:p>
      <w:pPr>
        <w:spacing w:after="0" w:line="276" w:lineRule="auto"/>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COHU, INC.</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60" w:type="dxa"/>
            <w:vAlign w:val="bottom"/>
            <w:gridSpan w:val="5"/>
          </w:tcPr>
          <w:p>
            <w:pPr>
              <w:spacing w:after="0"/>
              <w:rPr>
                <w:sz w:val="20"/>
                <w:szCs w:val="20"/>
                <w:color w:val="auto"/>
              </w:rPr>
            </w:pPr>
            <w:r>
              <w:rPr>
                <w:rFonts w:ascii="Arial" w:cs="Arial" w:eastAsia="Arial" w:hAnsi="Arial"/>
                <w:sz w:val="18"/>
                <w:szCs w:val="18"/>
                <w:b w:val="1"/>
                <w:bCs w:val="1"/>
                <w:color w:val="auto"/>
                <w:w w:val="99"/>
              </w:rPr>
              <w:t>Supplemental Reconciliation of GAAP Results to Non-GAAP Financial Measures (Unaudited)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4"/>
            <w:vMerge w:val="restart"/>
          </w:tcPr>
          <w:p>
            <w:pPr>
              <w:ind w:left="6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December 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September 28,</w:t>
            </w:r>
          </w:p>
        </w:tc>
        <w:tc>
          <w:tcPr>
            <w:tcW w:w="160" w:type="dxa"/>
            <w:vAlign w:val="bottom"/>
          </w:tcPr>
          <w:p>
            <w:pPr>
              <w:spacing w:after="0"/>
              <w:rPr>
                <w:sz w:val="19"/>
                <w:szCs w:val="19"/>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December 29,</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70"/>
              <w:spacing w:after="0" w:line="266"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30"/>
                <w:szCs w:val="30"/>
                <w:color w:val="auto"/>
                <w:vertAlign w:val="superscript"/>
              </w:rPr>
              <w:t>(1)</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center"/>
              <w:ind w:right="330"/>
              <w:spacing w:after="0" w:line="266"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30"/>
                <w:szCs w:val="30"/>
                <w:color w:val="auto"/>
                <w:vertAlign w:val="superscript"/>
              </w:rPr>
              <w:t>(1)</w:t>
            </w:r>
          </w:p>
        </w:tc>
        <w:tc>
          <w:tcPr>
            <w:tcW w:w="3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center"/>
              <w:ind w:right="330"/>
              <w:spacing w:after="0" w:line="266" w:lineRule="exact"/>
              <w:rPr>
                <w:sz w:val="20"/>
                <w:szCs w:val="20"/>
                <w:color w:val="auto"/>
              </w:rPr>
            </w:pPr>
            <w:r>
              <w:rPr>
                <w:rFonts w:ascii="Arial" w:cs="Arial" w:eastAsia="Arial" w:hAnsi="Arial"/>
                <w:sz w:val="18"/>
                <w:szCs w:val="18"/>
                <w:color w:val="auto"/>
              </w:rPr>
              <w:t xml:space="preserve">2018 </w:t>
            </w:r>
            <w:r>
              <w:rPr>
                <w:rFonts w:ascii="Arial" w:cs="Arial" w:eastAsia="Arial" w:hAnsi="Arial"/>
                <w:sz w:val="30"/>
                <w:szCs w:val="30"/>
                <w:color w:val="auto"/>
                <w:vertAlign w:val="superscript"/>
              </w:rPr>
              <w:t>(1)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2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Gross profit - GAAP basis (excluding amortization) </w:t>
            </w:r>
            <w:r>
              <w:rPr>
                <w:rFonts w:ascii="Arial" w:cs="Arial" w:eastAsia="Arial" w:hAnsi="Arial"/>
                <w:sz w:val="29"/>
                <w:szCs w:val="29"/>
                <w:color w:val="auto"/>
                <w:vertAlign w:val="superscript"/>
              </w:rPr>
              <w:t>(2)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54,075</w:t>
            </w:r>
          </w:p>
        </w:tc>
        <w:tc>
          <w:tcPr>
            <w:tcW w:w="240" w:type="dxa"/>
            <w:vAlign w:val="bottom"/>
          </w:tcPr>
          <w:p>
            <w:pPr>
              <w:spacing w:after="0"/>
              <w:rPr>
                <w:sz w:val="22"/>
                <w:szCs w:val="22"/>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58,933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41,919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Non-GAAP adjustments to cost of sales (as scheduled above)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1,742</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Gross profit - Non-GAAP basis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56,674</w:t>
            </w:r>
          </w:p>
        </w:tc>
        <w:tc>
          <w:tcPr>
            <w:tcW w:w="2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60,675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75,892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right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As a percentage of net sales: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GAAP gross profit</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rPr>
              <w:t>Non-GAAP gross profit</w:t>
            </w:r>
          </w:p>
        </w:tc>
        <w:tc>
          <w:tcPr>
            <w:tcW w:w="1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42.3%</w:t>
            </w: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attributable to Cohu - GAAP Basis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(17,266)</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(10,468)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1,277</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4,767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9,615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9,969</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5,231</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rPr>
              <w:t>Other non-GAAP adjustments (as scheduled above)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9,806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5,456</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63,092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2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16,121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a percentage of net sales: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rPr>
              <w:t>Net loss attributable to Cohu - GAAP Basis</w:t>
            </w:r>
          </w:p>
        </w:tc>
        <w:tc>
          <w:tcPr>
            <w:tcW w:w="16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Operating Expense - GAAP basis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67,734</w:t>
            </w:r>
          </w:p>
        </w:tc>
        <w:tc>
          <w:tcPr>
            <w:tcW w:w="2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64,956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101,070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Non-GAAP adjustments to operating expenses (as scheduled above)</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(15,486)</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Operating Expenses - Non-GAAP basis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50,669</w:t>
            </w:r>
          </w:p>
        </w:tc>
        <w:tc>
          <w:tcPr>
            <w:tcW w:w="2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49,470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56,614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6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330"/>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8"/>
          <w:szCs w:val="18"/>
          <w:color w:val="auto"/>
        </w:rPr>
        <w:t>Includes operating results from Xcerra acquired on October 1, 2018</w:t>
      </w:r>
    </w:p>
    <w:p>
      <w:pPr>
        <w:spacing w:after="0" w:line="36" w:lineRule="exact"/>
        <w:rPr>
          <w:rFonts w:ascii="Arial" w:cs="Arial" w:eastAsia="Arial" w:hAnsi="Arial"/>
          <w:sz w:val="16"/>
          <w:szCs w:val="16"/>
          <w:color w:val="auto"/>
        </w:rPr>
      </w:pPr>
    </w:p>
    <w:p>
      <w:pPr>
        <w:ind w:left="500" w:right="220" w:hanging="330"/>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amortization of $7,263, $7,597 and $11,626 for the three months ending December 28, 2019, September 28, 2019 and December 29,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80" w:type="dxa"/>
            <w:vAlign w:val="bottom"/>
            <w:gridSpan w:val="5"/>
          </w:tcPr>
          <w:p>
            <w:pPr>
              <w:jc w:val="right"/>
              <w:ind w:right="1080"/>
              <w:spacing w:after="0"/>
              <w:rPr>
                <w:sz w:val="20"/>
                <w:szCs w:val="20"/>
                <w:color w:val="auto"/>
              </w:rPr>
            </w:pPr>
            <w:r>
              <w:rPr>
                <w:rFonts w:ascii="Arial" w:cs="Arial" w:eastAsia="Arial" w:hAnsi="Arial"/>
                <w:sz w:val="18"/>
                <w:szCs w:val="18"/>
                <w:color w:val="auto"/>
              </w:rPr>
              <w:t>Twelve Months Ended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December 28,</w:t>
            </w:r>
          </w:p>
        </w:tc>
        <w:tc>
          <w:tcPr>
            <w:tcW w:w="160" w:type="dxa"/>
            <w:vAlign w:val="bottom"/>
          </w:tcPr>
          <w:p>
            <w:pPr>
              <w:spacing w:after="0"/>
              <w:rPr>
                <w:sz w:val="19"/>
                <w:szCs w:val="19"/>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December 29,</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70"/>
              <w:spacing w:after="0" w:line="266"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30"/>
                <w:szCs w:val="30"/>
                <w:color w:val="auto"/>
                <w:vertAlign w:val="superscript"/>
              </w:rPr>
              <w:t>(1)</w:t>
            </w:r>
          </w:p>
        </w:tc>
        <w:tc>
          <w:tcPr>
            <w:tcW w:w="3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70"/>
              <w:spacing w:after="0" w:line="266" w:lineRule="exact"/>
              <w:rPr>
                <w:sz w:val="20"/>
                <w:szCs w:val="20"/>
                <w:color w:val="auto"/>
              </w:rPr>
            </w:pPr>
            <w:r>
              <w:rPr>
                <w:rFonts w:ascii="Arial" w:cs="Arial" w:eastAsia="Arial" w:hAnsi="Arial"/>
                <w:sz w:val="18"/>
                <w:szCs w:val="18"/>
                <w:color w:val="auto"/>
              </w:rPr>
              <w:t xml:space="preserve">2018 </w:t>
            </w:r>
            <w:r>
              <w:rPr>
                <w:rFonts w:ascii="Arial" w:cs="Arial" w:eastAsia="Arial" w:hAnsi="Arial"/>
                <w:sz w:val="30"/>
                <w:szCs w:val="30"/>
                <w:color w:val="auto"/>
                <w:vertAlign w:val="superscript"/>
              </w:rPr>
              <w:t>(1)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4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Gross profit - GAAP basis (excluding amortization) </w:t>
            </w:r>
            <w:r>
              <w:rPr>
                <w:rFonts w:ascii="Arial" w:cs="Arial" w:eastAsia="Arial" w:hAnsi="Arial"/>
                <w:sz w:val="29"/>
                <w:szCs w:val="29"/>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229,829</w:t>
            </w:r>
          </w:p>
        </w:tc>
        <w:tc>
          <w:tcPr>
            <w:tcW w:w="34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159,308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Non-GAAP adjustments to cost of sales (as scheduled above)</w:t>
            </w:r>
          </w:p>
        </w:tc>
        <w:tc>
          <w:tcPr>
            <w:tcW w:w="18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10,714</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Gross profit - Non-GAAP basis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240,543</w:t>
            </w:r>
          </w:p>
        </w:tc>
        <w:tc>
          <w:tcPr>
            <w:tcW w:w="3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193,689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right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As a percentage of net sales: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GAAP gross profit</w:t>
            </w:r>
          </w:p>
        </w:tc>
        <w:tc>
          <w:tcPr>
            <w:tcW w:w="18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Non-GAAP gross profit</w:t>
            </w: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attributable to Cohu - GAAP Basis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(69,700)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(Income) loss from discontinued operations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(3,082)</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20,556</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(764)</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39,590</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19,246</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Other non-GAAP adjustments (as scheduled above)</w:t>
            </w:r>
          </w:p>
        </w:tc>
        <w:tc>
          <w:tcPr>
            <w:tcW w:w="18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39,534</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76,171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46,077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74,339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40" w:type="dxa"/>
            <w:vAlign w:val="bottom"/>
            <w:tcBorders>
              <w:top w:val="single" w:sz="8" w:color="CCEEFF"/>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a percentage of net sales: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Net loss attributable to Cohu - GAAP Basis</w:t>
            </w:r>
          </w:p>
        </w:tc>
        <w:tc>
          <w:tcPr>
            <w:tcW w:w="1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Operating Expense - GAAP basis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282,157</w:t>
            </w:r>
          </w:p>
        </w:tc>
        <w:tc>
          <w:tcPr>
            <w:tcW w:w="3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189,089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Non-GAAP adjustments to operating expenses (as scheduled above)</w:t>
            </w:r>
          </w:p>
        </w:tc>
        <w:tc>
          <w:tcPr>
            <w:tcW w:w="18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(73,517)</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Operating Expenses - Non-GAAP basis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208,640</w:t>
            </w:r>
          </w:p>
        </w:tc>
        <w:tc>
          <w:tcPr>
            <w:tcW w:w="3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130,102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7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100" w:hanging="330"/>
        <w:spacing w:after="0" w:line="258"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8"/>
          <w:szCs w:val="18"/>
          <w:color w:val="auto"/>
        </w:rPr>
        <w:t>Results for the full year ended December 28, 2019 and the three months ended December 29, 2018 includes operating results from Xcerra acquired on October 1, 2018.</w:t>
      </w:r>
    </w:p>
    <w:p>
      <w:pPr>
        <w:spacing w:after="0" w:line="1" w:lineRule="exact"/>
        <w:rPr>
          <w:rFonts w:ascii="Arial" w:cs="Arial" w:eastAsia="Arial" w:hAnsi="Arial"/>
          <w:sz w:val="16"/>
          <w:szCs w:val="16"/>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amortization of $30,126 and $13,586 for the twelve months ending December 28, 2019 and December 29, 2018, respectively.</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Roman"/>
      <w:start w:val="7"/>
    </w:lvl>
  </w:abstractNum>
  <w:abstractNum w:abstractNumId="2">
    <w:nsid w:val="7545E146"/>
    <w:multiLevelType w:val="hybridMultilevel"/>
    <w:lvl w:ilvl="0">
      <w:lvlJc w:val="left"/>
      <w:lvlText w:val="(%1)"/>
      <w:numFmt w:val="lowerLetter"/>
      <w:start w:val="4"/>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lowerRoman"/>
      <w:start w:val="7"/>
    </w:lvl>
  </w:abstractNum>
  <w:abstractNum w:abstractNumId="6">
    <w:nsid w:val="4DB127F8"/>
    <w:multiLevelType w:val="hybridMultilevel"/>
    <w:lvl w:ilvl="0">
      <w:lvlJc w:val="left"/>
      <w:lvlText w:val="(%1)"/>
      <w:numFmt w:val="decimal"/>
      <w:start w:val="1"/>
    </w:lvl>
    <w:lvl w:ilvl="1">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lvl w:ilvl="1">
      <w:lvlJc w:val="left"/>
      <w:lvlText w:val="(%2)"/>
      <w:numFmt w:val="decimal"/>
      <w:start w:val="1"/>
    </w:lvl>
  </w:abstractNum>
  <w:abstractNum w:abstractNumId="10">
    <w:nsid w:val="66EF438D"/>
    <w:multiLevelType w:val="hybridMultilevel"/>
    <w:lvl w:ilvl="0">
      <w:lvlJc w:val="left"/>
      <w:lvlText w:val="(%1)"/>
      <w:numFmt w:val="lowerLetter"/>
      <w:start w:val="1"/>
    </w:lvl>
    <w:lvl w:ilvl="1">
      <w:lvlJc w:val="left"/>
      <w:lvlText w:val="%2"/>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2020-02-13T09:41:03Z</dcterms:created>
  <dcterms:modified xsi:type="dcterms:W3CDTF">2020-02-13T09:41:03Z</dcterms:modified>
</cp:coreProperties>
</file>