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right="261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MARCH 31, 1996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51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jc w:val="center"/>
        <w:ind w:right="7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jc w:val="center"/>
        <w:ind w:right="5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26" w:lineRule="exact"/>
        <w:rPr>
          <w:sz w:val="24"/>
          <w:szCs w:val="24"/>
          <w:color w:val="auto"/>
        </w:rPr>
      </w:pPr>
    </w:p>
    <w:p>
      <w:pPr>
        <w:ind w:left="220" w:right="560" w:hanging="210"/>
        <w:spacing w:after="0" w:line="290" w:lineRule="auto"/>
        <w:rPr>
          <w:sz w:val="20"/>
          <w:szCs w:val="20"/>
          <w:color w:val="auto"/>
        </w:rPr>
      </w:pPr>
      <w:r>
        <w:rPr>
          <w:rFonts w:ascii="Courier New" w:cs="Courier New" w:eastAsia="Courier New" w:hAnsi="Courier New"/>
          <w:sz w:val="16"/>
          <w:szCs w:val="16"/>
          <w:color w:val="auto"/>
        </w:rPr>
        <w:t>5755 KEARNY VILLA ROAD, SAN DIEGO, CALIFORNIA (Address of principal executive office)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92123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4"/>
          <w:szCs w:val="24"/>
          <w:color w:val="auto"/>
        </w:rPr>
      </w:pPr>
    </w:p>
    <w:p>
      <w:pPr>
        <w:sectPr>
          <w:pgSz w:w="11900" w:h="16838" w:orient="portrait"/>
          <w:cols w:equalWidth="0" w:num="2">
            <w:col w:w="5300" w:space="720"/>
            <w:col w:w="41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619-277-6700</w:t>
      </w:r>
    </w:p>
    <w:p>
      <w:pPr>
        <w:spacing w:after="0" w:line="200" w:lineRule="exact"/>
        <w:rPr>
          <w:sz w:val="24"/>
          <w:szCs w:val="24"/>
          <w:color w:val="auto"/>
        </w:rPr>
      </w:pPr>
    </w:p>
    <w:p>
      <w:pPr>
        <w:sectPr>
          <w:pgSz w:w="11900" w:h="16838" w:orient="portrait"/>
          <w:cols w:equalWidth="0" w:num="2">
            <w:col w:w="5280" w:space="620"/>
            <w:col w:w="4319"/>
          </w:cols>
          <w:pgMar w:left="240" w:top="244" w:right="1440" w:bottom="1440" w:gutter="0" w:footer="0" w:header="0"/>
          <w:type w:val="continuous"/>
        </w:sectPr>
      </w:pPr>
    </w:p>
    <w:p>
      <w:pPr>
        <w:spacing w:after="0" w:line="22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6120"/>
        <w:spacing w:after="0"/>
        <w:tabs>
          <w:tab w:leader="none" w:pos="6840" w:val="left"/>
          <w:tab w:leader="none" w:pos="75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pacing w:after="0" w:line="4" w:lineRule="exact"/>
        <w:rPr>
          <w:sz w:val="24"/>
          <w:szCs w:val="24"/>
          <w:color w:val="auto"/>
        </w:rPr>
      </w:pPr>
    </w:p>
    <w:p>
      <w:pPr>
        <w:ind w:left="6640"/>
        <w:spacing w:after="0"/>
        <w:tabs>
          <w:tab w:leader="none" w:pos="78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As of March 31, 1996, the Registrant had 9,237,805 shares of its $1.00 par value common stock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710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COHU, INC.</w:t>
            </w:r>
          </w:p>
        </w:tc>
        <w:tc>
          <w:tcPr>
            <w:tcW w:w="1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1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INDEX</w:t>
            </w:r>
          </w:p>
        </w:tc>
        <w:tc>
          <w:tcPr>
            <w:tcW w:w="1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FORM 10-Q</w:t>
            </w:r>
          </w:p>
        </w:tc>
        <w:tc>
          <w:tcPr>
            <w:tcW w:w="1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100" w:type="dxa"/>
            <w:vAlign w:val="bottom"/>
          </w:tcPr>
          <w:p>
            <w:pPr>
              <w:ind w:left="2680"/>
              <w:spacing w:after="0" w:line="203" w:lineRule="exact"/>
              <w:rPr>
                <w:sz w:val="20"/>
                <w:szCs w:val="20"/>
                <w:color w:val="auto"/>
              </w:rPr>
            </w:pPr>
            <w:r>
              <w:rPr>
                <w:rFonts w:ascii="Courier New" w:cs="Courier New" w:eastAsia="Courier New" w:hAnsi="Courier New"/>
                <w:sz w:val="18"/>
                <w:szCs w:val="18"/>
                <w:color w:val="auto"/>
              </w:rPr>
              <w:t>MARCH 31, 1996</w:t>
            </w:r>
          </w:p>
        </w:tc>
        <w:tc>
          <w:tcPr>
            <w:tcW w:w="120" w:type="dxa"/>
            <w:vAlign w:val="bottom"/>
          </w:tcPr>
          <w:p>
            <w:pPr>
              <w:spacing w:after="0"/>
              <w:rPr>
                <w:sz w:val="17"/>
                <w:szCs w:val="17"/>
                <w:color w:val="auto"/>
              </w:rPr>
            </w:pP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rPr>
              <w:t>FINANCIAL INFORMATION</w:t>
            </w:r>
          </w:p>
        </w:tc>
        <w:tc>
          <w:tcPr>
            <w:tcW w:w="120" w:type="dxa"/>
            <w:vAlign w:val="bottom"/>
          </w:tcPr>
          <w:p>
            <w:pPr>
              <w:spacing w:after="0"/>
              <w:rPr>
                <w:sz w:val="24"/>
                <w:szCs w:val="24"/>
                <w:color w:val="auto"/>
              </w:rPr>
            </w:pPr>
          </w:p>
        </w:tc>
      </w:tr>
      <w:tr>
        <w:trPr>
          <w:trHeight w:val="810"/>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rPr>
              <w:t>Condensed Consolidated Balance Sheets</w:t>
            </w:r>
          </w:p>
        </w:tc>
        <w:tc>
          <w:tcPr>
            <w:tcW w:w="1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March 31, 1996 (unaudited) and December 31, 1995...................</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w:t>
            </w:r>
          </w:p>
        </w:tc>
      </w:tr>
      <w:tr>
        <w:trPr>
          <w:trHeight w:val="608"/>
        </w:trPr>
        <w:tc>
          <w:tcPr>
            <w:tcW w:w="800" w:type="dxa"/>
            <w:vAlign w:val="bottom"/>
          </w:tcPr>
          <w:p>
            <w:pPr>
              <w:spacing w:after="0"/>
              <w:rPr>
                <w:sz w:val="24"/>
                <w:szCs w:val="24"/>
                <w:color w:val="auto"/>
              </w:rPr>
            </w:pP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1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Three  Months Ended March 31, 1996 and 1995........................</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608"/>
        </w:trPr>
        <w:tc>
          <w:tcPr>
            <w:tcW w:w="800" w:type="dxa"/>
            <w:vAlign w:val="bottom"/>
          </w:tcPr>
          <w:p>
            <w:pPr>
              <w:spacing w:after="0"/>
              <w:rPr>
                <w:sz w:val="24"/>
                <w:szCs w:val="24"/>
                <w:color w:val="auto"/>
              </w:rPr>
            </w:pP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1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Three Months Ended March 31, 1996 and 1995.........................</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r>
      <w:tr>
        <w:trPr>
          <w:trHeight w:val="608"/>
        </w:trPr>
        <w:tc>
          <w:tcPr>
            <w:tcW w:w="800" w:type="dxa"/>
            <w:vAlign w:val="bottom"/>
          </w:tcPr>
          <w:p>
            <w:pPr>
              <w:spacing w:after="0"/>
              <w:rPr>
                <w:sz w:val="24"/>
                <w:szCs w:val="24"/>
                <w:color w:val="auto"/>
              </w:rPr>
            </w:pP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w w:val="97"/>
              </w:rPr>
              <w:t>Notes to Unaudited Condensed Consolidated Financial Statements.....</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rPr>
              <w:t>Management's Discussion and Analysis of</w:t>
            </w:r>
          </w:p>
        </w:tc>
        <w:tc>
          <w:tcPr>
            <w:tcW w:w="1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7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Financial Condition and Results of Operations......................</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r>
      <w:tr>
        <w:trPr>
          <w:trHeight w:val="1013"/>
        </w:trPr>
        <w:tc>
          <w:tcPr>
            <w:tcW w:w="8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rPr>
              <w:t>OTHER INFORMATION</w:t>
            </w:r>
          </w:p>
        </w:tc>
        <w:tc>
          <w:tcPr>
            <w:tcW w:w="1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00" w:type="dxa"/>
            <w:vAlign w:val="bottom"/>
          </w:tcPr>
          <w:p>
            <w:pPr>
              <w:ind w:left="60"/>
              <w:spacing w:after="0"/>
              <w:rPr>
                <w:sz w:val="20"/>
                <w:szCs w:val="20"/>
                <w:color w:val="auto"/>
              </w:rPr>
            </w:pPr>
            <w:r>
              <w:rPr>
                <w:rFonts w:ascii="Courier New" w:cs="Courier New" w:eastAsia="Courier New" w:hAnsi="Courier New"/>
                <w:sz w:val="18"/>
                <w:szCs w:val="18"/>
                <w:color w:val="auto"/>
                <w:w w:val="97"/>
              </w:rPr>
              <w:t>Exhibits and Reports on Form 8-K...................................</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9</w:t>
            </w:r>
          </w:p>
        </w:tc>
      </w:tr>
      <w:tr>
        <w:trPr>
          <w:trHeight w:val="405"/>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w w:val="97"/>
              </w:rPr>
              <w:t>Signatures.................................................................</w:t>
            </w:r>
          </w:p>
        </w:tc>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9</w:t>
            </w:r>
          </w:p>
        </w:tc>
      </w:tr>
      <w:tr>
        <w:trPr>
          <w:trHeight w:val="608"/>
        </w:trPr>
        <w:tc>
          <w:tcPr>
            <w:tcW w:w="800" w:type="dxa"/>
            <w:vAlign w:val="bottom"/>
          </w:tcPr>
          <w:p>
            <w:pPr>
              <w:spacing w:after="0"/>
              <w:rPr>
                <w:sz w:val="24"/>
                <w:szCs w:val="24"/>
                <w:color w:val="auto"/>
              </w:rPr>
            </w:pPr>
          </w:p>
        </w:tc>
        <w:tc>
          <w:tcPr>
            <w:tcW w:w="71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2</w:t>
            </w:r>
          </w:p>
        </w:tc>
        <w:tc>
          <w:tcPr>
            <w:tcW w:w="1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MARCH 31, 1996</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DECEMBER 31, 1995</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(Unaudited)</w:t>
            </w:r>
          </w:p>
        </w:tc>
        <w:tc>
          <w:tcPr>
            <w:tcW w:w="2320" w:type="dxa"/>
            <w:vAlign w:val="bottom"/>
          </w:tcPr>
          <w:p>
            <w:pPr>
              <w:spacing w:after="0"/>
              <w:rPr>
                <w:sz w:val="17"/>
                <w:szCs w:val="17"/>
                <w:color w:val="auto"/>
              </w:rPr>
            </w:pP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$ 34,666</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$ 28,874</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27,425</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27,572</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 at lower of average cost or market:</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Finished goods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4,772</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3,466</w:t>
            </w: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Work in process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9,192</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7,759</w:t>
            </w: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9,929</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10,019</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23,893</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21,244</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9,413</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9,413</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1,004</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973</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96,401</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88,076</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1,150</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1,150</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11,437</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10,355</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13,090</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11,697</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25,677</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23,202</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10,354</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10,031</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ind w:left="420"/>
              <w:spacing w:after="0"/>
              <w:rPr>
                <w:sz w:val="20"/>
                <w:szCs w:val="20"/>
                <w:color w:val="auto"/>
              </w:rPr>
            </w:pPr>
            <w:r>
              <w:rPr>
                <w:rFonts w:ascii="Courier New" w:cs="Courier New" w:eastAsia="Courier New" w:hAnsi="Courier New"/>
                <w:sz w:val="18"/>
                <w:szCs w:val="18"/>
                <w:color w:val="auto"/>
              </w:rPr>
              <w:t>Net property, plant and equipment</w:t>
            </w:r>
          </w:p>
        </w:tc>
        <w:tc>
          <w:tcPr>
            <w:tcW w:w="26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15,323</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13,171</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2,587</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2,626</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60</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$114,371</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$103,934</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$ 12,259</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7,453</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6,715</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7,062</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14,467</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16,333</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33,441</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30,848</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26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881</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859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198</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198</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9,238</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9,092</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4,495</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4,252</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66,118</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58,685</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79,851</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72,029</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$114,371</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$103,934</w:t>
            </w:r>
          </w:p>
        </w:tc>
      </w:tr>
      <w:tr>
        <w:trPr>
          <w:trHeight w:val="203"/>
        </w:trPr>
        <w:tc>
          <w:tcPr>
            <w:tcW w:w="5960" w:type="dxa"/>
            <w:vAlign w:val="bottom"/>
          </w:tcPr>
          <w:p>
            <w:pPr>
              <w:spacing w:after="0"/>
              <w:rPr>
                <w:sz w:val="17"/>
                <w:szCs w:val="17"/>
                <w:color w:val="auto"/>
              </w:rPr>
            </w:pPr>
          </w:p>
        </w:tc>
        <w:tc>
          <w:tcPr>
            <w:tcW w:w="26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960"/>
          </w:cols>
          <w:pgMar w:left="240" w:top="312" w:right="6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960"/>
          </w:cols>
          <w:pgMar w:left="240" w:top="312" w:right="699"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CONDENSED CONSOLIDATED STATEMENTS OF INCOME</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44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4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440" w:type="dxa"/>
            <w:vAlign w:val="bottom"/>
          </w:tcPr>
          <w:p>
            <w:pPr>
              <w:spacing w:after="0"/>
              <w:rPr>
                <w:sz w:val="17"/>
                <w:szCs w:val="17"/>
                <w:color w:val="auto"/>
              </w:rPr>
            </w:pPr>
          </w:p>
        </w:tc>
        <w:tc>
          <w:tcPr>
            <w:tcW w:w="2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1996</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4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$50,232</w:t>
            </w:r>
          </w:p>
        </w:tc>
        <w:tc>
          <w:tcPr>
            <w:tcW w:w="2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$32,182</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23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sales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27,348</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19,359</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3,528</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6,873</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4,932</w:t>
            </w:r>
          </w:p>
        </w:tc>
      </w:tr>
      <w:tr>
        <w:trPr>
          <w:trHeight w:val="203"/>
        </w:trPr>
        <w:tc>
          <w:tcPr>
            <w:tcW w:w="54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12,483</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5,656</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54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12,894</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5,680</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2,200</w:t>
            </w:r>
          </w:p>
        </w:tc>
      </w:tr>
      <w:tr>
        <w:trPr>
          <w:trHeight w:val="203"/>
        </w:trPr>
        <w:tc>
          <w:tcPr>
            <w:tcW w:w="54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$ 7,894</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$ 3,480</w:t>
            </w:r>
          </w:p>
        </w:tc>
      </w:tr>
      <w:tr>
        <w:trPr>
          <w:trHeight w:val="203"/>
        </w:trPr>
        <w:tc>
          <w:tcPr>
            <w:tcW w:w="54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  0.81</w:t>
            </w:r>
          </w:p>
        </w:tc>
        <w:tc>
          <w:tcPr>
            <w:tcW w:w="2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0.37</w:t>
            </w:r>
          </w:p>
        </w:tc>
      </w:tr>
      <w:tr>
        <w:trPr>
          <w:trHeight w:val="203"/>
        </w:trPr>
        <w:tc>
          <w:tcPr>
            <w:tcW w:w="54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Average common shares and equivalents</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9,705</w:t>
            </w:r>
          </w:p>
        </w:tc>
        <w:tc>
          <w:tcPr>
            <w:tcW w:w="2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9,396</w:t>
            </w:r>
          </w:p>
        </w:tc>
      </w:tr>
      <w:tr>
        <w:trPr>
          <w:trHeight w:val="203"/>
        </w:trPr>
        <w:tc>
          <w:tcPr>
            <w:tcW w:w="54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84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March 31,</w:t>
            </w:r>
          </w:p>
        </w:tc>
        <w:tc>
          <w:tcPr>
            <w:tcW w:w="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$ 7,894</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$ 3,480</w:t>
            </w:r>
          </w:p>
        </w:tc>
      </w:tr>
      <w:tr>
        <w:trPr>
          <w:trHeight w:val="203"/>
        </w:trPr>
        <w:tc>
          <w:tcPr>
            <w:tcW w:w="7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w:t>
            </w:r>
          </w:p>
        </w:tc>
      </w:tr>
      <w:tr>
        <w:trPr>
          <w:trHeight w:val="203"/>
        </w:trPr>
        <w:tc>
          <w:tcPr>
            <w:tcW w:w="7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Daymarc earnout to be paid in stock</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414</w:t>
            </w:r>
          </w:p>
        </w:tc>
        <w:tc>
          <w:tcPr>
            <w:tcW w:w="13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7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(2,551)</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(2,649)</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(2,303)</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w:t>
            </w:r>
          </w:p>
        </w:tc>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4,806</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4,085</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1,236</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(2,280)</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(1,203)</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8,338</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3,111</w:t>
            </w:r>
          </w:p>
        </w:tc>
      </w:tr>
      <w:tr>
        <w:trPr>
          <w:trHeight w:val="405"/>
        </w:trPr>
        <w:tc>
          <w:tcPr>
            <w:tcW w:w="7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(2,474)</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(2,474)</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r>
        <w:trPr>
          <w:trHeight w:val="405"/>
        </w:trPr>
        <w:tc>
          <w:tcPr>
            <w:tcW w:w="7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Reduction in long-term borrowings</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(1,400)</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389</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Cash dividends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w:t>
            </w:r>
          </w:p>
        </w:tc>
        <w:tc>
          <w:tcPr>
            <w:tcW w:w="1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(1,393)</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 cash and cash equivalents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5,792</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1,544</w:t>
            </w:r>
          </w:p>
        </w:tc>
      </w:tr>
      <w:tr>
        <w:trPr>
          <w:trHeight w:val="203"/>
        </w:trPr>
        <w:tc>
          <w:tcPr>
            <w:tcW w:w="7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28,874</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$34,666</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$ 4,640</w:t>
            </w:r>
          </w:p>
        </w:tc>
      </w:tr>
      <w:tr>
        <w:trPr>
          <w:trHeight w:val="203"/>
        </w:trPr>
        <w:tc>
          <w:tcPr>
            <w:tcW w:w="14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12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1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1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$ 5,335</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964</w:t>
            </w:r>
          </w:p>
        </w:tc>
      </w:tr>
      <w:tr>
        <w:trPr>
          <w:trHeight w:val="203"/>
        </w:trPr>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4"/>
              </w:rPr>
              <w:t>Interest</w:t>
            </w:r>
          </w:p>
        </w:tc>
        <w:tc>
          <w:tcPr>
            <w:tcW w:w="5640" w:type="dxa"/>
            <w:vAlign w:val="bottom"/>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960"/>
          </w:cols>
          <w:pgMar w:left="240" w:top="312" w:right="69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NOTES TO UNAUDITED CONDENSED CONSOLIDATED FINANCIAL STATEMENTS MARCH 31, 1996</w:t>
      </w:r>
    </w:p>
    <w:p>
      <w:pPr>
        <w:spacing w:after="0" w:line="200" w:lineRule="exact"/>
        <w:rPr>
          <w:sz w:val="20"/>
          <w:szCs w:val="20"/>
          <w:color w:val="auto"/>
        </w:rPr>
      </w:pPr>
    </w:p>
    <w:p>
      <w:pPr>
        <w:spacing w:after="0" w:line="211" w:lineRule="exact"/>
        <w:rPr>
          <w:sz w:val="20"/>
          <w:szCs w:val="20"/>
          <w:color w:val="auto"/>
        </w:rPr>
      </w:pPr>
    </w:p>
    <w:p>
      <w:pPr>
        <w:ind w:left="420" w:right="1779" w:hanging="420"/>
        <w:spacing w:after="0" w:line="237" w:lineRule="auto"/>
        <w:rPr>
          <w:sz w:val="20"/>
          <w:szCs w:val="20"/>
          <w:color w:val="auto"/>
        </w:rPr>
      </w:pPr>
      <w:r>
        <w:rPr>
          <w:rFonts w:ascii="Courier New" w:cs="Courier New" w:eastAsia="Courier New" w:hAnsi="Courier New"/>
          <w:sz w:val="18"/>
          <w:szCs w:val="18"/>
          <w:color w:val="auto"/>
        </w:rPr>
        <w:t>1 - The accompanying interim financial statements are unaudited but include all adjustments (consisting of normal recurring adjustments) which the Company considers necessary for a fair statement of the results for the period. The operating results for the three months ended March 31, 1996 are not necessarily indicative of the operating results for the entire year. These financial statements should be read in conjunction with the consolidated financial statements included in the Company's Annual Report on Form 10-K for the year ended December 31, 1995.</w:t>
      </w:r>
    </w:p>
    <w:p>
      <w:pPr>
        <w:spacing w:after="0" w:line="212" w:lineRule="exact"/>
        <w:rPr>
          <w:sz w:val="20"/>
          <w:szCs w:val="20"/>
          <w:color w:val="auto"/>
        </w:rPr>
      </w:pPr>
    </w:p>
    <w:p>
      <w:pPr>
        <w:ind w:left="420" w:right="2319" w:hanging="420"/>
        <w:spacing w:after="0" w:line="236" w:lineRule="auto"/>
        <w:rPr>
          <w:sz w:val="20"/>
          <w:szCs w:val="20"/>
          <w:color w:val="auto"/>
        </w:rPr>
      </w:pPr>
      <w:r>
        <w:rPr>
          <w:rFonts w:ascii="Courier New" w:cs="Courier New" w:eastAsia="Courier New" w:hAnsi="Courier New"/>
          <w:sz w:val="18"/>
          <w:szCs w:val="18"/>
          <w:color w:val="auto"/>
        </w:rPr>
        <w:t>2 - Per share information is based on the weighted average number of shares outstanding during each period and the dilutive effect of the assumed exercise of stock options.</w:t>
      </w:r>
    </w:p>
    <w:p>
      <w:pPr>
        <w:spacing w:after="0" w:line="209" w:lineRule="exact"/>
        <w:rPr>
          <w:sz w:val="20"/>
          <w:szCs w:val="20"/>
          <w:color w:val="auto"/>
        </w:rPr>
      </w:pPr>
    </w:p>
    <w:p>
      <w:pPr>
        <w:ind w:left="420" w:right="1779" w:hanging="420"/>
        <w:spacing w:after="0" w:line="268" w:lineRule="auto"/>
        <w:rPr>
          <w:sz w:val="20"/>
          <w:szCs w:val="20"/>
          <w:color w:val="auto"/>
        </w:rPr>
      </w:pPr>
      <w:r>
        <w:rPr>
          <w:rFonts w:ascii="Courier New" w:cs="Courier New" w:eastAsia="Courier New" w:hAnsi="Courier New"/>
          <w:sz w:val="16"/>
          <w:szCs w:val="16"/>
          <w:color w:val="auto"/>
        </w:rPr>
        <w:t>3 - In October 1995, the Financial Accounting Standards Board (FASB) issued statement of Financial Accounting Standards No. 123, "Accounting for Stock-Based Compensation," which provides an alternative to APB Opinion No. 25, "Accounting for Stock Issued to Employees," in accounting for stock-based compensation issued to employees. The Statement allows for a fair value-based method of accounting for employee stock options and similar equity instruments. However, for companies that continue to account for stock-based compensation arrangements under Opinion No. 25, Statement No.</w:t>
      </w:r>
    </w:p>
    <w:p>
      <w:pPr>
        <w:spacing w:after="0" w:line="1" w:lineRule="exact"/>
        <w:rPr>
          <w:sz w:val="20"/>
          <w:szCs w:val="20"/>
          <w:color w:val="auto"/>
        </w:rPr>
      </w:pPr>
    </w:p>
    <w:p>
      <w:pPr>
        <w:ind w:left="420" w:right="1879"/>
        <w:spacing w:after="0" w:line="237" w:lineRule="auto"/>
        <w:rPr>
          <w:sz w:val="20"/>
          <w:szCs w:val="20"/>
          <w:color w:val="auto"/>
        </w:rPr>
      </w:pPr>
      <w:r>
        <w:rPr>
          <w:rFonts w:ascii="Courier New" w:cs="Courier New" w:eastAsia="Courier New" w:hAnsi="Courier New"/>
          <w:sz w:val="18"/>
          <w:szCs w:val="18"/>
          <w:color w:val="auto"/>
        </w:rPr>
        <w:t>123 requires disclosure of the pro forma effect on net income and earnings per share of its fair value-based accounting for those arrangements. These disclosure requirements are effective for fiscal years beginning after December 15, 1995. The Company plans to continue to account for stock-based compensation under Opinion No. 25.</w:t>
      </w:r>
    </w:p>
    <w:p>
      <w:pPr>
        <w:spacing w:after="0" w:line="209" w:lineRule="exact"/>
        <w:rPr>
          <w:sz w:val="20"/>
          <w:szCs w:val="20"/>
          <w:color w:val="auto"/>
        </w:rPr>
      </w:pPr>
    </w:p>
    <w:p>
      <w:pPr>
        <w:ind w:left="420" w:right="1779"/>
        <w:spacing w:after="0" w:line="271" w:lineRule="auto"/>
        <w:rPr>
          <w:sz w:val="20"/>
          <w:szCs w:val="20"/>
          <w:color w:val="auto"/>
        </w:rPr>
      </w:pPr>
      <w:r>
        <w:rPr>
          <w:rFonts w:ascii="Courier New" w:cs="Courier New" w:eastAsia="Courier New" w:hAnsi="Courier New"/>
          <w:sz w:val="16"/>
          <w:szCs w:val="16"/>
          <w:color w:val="auto"/>
        </w:rPr>
        <w:t>In March 1995, the FASB issued Statement No. 121 "Accounting for the Impairment of Long-Lived Assets and for Long-Lived Assets to Be Disposed Of," which requires impairment losses to be recorded on long-lived assets used in operations when indicators of impairment are present and the undiscounted cash flows estimated to be generated by those assets are less than the assets' carrying amount. Statement 121 also addresses the accounting for long-lived assets for which disposal is expected. The Company adopted Statement 121 in the first quarter of 1996 and such adoption did not have a material impact on its financial condition and results of operations.</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spacing w:after="0" w:line="237" w:lineRule="auto"/>
        <w:rPr>
          <w:sz w:val="20"/>
          <w:szCs w:val="20"/>
          <w:color w:val="auto"/>
        </w:rPr>
      </w:pPr>
      <w:r>
        <w:rPr>
          <w:rFonts w:ascii="Courier New" w:cs="Courier New" w:eastAsia="Courier New" w:hAnsi="Courier New"/>
          <w:sz w:val="18"/>
          <w:szCs w:val="18"/>
          <w:color w:val="auto"/>
        </w:rPr>
        <w:t>AND RESULTS OF OPERATIONS</w:t>
      </w:r>
    </w:p>
    <w:p>
      <w:pPr>
        <w:spacing w:after="0" w:line="238" w:lineRule="auto"/>
        <w:rPr>
          <w:sz w:val="20"/>
          <w:szCs w:val="20"/>
          <w:color w:val="auto"/>
        </w:rPr>
      </w:pPr>
      <w:r>
        <w:rPr>
          <w:rFonts w:ascii="Courier New" w:cs="Courier New" w:eastAsia="Courier New" w:hAnsi="Courier New"/>
          <w:sz w:val="18"/>
          <w:szCs w:val="18"/>
          <w:color w:val="auto"/>
        </w:rPr>
        <w:t>MARCH 31, 1996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Net sales increased 56% to $50.2 million in the first quarter of 1996 compared to net sales of $32.2 million in 1995. Sales of semiconductor test handling equipment by the Company's Delta Design and Daymarc subsidiaries increased an aggregate of 73% in 1996 and accounted for 82% of consolidated net sales in the first quarter of 1996. Sales of television cameras and equipment increased 5% while the combined sales of metal detection and microwave equipment increased</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13% over 1995. Gross margin as a percentage of net sales in the first quarter of 1996 was approximately 46% versus 40% in 1995. The increase in margin was due to the increasing percentage of total net sales attributable to semiconductor equipment which has higher margins than television and other equipment. Within the semiconductor equipment segment margins improved due to production efficiencies, volume material purchase discounts, price increases in certain product lines and reduced provisions for excess and obsolete inventories as a percentage of net sales. Research and development expense as a percentage of net sales was 7% in the first quarter of 1996 and 1995. Selling, general and administrative expense increased 39% in 1996 over 1995 but decreased as a percentage of net sales from 15% to 14%. Interest income in the quarter increased to $.4 million due to the significant increase in cash and cash equivalents. The provision for income taxes expressed as a percentage of pre-tax income was 39% in the first quarter of 1996 and for the year ended December 31, 1995. For the first fiscal quarter, as a result of the factors set forth above, net income increased 127% to $7.9 million in 1996 from $3.5 million in 1995.</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net cash flows generated from operating activities in the first</w:t>
      </w:r>
    </w:p>
    <w:p>
      <w:pPr>
        <w:spacing w:after="0" w:line="238" w:lineRule="auto"/>
        <w:rPr>
          <w:sz w:val="20"/>
          <w:szCs w:val="20"/>
          <w:color w:val="auto"/>
        </w:rPr>
      </w:pPr>
      <w:r>
        <w:rPr>
          <w:rFonts w:ascii="Courier New" w:cs="Courier New" w:eastAsia="Courier New" w:hAnsi="Courier New"/>
          <w:sz w:val="18"/>
          <w:szCs w:val="18"/>
          <w:color w:val="auto"/>
        </w:rPr>
        <w:t>quarter of 1996 totaled $8.3 million. The major components of cash flows from</w:t>
      </w:r>
    </w:p>
    <w:p>
      <w:pPr>
        <w:spacing w:after="0"/>
        <w:rPr>
          <w:sz w:val="20"/>
          <w:szCs w:val="20"/>
          <w:color w:val="auto"/>
        </w:rPr>
      </w:pPr>
      <w:r>
        <w:rPr>
          <w:rFonts w:ascii="Courier New" w:cs="Courier New" w:eastAsia="Courier New" w:hAnsi="Courier New"/>
          <w:sz w:val="18"/>
          <w:szCs w:val="18"/>
          <w:color w:val="auto"/>
        </w:rPr>
        <w:t>operating activities were net income of $7.9 million, increased inventory of</w:t>
      </w:r>
    </w:p>
    <w:p>
      <w:pPr>
        <w:spacing w:after="0" w:line="237" w:lineRule="auto"/>
        <w:rPr>
          <w:sz w:val="20"/>
          <w:szCs w:val="20"/>
          <w:color w:val="auto"/>
        </w:rPr>
      </w:pPr>
      <w:r>
        <w:rPr>
          <w:rFonts w:ascii="Courier New" w:cs="Courier New" w:eastAsia="Courier New" w:hAnsi="Courier New"/>
          <w:sz w:val="18"/>
          <w:szCs w:val="18"/>
          <w:color w:val="auto"/>
        </w:rPr>
        <w:t>$2.6 million and increased accounts payable of $4.8 million due mainly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 purchases. Net cash used for investing activities was $2.5 million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 used for the purchase of property, plant and equipment. Net cash used for</w:t>
      </w:r>
    </w:p>
    <w:p>
      <w:pPr>
        <w:spacing w:after="0" w:line="238" w:lineRule="auto"/>
        <w:rPr>
          <w:sz w:val="20"/>
          <w:szCs w:val="20"/>
          <w:color w:val="auto"/>
        </w:rPr>
      </w:pPr>
      <w:r>
        <w:rPr>
          <w:rFonts w:ascii="Courier New" w:cs="Courier New" w:eastAsia="Courier New" w:hAnsi="Courier New"/>
          <w:sz w:val="18"/>
          <w:szCs w:val="18"/>
          <w:color w:val="auto"/>
        </w:rPr>
        <w:t>financing activities was $72,000. Cash used for financing activities included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million for the payment of dividends offset by $.4 million received from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stock upon the exercise of stock options. The Company has $3 million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under its bank line of credit and working capital of $63 million at</w:t>
      </w:r>
    </w:p>
    <w:p>
      <w:pPr>
        <w:spacing w:after="0" w:line="238" w:lineRule="auto"/>
        <w:rPr>
          <w:sz w:val="20"/>
          <w:szCs w:val="20"/>
          <w:color w:val="auto"/>
        </w:rPr>
      </w:pPr>
      <w:r>
        <w:rPr>
          <w:rFonts w:ascii="Courier New" w:cs="Courier New" w:eastAsia="Courier New" w:hAnsi="Courier New"/>
          <w:sz w:val="18"/>
          <w:szCs w:val="18"/>
          <w:color w:val="auto"/>
        </w:rPr>
        <w:t>March 31, 1996. It is anticipated that present working capital, profitable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and available borrowings under the line of credit will be sufficient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meet the Company's 1996 operating requirements and the remaining anticipated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 for 1996 of approximately $2.5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Worldwide demand for semiconductors has historically been subject to substantial cyclical swings and price volatility. The Company's favorable operating results in 1995 and the first quarter</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200" w:lineRule="exact"/>
        <w:rPr>
          <w:sz w:val="20"/>
          <w:szCs w:val="20"/>
          <w:color w:val="auto"/>
        </w:rPr>
      </w:pPr>
    </w:p>
    <w:p>
      <w:pPr>
        <w:spacing w:after="0" w:line="209"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of 1996 benefited from the record growth in worldwide demand for and production of semiconductors. There can be no assurance that such growth can be sustained.</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Recent announcements by certain semiconductor manufacturers and the declining book to bill ratio indicate there has been a slowdown in demand for semiconductors, particularly in the personal computer market. This slowdown may impact the Company's operating results in the second half of 1996. In addition, as is common in the industry, the Company relies on a limited number of customers for a substantial percentage of its net sales (two customers accounted for 37% of net sales in the first quarter of 1996 and 35% for the year ended December 31, 1995). The loss of or a significant reduction in orders by either of these or other significant customers not compensated for by other customer orders could adversely impact the Company's annual and quarter to quarter results of operations.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that enable semiconductor manufacturers to handle and test semiconductors more efficiently. Failure to introduce new products in a timely manner, the introduction by competitors of products with perceived or actual advantages or disputes over rights of the Company or its competitors to use certain intellectual property or technology could result in a loss of competitive position and reduced sales of existing products.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necessarily be indicative of results of operations for any future period. In addition, certain matters discussed above are forward looking statements that are subject to the risks and uncertainties noted herein and the other risk factors listed from time to time in the Company's SEC reports, including but not limited to the 1995 Annual Report on Form 10-K, that could cause actual results to differ materially from those projected or forecasted.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700" w:hanging="63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27.1 - Financial Data Schedule (Filed electronically)</w:t>
      </w:r>
    </w:p>
    <w:p>
      <w:pPr>
        <w:spacing w:after="0" w:line="207" w:lineRule="exact"/>
        <w:rPr>
          <w:rFonts w:ascii="Courier New" w:cs="Courier New" w:eastAsia="Courier New" w:hAnsi="Courier New"/>
          <w:sz w:val="18"/>
          <w:szCs w:val="18"/>
          <w:color w:val="auto"/>
        </w:rPr>
      </w:pPr>
    </w:p>
    <w:p>
      <w:pPr>
        <w:ind w:left="1700" w:right="2519" w:hanging="639"/>
        <w:spacing w:after="0" w:line="290" w:lineRule="auto"/>
        <w:tabs>
          <w:tab w:leader="none" w:pos="1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The Company did not file any reports on Form 8-K during the quarter ended March 31, 1996.</w:t>
      </w:r>
    </w:p>
    <w:p>
      <w:pPr>
        <w:spacing w:after="0" w:line="200" w:lineRule="exact"/>
        <w:rPr>
          <w:sz w:val="20"/>
          <w:szCs w:val="20"/>
          <w:color w:val="auto"/>
        </w:rPr>
      </w:pPr>
    </w:p>
    <w:p>
      <w:pPr>
        <w:spacing w:after="0" w:line="3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April 30,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38" w:lineRule="auto"/>
        <w:rPr>
          <w:sz w:val="20"/>
          <w:szCs w:val="20"/>
          <w:color w:val="auto"/>
        </w:rPr>
      </w:pPr>
      <w:r>
        <w:rPr>
          <w:rFonts w:ascii="Courier New" w:cs="Courier New" w:eastAsia="Courier New" w:hAnsi="Courier New"/>
          <w:sz w:val="18"/>
          <w:szCs w:val="18"/>
          <w:color w:val="auto"/>
        </w:rPr>
        <w:t>President &amp; Chief Executive</w:t>
      </w: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1160" w:space="120"/>
            <w:col w:w="3060" w:space="720"/>
            <w:col w:w="51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April 30,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 Chief</w:t>
      </w: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1160" w:space="120"/>
            <w:col w:w="3060" w:space="720"/>
            <w:col w:w="5159"/>
          </w:cols>
          <w:pgMar w:left="240" w:top="312" w:right="1440" w:bottom="1440" w:gutter="0" w:footer="0" w:header="0"/>
          <w:type w:val="continuous"/>
        </w:sectPr>
      </w:pPr>
    </w:p>
    <w:p>
      <w:pPr>
        <w:spacing w:after="0" w:line="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1995 AND 1996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DEC-31-1995</w:t>
      </w:r>
    </w:p>
    <w:p>
      <w:pPr>
        <w:ind w:left="3020"/>
        <w:spacing w:after="0"/>
        <w:rPr>
          <w:sz w:val="20"/>
          <w:szCs w:val="20"/>
          <w:color w:val="auto"/>
        </w:rPr>
      </w:pPr>
      <w:r>
        <w:rPr>
          <w:rFonts w:ascii="Courier New" w:cs="Courier New" w:eastAsia="Courier New" w:hAnsi="Courier New"/>
          <w:sz w:val="18"/>
          <w:szCs w:val="18"/>
          <w:color w:val="auto"/>
        </w:rPr>
        <w:t>JAN-01-1996</w:t>
      </w:r>
    </w:p>
    <w:p>
      <w:pPr>
        <w:ind w:left="3240"/>
        <w:spacing w:after="0" w:line="237" w:lineRule="auto"/>
        <w:rPr>
          <w:sz w:val="20"/>
          <w:szCs w:val="20"/>
          <w:color w:val="auto"/>
        </w:rPr>
      </w:pPr>
      <w:r>
        <w:rPr>
          <w:rFonts w:ascii="Courier New" w:cs="Courier New" w:eastAsia="Courier New" w:hAnsi="Courier New"/>
          <w:sz w:val="18"/>
          <w:szCs w:val="18"/>
          <w:color w:val="auto"/>
        </w:rPr>
        <w:t>MAR-31-1996</w:t>
      </w:r>
    </w:p>
    <w:p>
      <w:pPr>
        <w:ind w:left="4400"/>
        <w:spacing w:after="0" w:line="238" w:lineRule="auto"/>
        <w:rPr>
          <w:sz w:val="20"/>
          <w:szCs w:val="20"/>
          <w:color w:val="auto"/>
        </w:rPr>
      </w:pPr>
      <w:r>
        <w:rPr>
          <w:rFonts w:ascii="Courier New" w:cs="Courier New" w:eastAsia="Courier New" w:hAnsi="Courier New"/>
          <w:sz w:val="18"/>
          <w:szCs w:val="18"/>
          <w:color w:val="auto"/>
        </w:rPr>
        <w:t>34,666</w:t>
      </w:r>
    </w:p>
    <w:p>
      <w:pPr>
        <w:ind w:left="428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27,425</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23,893</w:t>
      </w:r>
    </w:p>
    <w:p>
      <w:pPr>
        <w:ind w:left="3340"/>
        <w:spacing w:after="0"/>
        <w:rPr>
          <w:sz w:val="20"/>
          <w:szCs w:val="20"/>
          <w:color w:val="auto"/>
        </w:rPr>
      </w:pPr>
      <w:r>
        <w:rPr>
          <w:rFonts w:ascii="Courier New" w:cs="Courier New" w:eastAsia="Courier New" w:hAnsi="Courier New"/>
          <w:sz w:val="18"/>
          <w:szCs w:val="18"/>
          <w:color w:val="auto"/>
        </w:rPr>
        <w:t>96,401</w:t>
      </w:r>
    </w:p>
    <w:p>
      <w:pPr>
        <w:ind w:left="4400"/>
        <w:spacing w:after="0" w:line="237" w:lineRule="auto"/>
        <w:rPr>
          <w:sz w:val="20"/>
          <w:szCs w:val="20"/>
          <w:color w:val="auto"/>
        </w:rPr>
      </w:pPr>
      <w:r>
        <w:rPr>
          <w:rFonts w:ascii="Courier New" w:cs="Courier New" w:eastAsia="Courier New" w:hAnsi="Courier New"/>
          <w:sz w:val="18"/>
          <w:szCs w:val="18"/>
          <w:color w:val="auto"/>
        </w:rPr>
        <w:t>25,677</w:t>
      </w:r>
    </w:p>
    <w:p>
      <w:pPr>
        <w:ind w:left="3540"/>
        <w:spacing w:after="0" w:line="238" w:lineRule="auto"/>
        <w:rPr>
          <w:sz w:val="20"/>
          <w:szCs w:val="20"/>
          <w:color w:val="auto"/>
        </w:rPr>
      </w:pPr>
      <w:r>
        <w:rPr>
          <w:rFonts w:ascii="Courier New" w:cs="Courier New" w:eastAsia="Courier New" w:hAnsi="Courier New"/>
          <w:sz w:val="18"/>
          <w:szCs w:val="18"/>
          <w:color w:val="auto"/>
        </w:rPr>
        <w:t>10,354</w:t>
      </w:r>
    </w:p>
    <w:p>
      <w:pPr>
        <w:ind w:left="3440"/>
        <w:spacing w:after="0"/>
        <w:rPr>
          <w:sz w:val="20"/>
          <w:szCs w:val="20"/>
          <w:color w:val="auto"/>
        </w:rPr>
      </w:pPr>
      <w:r>
        <w:rPr>
          <w:rFonts w:ascii="Courier New" w:cs="Courier New" w:eastAsia="Courier New" w:hAnsi="Courier New"/>
          <w:sz w:val="18"/>
          <w:szCs w:val="18"/>
          <w:color w:val="auto"/>
        </w:rPr>
        <w:t>114,371</w:t>
      </w:r>
    </w:p>
    <w:p>
      <w:pPr>
        <w:ind w:left="2820"/>
        <w:spacing w:after="0" w:line="237" w:lineRule="auto"/>
        <w:rPr>
          <w:sz w:val="20"/>
          <w:szCs w:val="20"/>
          <w:color w:val="auto"/>
        </w:rPr>
      </w:pPr>
      <w:r>
        <w:rPr>
          <w:rFonts w:ascii="Courier New" w:cs="Courier New" w:eastAsia="Courier New" w:hAnsi="Courier New"/>
          <w:sz w:val="18"/>
          <w:szCs w:val="18"/>
          <w:color w:val="auto"/>
        </w:rPr>
        <w:t>33,441</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2920"/>
        <w:spacing w:after="0" w:line="237" w:lineRule="auto"/>
        <w:rPr>
          <w:sz w:val="20"/>
          <w:szCs w:val="20"/>
          <w:color w:val="auto"/>
        </w:rPr>
      </w:pPr>
      <w:r>
        <w:rPr>
          <w:rFonts w:ascii="Courier New" w:cs="Courier New" w:eastAsia="Courier New" w:hAnsi="Courier New"/>
          <w:sz w:val="18"/>
          <w:szCs w:val="18"/>
          <w:color w:val="auto"/>
        </w:rPr>
        <w:t>9,238</w:t>
      </w:r>
    </w:p>
    <w:p>
      <w:pPr>
        <w:ind w:left="4400"/>
        <w:spacing w:after="0"/>
        <w:rPr>
          <w:sz w:val="20"/>
          <w:szCs w:val="20"/>
          <w:color w:val="auto"/>
        </w:rPr>
      </w:pPr>
      <w:r>
        <w:rPr>
          <w:rFonts w:ascii="Courier New" w:cs="Courier New" w:eastAsia="Courier New" w:hAnsi="Courier New"/>
          <w:sz w:val="18"/>
          <w:szCs w:val="18"/>
          <w:color w:val="auto"/>
        </w:rPr>
        <w:t>0</w:t>
      </w:r>
    </w:p>
    <w:p>
      <w:pPr>
        <w:ind w:left="470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70,613</w:t>
      </w:r>
    </w:p>
    <w:p>
      <w:pPr>
        <w:ind w:left="1960"/>
        <w:spacing w:after="0"/>
        <w:rPr>
          <w:sz w:val="20"/>
          <w:szCs w:val="20"/>
          <w:color w:val="auto"/>
        </w:rPr>
      </w:pPr>
      <w:r>
        <w:rPr>
          <w:rFonts w:ascii="Courier New" w:cs="Courier New" w:eastAsia="Courier New" w:hAnsi="Courier New"/>
          <w:sz w:val="18"/>
          <w:szCs w:val="18"/>
          <w:color w:val="auto"/>
        </w:rPr>
        <w:t>114,371</w:t>
      </w:r>
    </w:p>
    <w:p>
      <w:pPr>
        <w:ind w:left="4280"/>
        <w:spacing w:after="0" w:line="237" w:lineRule="auto"/>
        <w:rPr>
          <w:sz w:val="20"/>
          <w:szCs w:val="20"/>
          <w:color w:val="auto"/>
        </w:rPr>
      </w:pPr>
      <w:r>
        <w:rPr>
          <w:rFonts w:ascii="Courier New" w:cs="Courier New" w:eastAsia="Courier New" w:hAnsi="Courier New"/>
          <w:sz w:val="18"/>
          <w:szCs w:val="18"/>
          <w:color w:val="auto"/>
        </w:rPr>
        <w:t>50,232</w:t>
      </w:r>
    </w:p>
    <w:p>
      <w:pPr>
        <w:ind w:left="3340"/>
        <w:spacing w:after="0"/>
        <w:rPr>
          <w:sz w:val="20"/>
          <w:szCs w:val="20"/>
          <w:color w:val="auto"/>
        </w:rPr>
      </w:pPr>
      <w:r>
        <w:rPr>
          <w:rFonts w:ascii="Courier New" w:cs="Courier New" w:eastAsia="Courier New" w:hAnsi="Courier New"/>
          <w:sz w:val="18"/>
          <w:szCs w:val="18"/>
          <w:color w:val="auto"/>
        </w:rPr>
        <w:t>50,232</w:t>
      </w:r>
    </w:p>
    <w:p>
      <w:pPr>
        <w:ind w:left="4500"/>
        <w:spacing w:after="0" w:line="237" w:lineRule="auto"/>
        <w:rPr>
          <w:sz w:val="20"/>
          <w:szCs w:val="20"/>
          <w:color w:val="auto"/>
        </w:rPr>
      </w:pPr>
      <w:r>
        <w:rPr>
          <w:rFonts w:ascii="Courier New" w:cs="Courier New" w:eastAsia="Courier New" w:hAnsi="Courier New"/>
          <w:sz w:val="18"/>
          <w:szCs w:val="18"/>
          <w:color w:val="auto"/>
        </w:rPr>
        <w:t>27,348</w:t>
      </w:r>
    </w:p>
    <w:p>
      <w:pPr>
        <w:ind w:left="3660"/>
        <w:spacing w:after="0"/>
        <w:rPr>
          <w:sz w:val="20"/>
          <w:szCs w:val="20"/>
          <w:color w:val="auto"/>
        </w:rPr>
      </w:pPr>
      <w:r>
        <w:rPr>
          <w:rFonts w:ascii="Courier New" w:cs="Courier New" w:eastAsia="Courier New" w:hAnsi="Courier New"/>
          <w:sz w:val="18"/>
          <w:szCs w:val="18"/>
          <w:color w:val="auto"/>
        </w:rPr>
        <w:t>27,348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12,894</w:t>
      </w:r>
    </w:p>
    <w:p>
      <w:pPr>
        <w:ind w:left="3860"/>
        <w:spacing w:after="0"/>
        <w:rPr>
          <w:sz w:val="20"/>
          <w:szCs w:val="20"/>
          <w:color w:val="auto"/>
        </w:rPr>
      </w:pPr>
      <w:r>
        <w:rPr>
          <w:rFonts w:ascii="Courier New" w:cs="Courier New" w:eastAsia="Courier New" w:hAnsi="Courier New"/>
          <w:sz w:val="18"/>
          <w:szCs w:val="18"/>
          <w:color w:val="auto"/>
        </w:rPr>
        <w:t>5,000</w:t>
      </w:r>
    </w:p>
    <w:p>
      <w:pPr>
        <w:ind w:left="3120"/>
        <w:spacing w:after="0" w:line="237" w:lineRule="auto"/>
        <w:rPr>
          <w:sz w:val="20"/>
          <w:szCs w:val="20"/>
          <w:color w:val="auto"/>
        </w:rPr>
      </w:pPr>
      <w:r>
        <w:rPr>
          <w:rFonts w:ascii="Courier New" w:cs="Courier New" w:eastAsia="Courier New" w:hAnsi="Courier New"/>
          <w:sz w:val="18"/>
          <w:szCs w:val="18"/>
          <w:color w:val="auto"/>
        </w:rPr>
        <w:t>7,894</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1919"/>
        <w:spacing w:after="0" w:line="237" w:lineRule="auto"/>
        <w:rPr>
          <w:sz w:val="20"/>
          <w:szCs w:val="20"/>
          <w:color w:val="auto"/>
        </w:rPr>
      </w:pPr>
      <w:r>
        <w:rPr>
          <w:rFonts w:ascii="Courier New" w:cs="Courier New" w:eastAsia="Courier New" w:hAnsi="Courier New"/>
          <w:sz w:val="18"/>
          <w:szCs w:val="18"/>
          <w:color w:val="auto"/>
        </w:rPr>
        <w:t>7,894</w:t>
      </w:r>
    </w:p>
    <w:p>
      <w:pPr>
        <w:jc w:val="center"/>
        <w:ind w:right="1919"/>
        <w:spacing w:after="0" w:line="238" w:lineRule="auto"/>
        <w:rPr>
          <w:sz w:val="20"/>
          <w:szCs w:val="20"/>
          <w:color w:val="auto"/>
        </w:rPr>
      </w:pPr>
      <w:r>
        <w:rPr>
          <w:rFonts w:ascii="Courier New" w:cs="Courier New" w:eastAsia="Courier New" w:hAnsi="Courier New"/>
          <w:sz w:val="18"/>
          <w:szCs w:val="18"/>
          <w:color w:val="auto"/>
        </w:rPr>
        <w:t>.81</w:t>
      </w:r>
    </w:p>
    <w:p>
      <w:pPr>
        <w:jc w:val="center"/>
        <w:ind w:right="1919"/>
        <w:spacing w:after="0"/>
        <w:rPr>
          <w:sz w:val="20"/>
          <w:szCs w:val="20"/>
          <w:color w:val="auto"/>
        </w:rPr>
      </w:pPr>
      <w:r>
        <w:rPr>
          <w:rFonts w:ascii="Courier New" w:cs="Courier New" w:eastAsia="Courier New" w:hAnsi="Courier New"/>
          <w:sz w:val="18"/>
          <w:szCs w:val="18"/>
          <w:color w:val="auto"/>
        </w:rPr>
        <w:t>.81</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2019-12-12T22:38:55Z</dcterms:created>
  <dcterms:modified xsi:type="dcterms:W3CDTF">2019-12-12T22:38:55Z</dcterms:modified>
</cp:coreProperties>
</file>