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040" w:type="dxa"/>
            <w:vAlign w:val="bottom"/>
          </w:tcPr>
          <w:p>
            <w:pPr>
              <w:spacing w:after="0"/>
              <w:rPr>
                <w:sz w:val="20"/>
                <w:szCs w:val="20"/>
                <w:color w:val="auto"/>
              </w:rPr>
            </w:pPr>
          </w:p>
        </w:tc>
        <w:tc>
          <w:tcPr>
            <w:tcW w:w="34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July 11, 2022</w:t>
            </w:r>
          </w:p>
        </w:tc>
      </w:tr>
      <w:tr>
        <w:trPr>
          <w:trHeight w:val="739"/>
        </w:trPr>
        <w:tc>
          <w:tcPr>
            <w:tcW w:w="3720" w:type="dxa"/>
            <w:vAlign w:val="bottom"/>
          </w:tcPr>
          <w:p>
            <w:pPr>
              <w:spacing w:after="0"/>
              <w:rPr>
                <w:sz w:val="24"/>
                <w:szCs w:val="24"/>
                <w:color w:val="auto"/>
              </w:rPr>
            </w:pPr>
          </w:p>
        </w:tc>
        <w:tc>
          <w:tcPr>
            <w:tcW w:w="4040" w:type="dxa"/>
            <w:vAlign w:val="bottom"/>
          </w:tcPr>
          <w:p>
            <w:pPr>
              <w:jc w:val="center"/>
              <w:ind w:right="129"/>
              <w:spacing w:after="0"/>
              <w:rPr>
                <w:sz w:val="20"/>
                <w:szCs w:val="20"/>
                <w:color w:val="auto"/>
              </w:rPr>
            </w:pPr>
            <w:r>
              <w:rPr>
                <w:rFonts w:ascii="Times New Roman" w:cs="Times New Roman" w:eastAsia="Times New Roman" w:hAnsi="Times New Roman"/>
                <w:sz w:val="43"/>
                <w:szCs w:val="43"/>
                <w:color w:val="auto"/>
                <w:w w:val="99"/>
              </w:rPr>
              <w:t>Cohu, Inc.</w:t>
            </w:r>
          </w:p>
        </w:tc>
        <w:tc>
          <w:tcPr>
            <w:tcW w:w="3480" w:type="dxa"/>
            <w:vAlign w:val="bottom"/>
          </w:tcPr>
          <w:p>
            <w:pPr>
              <w:spacing w:after="0"/>
              <w:rPr>
                <w:sz w:val="24"/>
                <w:szCs w:val="24"/>
                <w:color w:val="auto"/>
              </w:rPr>
            </w:pPr>
          </w:p>
        </w:tc>
      </w:tr>
      <w:tr>
        <w:trPr>
          <w:trHeight w:val="246"/>
        </w:trPr>
        <w:tc>
          <w:tcPr>
            <w:tcW w:w="37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r>
      <w:tr>
        <w:trPr>
          <w:trHeight w:val="480"/>
        </w:trPr>
        <w:tc>
          <w:tcPr>
            <w:tcW w:w="3720" w:type="dxa"/>
            <w:vAlign w:val="bottom"/>
          </w:tcPr>
          <w:p>
            <w:pPr>
              <w:spacing w:after="0"/>
              <w:rPr>
                <w:sz w:val="24"/>
                <w:szCs w:val="24"/>
                <w:color w:val="auto"/>
              </w:rPr>
            </w:pPr>
          </w:p>
        </w:tc>
        <w:tc>
          <w:tcPr>
            <w:tcW w:w="4040" w:type="dxa"/>
            <w:vAlign w:val="bottom"/>
          </w:tcPr>
          <w:p>
            <w:pPr>
              <w:jc w:val="center"/>
              <w:ind w:right="12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4"/>
                <w:szCs w:val="24"/>
                <w:color w:val="auto"/>
              </w:rPr>
            </w:pPr>
          </w:p>
        </w:tc>
      </w:tr>
      <w:tr>
        <w:trPr>
          <w:trHeight w:val="414"/>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Delaware</w:t>
            </w:r>
          </w:p>
        </w:tc>
        <w:tc>
          <w:tcPr>
            <w:tcW w:w="4040" w:type="dxa"/>
            <w:vAlign w:val="bottom"/>
          </w:tcPr>
          <w:p>
            <w:pPr>
              <w:jc w:val="center"/>
              <w:ind w:right="109"/>
              <w:spacing w:after="0"/>
              <w:rPr>
                <w:sz w:val="20"/>
                <w:szCs w:val="20"/>
                <w:color w:val="auto"/>
              </w:rPr>
            </w:pPr>
            <w:r>
              <w:rPr>
                <w:rFonts w:ascii="Times New Roman" w:cs="Times New Roman" w:eastAsia="Times New Roman" w:hAnsi="Times New Roman"/>
                <w:sz w:val="18"/>
                <w:szCs w:val="18"/>
                <w:color w:val="auto"/>
                <w:w w:val="99"/>
              </w:rPr>
              <w:t>001-04298</w:t>
            </w:r>
          </w:p>
        </w:tc>
        <w:tc>
          <w:tcPr>
            <w:tcW w:w="34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95-1934119</w:t>
            </w:r>
          </w:p>
        </w:tc>
      </w:tr>
      <w:tr>
        <w:trPr>
          <w:trHeight w:val="216"/>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040" w:type="dxa"/>
            <w:vAlign w:val="bottom"/>
          </w:tcPr>
          <w:p>
            <w:pPr>
              <w:jc w:val="center"/>
              <w:ind w:right="89"/>
              <w:spacing w:after="0"/>
              <w:rPr>
                <w:sz w:val="20"/>
                <w:szCs w:val="20"/>
                <w:color w:val="auto"/>
              </w:rPr>
            </w:pPr>
            <w:r>
              <w:rPr>
                <w:rFonts w:ascii="Times New Roman" w:cs="Times New Roman" w:eastAsia="Times New Roman" w:hAnsi="Times New Roman"/>
                <w:sz w:val="18"/>
                <w:szCs w:val="18"/>
                <w:color w:val="auto"/>
                <w:w w:val="98"/>
              </w:rPr>
              <w:t>(Commission</w:t>
            </w:r>
          </w:p>
        </w:tc>
        <w:tc>
          <w:tcPr>
            <w:tcW w:w="348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040" w:type="dxa"/>
            <w:vAlign w:val="bottom"/>
          </w:tcPr>
          <w:p>
            <w:pPr>
              <w:jc w:val="center"/>
              <w:ind w:right="89"/>
              <w:spacing w:after="0"/>
              <w:rPr>
                <w:sz w:val="20"/>
                <w:szCs w:val="20"/>
                <w:color w:val="auto"/>
              </w:rPr>
            </w:pPr>
            <w:r>
              <w:rPr>
                <w:rFonts w:ascii="Times New Roman" w:cs="Times New Roman" w:eastAsia="Times New Roman" w:hAnsi="Times New Roman"/>
                <w:sz w:val="18"/>
                <w:szCs w:val="18"/>
                <w:color w:val="auto"/>
                <w:w w:val="98"/>
              </w:rPr>
              <w:t>File Number)</w:t>
            </w:r>
          </w:p>
        </w:tc>
        <w:tc>
          <w:tcPr>
            <w:tcW w:w="3480" w:type="dxa"/>
            <w:vAlign w:val="bottom"/>
          </w:tcPr>
          <w:p>
            <w:pPr>
              <w:jc w:val="center"/>
              <w:ind w:right="1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12367 Crosthwaite Circle,</w:t>
            </w:r>
          </w:p>
        </w:tc>
        <w:tc>
          <w:tcPr>
            <w:tcW w:w="4040" w:type="dxa"/>
            <w:vAlign w:val="bottom"/>
          </w:tcPr>
          <w:p>
            <w:pPr>
              <w:spacing w:after="0"/>
              <w:rPr>
                <w:sz w:val="24"/>
                <w:szCs w:val="24"/>
                <w:color w:val="auto"/>
              </w:rPr>
            </w:pPr>
          </w:p>
        </w:tc>
        <w:tc>
          <w:tcPr>
            <w:tcW w:w="348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92064</w:t>
            </w:r>
          </w:p>
        </w:tc>
      </w:tr>
      <w:tr>
        <w:trPr>
          <w:trHeight w:val="216"/>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Poway, California</w:t>
            </w:r>
          </w:p>
        </w:tc>
        <w:tc>
          <w:tcPr>
            <w:tcW w:w="404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4040" w:type="dxa"/>
            <w:vAlign w:val="bottom"/>
          </w:tcPr>
          <w:p>
            <w:pPr>
              <w:spacing w:after="0"/>
              <w:rPr>
                <w:sz w:val="18"/>
                <w:szCs w:val="18"/>
                <w:color w:val="auto"/>
              </w:rPr>
            </w:pPr>
          </w:p>
        </w:tc>
        <w:tc>
          <w:tcPr>
            <w:tcW w:w="348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372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offices)</w:t>
            </w:r>
          </w:p>
        </w:tc>
        <w:tc>
          <w:tcPr>
            <w:tcW w:w="404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32"/>
        </w:trPr>
        <w:tc>
          <w:tcPr>
            <w:tcW w:w="77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4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858-848-8100</w:t>
            </w:r>
          </w:p>
        </w:tc>
      </w:tr>
      <w:tr>
        <w:trPr>
          <w:trHeight w:val="432"/>
        </w:trPr>
        <w:tc>
          <w:tcPr>
            <w:tcW w:w="3720" w:type="dxa"/>
            <w:vAlign w:val="bottom"/>
          </w:tcPr>
          <w:p>
            <w:pPr>
              <w:spacing w:after="0"/>
              <w:rPr>
                <w:sz w:val="24"/>
                <w:szCs w:val="24"/>
                <w:color w:val="auto"/>
              </w:rPr>
            </w:pPr>
          </w:p>
        </w:tc>
        <w:tc>
          <w:tcPr>
            <w:tcW w:w="4040" w:type="dxa"/>
            <w:vAlign w:val="bottom"/>
          </w:tcPr>
          <w:p>
            <w:pPr>
              <w:jc w:val="center"/>
              <w:ind w:right="109"/>
              <w:spacing w:after="0"/>
              <w:rPr>
                <w:sz w:val="20"/>
                <w:szCs w:val="20"/>
                <w:color w:val="auto"/>
              </w:rPr>
            </w:pPr>
            <w:r>
              <w:rPr>
                <w:rFonts w:ascii="Times New Roman" w:cs="Times New Roman" w:eastAsia="Times New Roman" w:hAnsi="Times New Roman"/>
                <w:sz w:val="18"/>
                <w:szCs w:val="18"/>
                <w:color w:val="auto"/>
                <w:w w:val="99"/>
              </w:rPr>
              <w:t>Not Applicable</w:t>
            </w:r>
          </w:p>
        </w:tc>
        <w:tc>
          <w:tcPr>
            <w:tcW w:w="34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445" w:right="3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560"/>
          </w:cols>
          <w:pgMar w:left="320" w:top="445" w:right="339" w:bottom="1440" w:gutter="0" w:footer="0" w:header="0"/>
          <w:type w:val="continuous"/>
        </w:sectPr>
      </w:pPr>
    </w:p>
    <w:p>
      <w:pPr>
        <w:spacing w:after="0" w:line="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July 11, 2022, Cohu, Inc. (“Cohu”) issued a press release containing a business update and provided selected preliminary second quarter 2022 results. A copy of the press release is furnished as Exhibit 99.1 hereto and is incorporated herein by reference.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on July 13, 2022, Cohu management will participate in the 14th Annual CEO Summit, being held at the St. Regis Hotel, San Francisco. Cohu is furnishing on this Form 8-K the presentation to be referenced in our remarks at the conference and associated meetings.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Exhibits 99.1 and 99.2 are furnished herewith,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information furnished pursuant to this Item 7.01, including Exhibits 99.1 and 99.2 furnished herewith, contains “forward-looking statements” within the meaning of the safe harbor provisions of the federal securities laws. They should be read in conjunction with the “Cautionary Statement Regarding Forward-Looking Statements” disclosure contained in the Virtual Analyst and Investor Conference Presentation, the risk factors included in the Company’s periodic reports filed with the SEC, and the other public announcements that the Company may make, by press release or otherwise, from time to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 Exhibit</w:t>
            </w: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432"/>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Cohu, Inc, dated July 11, 2022</w:t>
            </w:r>
          </w:p>
        </w:tc>
        <w:tc>
          <w:tcPr>
            <w:tcW w:w="5780" w:type="dxa"/>
            <w:vAlign w:val="bottom"/>
          </w:tcPr>
          <w:p>
            <w:pPr>
              <w:spacing w:after="0"/>
              <w:rPr>
                <w:sz w:val="24"/>
                <w:szCs w:val="24"/>
                <w:color w:val="auto"/>
              </w:rPr>
            </w:pPr>
          </w:p>
        </w:tc>
      </w:tr>
      <w:tr>
        <w:trPr>
          <w:trHeight w:val="41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2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July 2022 Cohu Investor Presentation</w:t>
            </w:r>
          </w:p>
        </w:tc>
      </w:tr>
      <w:tr>
        <w:trPr>
          <w:trHeight w:val="20"/>
        </w:trPr>
        <w:tc>
          <w:tcPr>
            <w:tcW w:w="20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r>
      <w:tr>
        <w:trPr>
          <w:trHeight w:val="45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70"/>
        </w:trPr>
        <w:tc>
          <w:tcPr>
            <w:tcW w:w="2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r>
      <w:tr>
        <w:trPr>
          <w:trHeight w:val="622"/>
        </w:trPr>
        <w:tc>
          <w:tcPr>
            <w:tcW w:w="2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38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Cohu, Inc.</w:t>
            </w:r>
          </w:p>
        </w:tc>
      </w:tr>
      <w:tr>
        <w:trPr>
          <w:trHeight w:val="391"/>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July 11, 2022</w:t>
            </w:r>
          </w:p>
        </w:tc>
        <w:tc>
          <w:tcPr>
            <w:tcW w:w="6380" w:type="dxa"/>
            <w:vAlign w:val="bottom"/>
            <w:gridSpan w:val="3"/>
          </w:tcPr>
          <w:p>
            <w:pPr>
              <w:ind w:left="2540"/>
              <w:spacing w:after="0"/>
              <w:rPr>
                <w:sz w:val="20"/>
                <w:szCs w:val="20"/>
                <w:color w:val="auto"/>
              </w:rPr>
            </w:pPr>
            <w:r>
              <w:rPr>
                <w:rFonts w:ascii="Times New Roman" w:cs="Times New Roman" w:eastAsia="Times New Roman" w:hAnsi="Times New Roman"/>
                <w:sz w:val="18"/>
                <w:szCs w:val="18"/>
                <w:i w:val="1"/>
                <w:iCs w:val="1"/>
                <w:color w:val="auto"/>
              </w:rPr>
              <w:t>By: /s/ Jeffrey D. Jones</w:t>
            </w:r>
          </w:p>
        </w:tc>
      </w:tr>
      <w:tr>
        <w:trPr>
          <w:trHeight w:val="20"/>
        </w:trPr>
        <w:tc>
          <w:tcPr>
            <w:tcW w:w="3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3200" w:type="dxa"/>
            <w:vAlign w:val="bottom"/>
          </w:tcPr>
          <w:p>
            <w:pPr>
              <w:spacing w:after="0"/>
              <w:rPr>
                <w:sz w:val="18"/>
                <w:szCs w:val="18"/>
                <w:color w:val="auto"/>
              </w:rPr>
            </w:pPr>
          </w:p>
        </w:tc>
        <w:tc>
          <w:tcPr>
            <w:tcW w:w="6380" w:type="dxa"/>
            <w:vAlign w:val="bottom"/>
            <w:gridSpan w:val="3"/>
          </w:tcPr>
          <w:p>
            <w:pPr>
              <w:ind w:left="2540"/>
              <w:spacing w:after="0"/>
              <w:rPr>
                <w:sz w:val="20"/>
                <w:szCs w:val="20"/>
                <w:color w:val="auto"/>
              </w:rPr>
            </w:pPr>
            <w:r>
              <w:rPr>
                <w:rFonts w:ascii="Times New Roman" w:cs="Times New Roman" w:eastAsia="Times New Roman" w:hAnsi="Times New Roman"/>
                <w:sz w:val="18"/>
                <w:szCs w:val="18"/>
                <w:i w:val="1"/>
                <w:iCs w:val="1"/>
                <w:color w:val="auto"/>
              </w:rPr>
              <w:t>Name: Jeffrey D. Jones</w:t>
            </w:r>
          </w:p>
        </w:tc>
      </w:tr>
      <w:tr>
        <w:trPr>
          <w:trHeight w:val="236"/>
        </w:trPr>
        <w:tc>
          <w:tcPr>
            <w:tcW w:w="3200" w:type="dxa"/>
            <w:vAlign w:val="bottom"/>
          </w:tcPr>
          <w:p>
            <w:pPr>
              <w:spacing w:after="0"/>
              <w:rPr>
                <w:sz w:val="20"/>
                <w:szCs w:val="20"/>
                <w:color w:val="auto"/>
              </w:rPr>
            </w:pPr>
          </w:p>
        </w:tc>
        <w:tc>
          <w:tcPr>
            <w:tcW w:w="6380" w:type="dxa"/>
            <w:vAlign w:val="bottom"/>
            <w:gridSpan w:val="3"/>
          </w:tcPr>
          <w:p>
            <w:pPr>
              <w:ind w:left="2540"/>
              <w:spacing w:after="0"/>
              <w:rPr>
                <w:sz w:val="20"/>
                <w:szCs w:val="20"/>
                <w:color w:val="auto"/>
              </w:rPr>
            </w:pPr>
            <w:r>
              <w:rPr>
                <w:rFonts w:ascii="Times New Roman" w:cs="Times New Roman" w:eastAsia="Times New Roman" w:hAnsi="Times New Roman"/>
                <w:sz w:val="18"/>
                <w:szCs w:val="18"/>
                <w:i w:val="1"/>
                <w:iCs w:val="1"/>
                <w:color w:val="auto"/>
                <w:w w:val="99"/>
              </w:rPr>
              <w:t>Title: Senior VP Finance and Chief Financial Officer</w:t>
            </w:r>
          </w:p>
        </w:tc>
      </w:tr>
    </w:tbl>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156845</wp:posOffset>
            </wp:positionV>
            <wp:extent cx="318008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00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-119380</wp:posOffset>
            </wp:positionV>
            <wp:extent cx="2540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00" cy="822960"/>
                    </a:xfrm>
                    <a:prstGeom prst="rect">
                      <a:avLst/>
                    </a:prstGeom>
                    <a:noFill/>
                  </pic:spPr>
                </pic:pic>
              </a:graphicData>
            </a:graphic>
          </wp:anchor>
        </w:drawing>
      </w:r>
    </w:p>
    <w:p>
      <w:pPr>
        <w:spacing w:after="0" w:line="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www.cohu.com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Provides Business Update for the Second Quarter Ending June 25, 2022</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POWAY, Calif., July 11, 2022 -- Cohu, Inc. (NASDAQ: COHU), a global leader in back-end semiconductor equipment and services, today provided a business update to its fiscal second quarter 2022 guidance:</w:t>
      </w:r>
    </w:p>
    <w:p>
      <w:pPr>
        <w:spacing w:after="0" w:line="160" w:lineRule="exact"/>
        <w:rPr>
          <w:sz w:val="20"/>
          <w:szCs w:val="20"/>
          <w:color w:val="auto"/>
        </w:rPr>
      </w:pPr>
    </w:p>
    <w:p>
      <w:pPr>
        <w:ind w:left="420" w:right="100" w:hanging="331"/>
        <w:spacing w:after="0" w:line="284"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 second quarter revenue of $216 to $218 million, higher than the guidance range mid-point of $213 million; second quarter recurring revenue is expected to be approximately 39%</w:t>
      </w:r>
    </w:p>
    <w:p>
      <w:pPr>
        <w:spacing w:after="0" w:line="158"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ending backlog is expected to be approximately $342 million, substantially shipping over the next three quarters</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is expected to be in-line with second quarter non-GAAP guidance</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Repurchased 504,102 shares totaling approximately $14 million during the second quarter</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Repaid approximately $16 million of term loan B debt reducing the second quarter outstanding balance to approximately $79 million</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 second quarter ending cash balance to be approximately $368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will provide detailed comments on second quarter results and third quarter guidance during its earnings call on Thursday, July 28,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Cohu (NASDAQ: COHU) is a global leader in back-end semiconductor equipment and services, delivering leading-edge solutions for the manufacturing of semiconductors.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Referred to within this press release are non-GAAP financial measures, including non-GAAP Gross Margin/Profit and Operating Expense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loss on sale of business, employer payroll taxes related to accelerated vesting share-based awards, depreciation of purchase accounting adjustments to property, plant and equipment, reduction of indemnification receivable,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and gain (loss) on extinguishment of debt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(including second quarter 2022 guidance),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Preliminary Financial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All projected financial information in this release is preliminary, as financial close procedures for the period are not yet complete. These preliminary financial results are not a comprehensive statement of Cohu’s financial position and results of operations. Actual results may differ materially from these preliminary financial results as a result of the completion of normal quarter-end accounting procedures and adjustments, including the execution of Cohu’s internal control over financial reporting, the completion of the preparation and management’s review of its financial statements for the relevant period and the subsequent occurrence or identification of events prior to the filing of Cohu’s financial results for the relevant period with the U.S. Securities and Exchange Commission. Cohu will not be providing any additional information regarding its fiscal second quarter 2022 performance until its earnings release expected on July 28,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release may be considered forward-looking statements within the meaning of the U.S. Private Securities Litigation Reform Act of 1995, including statements regarding Cohu’s second quarter 2022 expected sales and non-GAAP gross margin being in-line with guidance, all other references to second quarter guidance, recurring revenue, backlog and cash, any statements about the second half of 2022, timing to ship backlog,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t>Actual results, including our second quarter 2022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the ongoing global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including ongoing shortages of semiconductor devices used in our system products; continued high inflation;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ectPr>
          <w:pgSz w:w="11900" w:h="16838" w:orient="portrait"/>
          <w:cols w:equalWidth="0" w:num="1">
            <w:col w:w="11240"/>
          </w:cols>
          <w:pgMar w:left="320" w:top="580" w:right="339" w:bottom="1440" w:gutter="0" w:footer="0" w:header="0"/>
        </w:sectPr>
      </w:pPr>
    </w:p>
    <w:bookmarkStart w:id="6" w:name="page7"/>
    <w:bookmarkEnd w:id="6"/>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4999355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473075</wp:posOffset>
            </wp:positionV>
            <wp:extent cx="6643370" cy="3737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373761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4340860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4340860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456565</wp:posOffset>
            </wp:positionH>
            <wp:positionV relativeFrom="page">
              <wp:posOffset>243205</wp:posOffset>
            </wp:positionV>
            <wp:extent cx="6643370" cy="3737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643370" cy="3737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2022-07-11T15:08:22Z</dcterms:created>
  <dcterms:modified xsi:type="dcterms:W3CDTF">2022-07-11T15:08:22Z</dcterms:modified>
</cp:coreProperties>
</file>