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 Amendment No. 1)*</w:t>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(Name of Issuer)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195" w:lineRule="exact"/>
        <w:rPr>
          <w:sz w:val="24"/>
          <w:szCs w:val="24"/>
          <w:color w:val="auto"/>
        </w:rPr>
      </w:pPr>
    </w:p>
    <w:p>
      <w:pPr>
        <w:ind w:left="5220"/>
        <w:spacing w:after="0"/>
        <w:rPr>
          <w:sz w:val="20"/>
          <w:szCs w:val="20"/>
          <w:color w:val="auto"/>
        </w:rPr>
      </w:pPr>
      <w:r>
        <w:rPr>
          <w:rFonts w:ascii="Arial" w:cs="Arial" w:eastAsia="Arial" w:hAnsi="Arial"/>
          <w:sz w:val="16"/>
          <w:szCs w:val="16"/>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(CUSIP Number)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9820" w:firstLine="8"/>
        <w:spacing w:after="0" w:line="216" w:lineRule="exact"/>
        <w:tabs>
          <w:tab w:leader="none" w:pos="281"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color w:val="auto"/>
        </w:rPr>
        <w:t xml:space="preserve">Rule 13d-1(b)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13d-1(c)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13d-1(d)</w:t>
      </w:r>
    </w:p>
    <w:p>
      <w:pPr>
        <w:spacing w:after="0" w:line="202" w:lineRule="exact"/>
        <w:rPr>
          <w:sz w:val="24"/>
          <w:szCs w:val="24"/>
          <w:color w:val="auto"/>
        </w:rPr>
      </w:pPr>
    </w:p>
    <w:p>
      <w:pPr>
        <w:ind w:right="140" w:firstLine="8"/>
        <w:spacing w:after="0" w:line="195"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8"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00"/>
          </w:cols>
          <w:pgMar w:left="320" w:top="233" w:right="479" w:bottom="1440" w:gutter="0" w:footer="0" w:header="0"/>
        </w:sectPr>
      </w:pPr>
    </w:p>
    <w:bookmarkStart w:id="1" w:name="page2"/>
    <w:bookmarkEnd w:id="1"/>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192576106</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2 of 4 Pages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0"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Victory Capital Management Inc.</w:t>
      </w:r>
    </w:p>
    <w:p>
      <w:pPr>
        <w:spacing w:after="0" w:line="207" w:lineRule="exact"/>
        <w:rPr>
          <w:rFonts w:ascii="Times New Roman" w:cs="Times New Roman" w:eastAsia="Times New Roman" w:hAnsi="Times New Roman"/>
          <w:sz w:val="16"/>
          <w:szCs w:val="16"/>
          <w:color w:val="auto"/>
        </w:rPr>
      </w:pPr>
    </w:p>
    <w:p>
      <w:pPr>
        <w:ind w:left="460" w:right="5740"/>
        <w:spacing w:after="0" w:line="41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IDENTIFICATION NOS. OF ABOVE PERSONS (ENTITIES ONLY) 13-2700161</w:t>
      </w:r>
    </w:p>
    <w:p>
      <w:pPr>
        <w:spacing w:after="0" w:line="1" w:lineRule="exact"/>
        <w:rPr>
          <w:rFonts w:ascii="Times New Roman" w:cs="Times New Roman" w:eastAsia="Times New Roman" w:hAnsi="Times New Roman"/>
          <w:sz w:val="16"/>
          <w:szCs w:val="16"/>
          <w:color w:val="auto"/>
        </w:rPr>
      </w:pPr>
    </w:p>
    <w:p>
      <w:pPr>
        <w:ind w:left="460" w:right="6300" w:hanging="344"/>
        <w:spacing w:after="0" w:line="269"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800" w:hanging="333"/>
        <w:spacing w:after="0" w:line="190" w:lineRule="exact"/>
        <w:tabs>
          <w:tab w:leader="none" w:pos="80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50" w:lineRule="exact"/>
        <w:rPr>
          <w:rFonts w:ascii="Times New Roman" w:cs="Times New Roman" w:eastAsia="Times New Roman" w:hAnsi="Times New Roman"/>
          <w:sz w:val="16"/>
          <w:szCs w:val="16"/>
          <w:color w:val="auto"/>
        </w:rPr>
      </w:pPr>
    </w:p>
    <w:p>
      <w:pPr>
        <w:ind w:left="820" w:hanging="353"/>
        <w:spacing w:after="0" w:line="190" w:lineRule="exact"/>
        <w:tabs>
          <w:tab w:leader="none" w:pos="82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26" w:lineRule="exact"/>
        <w:rPr>
          <w:rFonts w:ascii="Times New Roman" w:cs="Times New Roman" w:eastAsia="Times New Roman" w:hAnsi="Times New Roman"/>
          <w:sz w:val="16"/>
          <w:szCs w:val="16"/>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16" w:lineRule="exact"/>
        <w:rPr>
          <w:rFonts w:ascii="Times New Roman" w:cs="Times New Roman" w:eastAsia="Times New Roman" w:hAnsi="Times New Roman"/>
          <w:sz w:val="16"/>
          <w:szCs w:val="16"/>
          <w:color w:val="auto"/>
        </w:rPr>
      </w:pPr>
    </w:p>
    <w:p>
      <w:pPr>
        <w:ind w:left="460" w:right="7460" w:hanging="344"/>
        <w:spacing w:after="0" w:line="562"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New York</w:t>
      </w:r>
    </w:p>
    <w:p>
      <w:pPr>
        <w:spacing w:after="0" w:line="245" w:lineRule="exact"/>
        <w:rPr>
          <w:rFonts w:ascii="Times New Roman" w:cs="Times New Roman" w:eastAsia="Times New Roman" w:hAnsi="Times New Roman"/>
          <w:sz w:val="16"/>
          <w:szCs w:val="16"/>
          <w:color w:val="auto"/>
        </w:rPr>
      </w:pPr>
    </w:p>
    <w:p>
      <w:pPr>
        <w:ind w:left="2040" w:hanging="345"/>
        <w:spacing w:after="0"/>
        <w:tabs>
          <w:tab w:leader="none" w:pos="20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-1624965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-1084580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2,955,729</w:t>
            </w:r>
          </w:p>
        </w:tc>
        <w:tc>
          <w:tcPr>
            <w:tcW w:w="8480" w:type="dxa"/>
            <w:vAlign w:val="bottom"/>
            <w:tcBorders>
              <w:bottom w:val="single" w:sz="8" w:color="auto"/>
            </w:tcBorders>
          </w:tcPr>
          <w:p>
            <w:pPr>
              <w:spacing w:after="0"/>
              <w:rPr>
                <w:sz w:val="18"/>
                <w:szCs w:val="18"/>
                <w:color w:val="auto"/>
              </w:rPr>
            </w:pPr>
          </w:p>
        </w:tc>
      </w:tr>
      <w:tr>
        <w:trPr>
          <w:trHeight w:val="188"/>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4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2"/>
              </w:rPr>
              <w:t>6.</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10"/>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80" w:type="dxa"/>
            <w:vAlign w:val="bottom"/>
            <w:tcBorders>
              <w:bottom w:val="single" w:sz="8" w:color="auto"/>
            </w:tcBorders>
          </w:tcPr>
          <w:p>
            <w:pPr>
              <w:spacing w:after="0"/>
              <w:rPr>
                <w:sz w:val="18"/>
                <w:szCs w:val="18"/>
                <w:color w:val="auto"/>
              </w:rPr>
            </w:pPr>
          </w:p>
        </w:tc>
      </w:tr>
      <w:tr>
        <w:trPr>
          <w:trHeight w:val="175"/>
        </w:trPr>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OWNED BY EACH</w:t>
            </w:r>
          </w:p>
        </w:tc>
        <w:tc>
          <w:tcPr>
            <w:tcW w:w="140" w:type="dxa"/>
            <w:vAlign w:val="bottom"/>
          </w:tcPr>
          <w:p>
            <w:pPr>
              <w:spacing w:after="0"/>
              <w:rPr>
                <w:sz w:val="15"/>
                <w:szCs w:val="15"/>
                <w:color w:val="auto"/>
              </w:rPr>
            </w:pPr>
          </w:p>
        </w:tc>
        <w:tc>
          <w:tcPr>
            <w:tcW w:w="22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w w:val="82"/>
              </w:rPr>
              <w:t>7.</w:t>
            </w:r>
          </w:p>
        </w:tc>
        <w:tc>
          <w:tcPr>
            <w:tcW w:w="932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6"/>
                <w:szCs w:val="16"/>
                <w:color w:val="auto"/>
              </w:rPr>
              <w:t>SOLE DISPOSITIVE POWER</w:t>
            </w: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24"/>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2,971,600</w:t>
            </w:r>
          </w:p>
        </w:tc>
        <w:tc>
          <w:tcPr>
            <w:tcW w:w="8480" w:type="dxa"/>
            <w:vAlign w:val="bottom"/>
            <w:tcBorders>
              <w:bottom w:val="single" w:sz="8" w:color="auto"/>
            </w:tcBorders>
          </w:tcPr>
          <w:p>
            <w:pPr>
              <w:spacing w:after="0"/>
              <w:rPr>
                <w:sz w:val="19"/>
                <w:szCs w:val="19"/>
                <w:color w:val="auto"/>
              </w:rPr>
            </w:pPr>
          </w:p>
        </w:tc>
      </w:tr>
      <w:tr>
        <w:trPr>
          <w:trHeight w:val="210"/>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2"/>
              </w:rPr>
              <w:t>8.</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r>
      <w:tr>
        <w:trPr>
          <w:trHeight w:val="394"/>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80" w:type="dxa"/>
            <w:vAlign w:val="bottom"/>
            <w:tcBorders>
              <w:bottom w:val="single" w:sz="8" w:color="auto"/>
            </w:tcBorders>
          </w:tcPr>
          <w:p>
            <w:pPr>
              <w:spacing w:after="0"/>
              <w:rPr>
                <w:sz w:val="24"/>
                <w:szCs w:val="24"/>
                <w:color w:val="auto"/>
              </w:rPr>
            </w:pPr>
          </w:p>
        </w:tc>
      </w:tr>
      <w:tr>
        <w:trPr>
          <w:trHeight w:val="671"/>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9.</w:t>
            </w:r>
          </w:p>
        </w:tc>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r>
      <w:tr>
        <w:trPr>
          <w:trHeight w:val="213"/>
        </w:trPr>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2,971,600</w:t>
            </w:r>
          </w:p>
        </w:tc>
      </w:tr>
      <w:tr>
        <w:trPr>
          <w:trHeight w:val="145"/>
        </w:trPr>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419"/>
              <w:spacing w:after="0" w:line="145" w:lineRule="exact"/>
              <w:rPr>
                <w:sz w:val="20"/>
                <w:szCs w:val="20"/>
                <w:color w:val="auto"/>
              </w:rPr>
            </w:pPr>
            <w:r>
              <w:rPr>
                <w:rFonts w:ascii="Times New Roman" w:cs="Times New Roman" w:eastAsia="Times New Roman" w:hAnsi="Times New Roman"/>
                <w:sz w:val="16"/>
                <w:szCs w:val="16"/>
                <w:color w:val="auto"/>
              </w:rPr>
              <w:t>10.</w:t>
            </w:r>
          </w:p>
        </w:tc>
        <w:tc>
          <w:tcPr>
            <w:tcW w:w="8480" w:type="dxa"/>
            <w:vAlign w:val="bottom"/>
          </w:tcPr>
          <w:p>
            <w:pPr>
              <w:ind w:left="100"/>
              <w:spacing w:after="0" w:line="145" w:lineRule="exact"/>
              <w:rPr>
                <w:sz w:val="20"/>
                <w:szCs w:val="20"/>
                <w:color w:val="auto"/>
              </w:rPr>
            </w:pPr>
            <w:r>
              <w:rPr>
                <w:rFonts w:ascii="Times New Roman" w:cs="Times New Roman" w:eastAsia="Times New Roman" w:hAnsi="Times New Roman"/>
                <w:sz w:val="16"/>
                <w:szCs w:val="16"/>
                <w:color w:val="auto"/>
              </w:rPr>
              <w:t>CHECK IF THE AGGREGATE AMOUNT IN ROW (9) EXCLUDES CERTAIN SHARES</w:t>
            </w:r>
          </w:p>
        </w:tc>
      </w:tr>
      <w:tr>
        <w:trPr>
          <w:trHeight w:val="303"/>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ind w:left="100"/>
              <w:spacing w:after="0" w:line="196" w:lineRule="exact"/>
              <w:rPr>
                <w:sz w:val="20"/>
                <w:szCs w:val="20"/>
                <w:color w:val="auto"/>
              </w:rPr>
            </w:pPr>
            <w:r>
              <w:rPr>
                <w:rFonts w:ascii="Times New Roman" w:cs="Times New Roman" w:eastAsia="Times New Roman" w:hAnsi="Times New Roman"/>
                <w:sz w:val="16"/>
                <w:szCs w:val="16"/>
                <w:color w:val="auto"/>
              </w:rPr>
              <w:t xml:space="preserve">(see instructions)  </w:t>
            </w:r>
            <w:r>
              <w:rPr>
                <w:rFonts w:ascii="MS PGothic" w:cs="MS PGothic" w:eastAsia="MS PGothic" w:hAnsi="MS PGothic"/>
                <w:sz w:val="17"/>
                <w:szCs w:val="17"/>
                <w:color w:val="auto"/>
              </w:rPr>
              <w:t>☐</w:t>
            </w:r>
          </w:p>
        </w:tc>
      </w:tr>
      <w:tr>
        <w:trPr>
          <w:trHeight w:val="183"/>
        </w:trPr>
        <w:tc>
          <w:tcPr>
            <w:tcW w:w="1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480" w:type="dxa"/>
            <w:vAlign w:val="bottom"/>
            <w:tcBorders>
              <w:bottom w:val="single" w:sz="8" w:color="auto"/>
            </w:tcBorders>
          </w:tcPr>
          <w:p>
            <w:pPr>
              <w:spacing w:after="0"/>
              <w:rPr>
                <w:sz w:val="15"/>
                <w:szCs w:val="15"/>
                <w:color w:val="auto"/>
              </w:rPr>
            </w:pPr>
          </w:p>
        </w:tc>
      </w:tr>
      <w:tr>
        <w:trPr>
          <w:trHeight w:val="204"/>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11.</w:t>
            </w:r>
          </w:p>
        </w:tc>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r>
      <w:tr>
        <w:trPr>
          <w:trHeight w:val="435"/>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6.26%</w:t>
            </w:r>
          </w:p>
        </w:tc>
      </w:tr>
      <w:tr>
        <w:trPr>
          <w:trHeight w:val="207"/>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12.</w:t>
            </w:r>
          </w:p>
        </w:tc>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TYPE OF REPORTING PERSON (see instructions)</w:t>
            </w:r>
          </w:p>
        </w:tc>
      </w:tr>
    </w:tbl>
    <w:p>
      <w:pPr>
        <w:spacing w:after="0" w:line="2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192576106</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3 of 4 Pages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67"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6"/>
          <w:szCs w:val="16"/>
          <w:color w:val="auto"/>
        </w:rPr>
        <w:t>(a)</w:t>
        <w:tab/>
        <w:t>Name of Issuer</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Cohu Inc.</w:t>
      </w:r>
    </w:p>
    <w:p>
      <w:pPr>
        <w:spacing w:after="0" w:line="225" w:lineRule="exact"/>
        <w:rPr>
          <w:sz w:val="20"/>
          <w:szCs w:val="20"/>
          <w:color w:val="auto"/>
        </w:rPr>
      </w:pPr>
    </w:p>
    <w:p>
      <w:pPr>
        <w:ind w:left="680" w:right="7480" w:hanging="335"/>
        <w:spacing w:after="0" w:line="269" w:lineRule="auto"/>
        <w:tabs>
          <w:tab w:leader="none" w:pos="6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 12367 Crosthwaite Circle</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Poway, CA 92064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67" w:lineRule="exact"/>
        <w:rPr>
          <w:sz w:val="20"/>
          <w:szCs w:val="20"/>
          <w:color w:val="auto"/>
        </w:rPr>
      </w:pPr>
    </w:p>
    <w:p>
      <w:pPr>
        <w:ind w:left="680" w:hanging="335"/>
        <w:spacing w:after="0"/>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Persons Filing</w:t>
      </w:r>
    </w:p>
    <w:p>
      <w:pPr>
        <w:spacing w:after="0" w:line="26"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Victory Capital Management Inc.</w:t>
      </w:r>
    </w:p>
    <w:p>
      <w:pPr>
        <w:spacing w:after="0" w:line="253" w:lineRule="exact"/>
        <w:rPr>
          <w:rFonts w:ascii="Times New Roman" w:cs="Times New Roman" w:eastAsia="Times New Roman" w:hAnsi="Times New Roman"/>
          <w:sz w:val="16"/>
          <w:szCs w:val="16"/>
          <w:color w:val="auto"/>
        </w:rPr>
      </w:pPr>
    </w:p>
    <w:p>
      <w:pPr>
        <w:ind w:left="680" w:right="7140" w:hanging="335"/>
        <w:spacing w:after="0" w:line="230"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the Principal Office or, if none, residence 4900 Tiedeman Rd.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Brooklyn, OH 44144</w:t>
      </w:r>
    </w:p>
    <w:p>
      <w:pPr>
        <w:spacing w:after="0" w:line="243" w:lineRule="exact"/>
        <w:rPr>
          <w:rFonts w:ascii="Times New Roman" w:cs="Times New Roman" w:eastAsia="Times New Roman" w:hAnsi="Times New Roman"/>
          <w:sz w:val="16"/>
          <w:szCs w:val="16"/>
          <w:color w:val="auto"/>
        </w:rPr>
      </w:pPr>
    </w:p>
    <w:p>
      <w:pPr>
        <w:ind w:left="680" w:right="982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New York</w:t>
      </w:r>
    </w:p>
    <w:p>
      <w:pPr>
        <w:spacing w:after="0" w:line="191" w:lineRule="exact"/>
        <w:rPr>
          <w:rFonts w:ascii="Times New Roman" w:cs="Times New Roman" w:eastAsia="Times New Roman" w:hAnsi="Times New Roman"/>
          <w:sz w:val="16"/>
          <w:szCs w:val="16"/>
          <w:color w:val="auto"/>
        </w:rPr>
      </w:pPr>
    </w:p>
    <w:p>
      <w:pPr>
        <w:ind w:left="680" w:right="884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spacing w:after="0" w:line="191" w:lineRule="exact"/>
        <w:rPr>
          <w:rFonts w:ascii="Times New Roman" w:cs="Times New Roman" w:eastAsia="Times New Roman" w:hAnsi="Times New Roman"/>
          <w:sz w:val="16"/>
          <w:szCs w:val="16"/>
          <w:color w:val="auto"/>
        </w:rPr>
      </w:pPr>
    </w:p>
    <w:p>
      <w:pPr>
        <w:ind w:left="680" w:right="952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192576106</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22" w:lineRule="exact"/>
        <w:rPr>
          <w:sz w:val="20"/>
          <w:szCs w:val="20"/>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Broker or dealer registered under section 15 of the Act (15 U.S.C. 78o).</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Bank as defined in section 3(a)(6)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Insurance company as defined in section 3(a)(19)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Investment company registered under section 8 of the Investment Company Act of 1940 (15 U.S.C. 80a-8).</w:t>
      </w:r>
    </w:p>
    <w:p>
      <w:pPr>
        <w:spacing w:after="0" w:line="335" w:lineRule="exact"/>
        <w:rPr>
          <w:rFonts w:ascii="Times New Roman" w:cs="Times New Roman" w:eastAsia="Times New Roman" w:hAnsi="Times New Roman"/>
          <w:sz w:val="16"/>
          <w:szCs w:val="16"/>
          <w:color w:val="auto"/>
        </w:rPr>
      </w:pPr>
    </w:p>
    <w:p>
      <w:pPr>
        <w:ind w:left="680" w:hanging="335"/>
        <w:spacing w:after="0"/>
        <w:tabs>
          <w:tab w:leader="none" w:pos="680" w:val="left"/>
        </w:tabs>
        <w:numPr>
          <w:ilvl w:val="0"/>
          <w:numId w:val="6"/>
        </w:numPr>
        <w:rPr>
          <w:rFonts w:ascii="Times New Roman" w:cs="Times New Roman" w:eastAsia="Times New Roman" w:hAnsi="Times New Roman"/>
          <w:sz w:val="16"/>
          <w:szCs w:val="16"/>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An investment adviser in accordance with §240.13d-1(b)(1)(ii)(E);</w:t>
      </w:r>
    </w:p>
    <w:p>
      <w:pPr>
        <w:spacing w:after="0" w:line="241"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An employee benefit plan or endowment fund in accordance with §240.13d-1(b)(1)(ii)(F);</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parent holding company or control person in accordance with §240.13d-1(b)(1)(ii)(G);</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savings associations as defined in Section 3(b) of the Federal Deposit Insurance Act (12 U.S.C. 1813);</w:t>
      </w:r>
    </w:p>
    <w:p>
      <w:pPr>
        <w:spacing w:after="0" w:line="290" w:lineRule="exact"/>
        <w:rPr>
          <w:rFonts w:ascii="Times New Roman" w:cs="Times New Roman" w:eastAsia="Times New Roman" w:hAnsi="Times New Roman"/>
          <w:sz w:val="16"/>
          <w:szCs w:val="16"/>
          <w:color w:val="auto"/>
        </w:rPr>
      </w:pPr>
    </w:p>
    <w:p>
      <w:pPr>
        <w:ind w:left="1020" w:right="20" w:hanging="675"/>
        <w:spacing w:after="0" w:line="229" w:lineRule="exact"/>
        <w:tabs>
          <w:tab w:leader="none" w:pos="683"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church plan that is excluded from the definition of an investment company under section 3(c)(14) of the Investment Company Act of 1940 (15 U.S.C. 80a-3);</w:t>
      </w:r>
    </w:p>
    <w:p>
      <w:pPr>
        <w:spacing w:after="0" w:line="200" w:lineRule="exact"/>
        <w:rPr>
          <w:rFonts w:ascii="Times New Roman" w:cs="Times New Roman" w:eastAsia="Times New Roman" w:hAnsi="Times New Roman"/>
          <w:sz w:val="16"/>
          <w:szCs w:val="16"/>
          <w:color w:val="auto"/>
        </w:rPr>
      </w:pPr>
    </w:p>
    <w:p>
      <w:pPr>
        <w:spacing w:after="0" w:line="219"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Group, in accordance with §240.13d-1(b)(1)(ii)(J).</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ectPr>
          <w:pgSz w:w="11900" w:h="16838" w:orient="portrait"/>
          <w:cols w:equalWidth="0" w:num="1">
            <w:col w:w="11240"/>
          </w:cols>
          <w:pgMar w:left="320" w:top="136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2971600</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6.26%</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the person has:</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2,955,729</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0</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2971600</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0</w:t>
      </w:r>
    </w:p>
    <w:p>
      <w:pPr>
        <w:spacing w:after="0" w:line="180"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21" w:lineRule="exact"/>
        <w:rPr>
          <w:sz w:val="20"/>
          <w:szCs w:val="20"/>
          <w:color w:val="auto"/>
        </w:rPr>
      </w:pPr>
    </w:p>
    <w:p>
      <w:pPr>
        <w:ind w:right="500"/>
        <w:spacing w:after="0" w:line="223"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6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210" w:lineRule="exact"/>
        <w:rPr>
          <w:sz w:val="20"/>
          <w:szCs w:val="20"/>
          <w:color w:val="auto"/>
        </w:rPr>
      </w:pPr>
    </w:p>
    <w:p>
      <w:pPr>
        <w:ind w:left="880" w:hanging="427"/>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certification shall be included if the statement is filed pursuant to §240.13d-1(b):</w:t>
      </w:r>
    </w:p>
    <w:p>
      <w:pPr>
        <w:spacing w:after="0" w:line="302" w:lineRule="exact"/>
        <w:rPr>
          <w:rFonts w:ascii="Times New Roman" w:cs="Times New Roman" w:eastAsia="Times New Roman" w:hAnsi="Times New Roman"/>
          <w:sz w:val="16"/>
          <w:szCs w:val="16"/>
          <w:color w:val="auto"/>
        </w:rPr>
      </w:pPr>
    </w:p>
    <w:p>
      <w:pPr>
        <w:jc w:val="both"/>
        <w:ind w:left="880" w:right="1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80"/>
          </w:cols>
          <w:pgMar w:left="320" w:top="638" w:right="399" w:bottom="1440" w:gutter="0" w:footer="0" w:header="0"/>
        </w:sectPr>
      </w:pPr>
    </w:p>
    <w:bookmarkStart w:id="4" w:name="page5"/>
    <w:bookmarkEnd w:id="4"/>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192576106</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4 of 4 Pages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2/6/2024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Barry Garrett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Barry Garrett/ Chief Compliance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2024-02-06T09:34:35Z</dcterms:created>
  <dcterms:modified xsi:type="dcterms:W3CDTF">2024-02-06T09:34:35Z</dcterms:modified>
</cp:coreProperties>
</file>