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340"/>
        <w:spacing w:after="0"/>
        <w:rPr>
          <w:sz w:val="20"/>
          <w:szCs w:val="20"/>
          <w:color w:val="auto"/>
        </w:rPr>
      </w:pPr>
      <w:r>
        <w:rPr>
          <w:rFonts w:ascii="Arial" w:cs="Arial" w:eastAsia="Arial" w:hAnsi="Arial"/>
          <w:sz w:val="22"/>
          <w:szCs w:val="22"/>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OMB Number: 3235-0145</w:t>
      </w:r>
    </w:p>
    <w:p>
      <w:pPr>
        <w:spacing w:after="0" w:line="2"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Expires: February 28, 2009</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Estimated average burden</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22"/>
          <w:szCs w:val="22"/>
          <w:color w:val="auto"/>
        </w:rPr>
        <w:t>hours per response...11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8)*</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 $1.00 Par Value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001751-19257610</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Rule 13d-1(b)</w:t>
      </w:r>
    </w:p>
    <w:p>
      <w:pPr>
        <w:spacing w:after="0" w:line="198"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0"/>
          <w:szCs w:val="20"/>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1880" w:type="dxa"/>
            <w:vAlign w:val="bottom"/>
            <w:gridSpan w:val="6"/>
          </w:tcPr>
          <w:p>
            <w:pPr>
              <w:jc w:val="center"/>
              <w:ind w:right="520"/>
              <w:spacing w:after="0"/>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Table of Contents</w:t>
              </w:r>
            </w:hyperlink>
          </w:p>
        </w:tc>
        <w:tc>
          <w:tcPr>
            <w:tcW w:w="1220" w:type="dxa"/>
            <w:vAlign w:val="bottom"/>
          </w:tcPr>
          <w:p>
            <w:pPr>
              <w:spacing w:after="0"/>
              <w:rPr>
                <w:sz w:val="17"/>
                <w:szCs w:val="17"/>
                <w:color w:val="auto"/>
              </w:rPr>
            </w:pPr>
          </w:p>
        </w:tc>
        <w:tc>
          <w:tcPr>
            <w:tcW w:w="8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9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auto"/>
                <w:w w:val="99"/>
              </w:rPr>
              <w:t>CUSIP No.</w:t>
            </w:r>
          </w:p>
        </w:tc>
        <w:tc>
          <w:tcPr>
            <w:tcW w:w="1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20" w:type="dxa"/>
            <w:vAlign w:val="bottom"/>
            <w:tcBorders>
              <w:left w:val="single" w:sz="8" w:color="auto"/>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gridSpan w:val="3"/>
          </w:tcPr>
          <w:p>
            <w:pPr>
              <w:jc w:val="right"/>
              <w:ind w:right="350"/>
              <w:spacing w:after="0"/>
              <w:rPr>
                <w:sz w:val="20"/>
                <w:szCs w:val="20"/>
                <w:color w:val="auto"/>
              </w:rPr>
            </w:pPr>
            <w:r>
              <w:rPr>
                <w:rFonts w:ascii="Arial" w:cs="Arial" w:eastAsia="Arial" w:hAnsi="Arial"/>
                <w:sz w:val="18"/>
                <w:szCs w:val="18"/>
                <w:color w:val="auto"/>
                <w:w w:val="88"/>
              </w:rPr>
              <w:t>001751-19257610</w:t>
            </w:r>
          </w:p>
        </w:tc>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Nicholas J. Cedrone</w:t>
            </w:r>
          </w:p>
        </w:tc>
        <w:tc>
          <w:tcPr>
            <w:tcW w:w="0" w:type="dxa"/>
            <w:vAlign w:val="bottom"/>
          </w:tcPr>
          <w:p>
            <w:pPr>
              <w:spacing w:after="0"/>
              <w:rPr>
                <w:sz w:val="1"/>
                <w:szCs w:val="1"/>
                <w:color w:val="auto"/>
              </w:rPr>
            </w:pPr>
          </w:p>
        </w:tc>
      </w:tr>
      <w:tr>
        <w:trPr>
          <w:trHeight w:val="269"/>
        </w:trPr>
        <w:tc>
          <w:tcPr>
            <w:tcW w:w="64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10820" w:type="dxa"/>
            <w:vAlign w:val="bottom"/>
            <w:tcBorders>
              <w:bottom w:val="single" w:sz="8" w:color="auto"/>
              <w:right w:val="single" w:sz="8" w:color="auto"/>
            </w:tcBorders>
            <w:gridSpan w:val="8"/>
          </w:tcPr>
          <w:p>
            <w:pPr>
              <w:ind w:left="100"/>
              <w:spacing w:after="0"/>
              <w:rPr>
                <w:sz w:val="20"/>
                <w:szCs w:val="20"/>
                <w:color w:val="auto"/>
              </w:rPr>
            </w:pPr>
            <w:r>
              <w:rPr>
                <w:rFonts w:ascii="Arial" w:cs="Arial" w:eastAsia="Arial" w:hAnsi="Arial"/>
                <w:sz w:val="18"/>
                <w:szCs w:val="18"/>
                <w:color w:val="auto"/>
              </w:rPr>
              <w:t>Nicholas J. Cedrone</w:t>
            </w:r>
          </w:p>
        </w:tc>
        <w:tc>
          <w:tcPr>
            <w:tcW w:w="0" w:type="dxa"/>
            <w:vAlign w:val="bottom"/>
          </w:tcPr>
          <w:p>
            <w:pPr>
              <w:spacing w:after="0"/>
              <w:rPr>
                <w:sz w:val="1"/>
                <w:szCs w:val="1"/>
                <w:color w:val="auto"/>
              </w:rPr>
            </w:pPr>
          </w:p>
        </w:tc>
      </w:tr>
      <w:tr>
        <w:trPr>
          <w:trHeight w:val="270"/>
        </w:trPr>
        <w:tc>
          <w:tcPr>
            <w:tcW w:w="64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3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5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United States</w:t>
            </w:r>
          </w:p>
        </w:tc>
        <w:tc>
          <w:tcPr>
            <w:tcW w:w="12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32"/>
                <w:szCs w:val="32"/>
                <w:b w:val="1"/>
                <w:bCs w:val="1"/>
                <w:color w:val="auto"/>
              </w:rPr>
              <w:t>5</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1,286,138</w:t>
            </w: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8"/>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32"/>
                <w:szCs w:val="32"/>
                <w:b w:val="1"/>
                <w:bCs w:val="1"/>
                <w:color w:val="auto"/>
              </w:rPr>
              <w:t>6</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gridSpan w:val="2"/>
            <w:vMerge w:val="continue"/>
          </w:tcPr>
          <w:p>
            <w:pPr>
              <w:spacing w:after="0"/>
              <w:rPr>
                <w:sz w:val="22"/>
                <w:szCs w:val="22"/>
                <w:color w:val="auto"/>
              </w:rPr>
            </w:pPr>
          </w:p>
        </w:tc>
        <w:tc>
          <w:tcPr>
            <w:tcW w:w="12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8"/>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32"/>
                <w:szCs w:val="32"/>
                <w:b w:val="1"/>
                <w:bCs w:val="1"/>
                <w:color w:val="auto"/>
              </w:rPr>
              <w:t>7</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gridSpan w:val="2"/>
            <w:vMerge w:val="continue"/>
          </w:tcPr>
          <w:p>
            <w:pPr>
              <w:spacing w:after="0"/>
              <w:rPr>
                <w:sz w:val="22"/>
                <w:szCs w:val="22"/>
                <w:color w:val="auto"/>
              </w:rPr>
            </w:pPr>
          </w:p>
        </w:tc>
        <w:tc>
          <w:tcPr>
            <w:tcW w:w="1220" w:type="dxa"/>
            <w:vAlign w:val="bottom"/>
          </w:tcPr>
          <w:p>
            <w:pPr>
              <w:spacing w:after="0"/>
              <w:rPr>
                <w:sz w:val="22"/>
                <w:szCs w:val="22"/>
                <w:color w:val="auto"/>
              </w:rPr>
            </w:pPr>
          </w:p>
        </w:tc>
        <w:tc>
          <w:tcPr>
            <w:tcW w:w="832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gridSpan w:val="3"/>
          </w:tcPr>
          <w:p>
            <w:pPr>
              <w:jc w:val="center"/>
              <w:ind w:left="178"/>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1,286,138</w:t>
            </w: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1040" w:type="dxa"/>
            <w:vAlign w:val="bottom"/>
            <w:gridSpan w:val="3"/>
          </w:tcPr>
          <w:p>
            <w:pPr>
              <w:jc w:val="center"/>
              <w:ind w:left="158"/>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32"/>
                <w:szCs w:val="32"/>
                <w:b w:val="1"/>
                <w:bCs w:val="1"/>
                <w:color w:val="auto"/>
              </w:rPr>
              <w:t>8</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95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1,286,138</w:t>
            </w:r>
          </w:p>
        </w:tc>
        <w:tc>
          <w:tcPr>
            <w:tcW w:w="12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40" w:type="dxa"/>
            <w:vAlign w:val="bottom"/>
            <w:gridSpan w:val="2"/>
          </w:tcPr>
          <w:p>
            <w:pPr>
              <w:ind w:left="37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32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405" w:right="19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Ownership</w:t>
        </w:r>
      </w:hyperlink>
    </w:p>
    <w:p>
      <w:pPr>
        <w:ind w:left="320"/>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Ownership of Five Percent or Less of a Class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Ownership of More than Five Percent on Behalf of Another Person</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Identification and Classification of the Subsidiary Which Acquired the Security Being Reported on by the</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Parent Holding Company</w:t>
        </w:r>
      </w:hyperlink>
    </w:p>
    <w:p>
      <w:pPr>
        <w:spacing w:after="0" w:line="1" w:lineRule="exact"/>
        <w:rPr>
          <w:sz w:val="20"/>
          <w:szCs w:val="20"/>
          <w:color w:val="auto"/>
        </w:rPr>
      </w:pPr>
    </w:p>
    <w:p>
      <w:pPr>
        <w:ind w:left="320" w:right="41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Identification and Classification of Members of the Group</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Item 9 Notice of Dissolution of Group</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Item 10 Certification</w:t>
        </w:r>
      </w:hyperlink>
    </w:p>
    <w:p>
      <w:pPr>
        <w:spacing w:after="0" w:line="2" w:lineRule="exact"/>
        <w:rPr>
          <w:rFonts w:ascii="Arial" w:cs="Arial" w:eastAsia="Arial" w:hAnsi="Arial"/>
          <w:sz w:val="22"/>
          <w:szCs w:val="22"/>
          <w:u w:val="single" w:color="auto"/>
          <w:color w:val="0000EE"/>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820" w:top="112" w:right="9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Name of Issuer:</w:t>
            </w:r>
          </w:p>
        </w:tc>
      </w:tr>
      <w:tr>
        <w:trPr>
          <w:trHeight w:val="230"/>
        </w:trPr>
        <w:tc>
          <w:tcPr>
            <w:tcW w:w="1960" w:type="dxa"/>
            <w:vAlign w:val="bottom"/>
          </w:tcPr>
          <w:p>
            <w:pPr>
              <w:spacing w:after="0"/>
              <w:rPr>
                <w:sz w:val="20"/>
                <w:szCs w:val="20"/>
                <w:color w:val="auto"/>
              </w:rPr>
            </w:pPr>
          </w:p>
        </w:tc>
        <w:tc>
          <w:tcPr>
            <w:tcW w:w="9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Cohu, Inc.</w:t>
            </w:r>
          </w:p>
        </w:tc>
      </w:tr>
      <w:tr>
        <w:trPr>
          <w:trHeight w:val="42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230"/>
        </w:trPr>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12367 Crosthwaite Circle, Poway, CA 92064</w:t>
            </w:r>
          </w:p>
        </w:tc>
      </w:tr>
      <w:tr>
        <w:trPr>
          <w:trHeight w:val="42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Name of Person Filing:</w:t>
            </w:r>
          </w:p>
        </w:tc>
      </w:tr>
      <w:tr>
        <w:trPr>
          <w:trHeight w:val="230"/>
        </w:trPr>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Nicholas J. Cedrone</w:t>
            </w:r>
          </w:p>
        </w:tc>
      </w:tr>
      <w:tr>
        <w:trPr>
          <w:trHeight w:val="42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One Monarch Drive, Littleton, MA 01460</w:t>
            </w:r>
          </w:p>
        </w:tc>
      </w:tr>
      <w:tr>
        <w:trPr>
          <w:trHeight w:val="42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Citizenship:</w:t>
            </w:r>
          </w:p>
        </w:tc>
      </w:tr>
      <w:tr>
        <w:trPr>
          <w:trHeight w:val="230"/>
        </w:trPr>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United States</w:t>
            </w:r>
          </w:p>
        </w:tc>
      </w:tr>
      <w:tr>
        <w:trPr>
          <w:trHeight w:val="42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Title of Class of Securities:</w:t>
            </w:r>
          </w:p>
        </w:tc>
      </w:tr>
      <w:tr>
        <w:trPr>
          <w:trHeight w:val="230"/>
        </w:trPr>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$1.00 par value</w:t>
            </w:r>
          </w:p>
        </w:tc>
      </w:tr>
      <w:tr>
        <w:trPr>
          <w:trHeight w:val="425"/>
        </w:trPr>
        <w:tc>
          <w:tcPr>
            <w:tcW w:w="1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CUSIP Number:</w:t>
            </w:r>
          </w:p>
        </w:tc>
      </w:tr>
      <w:tr>
        <w:trPr>
          <w:trHeight w:val="230"/>
        </w:trPr>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001751-19257610</w:t>
            </w:r>
          </w:p>
        </w:tc>
      </w:tr>
      <w:tr>
        <w:trPr>
          <w:trHeight w:val="392"/>
        </w:trPr>
        <w:tc>
          <w:tcPr>
            <w:tcW w:w="1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if this statement is filed pursuant to Rule 13d-1(c),</w:t>
            </w:r>
          </w:p>
        </w:tc>
      </w:tr>
      <w:tr>
        <w:trPr>
          <w:trHeight w:val="283"/>
        </w:trPr>
        <w:tc>
          <w:tcPr>
            <w:tcW w:w="1960" w:type="dxa"/>
            <w:vAlign w:val="bottom"/>
          </w:tcPr>
          <w:p>
            <w:pPr>
              <w:spacing w:after="0"/>
              <w:rPr>
                <w:sz w:val="24"/>
                <w:szCs w:val="24"/>
                <w:color w:val="auto"/>
              </w:rPr>
            </w:pPr>
          </w:p>
        </w:tc>
        <w:tc>
          <w:tcPr>
            <w:tcW w:w="9460" w:type="dxa"/>
            <w:vAlign w:val="bottom"/>
            <w:gridSpan w:val="2"/>
          </w:tcPr>
          <w:p>
            <w:pPr>
              <w:spacing w:after="0" w:line="207" w:lineRule="exact"/>
              <w:rPr>
                <w:sz w:val="20"/>
                <w:szCs w:val="20"/>
                <w:color w:val="auto"/>
              </w:rPr>
            </w:pPr>
            <w:r>
              <w:rPr>
                <w:rFonts w:ascii="Arial" w:cs="Arial" w:eastAsia="Arial" w:hAnsi="Arial"/>
                <w:sz w:val="18"/>
                <w:szCs w:val="18"/>
                <w:b w:val="1"/>
                <w:bCs w:val="1"/>
                <w:color w:val="auto"/>
              </w:rPr>
              <w:t xml:space="preserve">check this box </w:t>
            </w:r>
            <w:r>
              <w:rPr>
                <w:rFonts w:ascii="MS PGothic" w:cs="MS PGothic" w:eastAsia="MS PGothic" w:hAnsi="MS PGothic"/>
                <w:sz w:val="18"/>
                <w:szCs w:val="18"/>
                <w:color w:val="auto"/>
                <w:highlight w:val="black"/>
              </w:rPr>
              <w:t>☑</w:t>
            </w:r>
          </w:p>
        </w:tc>
      </w:tr>
      <w:tr>
        <w:trPr>
          <w:trHeight w:val="412"/>
        </w:trPr>
        <w:tc>
          <w:tcPr>
            <w:tcW w:w="1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Ownership</w:t>
            </w: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The aggregate number and percentage of the class of securities of the issuer identified in Item 1 owned by Mr. Cedrone on</w:t>
      </w:r>
    </w:p>
    <w:p>
      <w:pPr>
        <w:spacing w:after="0" w:line="3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December 31, 2006 was as follows:</w:t>
      </w:r>
    </w:p>
    <w:p>
      <w:pPr>
        <w:spacing w:after="0" w:line="9" w:lineRule="exact"/>
        <w:rPr>
          <w:sz w:val="20"/>
          <w:szCs w:val="20"/>
          <w:color w:val="auto"/>
        </w:rPr>
      </w:pPr>
    </w:p>
    <w:p>
      <w:pPr>
        <w:ind w:left="2880" w:hanging="495"/>
        <w:spacing w:after="0"/>
        <w:tabs>
          <w:tab w:leader="none" w:pos="2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u w:val="single" w:color="auto"/>
          <w:color w:val="auto"/>
        </w:rPr>
        <w:t>1,286,138</w:t>
      </w:r>
      <w:r>
        <w:rPr>
          <w:rFonts w:ascii="Arial" w:cs="Arial" w:eastAsia="Arial" w:hAnsi="Arial"/>
          <w:sz w:val="18"/>
          <w:szCs w:val="18"/>
          <w:color w:val="auto"/>
        </w:rPr>
        <w:t xml:space="preserve"> .</w:t>
      </w:r>
    </w:p>
    <w:p>
      <w:pPr>
        <w:spacing w:after="0" w:line="9" w:lineRule="exact"/>
        <w:rPr>
          <w:rFonts w:ascii="Arial" w:cs="Arial" w:eastAsia="Arial" w:hAnsi="Arial"/>
          <w:sz w:val="18"/>
          <w:szCs w:val="18"/>
          <w:color w:val="auto"/>
        </w:rPr>
      </w:pPr>
    </w:p>
    <w:p>
      <w:pPr>
        <w:ind w:left="2880" w:hanging="495"/>
        <w:spacing w:after="0"/>
        <w:tabs>
          <w:tab w:leader="none" w:pos="2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u w:val="single" w:color="auto"/>
          <w:color w:val="auto"/>
        </w:rPr>
        <w:t>5.67%</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880" w:hanging="495"/>
        <w:spacing w:after="0"/>
        <w:tabs>
          <w:tab w:leader="none" w:pos="2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sz w:val="20"/>
          <w:szCs w:val="20"/>
          <w:color w:val="auto"/>
        </w:rPr>
      </w:pPr>
    </w:p>
    <w:p>
      <w:pPr>
        <w:ind w:left="2880" w:hanging="495"/>
        <w:spacing w:after="0"/>
        <w:tabs>
          <w:tab w:leader="none" w:pos="2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u w:val="single" w:color="auto"/>
          <w:color w:val="auto"/>
        </w:rPr>
        <w:t>1,286,138</w:t>
      </w:r>
      <w:r>
        <w:rPr>
          <w:rFonts w:ascii="Arial" w:cs="Arial" w:eastAsia="Arial" w:hAnsi="Arial"/>
          <w:sz w:val="18"/>
          <w:szCs w:val="18"/>
          <w:color w:val="auto"/>
        </w:rPr>
        <w:t xml:space="preserve"> .</w:t>
      </w:r>
    </w:p>
    <w:p>
      <w:pPr>
        <w:spacing w:after="0" w:line="9" w:lineRule="exact"/>
        <w:rPr>
          <w:sz w:val="20"/>
          <w:szCs w:val="20"/>
          <w:color w:val="auto"/>
        </w:rPr>
      </w:pPr>
    </w:p>
    <w:p>
      <w:pPr>
        <w:ind w:left="2380"/>
        <w:spacing w:after="0"/>
        <w:tabs>
          <w:tab w:leader="none" w:pos="2860" w:val="left"/>
          <w:tab w:leader="none" w:pos="67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Shared power to vote or to direct the vote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-19050</wp:posOffset>
            </wp:positionV>
            <wp:extent cx="571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2880" w:hanging="495"/>
        <w:spacing w:after="0"/>
        <w:tabs>
          <w:tab w:leader="none" w:pos="2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u w:val="single" w:color="auto"/>
          <w:color w:val="auto"/>
        </w:rPr>
        <w:t>1,286,138</w:t>
      </w:r>
      <w:r>
        <w:rPr>
          <w:rFonts w:ascii="Arial" w:cs="Arial" w:eastAsia="Arial" w:hAnsi="Arial"/>
          <w:sz w:val="18"/>
          <w:szCs w:val="18"/>
          <w:color w:val="auto"/>
        </w:rPr>
        <w:t xml:space="preserve"> .</w:t>
      </w:r>
    </w:p>
    <w:p>
      <w:pPr>
        <w:spacing w:after="0" w:line="9" w:lineRule="exact"/>
        <w:rPr>
          <w:sz w:val="20"/>
          <w:szCs w:val="20"/>
          <w:color w:val="auto"/>
        </w:rPr>
      </w:pPr>
    </w:p>
    <w:p>
      <w:pPr>
        <w:ind w:left="2380"/>
        <w:spacing w:after="0"/>
        <w:tabs>
          <w:tab w:leader="none" w:pos="2860" w:val="left"/>
          <w:tab w:leader="none" w:pos="7700" w:val="left"/>
        </w:tabs>
        <w:rPr>
          <w:sz w:val="20"/>
          <w:szCs w:val="20"/>
          <w:color w:val="auto"/>
        </w:rPr>
      </w:pPr>
      <w:r>
        <w:rPr>
          <w:rFonts w:ascii="Arial" w:cs="Arial" w:eastAsia="Arial" w:hAnsi="Arial"/>
          <w:sz w:val="18"/>
          <w:szCs w:val="18"/>
          <w:color w:val="auto"/>
        </w:rPr>
        <w:t>(iv)</w:t>
        <w:tab/>
        <w:t>Shared power to dispose or to direct the disposition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4324350</wp:posOffset>
            </wp:positionH>
            <wp:positionV relativeFrom="paragraph">
              <wp:posOffset>-19050</wp:posOffset>
            </wp:positionV>
            <wp:extent cx="571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January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Nicholas J. Cedrone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Nicholas J. Cedrone</w:t>
      </w:r>
    </w:p>
    <w:sectPr>
      <w:pgSz w:w="11900" w:h="16838" w:orient="portrait"/>
      <w:cols w:equalWidth="0" w:num="1">
        <w:col w:w="11300"/>
      </w:cols>
      <w:pgMar w:left="240" w:top="4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2019-12-11T16:54:28Z</dcterms:created>
  <dcterms:modified xsi:type="dcterms:W3CDTF">2019-12-11T16:54:28Z</dcterms:modified>
</cp:coreProperties>
</file>