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001-04298</w:t>
            </w:r>
          </w:p>
        </w:tc>
        <w:tc>
          <w:tcPr>
            <w:tcW w:w="2880" w:type="dxa"/>
            <w:vAlign w:val="bottom"/>
          </w:tcPr>
          <w:p>
            <w:pPr>
              <w:jc w:val="center"/>
              <w:ind w:left="1661"/>
              <w:spacing w:after="0"/>
              <w:rPr>
                <w:sz w:val="20"/>
                <w:szCs w:val="20"/>
                <w:color w:val="auto"/>
              </w:rPr>
            </w:pPr>
            <w:r>
              <w:rPr>
                <w:rFonts w:ascii="Arial" w:cs="Arial" w:eastAsia="Arial" w:hAnsi="Arial"/>
                <w:sz w:val="18"/>
                <w:szCs w:val="18"/>
                <w:b w:val="1"/>
                <w:bCs w:val="1"/>
                <w:color w:val="auto"/>
                <w:w w:val="89"/>
              </w:rPr>
              <w:t>95-1934119</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12367 Crosthwaite Circle</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Poway, CA</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92064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(858)-848-8100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Annual Meeting of Stockholders of Cohu, Inc. (the “Company”) was held on May 14, 2014 (the “Annual Meeting”). At the Annual Meeting, the Company’s stockholders cast their votes on three proposals, as set forth below. Cohu had 25,182,694 shares outstanding on the March 21, 2014 record date and 23,926,860 (95.01%) were represented at the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Robert L. Ciardella was elected as a director of the Company. The results of the vote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14,817,602; Votes Withheld – 5,521,232; Broker Non-Votes – 3,588,026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 was elected as a director of the Company. The results of the vote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14,855,357; Votes Withheld – 5,483,477; Broker Non-Votes – 3,588,026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remaining directors continuing in office until 2015 are Harry L. Casari and Harold Harrigian and until 2016 are James A. Donahue and Steven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Bilodeau.</w:t>
      </w:r>
    </w:p>
    <w:p>
      <w:pPr>
        <w:spacing w:after="0" w:line="31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Proposal 2. The advisory vote on executive compensation of Named Executive Officers, as disclosed in the Proxy Statement, was approved. The results were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Votes For – 11,945,402; Votes Against – 8,146,967; Abstentions – 246,465; Broker Non-Votes – 3,588,026</w:t>
      </w:r>
    </w:p>
    <w:p>
      <w:pPr>
        <w:spacing w:after="0" w:line="32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Proposal 3. The ratification of the appointment of Ernst &amp; Young LLP as the Company’s independent registered public accounting firm for the year ending December 27, 2014 was approved. The results were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Votes For – 23,643,452; Votes Against – 153,934; Abstentions – 129,474; Broker Non-Votes –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presentation material from the Annual Meeting is available at </w:t>
      </w:r>
      <w:r>
        <w:rPr>
          <w:rFonts w:ascii="Arial" w:cs="Arial" w:eastAsia="Arial" w:hAnsi="Arial"/>
          <w:sz w:val="18"/>
          <w:szCs w:val="18"/>
          <w:u w:val="single" w:color="auto"/>
          <w:color w:val="auto"/>
        </w:rPr>
        <w:t>www.cohu.com/investors/presentations.htm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May 14, 2014 the Company reported that the Cohu Board of Directors, at a meeting on May 13, 2014, declared a quarterly cash dividend of six cents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($0.06) per share payable August 1, 2014 to shareholders of record on June 20, 2014. The Company has paid consecutive quarterly cash dividends since 1977.</w:t>
      </w:r>
    </w:p>
    <w:p>
      <w:pPr>
        <w:sectPr>
          <w:pgSz w:w="11900" w:h="16838" w:orient="portrait"/>
          <w:cols w:equalWidth="0" w:num="1">
            <w:col w:w="11420"/>
          </w:cols>
          <w:pgMar w:left="240" w:top="27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14, 2014</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Vice President, Finance &amp; 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2019-12-05T07:53:55Z</dcterms:created>
  <dcterms:modified xsi:type="dcterms:W3CDTF">2019-12-05T07:53:55Z</dcterms:modified>
</cp:coreProperties>
</file>