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28, 2021</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57150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220" w:type="dxa"/>
            <w:vAlign w:val="bottom"/>
            <w:gridSpan w:val="2"/>
          </w:tcPr>
          <w:p>
            <w:pPr>
              <w:jc w:val="center"/>
              <w:ind w:right="860"/>
              <w:spacing w:after="0"/>
              <w:rPr>
                <w:sz w:val="20"/>
                <w:szCs w:val="20"/>
                <w:color w:val="auto"/>
              </w:rPr>
            </w:pPr>
            <w:r>
              <w:rPr>
                <w:rFonts w:ascii="Arial" w:cs="Arial" w:eastAsia="Arial" w:hAnsi="Arial"/>
                <w:sz w:val="18"/>
                <w:szCs w:val="18"/>
                <w:color w:val="auto"/>
                <w:w w:val="89"/>
              </w:rPr>
              <w:t>Delaware</w:t>
            </w:r>
          </w:p>
        </w:tc>
        <w:tc>
          <w:tcPr>
            <w:tcW w:w="2880" w:type="dxa"/>
            <w:vAlign w:val="bottom"/>
            <w:gridSpan w:val="2"/>
          </w:tcPr>
          <w:p>
            <w:pPr>
              <w:jc w:val="right"/>
              <w:ind w:right="210"/>
              <w:spacing w:after="0"/>
              <w:rPr>
                <w:sz w:val="20"/>
                <w:szCs w:val="20"/>
                <w:color w:val="auto"/>
              </w:rPr>
            </w:pPr>
            <w:r>
              <w:rPr>
                <w:rFonts w:ascii="Arial" w:cs="Arial" w:eastAsia="Arial" w:hAnsi="Arial"/>
                <w:sz w:val="18"/>
                <w:szCs w:val="18"/>
                <w:color w:val="auto"/>
              </w:rPr>
              <w:t>001-04298</w:t>
            </w:r>
          </w:p>
        </w:tc>
        <w:tc>
          <w:tcPr>
            <w:tcW w:w="16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95-1934119</w:t>
            </w:r>
          </w:p>
        </w:tc>
        <w:tc>
          <w:tcPr>
            <w:tcW w:w="20" w:type="dxa"/>
            <w:vAlign w:val="bottom"/>
          </w:tcPr>
          <w:p>
            <w:pPr>
              <w:spacing w:after="0"/>
              <w:rPr>
                <w:sz w:val="18"/>
                <w:szCs w:val="18"/>
                <w:color w:val="auto"/>
              </w:rPr>
            </w:pPr>
          </w:p>
        </w:tc>
      </w:tr>
      <w:tr>
        <w:trPr>
          <w:trHeight w:val="216"/>
        </w:trPr>
        <w:tc>
          <w:tcPr>
            <w:tcW w:w="3420" w:type="dxa"/>
            <w:vAlign w:val="bottom"/>
            <w:gridSpan w:val="3"/>
          </w:tcPr>
          <w:p>
            <w:pPr>
              <w:jc w:val="right"/>
              <w:ind w:right="600"/>
              <w:spacing w:after="0"/>
              <w:rPr>
                <w:sz w:val="20"/>
                <w:szCs w:val="20"/>
                <w:color w:val="auto"/>
              </w:rPr>
            </w:pPr>
            <w:r>
              <w:rPr>
                <w:rFonts w:ascii="Arial" w:cs="Arial" w:eastAsia="Arial" w:hAnsi="Arial"/>
                <w:sz w:val="18"/>
                <w:szCs w:val="18"/>
                <w:color w:val="auto"/>
              </w:rPr>
              <w:t>_____________________</w:t>
            </w:r>
          </w:p>
        </w:tc>
        <w:tc>
          <w:tcPr>
            <w:tcW w:w="2880" w:type="dxa"/>
            <w:vAlign w:val="bottom"/>
            <w:gridSpan w:val="2"/>
          </w:tcPr>
          <w:p>
            <w:pPr>
              <w:jc w:val="right"/>
              <w:ind w:right="10"/>
              <w:spacing w:after="0"/>
              <w:rPr>
                <w:sz w:val="20"/>
                <w:szCs w:val="20"/>
                <w:color w:val="auto"/>
              </w:rPr>
            </w:pPr>
            <w:r>
              <w:rPr>
                <w:rFonts w:ascii="Arial" w:cs="Arial" w:eastAsia="Arial" w:hAnsi="Arial"/>
                <w:sz w:val="18"/>
                <w:szCs w:val="18"/>
                <w:color w:val="auto"/>
              </w:rPr>
              <w:t>_____________</w:t>
            </w:r>
          </w:p>
        </w:tc>
        <w:tc>
          <w:tcPr>
            <w:tcW w:w="16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______________</w:t>
            </w:r>
          </w:p>
        </w:tc>
        <w:tc>
          <w:tcPr>
            <w:tcW w:w="20" w:type="dxa"/>
            <w:vAlign w:val="bottom"/>
          </w:tcPr>
          <w:p>
            <w:pPr>
              <w:spacing w:after="0"/>
              <w:rPr>
                <w:sz w:val="18"/>
                <w:szCs w:val="18"/>
                <w:color w:val="auto"/>
              </w:rPr>
            </w:pPr>
          </w:p>
        </w:tc>
      </w:tr>
      <w:tr>
        <w:trPr>
          <w:trHeight w:val="216"/>
        </w:trPr>
        <w:tc>
          <w:tcPr>
            <w:tcW w:w="342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(State or other jurisdiction</w:t>
            </w:r>
          </w:p>
        </w:tc>
        <w:tc>
          <w:tcPr>
            <w:tcW w:w="1520" w:type="dxa"/>
            <w:vAlign w:val="bottom"/>
          </w:tcPr>
          <w:p>
            <w:pPr>
              <w:spacing w:after="0"/>
              <w:rPr>
                <w:sz w:val="18"/>
                <w:szCs w:val="18"/>
                <w:color w:val="auto"/>
              </w:rPr>
            </w:pPr>
          </w:p>
        </w:tc>
        <w:tc>
          <w:tcPr>
            <w:tcW w:w="3020" w:type="dxa"/>
            <w:vAlign w:val="bottom"/>
            <w:gridSpan w:val="2"/>
          </w:tcPr>
          <w:p>
            <w:pPr>
              <w:jc w:val="center"/>
              <w:ind w:right="1660"/>
              <w:spacing w:after="0"/>
              <w:rPr>
                <w:sz w:val="20"/>
                <w:szCs w:val="20"/>
                <w:color w:val="auto"/>
              </w:rPr>
            </w:pPr>
            <w:r>
              <w:rPr>
                <w:rFonts w:ascii="Arial" w:cs="Arial" w:eastAsia="Arial" w:hAnsi="Arial"/>
                <w:sz w:val="18"/>
                <w:szCs w:val="18"/>
                <w:color w:val="auto"/>
                <w:w w:val="91"/>
              </w:rPr>
              <w:t>(Commission</w:t>
            </w: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(I.R.S. Employer</w:t>
            </w:r>
          </w:p>
        </w:tc>
      </w:tr>
      <w:tr>
        <w:trPr>
          <w:trHeight w:val="230"/>
        </w:trPr>
        <w:tc>
          <w:tcPr>
            <w:tcW w:w="1200" w:type="dxa"/>
            <w:vAlign w:val="bottom"/>
          </w:tcPr>
          <w:p>
            <w:pPr>
              <w:spacing w:after="0"/>
              <w:rPr>
                <w:sz w:val="20"/>
                <w:szCs w:val="20"/>
                <w:color w:val="auto"/>
              </w:rPr>
            </w:pPr>
          </w:p>
        </w:tc>
        <w:tc>
          <w:tcPr>
            <w:tcW w:w="2220" w:type="dxa"/>
            <w:vAlign w:val="bottom"/>
            <w:gridSpan w:val="2"/>
          </w:tcPr>
          <w:p>
            <w:pPr>
              <w:jc w:val="center"/>
              <w:ind w:right="880"/>
              <w:spacing w:after="0"/>
              <w:rPr>
                <w:sz w:val="20"/>
                <w:szCs w:val="20"/>
                <w:color w:val="auto"/>
              </w:rPr>
            </w:pPr>
            <w:r>
              <w:rPr>
                <w:rFonts w:ascii="Arial" w:cs="Arial" w:eastAsia="Arial" w:hAnsi="Arial"/>
                <w:sz w:val="18"/>
                <w:szCs w:val="18"/>
                <w:color w:val="auto"/>
                <w:w w:val="93"/>
              </w:rPr>
              <w:t>of incorporation)</w:t>
            </w:r>
          </w:p>
        </w:tc>
        <w:tc>
          <w:tcPr>
            <w:tcW w:w="1520" w:type="dxa"/>
            <w:vAlign w:val="bottom"/>
          </w:tcPr>
          <w:p>
            <w:pPr>
              <w:spacing w:after="0"/>
              <w:rPr>
                <w:sz w:val="20"/>
                <w:szCs w:val="20"/>
                <w:color w:val="auto"/>
              </w:rPr>
            </w:pPr>
          </w:p>
        </w:tc>
        <w:tc>
          <w:tcPr>
            <w:tcW w:w="3020" w:type="dxa"/>
            <w:vAlign w:val="bottom"/>
            <w:gridSpan w:val="2"/>
          </w:tcPr>
          <w:p>
            <w:pPr>
              <w:jc w:val="center"/>
              <w:ind w:right="1660"/>
              <w:spacing w:after="0"/>
              <w:rPr>
                <w:sz w:val="20"/>
                <w:szCs w:val="20"/>
                <w:color w:val="auto"/>
              </w:rPr>
            </w:pPr>
            <w:r>
              <w:rPr>
                <w:rFonts w:ascii="Arial" w:cs="Arial" w:eastAsia="Arial" w:hAnsi="Arial"/>
                <w:sz w:val="18"/>
                <w:szCs w:val="18"/>
                <w:color w:val="auto"/>
                <w:w w:val="92"/>
              </w:rPr>
              <w:t>File Number)</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42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12367 Crosthwaite Circle, Poway,</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92064</w:t>
            </w:r>
          </w:p>
        </w:tc>
        <w:tc>
          <w:tcPr>
            <w:tcW w:w="2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2220" w:type="dxa"/>
            <w:vAlign w:val="bottom"/>
            <w:gridSpan w:val="2"/>
          </w:tcPr>
          <w:p>
            <w:pPr>
              <w:jc w:val="center"/>
              <w:ind w:right="860"/>
              <w:spacing w:after="0"/>
              <w:rPr>
                <w:sz w:val="20"/>
                <w:szCs w:val="20"/>
                <w:color w:val="auto"/>
              </w:rPr>
            </w:pPr>
            <w:r>
              <w:rPr>
                <w:rFonts w:ascii="Arial" w:cs="Arial" w:eastAsia="Arial" w:hAnsi="Arial"/>
                <w:sz w:val="18"/>
                <w:szCs w:val="18"/>
                <w:color w:val="auto"/>
                <w:w w:val="94"/>
              </w:rPr>
              <w:t>California</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gridSpan w:val="3"/>
          </w:tcPr>
          <w:p>
            <w:pPr>
              <w:jc w:val="right"/>
              <w:ind w:right="60"/>
              <w:spacing w:after="0"/>
              <w:rPr>
                <w:sz w:val="20"/>
                <w:szCs w:val="20"/>
                <w:color w:val="auto"/>
              </w:rPr>
            </w:pPr>
            <w:r>
              <w:rPr>
                <w:rFonts w:ascii="Arial" w:cs="Arial" w:eastAsia="Arial" w:hAnsi="Arial"/>
                <w:sz w:val="18"/>
                <w:szCs w:val="18"/>
                <w:color w:val="auto"/>
              </w:rPr>
              <w:t>_________________________________</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___________</w:t>
            </w:r>
          </w:p>
        </w:tc>
        <w:tc>
          <w:tcPr>
            <w:tcW w:w="20" w:type="dxa"/>
            <w:vAlign w:val="bottom"/>
          </w:tcPr>
          <w:p>
            <w:pPr>
              <w:spacing w:after="0"/>
              <w:rPr>
                <w:sz w:val="18"/>
                <w:szCs w:val="18"/>
                <w:color w:val="auto"/>
              </w:rPr>
            </w:pPr>
          </w:p>
        </w:tc>
      </w:tr>
      <w:tr>
        <w:trPr>
          <w:trHeight w:val="230"/>
        </w:trPr>
        <w:tc>
          <w:tcPr>
            <w:tcW w:w="342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r>
        <w:trPr>
          <w:trHeight w:val="675"/>
        </w:trPr>
        <w:tc>
          <w:tcPr>
            <w:tcW w:w="7960" w:type="dxa"/>
            <w:vAlign w:val="bottom"/>
            <w:gridSpan w:val="6"/>
          </w:tcPr>
          <w:p>
            <w:pPr>
              <w:jc w:val="center"/>
              <w:ind w:right="4220"/>
              <w:spacing w:after="0"/>
              <w:rPr>
                <w:sz w:val="20"/>
                <w:szCs w:val="20"/>
                <w:color w:val="auto"/>
              </w:rPr>
            </w:pPr>
            <w:r>
              <w:rPr>
                <w:rFonts w:ascii="Arial" w:cs="Arial" w:eastAsia="Arial" w:hAnsi="Arial"/>
                <w:sz w:val="18"/>
                <w:szCs w:val="18"/>
                <w:color w:val="auto"/>
                <w:w w:val="89"/>
              </w:rPr>
              <w:t>Registrant’s telephone number, including area code:</w:t>
            </w:r>
          </w:p>
        </w:tc>
        <w:tc>
          <w:tcPr>
            <w:tcW w:w="2800" w:type="dxa"/>
            <w:vAlign w:val="bottom"/>
          </w:tcPr>
          <w:p>
            <w:pPr>
              <w:jc w:val="right"/>
              <w:ind w:right="1490"/>
              <w:spacing w:after="0"/>
              <w:rPr>
                <w:sz w:val="20"/>
                <w:szCs w:val="20"/>
                <w:color w:val="auto"/>
              </w:rPr>
            </w:pPr>
            <w:r>
              <w:rPr>
                <w:rFonts w:ascii="Arial" w:cs="Arial" w:eastAsia="Arial" w:hAnsi="Arial"/>
                <w:sz w:val="18"/>
                <w:szCs w:val="18"/>
                <w:color w:val="auto"/>
              </w:rPr>
              <w:t>858-848-8100</w:t>
            </w:r>
          </w:p>
        </w:tc>
        <w:tc>
          <w:tcPr>
            <w:tcW w:w="20" w:type="dxa"/>
            <w:vAlign w:val="bottom"/>
          </w:tcPr>
          <w:p>
            <w:pPr>
              <w:spacing w:after="0"/>
              <w:rPr>
                <w:sz w:val="24"/>
                <w:szCs w:val="24"/>
                <w:color w:val="auto"/>
              </w:rPr>
            </w:pPr>
          </w:p>
        </w:tc>
      </w:tr>
      <w:tr>
        <w:trPr>
          <w:trHeight w:val="418"/>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20" w:type="dxa"/>
            <w:vAlign w:val="bottom"/>
            <w:gridSpan w:val="2"/>
          </w:tcPr>
          <w:p>
            <w:pPr>
              <w:jc w:val="center"/>
              <w:ind w:right="1640"/>
              <w:spacing w:after="0"/>
              <w:rPr>
                <w:sz w:val="20"/>
                <w:szCs w:val="20"/>
                <w:color w:val="auto"/>
              </w:rPr>
            </w:pPr>
            <w:r>
              <w:rPr>
                <w:rFonts w:ascii="Arial" w:cs="Arial" w:eastAsia="Arial" w:hAnsi="Arial"/>
                <w:sz w:val="18"/>
                <w:szCs w:val="18"/>
                <w:color w:val="auto"/>
                <w:w w:val="94"/>
              </w:rPr>
              <w:t>Not Applicable</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______________________________________________</w:t>
            </w: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9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200" w:type="dxa"/>
            <w:vAlign w:val="bottom"/>
          </w:tcPr>
          <w:p>
            <w:pPr>
              <w:spacing w:after="0"/>
              <w:rPr>
                <w:sz w:val="24"/>
                <w:szCs w:val="24"/>
                <w:color w:val="auto"/>
              </w:rPr>
            </w:pPr>
          </w:p>
        </w:tc>
        <w:tc>
          <w:tcPr>
            <w:tcW w:w="222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Title of Each Class</w:t>
            </w:r>
          </w:p>
        </w:tc>
        <w:tc>
          <w:tcPr>
            <w:tcW w:w="45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42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Common Stock, $1.00 par value</w:t>
            </w:r>
          </w:p>
        </w:tc>
        <w:tc>
          <w:tcPr>
            <w:tcW w:w="1520" w:type="dxa"/>
            <w:vAlign w:val="bottom"/>
          </w:tcPr>
          <w:p>
            <w:pPr>
              <w:spacing w:after="0"/>
              <w:rPr>
                <w:sz w:val="20"/>
                <w:szCs w:val="20"/>
                <w:color w:val="auto"/>
              </w:rPr>
            </w:pPr>
          </w:p>
        </w:tc>
        <w:tc>
          <w:tcPr>
            <w:tcW w:w="3020" w:type="dxa"/>
            <w:vAlign w:val="bottom"/>
            <w:gridSpan w:val="2"/>
          </w:tcPr>
          <w:p>
            <w:pPr>
              <w:jc w:val="center"/>
              <w:ind w:right="1660"/>
              <w:spacing w:after="0"/>
              <w:rPr>
                <w:sz w:val="20"/>
                <w:szCs w:val="20"/>
                <w:color w:val="auto"/>
              </w:rPr>
            </w:pPr>
            <w:r>
              <w:rPr>
                <w:rFonts w:ascii="Arial" w:cs="Arial" w:eastAsia="Arial" w:hAnsi="Arial"/>
                <w:sz w:val="18"/>
                <w:szCs w:val="18"/>
                <w:color w:val="auto"/>
                <w:w w:val="98"/>
              </w:rPr>
              <w:t>COHU</w:t>
            </w: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October 28, 2021, Cohu, Inc. (the “Company”) issued a press release regarding its financial results for the third quarter ended September 25, 2021. The Company’s press release is attached as Exhibit 99.1 to this Current Report on Form 8-K and incorporated by reference herein.</w:t>
      </w:r>
    </w:p>
    <w:p>
      <w:pPr>
        <w:spacing w:after="0" w:line="146"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Included within this current report are non-GAAP financial measures, including non-GAAP Gross Margin/Profit, Income and Income (adjusted earnings) per share, Operating Income, Operating Expense, effective tax rate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gain on sale of business, gain on sale of facility, employer payroll taxes related to accelerated vesting share-based awards , depreciation of purchase accounting adjustments to property, plant and equipment, amortization of cloud-based software implementation costs (Adjusted EBITDA only) and gain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statements contained in this current report may beconsidered forward-looking statements within the meaning of the U.S. Private Securities Litigation Reform Act of 1995, including statements regarding estimated test cell utilization, expansion of testers and contactors in power management, display driver, RF mmWave and broader mixed signal applications, product deployments and design wins including for DI-Core software platform, test data analytics market, product mix changes and impact on gross margin, gross margin improvement goals and progress, Q4’21 gross margin improvement, improving contactor sales, gross margin and operational efficiencies, RF/Satcom test and inspection cell and market growth, Neon/inspection products 2021 sales, any other comments on Cohu’s FY 2021 or 2022 outlook, growth or momentum, target mid-term financial model, % of incremental revenue expected to fall to operating income, estimated system versus recurring sales, Cohu’s fourth quarter 2021 sales forecast, guidance, sales mix, non-GAAP operating expenses, gross margin, operating income, adjusted EBITDA, effective tax rate, free cash flow, cap ex, cash and shares outstanding, estimated minimum cash needed, estimated EBITDA breakeven point, deleveraging and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and results of operations; ongoing increases in material, labor, supplier, logistics and other operating costs, or supply chain delays and shortages, could cause lower gross margins or lost sales and adversely impact our business, financial position, results of operations and cash flows;increased market cyclicality can have an adverse impact on our sales and gross margins;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our operations; the semiconductor industry is seasonal,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and automated test equipment suppliers; 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dilution of earnings per share due to our March 2021 follow-on equity offering;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our business and operations could suffer in the event of cybersecurity breaches; and our stock price and volatility in our stock price and earnings.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99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ind w:right="5700"/>
        <w:spacing w:after="0" w:line="50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Third Quarter 2021 Earnings Release, dated October 28, 2021, of Cohu, Inc.</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Exhibit No. - 104</w:t>
      </w:r>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740" w:val="left"/>
          <w:tab w:leader="none" w:pos="7460" w:val="left"/>
        </w:tabs>
        <w:rPr>
          <w:sz w:val="20"/>
          <w:szCs w:val="20"/>
          <w:color w:val="auto"/>
        </w:rPr>
      </w:pPr>
      <w:r>
        <w:rPr>
          <w:rFonts w:ascii="Arial" w:cs="Arial" w:eastAsia="Arial" w:hAnsi="Arial"/>
          <w:sz w:val="18"/>
          <w:szCs w:val="18"/>
          <w:color w:val="auto"/>
        </w:rPr>
        <w:t>October 28, 2021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3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60" w:type="dxa"/>
            <w:vAlign w:val="bottom"/>
          </w:tcPr>
          <w:p>
            <w:pPr>
              <w:ind w:left="20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8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Third Quarter 2021 Earnings Release, dated October 28, 2021, of Cohu, Inc</w:t>
            </w:r>
          </w:p>
        </w:tc>
        <w:tc>
          <w:tcPr>
            <w:tcW w:w="0" w:type="dxa"/>
            <w:vAlign w:val="bottom"/>
          </w:tcPr>
          <w:p>
            <w:pPr>
              <w:spacing w:after="0"/>
              <w:rPr>
                <w:sz w:val="1"/>
                <w:szCs w:val="1"/>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154305</wp:posOffset>
            </wp:positionV>
            <wp:extent cx="2571750" cy="642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-121920</wp:posOffset>
            </wp:positionV>
            <wp:extent cx="2603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35" cy="82296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www.cohu.com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Third Quarter 2021 Results</w:t>
      </w:r>
    </w:p>
    <w:p>
      <w:pPr>
        <w:spacing w:after="0" w:line="229"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Third quarter revenue $225.1 million, up 49% year-over-year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Gross margin of 42.5%; non-GAAP gross margin of 42.3%</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Board authorized a $70 million share repurchase program</w:t>
      </w:r>
    </w:p>
    <w:p>
      <w:pPr>
        <w:spacing w:after="0" w:line="225"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POWAY, Calif., October 28, 2021 -- Cohu, Inc. (NASDAQ: COHU), a global leader in back-end semiconductor equipment and services, today reported fiscal 2021 third quarter net sales of $225.1 million and GAAP income of $23.7 million or $0.48 per share. Net sales for the first nine months of 2021 were $695.4 million and GAAP income was $146.4 million or $3.04 per share.</w:t>
      </w:r>
      <w:r>
        <w:rPr>
          <w:rFonts w:ascii="Arial" w:cs="Arial" w:eastAsia="Arial" w:hAnsi="Arial"/>
          <w:sz w:val="29"/>
          <w:szCs w:val="29"/>
          <w:color w:val="auto"/>
          <w:vertAlign w:val="superscript"/>
        </w:rPr>
        <w:t>(1)</w:t>
      </w:r>
    </w:p>
    <w:p>
      <w:pPr>
        <w:spacing w:after="0" w:line="11"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auto"/>
        </w:rPr>
        <w:t>Cohu also reported non-GAAP results, with third quarter 2021 income of $34.6 million or $0.70 per share and income of $119.5 million or $2.48 per share for the first nine months of 2021.</w:t>
      </w:r>
      <w:r>
        <w:rPr>
          <w:rFonts w:ascii="Arial" w:cs="Arial" w:eastAsia="Arial" w:hAnsi="Arial"/>
          <w:sz w:val="29"/>
          <w:szCs w:val="29"/>
          <w:color w:val="auto"/>
          <w:vertAlign w:val="superscript"/>
        </w:rPr>
        <w:t>(1)</w:t>
      </w:r>
    </w:p>
    <w:tbl>
      <w:tblPr>
        <w:tblLayout w:type="fixed"/>
        <w:tblInd w:w="10" w:type="dxa"/>
        <w:tblCellMar>
          <w:top w:w="0" w:type="dxa"/>
          <w:left w:w="0" w:type="dxa"/>
          <w:bottom w:w="0" w:type="dxa"/>
          <w:right w:w="0" w:type="dxa"/>
        </w:tblCellMar>
      </w:tblPr>
      <w:tr>
        <w:trPr>
          <w:trHeight w:val="203"/>
        </w:trPr>
        <w:tc>
          <w:tcPr>
            <w:tcW w:w="3380" w:type="dxa"/>
            <w:vAlign w:val="bottom"/>
            <w:tcBorders>
              <w:top w:val="single" w:sz="8" w:color="auto"/>
              <w:left w:val="single" w:sz="8" w:color="auto"/>
            </w:tcBorders>
          </w:tcPr>
          <w:p>
            <w:pPr>
              <w:ind w:left="180"/>
              <w:spacing w:after="0" w:line="202" w:lineRule="exact"/>
              <w:rPr>
                <w:sz w:val="20"/>
                <w:szCs w:val="20"/>
                <w:color w:val="auto"/>
              </w:rPr>
            </w:pPr>
            <w:r>
              <w:rPr>
                <w:rFonts w:ascii="Arial" w:cs="Arial" w:eastAsia="Arial" w:hAnsi="Arial"/>
                <w:sz w:val="15"/>
                <w:szCs w:val="15"/>
                <w:b w:val="1"/>
                <w:bCs w:val="1"/>
                <w:color w:val="auto"/>
              </w:rPr>
              <w:t xml:space="preserve">GAAP Results </w:t>
            </w:r>
            <w:r>
              <w:rPr>
                <w:rFonts w:ascii="Arial" w:cs="Arial" w:eastAsia="Arial" w:hAnsi="Arial"/>
                <w:sz w:val="23"/>
                <w:szCs w:val="23"/>
                <w:b w:val="1"/>
                <w:bCs w:val="1"/>
                <w:color w:val="auto"/>
                <w:vertAlign w:val="superscript"/>
              </w:rPr>
              <w:t>(1)</w:t>
            </w: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20"/>
              <w:spacing w:after="0" w:line="203" w:lineRule="exact"/>
              <w:rPr>
                <w:sz w:val="20"/>
                <w:szCs w:val="20"/>
                <w:color w:val="auto"/>
              </w:rPr>
            </w:pPr>
            <w:r>
              <w:rPr>
                <w:rFonts w:ascii="Arial" w:cs="Arial" w:eastAsia="Arial" w:hAnsi="Arial"/>
                <w:sz w:val="18"/>
                <w:szCs w:val="18"/>
                <w:b w:val="1"/>
                <w:bCs w:val="1"/>
                <w:color w:val="auto"/>
              </w:rPr>
              <w:t>Q3 FY</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20"/>
              <w:spacing w:after="0" w:line="203" w:lineRule="exact"/>
              <w:rPr>
                <w:sz w:val="20"/>
                <w:szCs w:val="20"/>
                <w:color w:val="auto"/>
              </w:rPr>
            </w:pPr>
            <w:r>
              <w:rPr>
                <w:rFonts w:ascii="Arial" w:cs="Arial" w:eastAsia="Arial" w:hAnsi="Arial"/>
                <w:sz w:val="18"/>
                <w:szCs w:val="18"/>
                <w:b w:val="1"/>
                <w:bCs w:val="1"/>
                <w:color w:val="auto"/>
                <w:w w:val="99"/>
              </w:rPr>
              <w:t>Q2 FY</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60"/>
              <w:spacing w:after="0" w:line="203" w:lineRule="exact"/>
              <w:rPr>
                <w:sz w:val="20"/>
                <w:szCs w:val="20"/>
                <w:color w:val="auto"/>
              </w:rPr>
            </w:pPr>
            <w:r>
              <w:rPr>
                <w:rFonts w:ascii="Arial" w:cs="Arial" w:eastAsia="Arial" w:hAnsi="Arial"/>
                <w:sz w:val="18"/>
                <w:szCs w:val="18"/>
                <w:b w:val="1"/>
                <w:bCs w:val="1"/>
                <w:color w:val="auto"/>
              </w:rPr>
              <w:t>Q3 FY</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60"/>
              <w:spacing w:after="0" w:line="203" w:lineRule="exact"/>
              <w:rPr>
                <w:sz w:val="20"/>
                <w:szCs w:val="20"/>
                <w:color w:val="auto"/>
              </w:rPr>
            </w:pPr>
            <w:r>
              <w:rPr>
                <w:rFonts w:ascii="Arial" w:cs="Arial" w:eastAsia="Arial" w:hAnsi="Arial"/>
                <w:sz w:val="18"/>
                <w:szCs w:val="18"/>
                <w:b w:val="1"/>
                <w:bCs w:val="1"/>
                <w:color w:val="auto"/>
                <w:w w:val="91"/>
              </w:rPr>
              <w:t>9 Months</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right w:val="single" w:sz="8" w:color="auto"/>
            </w:tcBorders>
            <w:gridSpan w:val="2"/>
          </w:tcPr>
          <w:p>
            <w:pPr>
              <w:jc w:val="right"/>
              <w:ind w:right="380"/>
              <w:spacing w:after="0" w:line="203" w:lineRule="exact"/>
              <w:rPr>
                <w:sz w:val="20"/>
                <w:szCs w:val="20"/>
                <w:color w:val="auto"/>
              </w:rPr>
            </w:pPr>
            <w:r>
              <w:rPr>
                <w:rFonts w:ascii="Arial" w:cs="Arial" w:eastAsia="Arial" w:hAnsi="Arial"/>
                <w:sz w:val="18"/>
                <w:szCs w:val="18"/>
                <w:b w:val="1"/>
                <w:bCs w:val="1"/>
                <w:color w:val="auto"/>
              </w:rPr>
              <w:t>9 Months</w:t>
            </w:r>
          </w:p>
        </w:tc>
      </w:tr>
      <w:tr>
        <w:trPr>
          <w:trHeight w:val="234"/>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right w:val="single" w:sz="8" w:color="auto"/>
            </w:tcBorders>
          </w:tcPr>
          <w:p>
            <w:pPr>
              <w:spacing w:after="0"/>
              <w:rPr>
                <w:sz w:val="20"/>
                <w:szCs w:val="20"/>
                <w:color w:val="auto"/>
              </w:rPr>
            </w:pPr>
          </w:p>
        </w:tc>
      </w:tr>
      <w:tr>
        <w:trPr>
          <w:trHeight w:val="210"/>
        </w:trPr>
        <w:tc>
          <w:tcPr>
            <w:tcW w:w="33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r>
      <w:tr>
        <w:trPr>
          <w:trHeight w:val="216"/>
        </w:trPr>
        <w:tc>
          <w:tcPr>
            <w:tcW w:w="338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433.7</w:t>
            </w:r>
          </w:p>
        </w:tc>
      </w:tr>
      <w:tr>
        <w:trPr>
          <w:trHeight w:val="216"/>
        </w:trPr>
        <w:tc>
          <w:tcPr>
            <w:tcW w:w="338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Income (loss)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(28.7)</w:t>
            </w:r>
          </w:p>
        </w:tc>
      </w:tr>
      <w:tr>
        <w:trPr>
          <w:trHeight w:val="214"/>
        </w:trPr>
        <w:tc>
          <w:tcPr>
            <w:tcW w:w="3380" w:type="dxa"/>
            <w:vAlign w:val="bottom"/>
            <w:tcBorders>
              <w:left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 (loss) per share</w:t>
            </w: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-284480</wp:posOffset>
            </wp:positionV>
            <wp:extent cx="67551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137160"/>
                    </a:xfrm>
                    <a:prstGeom prst="rect">
                      <a:avLst/>
                    </a:prstGeom>
                    <a:noFill/>
                  </pic:spPr>
                </pic:pic>
              </a:graphicData>
            </a:graphic>
          </wp:anchor>
        </w:drawing>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380" w:type="dxa"/>
            <w:vAlign w:val="bottom"/>
            <w:tcBorders>
              <w:top w:val="single" w:sz="8" w:color="auto"/>
              <w:left w:val="single" w:sz="8" w:color="auto"/>
            </w:tcBorders>
          </w:tcPr>
          <w:p>
            <w:pPr>
              <w:ind w:left="180"/>
              <w:spacing w:after="0" w:line="214" w:lineRule="exact"/>
              <w:rPr>
                <w:sz w:val="20"/>
                <w:szCs w:val="20"/>
                <w:color w:val="auto"/>
              </w:rPr>
            </w:pPr>
            <w:r>
              <w:rPr>
                <w:rFonts w:ascii="Arial" w:cs="Arial" w:eastAsia="Arial" w:hAnsi="Arial"/>
                <w:sz w:val="15"/>
                <w:szCs w:val="15"/>
                <w:b w:val="1"/>
                <w:bCs w:val="1"/>
                <w:color w:val="auto"/>
              </w:rPr>
              <w:t xml:space="preserve">Non-GAAP Results </w:t>
            </w:r>
            <w:r>
              <w:rPr>
                <w:rFonts w:ascii="Arial" w:cs="Arial" w:eastAsia="Arial" w:hAnsi="Arial"/>
                <w:sz w:val="24"/>
                <w:szCs w:val="24"/>
                <w:b w:val="1"/>
                <w:bCs w:val="1"/>
                <w:color w:val="auto"/>
                <w:vertAlign w:val="superscript"/>
              </w:rPr>
              <w:t>(1)</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Q3 FY</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9"/>
              </w:rPr>
              <w:t>Q2 FY</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Q3 FY</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9 Months</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9 Months</w:t>
            </w:r>
          </w:p>
        </w:tc>
      </w:tr>
      <w:tr>
        <w:trPr>
          <w:trHeight w:val="234"/>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amounts)</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right w:val="single" w:sz="8" w:color="auto"/>
            </w:tcBorders>
          </w:tcPr>
          <w:p>
            <w:pPr>
              <w:spacing w:after="0"/>
              <w:rPr>
                <w:sz w:val="20"/>
                <w:szCs w:val="20"/>
                <w:color w:val="auto"/>
              </w:rPr>
            </w:pPr>
          </w:p>
        </w:tc>
      </w:tr>
      <w:tr>
        <w:trPr>
          <w:trHeight w:val="210"/>
        </w:trPr>
        <w:tc>
          <w:tcPr>
            <w:tcW w:w="338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r>
      <w:tr>
        <w:trPr>
          <w:trHeight w:val="216"/>
        </w:trPr>
        <w:tc>
          <w:tcPr>
            <w:tcW w:w="338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r>
      <w:tr>
        <w:trPr>
          <w:trHeight w:val="213"/>
        </w:trPr>
        <w:tc>
          <w:tcPr>
            <w:tcW w:w="338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Income per share</w:t>
            </w: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0.70</w:t>
            </w:r>
          </w:p>
        </w:tc>
        <w:tc>
          <w:tcPr>
            <w:tcW w:w="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0.89</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0.27</w:t>
            </w: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2.48</w:t>
            </w: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-147320</wp:posOffset>
            </wp:positionV>
            <wp:extent cx="675513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5130" cy="137160"/>
                    </a:xfrm>
                    <a:prstGeom prst="rect">
                      <a:avLst/>
                    </a:prstGeom>
                    <a:noFill/>
                  </pic:spPr>
                </pic:pic>
              </a:graphicData>
            </a:graphic>
          </wp:anchor>
        </w:drawing>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All amounts presented are from continuing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the end of third quarter 2021 were $364.8 million.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“Demand for test and inspection systems remained strong in the third quarter, underscoring the significant year-over-year growth in revenue and profitability. We also continued deployment of our DI-Core data analytics software with follow-on orders and design-wins at several automotive segment customers,” said Cohu President and CEO Luis Müller. “Looking ahead, we are encouraged by current estimated test cell utilization of 87% and the expansion of our testers and contactors in power management, display driver, RF mmWave and broader mixed signal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Cohu expects fourth quarter 2021 sales to be between $182 million and $195 million.</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Cohu’s Board of Directors has authorized a $70 million share repurchase program. This share repurchase program is effective as of November 2, 2021 and has no expiration date and the timing of share repurchases and the number of shares of common stock to be repurchased will depend upon prevailing market conditions and other factors. Repurchases under this program will be made using the Company's existing cash resources and may be commenced or suspended from time-to-time at the Company's discretion without prior notice. Repurchases may be made in the open market, through 10b5-1 programs or in privately negotiated transactions at prevailing market rates in accordance with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third quarter 2021 results at 1:30 p.m. Pacific Time/4:30 p.m. Eastern Time on October 28, 2021. Interested investors and analysts are invited to dial into the conference call by using 1-866-434-5330 (domestic) or +1-213-660-0873 (international) and entering the pass code 9237355. Webcast access will be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Included within this press release and accompanying materials are non-GAAP financial measures, including non-GAAP Gross Margin/Profit, Income and Income (adjusted earnings) per share, Operating Income, Operating Expense, effective tax rate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gain on sale of business, gain on sale of facility, employer payroll taxes related to accelerated vesting share-based awards , depreciation of purchase accounting adjustments to property, plant and equipment, amortization of cloud-based software implementation costs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and gain (loss) on extinguishment of debt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estimated test cell utilization, expansion of testers and contactors in power management, display driver, RF mmWave and broader mixed signal applications, product deployments and design wins including for DI-Core software platform, test data analytics market, product mix changes and impact on gross margin, gross margin improvement goals and progress, Q4’21 gross margin improvement, improving contactor sales, gross margin and operational efficiencies, RF/Satcom test and inspection cell and market growth, Neon/inspection products 2021 sales, any other comments on Cohu’s FY 2021 or 2022 outlook, growth or momentum, target mid-term financial model, % of incremental revenue expected to fall to operating income, estimated system versus recurring sales, Cohu’s fourth quarter 2021 sales forecast, guidance, sales mix, non-GAAP operating expenses, gross margin, operating income, adjusted EBITDA, effective tax rate, free cash flow, cap ex, cash and shares outstanding, estimated minimum cash needed, estimated EBITDA breakeven point, deleveraging and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and results of operations; ongoing increases in material, labor, supplier, logistics and other operating costs, or supply chain delays and shortages, could cause lower gross margins or lost sales and adversely impact our business, financial position, results of operations and cash flows;increased market cyclicality can have an adverse impact on our sales and gross margins;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our operations; the semiconductor industry is seasonal,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and automated test equipment suppliers; 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dilution of earnings per share due to our March 2021 follow-on equity offering;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our business and operations could suffer in the event of cybersecurity breaches; and our stock price and volatility in our stock price and earnings.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ind w:left="160"/>
              <w:spacing w:after="0"/>
              <w:rPr>
                <w:sz w:val="20"/>
                <w:szCs w:val="20"/>
                <w:color w:val="auto"/>
              </w:rPr>
            </w:pPr>
            <w:r>
              <w:rPr>
                <w:rFonts w:ascii="Arial" w:cs="Arial" w:eastAsia="Arial" w:hAnsi="Arial"/>
                <w:sz w:val="18"/>
                <w:szCs w:val="18"/>
                <w:color w:val="auto"/>
              </w:rPr>
              <w:t xml:space="preserve">Three Months Ended </w:t>
            </w:r>
            <w:r>
              <w:rPr>
                <w:rFonts w:ascii="Arial" w:cs="Arial" w:eastAsia="Arial" w:hAnsi="Arial"/>
                <w:sz w:val="29"/>
                <w:szCs w:val="29"/>
                <w:color w:val="auto"/>
                <w:vertAlign w:val="superscript"/>
              </w:rPr>
              <w:t>(1)</w:t>
            </w:r>
          </w:p>
        </w:tc>
        <w:tc>
          <w:tcPr>
            <w:tcW w:w="240" w:type="dxa"/>
            <w:vAlign w:val="bottom"/>
          </w:tcPr>
          <w:p>
            <w:pPr>
              <w:spacing w:after="0"/>
              <w:rPr>
                <w:sz w:val="24"/>
                <w:szCs w:val="24"/>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8"/>
                <w:szCs w:val="18"/>
                <w:color w:val="auto"/>
                <w:w w:val="99"/>
              </w:rPr>
              <w:t xml:space="preserve">Nine Months Ended </w:t>
            </w:r>
            <w:r>
              <w:rPr>
                <w:rFonts w:ascii="Arial" w:cs="Arial" w:eastAsia="Arial" w:hAnsi="Arial"/>
                <w:sz w:val="29"/>
                <w:szCs w:val="29"/>
                <w:color w:val="auto"/>
                <w:w w:val="99"/>
                <w:vertAlign w:val="superscript"/>
              </w:rPr>
              <w:t>(1)</w:t>
            </w:r>
          </w:p>
        </w:tc>
      </w:tr>
      <w:tr>
        <w:trPr>
          <w:trHeight w:val="216"/>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September 25,</w:t>
            </w: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26,</w:t>
            </w: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25,</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September 26,</w:t>
            </w:r>
          </w:p>
        </w:tc>
      </w:tr>
      <w:tr>
        <w:trPr>
          <w:trHeight w:val="234"/>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225,063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695,354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433,652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and expenses: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129,358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87,147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392,787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253,111</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22,792</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20,497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69,367</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63,389</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30,377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31,336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95,835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95,664</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8,879</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9,783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27,168</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28,848</w:t>
            </w:r>
          </w:p>
        </w:tc>
      </w:tr>
      <w:tr>
        <w:trPr>
          <w:trHeight w:val="216"/>
        </w:trPr>
        <w:tc>
          <w:tcPr>
            <w:tcW w:w="5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Gain on sale of PCB Test business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(75,754)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1,988</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r>
      <w:tr>
        <w:trPr>
          <w:trHeight w:val="216"/>
        </w:trPr>
        <w:tc>
          <w:tcPr>
            <w:tcW w:w="5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11,249</w:t>
            </w:r>
          </w:p>
        </w:tc>
      </w:tr>
      <w:tr>
        <w:trPr>
          <w:trHeight w:val="216"/>
        </w:trPr>
        <w:tc>
          <w:tcPr>
            <w:tcW w:w="556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Gain on sale of facilities </w:t>
            </w:r>
            <w:r>
              <w:rPr>
                <w:rFonts w:ascii="Arial" w:cs="Arial" w:eastAsia="Arial" w:hAnsi="Arial"/>
                <w:sz w:val="25"/>
                <w:szCs w:val="25"/>
                <w:color w:val="auto"/>
                <w:vertAlign w:val="superscript"/>
              </w:rPr>
              <w:t>(4)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(4,468)</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(4,495)</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191,347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152,007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511,391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449,166</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33,716</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(1,360)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183,963</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(15,514)</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(966)</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(3,021)</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(5,372)</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(10,904)</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Foreign transaction loss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(315)</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(2,528)</w:t>
            </w:r>
          </w:p>
        </w:tc>
      </w:tr>
      <w:tr>
        <w:trPr>
          <w:trHeight w:val="216"/>
        </w:trPr>
        <w:tc>
          <w:tcPr>
            <w:tcW w:w="5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Gain (loss) on extinguishment of debt </w:t>
            </w:r>
            <w:r>
              <w:rPr>
                <w:rFonts w:ascii="Arial" w:cs="Arial" w:eastAsia="Arial" w:hAnsi="Arial"/>
                <w:sz w:val="25"/>
                <w:szCs w:val="25"/>
                <w:color w:val="auto"/>
                <w:vertAlign w:val="superscript"/>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31,125</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(5,530)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175,062</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(28,443)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7,392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28,626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23,733</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(6,646)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146,436</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(28,704)</w:t>
            </w:r>
          </w:p>
        </w:tc>
      </w:tr>
      <w:tr>
        <w:trPr>
          <w:trHeight w:val="216"/>
        </w:trPr>
        <w:tc>
          <w:tcPr>
            <w:tcW w:w="5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line="216" w:lineRule="exact"/>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5"/>
                <w:szCs w:val="25"/>
                <w:color w:val="auto"/>
                <w:vertAlign w:val="superscript"/>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before taxes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23,733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(6,646)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146,436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(28,662)</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Income (loss) per share: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3.12</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3.12</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r>
      <w:tr>
        <w:trPr>
          <w:trHeight w:val="197"/>
        </w:trPr>
        <w:tc>
          <w:tcPr>
            <w:tcW w:w="55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Weighted average shares used in computing income (loss) per share: </w:t>
            </w:r>
            <w:r>
              <w:rPr>
                <w:rFonts w:ascii="Arial" w:cs="Arial" w:eastAsia="Arial" w:hAnsi="Arial"/>
                <w:sz w:val="25"/>
                <w:szCs w:val="25"/>
                <w:color w:val="auto"/>
                <w:vertAlign w:val="superscript"/>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48,666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41,947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46,992</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41,764</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5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49,457</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41,947</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48,137</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41,764</w:t>
            </w:r>
          </w:p>
        </w:tc>
      </w:tr>
      <w:tr>
        <w:trPr>
          <w:trHeight w:val="34"/>
        </w:trPr>
        <w:tc>
          <w:tcPr>
            <w:tcW w:w="556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r>
    </w:tbl>
    <w:p>
      <w:pPr>
        <w:spacing w:after="0" w:line="40"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three- and nine-month periods ended September 25, 2021 and September 26, 2020 were both comprised of 13 weeks and 39 weeks, respectively.</w:t>
      </w:r>
    </w:p>
    <w:p>
      <w:pPr>
        <w:spacing w:after="0" w:line="59" w:lineRule="exact"/>
        <w:rPr>
          <w:rFonts w:ascii="Arial" w:cs="Arial" w:eastAsia="Arial" w:hAnsi="Arial"/>
          <w:sz w:val="16"/>
          <w:szCs w:val="16"/>
          <w:color w:val="auto"/>
        </w:rPr>
      </w:pPr>
    </w:p>
    <w:p>
      <w:pPr>
        <w:ind w:left="500" w:right="140" w:hanging="330"/>
        <w:spacing w:after="0" w:line="29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24, 2021 the Company completed the divestment of its PCB Test business. The divestment of this business did not qualify for presentation as discontinued operations and the results of the PCB Test business are included in continuing operations for all periods presented.</w:t>
      </w:r>
    </w:p>
    <w:p>
      <w:pPr>
        <w:ind w:left="500" w:right="60" w:hanging="330"/>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our results for the three- and nine-month period ended September 26, 2020 are impairment charges recorded in the third and first quarter to write certain of our in-process research and development assets (“IPR&amp;D”) obtained as part of our acquisition of Xcerra down to current estimated fair values.</w:t>
      </w:r>
    </w:p>
    <w:p>
      <w:pPr>
        <w:spacing w:after="0" w:line="1" w:lineRule="exact"/>
        <w:rPr>
          <w:rFonts w:ascii="Arial" w:cs="Arial" w:eastAsia="Arial" w:hAnsi="Arial"/>
          <w:sz w:val="18"/>
          <w:szCs w:val="18"/>
          <w:color w:val="auto"/>
        </w:rPr>
      </w:pPr>
    </w:p>
    <w:p>
      <w:pPr>
        <w:ind w:left="500" w:right="80" w:hanging="330"/>
        <w:spacing w:after="0" w:line="28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third quarter of 2020 we completed the sale of our facility in Rosenheim, Germany which generated a gain of $4.5 million. In the second quarter of 2020 we completed the sale of our facility in Penang, Malaysia which generated a gain of $27,000. The gain related to the sale of</w:t>
      </w:r>
    </w:p>
    <w:p>
      <w:pPr>
        <w:spacing w:after="0" w:line="1" w:lineRule="exact"/>
        <w:rPr>
          <w:rFonts w:ascii="Arial" w:cs="Arial" w:eastAsia="Arial" w:hAnsi="Arial"/>
          <w:sz w:val="16"/>
          <w:szCs w:val="16"/>
          <w:color w:val="auto"/>
        </w:rPr>
      </w:pPr>
    </w:p>
    <w:p>
      <w:pPr>
        <w:ind w:left="500" w:right="180"/>
        <w:spacing w:after="0" w:line="250" w:lineRule="auto"/>
        <w:rPr>
          <w:rFonts w:ascii="Arial" w:cs="Arial" w:eastAsia="Arial" w:hAnsi="Arial"/>
          <w:sz w:val="16"/>
          <w:szCs w:val="16"/>
          <w:color w:val="auto"/>
        </w:rPr>
      </w:pPr>
      <w:r>
        <w:rPr>
          <w:rFonts w:ascii="Arial" w:cs="Arial" w:eastAsia="Arial" w:hAnsi="Arial"/>
          <w:sz w:val="18"/>
          <w:szCs w:val="18"/>
          <w:color w:val="auto"/>
        </w:rPr>
        <w:t>the Penang facility was previously included in SG&amp;A and has been reclassified to gain on sale of facility for the nine months ended September 26, 2020. Both facilities were sold as part of the previously announced Xcerra integration program.</w:t>
      </w:r>
    </w:p>
    <w:p>
      <w:pPr>
        <w:ind w:left="500" w:right="440" w:hanging="330"/>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Early prepayments of outstanding Term Loan B made during 2021 resulted in a loss from the extinguishment of debt. In August 2020 we repurchased and retired $16.4 million of our outstanding Term Loan B which resulted in a gain from the extinguishment of debt. Gain (loss) on extinguishment of debt is the net result after any cash gain is offset by the required reduction in our capitalized debt issuance costs and original issuance discounts.</w:t>
      </w:r>
    </w:p>
    <w:p>
      <w:pPr>
        <w:spacing w:after="0" w:line="1" w:lineRule="exact"/>
        <w:rPr>
          <w:rFonts w:ascii="Arial" w:cs="Arial" w:eastAsia="Arial" w:hAnsi="Arial"/>
          <w:sz w:val="18"/>
          <w:szCs w:val="18"/>
          <w:color w:val="auto"/>
        </w:rPr>
      </w:pPr>
    </w:p>
    <w:p>
      <w:pPr>
        <w:ind w:left="500" w:right="120" w:hanging="330"/>
        <w:spacing w:after="0" w:line="265"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October 1, 2018, the Company made the decision to sell the fixtures business acquired from Xcerra, and, as a result, the operating results of this business have been presented as discontinued operations. In February 2020, we completed the sale of this business.</w:t>
      </w:r>
    </w:p>
    <w:p>
      <w:pPr>
        <w:ind w:left="500" w:right="100" w:hanging="330"/>
        <w:spacing w:after="0" w:line="29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three- and nine-month periods ended September 26, 2020,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ectPr>
          <w:pgSz w:w="11900" w:h="16838" w:orient="portrait"/>
          <w:cols w:equalWidth="0" w:num="1">
            <w:col w:w="11240"/>
          </w:cols>
          <w:pgMar w:left="320" w:top="580" w:right="339" w:bottom="0" w:gutter="0" w:footer="0" w:header="0"/>
        </w:sectPr>
      </w:pPr>
    </w:p>
    <w:bookmarkStart w:id="9" w:name="page10"/>
    <w:bookmarkEnd w:id="9"/>
    <w:p>
      <w:pPr>
        <w:spacing w:after="0" w:line="292"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25,</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26,</w:t>
            </w:r>
          </w:p>
        </w:tc>
      </w:tr>
      <w:tr>
        <w:trPr>
          <w:trHeight w:val="234"/>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364,805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170,027</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200,496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151,919</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142,500</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20,694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743,507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485,046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65,158</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66,916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223,683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252,304</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193,066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233,685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26,274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18"/>
                <w:szCs w:val="18"/>
                <w:color w:val="auto"/>
              </w:rPr>
            </w:pPr>
          </w:p>
        </w:tc>
      </w:tr>
      <w:tr>
        <w:trPr>
          <w:trHeight w:val="25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1,272,868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1,090,346</w:t>
            </w:r>
          </w:p>
        </w:tc>
      </w:tr>
      <w:tr>
        <w:trPr>
          <w:trHeight w:val="196"/>
        </w:trPr>
        <w:tc>
          <w:tcPr>
            <w:tcW w:w="7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5,314</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4,289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3,075</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11,295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8,671</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183,408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157,393</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202,152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174,453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110,887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311,551</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23,144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25,787</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64,706</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66,267</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871,979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512,288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1,272,868</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1,090,346</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7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621"/>
        </w:trPr>
        <w:tc>
          <w:tcPr>
            <w:tcW w:w="7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4"/>
          </w:tcPr>
          <w:p>
            <w:pPr>
              <w:ind w:left="80"/>
              <w:spacing w:after="0"/>
              <w:rPr>
                <w:sz w:val="20"/>
                <w:szCs w:val="20"/>
                <w:color w:val="auto"/>
              </w:rPr>
            </w:pPr>
            <w:r>
              <w:rPr>
                <w:rFonts w:ascii="Arial" w:cs="Arial" w:eastAsia="Arial" w:hAnsi="Arial"/>
                <w:sz w:val="18"/>
                <w:szCs w:val="18"/>
                <w:color w:val="auto"/>
                <w:w w:val="95"/>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June 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September 26,</w:t>
            </w:r>
          </w:p>
        </w:tc>
      </w:tr>
      <w:tr>
        <w:trPr>
          <w:trHeight w:val="230"/>
        </w:trPr>
        <w:tc>
          <w:tcPr>
            <w:tcW w:w="5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33,716</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Non-GAAP adjustments: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0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r>
      <w:tr>
        <w:trPr>
          <w:trHeight w:val="216"/>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r>
      <w:tr>
        <w:trPr>
          <w:trHeight w:val="216"/>
        </w:trPr>
        <w:tc>
          <w:tcPr>
            <w:tcW w:w="560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2,586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2,299</w:t>
            </w:r>
          </w:p>
        </w:tc>
      </w:tr>
      <w:tr>
        <w:trPr>
          <w:trHeight w:val="20"/>
        </w:trPr>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3,299</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8,879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9,045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9,783</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2,606</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00" w:type="dxa"/>
            <w:vAlign w:val="bottom"/>
          </w:tcPr>
          <w:p>
            <w:pPr>
              <w:ind w:left="340"/>
              <w:spacing w:after="0"/>
              <w:rPr>
                <w:sz w:val="20"/>
                <w:szCs w:val="20"/>
                <w:color w:val="auto"/>
              </w:rPr>
            </w:pPr>
            <w:r>
              <w:rPr>
                <w:rFonts w:ascii="Arial" w:cs="Arial" w:eastAsia="Arial" w:hAnsi="Arial"/>
                <w:sz w:val="18"/>
                <w:szCs w:val="18"/>
                <w:color w:val="auto"/>
              </w:rPr>
              <w:t>SG&amp;A</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r>
      <w:tr>
        <w:trPr>
          <w:trHeight w:val="20"/>
        </w:trPr>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Impairment charges (f)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7,300</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PCB Test business (f)</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Gain on sale of facility (f)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(4,468)</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PP&amp;E step-up included in SG&amp;A (g)</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r>
      <w:tr>
        <w:trPr>
          <w:trHeight w:val="20"/>
        </w:trPr>
        <w:tc>
          <w:tcPr>
            <w:tcW w:w="56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Income from operations - non-GAAP basis (h)</w:t>
            </w:r>
          </w:p>
        </w:tc>
        <w:tc>
          <w:tcPr>
            <w:tcW w:w="6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45,559</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51,788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17,994</w:t>
            </w:r>
          </w:p>
        </w:tc>
      </w:tr>
      <w:tr>
        <w:trPr>
          <w:trHeight w:val="20"/>
        </w:trPr>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Income (loss) from continuing operations - GAAP basis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23,733</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95,096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(6,646)</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19,354</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Tax effect of non-GAAP adjustments (i)</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11,853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r>
      <w:tr>
        <w:trPr>
          <w:trHeight w:val="20"/>
        </w:trPr>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34,612</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44,220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11,628</w:t>
            </w:r>
          </w:p>
        </w:tc>
      </w:tr>
      <w:tr>
        <w:trPr>
          <w:trHeight w:val="197"/>
        </w:trPr>
        <w:tc>
          <w:tcPr>
            <w:tcW w:w="56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continuing operations per share - 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r>
      <w:tr>
        <w:trPr>
          <w:trHeight w:val="216"/>
        </w:trPr>
        <w:tc>
          <w:tcPr>
            <w:tcW w:w="5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continuing operations per share - diluted (j)</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r>
      <w:tr>
        <w:trPr>
          <w:trHeight w:val="54"/>
        </w:trPr>
        <w:tc>
          <w:tcPr>
            <w:tcW w:w="56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4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the gains from the sale of the PCB Test business and the facility in Penang Malaysia have been excluded as these amounts are infrequent and are unrelated to the operational performance of Cohu. Impairment charges and gain on sale of facility have been excluded as these amounts are infrequent and are unrelated to the operational performance of Cohu.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82"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15.0%, 46.8% and (0.9)%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 and the Company’s German operations.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gains generated from the sale of the PCB Test business and the facility in Rosenheim, Germany .</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accelerated depreciation from the property, plant &amp; equipment step-up related to the acquisition of Xcerra.</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 21.2% and 11.9% of net sales, respectively.</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ind w:left="500" w:right="40" w:hanging="330"/>
        <w:spacing w:after="0" w:line="311"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periods presented were computed using the number of GAAP diluted shares outstanding except the three months ended September 26, 2020 which was computed using 42,659 shares outstanding as the effect of dilutive securities was excluded from GAAP diluted common shares due to the reported net loss under GAAP, but are included for non-GAAP diluted common shares since the Company has 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61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6"/>
          </w:tcPr>
          <w:p>
            <w:pPr>
              <w:jc w:val="right"/>
              <w:ind w:right="1100"/>
              <w:spacing w:after="0"/>
              <w:rPr>
                <w:sz w:val="20"/>
                <w:szCs w:val="20"/>
                <w:color w:val="auto"/>
              </w:rPr>
            </w:pPr>
            <w:r>
              <w:rPr>
                <w:rFonts w:ascii="Arial" w:cs="Arial" w:eastAsia="Arial" w:hAnsi="Arial"/>
                <w:sz w:val="16"/>
                <w:szCs w:val="16"/>
                <w:color w:val="auto"/>
              </w:rPr>
              <w:t>Nine Months Ended</w:t>
            </w:r>
          </w:p>
        </w:tc>
      </w:tr>
      <w:tr>
        <w:trPr>
          <w:trHeight w:val="203"/>
        </w:trPr>
        <w:tc>
          <w:tcPr>
            <w:tcW w:w="7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w w:val="97"/>
              </w:rPr>
              <w:t>September 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September 26,</w:t>
            </w:r>
          </w:p>
        </w:tc>
      </w:tr>
      <w:tr>
        <w:trPr>
          <w:trHeight w:val="209"/>
        </w:trPr>
        <w:tc>
          <w:tcPr>
            <w:tcW w:w="7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r>
      <w:tr>
        <w:trPr>
          <w:trHeight w:val="199"/>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 - GAAP basis (a)</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183,963</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(15,514)</w:t>
            </w: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 included in (b):</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500"/>
              <w:spacing w:after="0"/>
              <w:rPr>
                <w:sz w:val="20"/>
                <w:szCs w:val="20"/>
                <w:color w:val="auto"/>
              </w:rPr>
            </w:pPr>
            <w:r>
              <w:rPr>
                <w:rFonts w:ascii="Arial" w:cs="Arial" w:eastAsia="Arial" w:hAnsi="Arial"/>
                <w:sz w:val="16"/>
                <w:szCs w:val="16"/>
                <w:color w:val="auto"/>
              </w:rPr>
              <w:t>Cost of sales (COS)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Research and development (R&amp;D)</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500"/>
              <w:spacing w:after="0"/>
              <w:rPr>
                <w:sz w:val="20"/>
                <w:szCs w:val="20"/>
                <w:color w:val="auto"/>
              </w:rPr>
            </w:pPr>
            <w:r>
              <w:rPr>
                <w:rFonts w:ascii="Arial" w:cs="Arial" w:eastAsia="Arial" w:hAnsi="Arial"/>
                <w:sz w:val="16"/>
                <w:szCs w:val="16"/>
                <w:color w:val="auto"/>
              </w:rPr>
              <w:t>Selling, general and administrative (SG&amp;A)</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7,229</w:t>
            </w:r>
          </w:p>
        </w:tc>
        <w:tc>
          <w:tcPr>
            <w:tcW w:w="120" w:type="dxa"/>
            <w:vAlign w:val="bottom"/>
          </w:tcPr>
          <w:p>
            <w:pPr>
              <w:spacing w:after="0"/>
              <w:rPr>
                <w:sz w:val="17"/>
                <w:szCs w:val="17"/>
                <w:color w:val="auto"/>
              </w:rPr>
            </w:pPr>
          </w:p>
        </w:tc>
      </w:tr>
      <w:tr>
        <w:trPr>
          <w:trHeight w:val="196"/>
        </w:trPr>
        <w:tc>
          <w:tcPr>
            <w:tcW w:w="7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10,313</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Amortization of purchased intangible assets (c)</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27,168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28,848</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charges related to inventory adjustments in COS (d)</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4,281</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Restructuring charges (d)</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Manufacturing and sales transition costs included in (e):</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500"/>
              <w:spacing w:after="0"/>
              <w:rPr>
                <w:sz w:val="20"/>
                <w:szCs w:val="20"/>
                <w:color w:val="auto"/>
              </w:rPr>
            </w:pPr>
            <w:r>
              <w:rPr>
                <w:rFonts w:ascii="Arial" w:cs="Arial" w:eastAsia="Arial" w:hAnsi="Arial"/>
                <w:sz w:val="16"/>
                <w:szCs w:val="16"/>
                <w:color w:val="auto"/>
              </w:rPr>
              <w:t>SG&amp;A</w:t>
            </w:r>
          </w:p>
        </w:tc>
        <w:tc>
          <w:tcPr>
            <w:tcW w:w="18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Impairment charges (f)</w:t>
            </w:r>
          </w:p>
        </w:tc>
        <w:tc>
          <w:tcPr>
            <w:tcW w:w="18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11,249</w:t>
            </w: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PCB Test business (g)</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(75,754)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Gain on sale of facility (g)</w:t>
            </w:r>
          </w:p>
        </w:tc>
        <w:tc>
          <w:tcPr>
            <w:tcW w:w="18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(4,495)</w:t>
            </w: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PP&amp;E step-up included in SG&amp;A (h)</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Payroll taxes related to accelerated vesting of share-based awards included in SG&amp;A (i)</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196"/>
        </w:trPr>
        <w:tc>
          <w:tcPr>
            <w:tcW w:w="7840" w:type="dxa"/>
            <w:vAlign w:val="bottom"/>
          </w:tcPr>
          <w:p>
            <w:pPr>
              <w:spacing w:after="0"/>
              <w:rPr>
                <w:sz w:val="20"/>
                <w:szCs w:val="20"/>
                <w:color w:val="auto"/>
              </w:rPr>
            </w:pPr>
            <w:r>
              <w:rPr>
                <w:rFonts w:ascii="Arial" w:cs="Arial" w:eastAsia="Arial" w:hAnsi="Arial"/>
                <w:sz w:val="16"/>
                <w:szCs w:val="16"/>
                <w:color w:val="auto"/>
              </w:rPr>
              <w:t>Income from operations - non-GAAP basis (j)</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148,144</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37,129</w:t>
            </w:r>
          </w:p>
        </w:tc>
        <w:tc>
          <w:tcPr>
            <w:tcW w:w="12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 GAAP basis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146,436</w:t>
            </w:r>
          </w:p>
        </w:tc>
        <w:tc>
          <w:tcPr>
            <w:tcW w:w="1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(28,704)</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Non-GAAP adjustments (as scheduled above)</w:t>
            </w:r>
          </w:p>
        </w:tc>
        <w:tc>
          <w:tcPr>
            <w:tcW w:w="18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(35,819)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52,643</w:t>
            </w:r>
          </w:p>
        </w:tc>
        <w:tc>
          <w:tcPr>
            <w:tcW w:w="120" w:type="dxa"/>
            <w:vAlign w:val="bottom"/>
          </w:tcPr>
          <w:p>
            <w:pPr>
              <w:spacing w:after="0"/>
              <w:rPr>
                <w:sz w:val="17"/>
                <w:szCs w:val="17"/>
                <w:color w:val="auto"/>
              </w:rPr>
            </w:pPr>
          </w:p>
        </w:tc>
      </w:tr>
      <w:tr>
        <w:trPr>
          <w:trHeight w:val="202"/>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effect of non-GAAP adjustments (k)</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(5,051)</w:t>
            </w:r>
          </w:p>
        </w:tc>
      </w:tr>
      <w:tr>
        <w:trPr>
          <w:trHeight w:val="20"/>
        </w:trPr>
        <w:tc>
          <w:tcPr>
            <w:tcW w:w="7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7840" w:type="dxa"/>
            <w:vAlign w:val="bottom"/>
          </w:tcPr>
          <w:p>
            <w:pPr>
              <w:spacing w:after="0"/>
              <w:rPr>
                <w:sz w:val="20"/>
                <w:szCs w:val="20"/>
                <w:color w:val="auto"/>
              </w:rPr>
            </w:pPr>
            <w:r>
              <w:rPr>
                <w:rFonts w:ascii="Arial" w:cs="Arial" w:eastAsia="Arial" w:hAnsi="Arial"/>
                <w:sz w:val="16"/>
                <w:szCs w:val="16"/>
                <w:color w:val="auto"/>
              </w:rPr>
              <w:t>Income from continuing operations - non-GAAP basis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119,461</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18,888</w:t>
            </w:r>
          </w:p>
        </w:tc>
        <w:tc>
          <w:tcPr>
            <w:tcW w:w="12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GAAP income (loss) per share from continuing operations - 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3.04</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(0.69)</w:t>
            </w:r>
          </w:p>
        </w:tc>
      </w:tr>
      <w:tr>
        <w:trPr>
          <w:trHeight w:val="203"/>
        </w:trPr>
        <w:tc>
          <w:tcPr>
            <w:tcW w:w="7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840" w:type="dxa"/>
            <w:vAlign w:val="bottom"/>
          </w:tcPr>
          <w:p>
            <w:pPr>
              <w:spacing w:after="0"/>
              <w:rPr>
                <w:sz w:val="20"/>
                <w:szCs w:val="20"/>
                <w:color w:val="auto"/>
              </w:rPr>
            </w:pPr>
            <w:r>
              <w:rPr>
                <w:rFonts w:ascii="Arial" w:cs="Arial" w:eastAsia="Arial" w:hAnsi="Arial"/>
                <w:sz w:val="16"/>
                <w:szCs w:val="16"/>
                <w:color w:val="auto"/>
              </w:rPr>
              <w:t>Non-GAAP income per share - diluted (l)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2.48</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gains from the sale of the PCB Test business and the facility in Penang Malaysia have been excluded as these amounts are infrequent and are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Impairment charges and gain on sale of facility have been excluded as these amounts are infrequent and are unrelated to the operational performance of Cohu.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0"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26.5% and (3.6)% of net sales, respectively.</w:t>
      </w:r>
    </w:p>
    <w:p>
      <w:pPr>
        <w:spacing w:after="0" w:line="21"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 and the Company’s German operations.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impairment charges recorded to adjust IPR&amp;D assets obtained in the acquisition of Xcerra to current fair value.</w:t>
      </w:r>
    </w:p>
    <w:p>
      <w:pPr>
        <w:spacing w:after="0" w:line="36"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eliminate the gains generated from the sale of the PCB Test business and the facilities in Rosenheim, Germany and Penang Malaysia.</w:t>
      </w:r>
    </w:p>
    <w:p>
      <w:pPr>
        <w:spacing w:after="0" w:line="47" w:lineRule="exact"/>
        <w:rPr>
          <w:rFonts w:ascii="Arial" w:cs="Arial" w:eastAsia="Arial" w:hAnsi="Arial"/>
          <w:sz w:val="17"/>
          <w:szCs w:val="17"/>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property, plant &amp; equipment step-up depreciation accelerated related to the acquisition of Xcerra.</w:t>
      </w:r>
    </w:p>
    <w:p>
      <w:pPr>
        <w:spacing w:after="0" w:line="36" w:lineRule="exact"/>
        <w:rPr>
          <w:rFonts w:ascii="Arial" w:cs="Arial" w:eastAsia="Arial" w:hAnsi="Arial"/>
          <w:sz w:val="18"/>
          <w:szCs w:val="18"/>
          <w:color w:val="auto"/>
        </w:rPr>
      </w:pPr>
    </w:p>
    <w:p>
      <w:pPr>
        <w:ind w:left="500" w:right="560" w:hanging="330"/>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impact of employer payroll taxes associated with the acceleration of Pascal Rondé share-based awards under the terms of his separation agreement.</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21.3% and 8.6% of net sales, respectively.</w:t>
      </w:r>
    </w:p>
    <w:p>
      <w:pPr>
        <w:spacing w:after="0" w:line="21"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36" w:lineRule="exact"/>
        <w:rPr>
          <w:rFonts w:ascii="Arial" w:cs="Arial" w:eastAsia="Arial" w:hAnsi="Arial"/>
          <w:sz w:val="18"/>
          <w:szCs w:val="18"/>
          <w:color w:val="auto"/>
        </w:rPr>
      </w:pPr>
    </w:p>
    <w:p>
      <w:pPr>
        <w:jc w:val="both"/>
        <w:ind w:left="500" w:right="380" w:hanging="330"/>
        <w:spacing w:after="0" w:line="31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nine-months ended September 26, 2020 was computed using 42,457 shares outstanding, respectively, as the effect of dilutive securities was excluded from GAAP diluted common shares due to the reported net loss under GAAP, but are included for non-GAAP diluted common shares since the Company has non-GAAP net income. All other periods were calculated utilizing the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64"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8"/>
                <w:szCs w:val="18"/>
                <w:color w:val="auto"/>
                <w:w w:val="86"/>
              </w:rPr>
              <w:t>September 25,</w:t>
            </w:r>
          </w:p>
        </w:tc>
        <w:tc>
          <w:tcPr>
            <w:tcW w:w="22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June 26,</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September 26,</w:t>
            </w:r>
          </w:p>
        </w:tc>
      </w:tr>
      <w:tr>
        <w:trPr>
          <w:trHeight w:val="230"/>
        </w:trPr>
        <w:tc>
          <w:tcPr>
            <w:tcW w:w="6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r>
      <w:tr>
        <w:trPr>
          <w:trHeight w:val="210"/>
        </w:trPr>
        <w:tc>
          <w:tcPr>
            <w:tcW w:w="6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95,705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104,657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63,500</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2,824</w:t>
            </w:r>
          </w:p>
        </w:tc>
      </w:tr>
      <w:tr>
        <w:trPr>
          <w:trHeight w:val="20"/>
        </w:trPr>
        <w:tc>
          <w:tcPr>
            <w:tcW w:w="6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95,108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104,585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66,324</w:t>
            </w:r>
          </w:p>
        </w:tc>
      </w:tr>
      <w:tr>
        <w:trPr>
          <w:trHeight w:val="20"/>
        </w:trPr>
        <w:tc>
          <w:tcPr>
            <w:tcW w:w="6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0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09"/>
        </w:trPr>
        <w:tc>
          <w:tcPr>
            <w:tcW w:w="602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r>
      <w:tr>
        <w:trPr>
          <w:trHeight w:val="216"/>
        </w:trPr>
        <w:tc>
          <w:tcPr>
            <w:tcW w:w="6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 GAAP Basis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23,733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(6,646)</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7,392</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1,116</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3,021</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8,879</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9,783</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3,226</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3,462</w:t>
            </w: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(Gain) loss on extinguishment of debt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(71,919)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9,328</w:t>
            </w:r>
          </w:p>
        </w:tc>
      </w:tr>
      <w:tr>
        <w:trPr>
          <w:trHeight w:val="20"/>
        </w:trPr>
        <w:tc>
          <w:tcPr>
            <w:tcW w:w="60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49,021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55,381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20,047</w:t>
            </w:r>
          </w:p>
        </w:tc>
      </w:tr>
      <w:tr>
        <w:trPr>
          <w:trHeight w:val="20"/>
        </w:trPr>
        <w:tc>
          <w:tcPr>
            <w:tcW w:w="6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 GAAP Basis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r>
      <w:tr>
        <w:trPr>
          <w:trHeight w:val="216"/>
        </w:trPr>
        <w:tc>
          <w:tcPr>
            <w:tcW w:w="60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62,079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64,860</w:t>
            </w:r>
          </w:p>
        </w:tc>
      </w:tr>
      <w:tr>
        <w:trPr>
          <w:trHeight w:val="216"/>
        </w:trPr>
        <w:tc>
          <w:tcPr>
            <w:tcW w:w="602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(13,122)</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(16,530)</w:t>
            </w:r>
          </w:p>
        </w:tc>
      </w:tr>
      <w:tr>
        <w:trPr>
          <w:trHeight w:val="20"/>
        </w:trPr>
        <w:tc>
          <w:tcPr>
            <w:tcW w:w="6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 - Non-GAAP basis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49,549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48,330</w:t>
            </w:r>
          </w:p>
        </w:tc>
      </w:tr>
      <w:tr>
        <w:trPr>
          <w:trHeight w:val="34"/>
        </w:trPr>
        <w:tc>
          <w:tcPr>
            <w:tcW w:w="6020" w:type="dxa"/>
            <w:vAlign w:val="bottom"/>
            <w:tcBorders>
              <w:top w:val="single" w:sz="8" w:color="CCEEFF"/>
              <w:bottom w:val="single" w:sz="8" w:color="auto"/>
            </w:tcBorders>
          </w:tcPr>
          <w:p>
            <w:pPr>
              <w:spacing w:after="0"/>
              <w:rPr>
                <w:sz w:val="3"/>
                <w:szCs w:val="3"/>
                <w:color w:val="auto"/>
              </w:rPr>
            </w:pPr>
          </w:p>
        </w:tc>
        <w:tc>
          <w:tcPr>
            <w:tcW w:w="76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CCEEFF"/>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r>
    </w:tbl>
    <w:p>
      <w:pPr>
        <w:spacing w:after="0" w:line="40" w:lineRule="exact"/>
        <w:rPr>
          <w:sz w:val="20"/>
          <w:szCs w:val="20"/>
          <w:color w:val="auto"/>
        </w:rPr>
      </w:pPr>
    </w:p>
    <w:p>
      <w:pPr>
        <w:ind w:left="340" w:right="680" w:hanging="275"/>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amortization of $6,988, $7,043 and $7,447 for the three months ending September 25, 2021, June 26, 2021 and September 26, 2020, respectively.</w:t>
      </w:r>
    </w:p>
    <w:p>
      <w:pPr>
        <w:spacing w:after="0" w:line="1" w:lineRule="exact"/>
        <w:rPr>
          <w:rFonts w:ascii="Arial" w:cs="Arial" w:eastAsia="Arial" w:hAnsi="Arial"/>
          <w:sz w:val="18"/>
          <w:szCs w:val="18"/>
          <w:color w:val="auto"/>
        </w:rPr>
      </w:pPr>
    </w:p>
    <w:p>
      <w:pPr>
        <w:ind w:left="340" w:hanging="275"/>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6"/>
          </w:tcPr>
          <w:p>
            <w:pPr>
              <w:jc w:val="right"/>
              <w:ind w:right="1120"/>
              <w:spacing w:after="0"/>
              <w:rPr>
                <w:sz w:val="20"/>
                <w:szCs w:val="20"/>
                <w:color w:val="auto"/>
              </w:rPr>
            </w:pPr>
            <w:r>
              <w:rPr>
                <w:rFonts w:ascii="Arial" w:cs="Arial" w:eastAsia="Arial" w:hAnsi="Arial"/>
                <w:sz w:val="18"/>
                <w:szCs w:val="18"/>
                <w:color w:val="auto"/>
              </w:rPr>
              <w:t>Nine Months Ended</w:t>
            </w: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September 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September 26,</w:t>
            </w:r>
          </w:p>
        </w:tc>
      </w:tr>
      <w:tr>
        <w:trPr>
          <w:trHeight w:val="230"/>
        </w:trPr>
        <w:tc>
          <w:tcPr>
            <w:tcW w:w="7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302,567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180,541</w:t>
            </w: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4,922</w:t>
            </w:r>
          </w:p>
        </w:tc>
      </w:tr>
      <w:tr>
        <w:trPr>
          <w:trHeight w:val="209"/>
        </w:trPr>
        <w:tc>
          <w:tcPr>
            <w:tcW w:w="77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Gross profit -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302,560</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185,463</w:t>
            </w:r>
          </w:p>
        </w:tc>
        <w:tc>
          <w:tcPr>
            <w:tcW w:w="220" w:type="dxa"/>
            <w:vAlign w:val="bottom"/>
            <w:tcBorders>
              <w:top w:val="single" w:sz="8" w:color="CCEEFF"/>
            </w:tcBorders>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77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09"/>
        </w:trPr>
        <w:tc>
          <w:tcPr>
            <w:tcW w:w="778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r>
      <w:tr>
        <w:trPr>
          <w:trHeight w:val="216"/>
        </w:trPr>
        <w:tc>
          <w:tcPr>
            <w:tcW w:w="778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r>
      <w:tr>
        <w:trPr>
          <w:trHeight w:val="216"/>
        </w:trPr>
        <w:tc>
          <w:tcPr>
            <w:tcW w:w="7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(28,662)</w:t>
            </w:r>
          </w:p>
        </w:tc>
      </w:tr>
      <w:tr>
        <w:trPr>
          <w:trHeight w:val="216"/>
        </w:trPr>
        <w:tc>
          <w:tcPr>
            <w:tcW w:w="778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r>
      <w:tr>
        <w:trPr>
          <w:trHeight w:val="216"/>
        </w:trPr>
        <w:tc>
          <w:tcPr>
            <w:tcW w:w="77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10,904</w:t>
            </w: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r>
      <w:tr>
        <w:trPr>
          <w:trHeight w:val="216"/>
        </w:trPr>
        <w:tc>
          <w:tcPr>
            <w:tcW w:w="77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27,168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28,848</w:t>
            </w: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10,435</w:t>
            </w:r>
          </w:p>
        </w:tc>
      </w:tr>
      <w:tr>
        <w:trPr>
          <w:trHeight w:val="216"/>
        </w:trPr>
        <w:tc>
          <w:tcPr>
            <w:tcW w:w="77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extinguishment of debt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r>
      <w:tr>
        <w:trPr>
          <w:trHeight w:val="216"/>
        </w:trPr>
        <w:tc>
          <w:tcPr>
            <w:tcW w:w="7780" w:type="dxa"/>
            <w:vAlign w:val="bottom"/>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(63,422)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23,066</w:t>
            </w:r>
          </w:p>
        </w:tc>
      </w:tr>
      <w:tr>
        <w:trPr>
          <w:trHeight w:val="249"/>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158,485</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197"/>
        </w:trPr>
        <w:tc>
          <w:tcPr>
            <w:tcW w:w="7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net sales: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8"/>
                <w:szCs w:val="18"/>
                <w:color w:val="auto"/>
              </w:rPr>
              <w:t>Net income (loss) - GAAP Basis</w:t>
            </w: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Operating Expense - GAAP basis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194,358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196,055</w:t>
            </w: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(47,721)</w:t>
            </w:r>
          </w:p>
        </w:tc>
      </w:tr>
      <w:tr>
        <w:trPr>
          <w:trHeight w:val="210"/>
        </w:trPr>
        <w:tc>
          <w:tcPr>
            <w:tcW w:w="77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Expenses -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154,416</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148,334</w:t>
            </w:r>
          </w:p>
        </w:tc>
        <w:tc>
          <w:tcPr>
            <w:tcW w:w="220" w:type="dxa"/>
            <w:vAlign w:val="bottom"/>
            <w:tcBorders>
              <w:top w:val="single" w:sz="8" w:color="CCEEFF"/>
            </w:tcBorders>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
        </w:trPr>
        <w:tc>
          <w:tcPr>
            <w:tcW w:w="7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ind w:left="340" w:hanging="275"/>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amortization of $21,132 and $21,969 for the nine months ending September 25, 2021 and September 26, 2020, respectively.</w:t>
      </w:r>
    </w:p>
    <w:p>
      <w:pPr>
        <w:spacing w:after="0" w:line="23" w:lineRule="exact"/>
        <w:rPr>
          <w:rFonts w:ascii="Arial" w:cs="Arial" w:eastAsia="Arial" w:hAnsi="Arial"/>
          <w:sz w:val="18"/>
          <w:szCs w:val="18"/>
          <w:color w:val="auto"/>
        </w:rPr>
      </w:pPr>
    </w:p>
    <w:p>
      <w:pPr>
        <w:ind w:left="340" w:hanging="275"/>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2021-10-28T15:15:31Z</dcterms:created>
  <dcterms:modified xsi:type="dcterms:W3CDTF">2021-10-28T15:15:31Z</dcterms:modified>
</cp:coreProperties>
</file>