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5466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46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BOHRSON CHRISTOPHER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12367 CROSTHWAITE CIRCLE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POWAY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92064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COHU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COHU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03/14/2024</w:t>
            </w: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Sr VP &amp; Chief Customer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ind w:left="5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2,978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138,970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Stock Units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138,203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3,649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134,554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were automatically withheld upon vesting of Restricted Stock Units (RSUs) to cover tax obligations in transactions exempt under Rule 16(b)-3.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were previously reported that have been forfeited as specified performance goals were not fully achieved.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were automatically withheld upon vesting of Restricted Stock Units (RSUs) to cover tax obligations in transactions exempt under Rule 16(b)-3.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78,968 RSUs (excluding the impact of shares that will be withheld to cover tax obligations) previously reported that in the future will be converted on a one-for-one basis into shares of Cohu, Inc. Common Stock immediately upon the vesting dates (assuming continued employment and achievement of specified performance goals).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D. Jones, by Power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01398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2024-03-18T12:55:29Z</dcterms:created>
  <dcterms:modified xsi:type="dcterms:W3CDTF">2024-03-18T12:55:29Z</dcterms:modified>
</cp:coreProperties>
</file>