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CURRENT REPORT</w:t>
            </w:r>
          </w:p>
        </w:tc>
        <w:tc>
          <w:tcPr>
            <w:tcW w:w="980" w:type="dxa"/>
            <w:vAlign w:val="bottom"/>
          </w:tcPr>
          <w:p>
            <w:pPr>
              <w:spacing w:after="0"/>
              <w:rPr>
                <w:sz w:val="20"/>
                <w:szCs w:val="20"/>
                <w:color w:val="auto"/>
              </w:rPr>
            </w:pPr>
          </w:p>
        </w:tc>
      </w:tr>
      <w:tr>
        <w:trPr>
          <w:trHeight w:val="432"/>
        </w:trPr>
        <w:tc>
          <w:tcPr>
            <w:tcW w:w="8240" w:type="dxa"/>
            <w:vAlign w:val="bottom"/>
          </w:tcPr>
          <w:p>
            <w:pPr>
              <w:jc w:val="center"/>
              <w:ind w:left="291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980" w:type="dxa"/>
            <w:vAlign w:val="bottom"/>
          </w:tcPr>
          <w:p>
            <w:pPr>
              <w:spacing w:after="0"/>
              <w:rPr>
                <w:sz w:val="24"/>
                <w:szCs w:val="24"/>
                <w:color w:val="auto"/>
              </w:rPr>
            </w:pPr>
          </w:p>
        </w:tc>
      </w:tr>
      <w:tr>
        <w:trPr>
          <w:trHeight w:val="43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May 2, 2024</w:t>
            </w:r>
          </w:p>
        </w:tc>
      </w:tr>
    </w:tbl>
    <w:p>
      <w:pPr>
        <w:spacing w:after="0" w:line="1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4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960" w:type="dxa"/>
            <w:vAlign w:val="bottom"/>
          </w:tcPr>
          <w:p>
            <w:pPr>
              <w:spacing w:after="0"/>
              <w:rPr>
                <w:sz w:val="20"/>
                <w:szCs w:val="20"/>
                <w:color w:val="auto"/>
              </w:rPr>
            </w:pPr>
          </w:p>
        </w:tc>
      </w:tr>
      <w:tr>
        <w:trPr>
          <w:trHeight w:val="414"/>
        </w:trPr>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Delaware</w:t>
            </w:r>
          </w:p>
        </w:tc>
        <w:tc>
          <w:tcPr>
            <w:tcW w:w="444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001-04298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3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_____________________</w:t>
            </w:r>
          </w:p>
        </w:tc>
        <w:tc>
          <w:tcPr>
            <w:tcW w:w="44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_____________</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4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4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4440" w:type="dxa"/>
            <w:vAlign w:val="bottom"/>
          </w:tcPr>
          <w:p>
            <w:pPr>
              <w:spacing w:after="0"/>
              <w:rPr>
                <w:sz w:val="24"/>
                <w:szCs w:val="24"/>
                <w:color w:val="auto"/>
              </w:rPr>
            </w:pP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3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4440" w:type="dxa"/>
            <w:vAlign w:val="bottom"/>
          </w:tcPr>
          <w:p>
            <w:pPr>
              <w:spacing w:after="0"/>
              <w:rPr>
                <w:sz w:val="18"/>
                <w:szCs w:val="18"/>
                <w:color w:val="auto"/>
              </w:rPr>
            </w:pP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440" w:type="dxa"/>
            <w:vAlign w:val="bottom"/>
          </w:tcPr>
          <w:p>
            <w:pPr>
              <w:spacing w:after="0"/>
              <w:rPr>
                <w:sz w:val="20"/>
                <w:szCs w:val="20"/>
                <w:color w:val="auto"/>
              </w:rPr>
            </w:pP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Registrant’s telephone number, including area</w:t>
            </w:r>
          </w:p>
        </w:tc>
        <w:tc>
          <w:tcPr>
            <w:tcW w:w="4440" w:type="dxa"/>
            <w:vAlign w:val="bottom"/>
          </w:tcPr>
          <w:p>
            <w:pPr>
              <w:spacing w:after="0"/>
              <w:rPr>
                <w:sz w:val="24"/>
                <w:szCs w:val="24"/>
                <w:color w:val="auto"/>
              </w:rPr>
            </w:pP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234"/>
        </w:trPr>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code:</w:t>
            </w:r>
          </w:p>
        </w:tc>
        <w:tc>
          <w:tcPr>
            <w:tcW w:w="444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COHU</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2, 2024, the Company issued a press release regarding its financial results for the first fiscal quarter ended March 30, 2024. The Company’s press release is attached as Exhibit 99.1 to this Current Report on Form 8-K and incorporated by reference herein.</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Included within this current report are non-GAAP financial measures, including non-GAAP Gross Margin/Profit, Income and Income (adjusted earnings) per share, Operating Income, Operating Expense, effective tax rate, free cash flow,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impairments, inventory step-up, depreciation of purchase accounting adjustments to property, plant and equipment,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current may be considered forward-looking statements within the meaning of the U.S. Private Securities Litigation Reform Act of 1995, including statements regarding expectations related to our FY2024 outlook, including quarterly projections; planned technology development and growth expected from customer adoption;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92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61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First Quarter 2024 Earnings Release, dated May 2, 2024,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400" w:val="left"/>
          <w:tab w:leader="none" w:pos="6420" w:val="left"/>
        </w:tabs>
        <w:rPr>
          <w:sz w:val="20"/>
          <w:szCs w:val="20"/>
          <w:color w:val="auto"/>
        </w:rPr>
      </w:pPr>
      <w:r>
        <w:rPr>
          <w:rFonts w:ascii="Times New Roman" w:cs="Times New Roman" w:eastAsia="Times New Roman" w:hAnsi="Times New Roman"/>
          <w:sz w:val="18"/>
          <w:szCs w:val="18"/>
          <w:color w:val="auto"/>
        </w:rPr>
        <w:t>May 2,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8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4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8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First Quarter 2024 Earnings Release, dated May 2, 2024, of Cohu, Inc.</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8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156845</wp:posOffset>
            </wp:positionV>
            <wp:extent cx="3429000" cy="1517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First Quarter 2024 Results</w:t>
      </w:r>
    </w:p>
    <w:p>
      <w:pPr>
        <w:spacing w:after="0" w:line="227"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revenue $107.6 million, approximately 66% recurring</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 of 45.8%; non-GAAP gross margin of 46.0%</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Sense+ system with </w:t>
      </w:r>
      <w:r>
        <w:rPr>
          <w:rFonts w:ascii="Times New Roman" w:cs="Times New Roman" w:eastAsia="Times New Roman" w:hAnsi="Times New Roman"/>
          <w:sz w:val="18"/>
          <w:szCs w:val="18"/>
          <w:color w:val="auto"/>
        </w:rPr>
        <w:t>µ</w:t>
      </w:r>
      <w:r>
        <w:rPr>
          <w:rFonts w:ascii="Times New Roman" w:cs="Times New Roman" w:eastAsia="Times New Roman" w:hAnsi="Times New Roman"/>
          <w:sz w:val="18"/>
          <w:szCs w:val="18"/>
          <w:i w:val="1"/>
          <w:iCs w:val="1"/>
          <w:color w:val="auto"/>
        </w:rPr>
        <w:t>-sense selected for testing next-generation high fidelity microphones</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POWAY, Calif., May 2, 2024 – Cohu, Inc. (NASDAQ: COHU), a global supplier of equipment and services optimizing semiconductor manufacturing yield and productivity, today reported fiscal 2024 first quarter net sales of $107.6 million and GAAP loss of $14.6 million or $0.31 per share. Cohu also reported first quarter 2024 non-GAAP income of $0.6 million or $0.01 per share.</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2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1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Q1 FY 2024</w:t>
            </w: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Q4 FY 2023</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 2023</w:t>
            </w:r>
          </w:p>
        </w:tc>
        <w:tc>
          <w:tcPr>
            <w:tcW w:w="0" w:type="dxa"/>
            <w:vAlign w:val="bottom"/>
          </w:tcPr>
          <w:p>
            <w:pPr>
              <w:spacing w:after="0"/>
              <w:rPr>
                <w:sz w:val="1"/>
                <w:szCs w:val="1"/>
                <w:color w:val="auto"/>
              </w:rPr>
            </w:pPr>
          </w:p>
        </w:tc>
      </w:tr>
      <w:tr>
        <w:trPr>
          <w:trHeight w:val="223"/>
        </w:trPr>
        <w:tc>
          <w:tcPr>
            <w:tcW w:w="4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lef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lef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16"/>
        </w:trPr>
        <w:tc>
          <w:tcPr>
            <w:tcW w:w="42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4200" w:type="dxa"/>
            <w:vAlign w:val="bottom"/>
            <w:tcBorders>
              <w:left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5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Borders>
              <w:lef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Non-GAAP Results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Q1 FY 2024</w:t>
            </w:r>
          </w:p>
        </w:tc>
        <w:tc>
          <w:tcPr>
            <w:tcW w:w="200" w:type="dxa"/>
            <w:vAlign w:val="bottom"/>
          </w:tcPr>
          <w:p>
            <w:pPr>
              <w:spacing w:after="0"/>
              <w:rPr>
                <w:sz w:val="17"/>
                <w:szCs w:val="17"/>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Q4 FY 2023</w:t>
            </w:r>
          </w:p>
        </w:tc>
        <w:tc>
          <w:tcPr>
            <w:tcW w:w="200" w:type="dxa"/>
            <w:vAlign w:val="bottom"/>
          </w:tcPr>
          <w:p>
            <w:pPr>
              <w:spacing w:after="0"/>
              <w:rPr>
                <w:sz w:val="17"/>
                <w:szCs w:val="17"/>
                <w:color w:val="auto"/>
              </w:rPr>
            </w:pPr>
          </w:p>
        </w:tc>
        <w:tc>
          <w:tcPr>
            <w:tcW w:w="1480" w:type="dxa"/>
            <w:vAlign w:val="bottom"/>
            <w:tcBorders>
              <w:right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 2023</w:t>
            </w:r>
          </w:p>
        </w:tc>
        <w:tc>
          <w:tcPr>
            <w:tcW w:w="0" w:type="dxa"/>
            <w:vAlign w:val="bottom"/>
          </w:tcPr>
          <w:p>
            <w:pPr>
              <w:spacing w:after="0"/>
              <w:rPr>
                <w:sz w:val="1"/>
                <w:szCs w:val="1"/>
                <w:color w:val="auto"/>
              </w:rPr>
            </w:pPr>
          </w:p>
        </w:tc>
      </w:tr>
      <w:tr>
        <w:trPr>
          <w:trHeight w:val="223"/>
        </w:trPr>
        <w:tc>
          <w:tcPr>
            <w:tcW w:w="42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lef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lef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420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15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Total cash and investments at the end of first quarter 2024 were $271.3 million. On February 9, 2024, the Company made a cash payment of $29.3 million to repay the remaining outstanding amounts owed under our Term Loan B. Cohu repurchased 333,504 shares of its common stock in the first quarter for an aggregate amount of approximately $10.7 million.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“Recurring revenue continued to deliver stable profitability during the trough of this Semicap cycle when customers typically limit capital expenditures and focus on reducing semiconductor inventory,” said Cohu President and CEO Luis Müller. “We remain focused on developing core technologies and were pleased to receive initial orders from a leading U.S. fabless semiconductor manufacturer for our new high fidelity microphone tester integrated with Cohu’s Sense+ automation platform.”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second quarter 2024 sales to be in a range of $105 million +/- $6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first quarter 2024 results at 1:30 p.m. Pacific Time/4:30 p.m. Eastern Time on May 2, 2024. Interested parties may listen live via webcast on Cohu’s investor relations website at </w:t>
      </w:r>
      <w:r>
        <w:rPr>
          <w:rFonts w:ascii="Times New Roman" w:cs="Times New Roman" w:eastAsia="Times New Roman" w:hAnsi="Times New Roman"/>
          <w:sz w:val="18"/>
          <w:szCs w:val="18"/>
          <w:u w:val="single" w:color="auto"/>
          <w:color w:val="auto"/>
        </w:rPr>
        <w:t>https://edge.media-server.com/mmc/p/vsirqt8u</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 xml:space="preserve">To participate via telephone and join the call live, please register in advance at </w:t>
      </w:r>
      <w:r>
        <w:rPr>
          <w:rFonts w:ascii="Times New Roman" w:cs="Times New Roman" w:eastAsia="Times New Roman" w:hAnsi="Times New Roman"/>
          <w:sz w:val="17"/>
          <w:szCs w:val="17"/>
          <w:u w:val="single" w:color="auto"/>
          <w:color w:val="auto"/>
        </w:rPr>
        <w:t>https://register.vevent.com/register/BI003a2b1f29c5421891e1b2448a42a390</w:t>
      </w:r>
      <w:r>
        <w:rPr>
          <w:rFonts w:ascii="Times New Roman" w:cs="Times New Roman" w:eastAsia="Times New Roman" w:hAnsi="Times New Roman"/>
          <w:sz w:val="17"/>
          <w:szCs w:val="17"/>
          <w:color w:val="auto"/>
        </w:rPr>
        <w:t xml:space="preserve"> to receive the dial-in number along with a unique PIN number that can be used to access the call.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Income and Income (adjusted earnings) per share, Operating Income, Operating Expense, effective tax rate, free cash flow,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impairments, inventory step-up, depreciation of purchase accounting adjustments to property, plant and equipment,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and loss on extinguishment of debt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Certain statements contained in this release and accompanying materials may be considered forward-looking statements within the meaning of the U.S. Private Securities Litigation Reform Act of 1995, including statements regarding expectations related to our FY2024 outlook, including quarterly projections; planned technology development and growth expected from customer adoption;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 xml:space="preserve">Three Months Ended </w:t>
            </w:r>
            <w:r>
              <w:rPr>
                <w:rFonts w:ascii="Times New Roman" w:cs="Times New Roman" w:eastAsia="Times New Roman" w:hAnsi="Times New Roman"/>
                <w:sz w:val="29"/>
                <w:szCs w:val="29"/>
                <w:color w:val="auto"/>
                <w:vertAlign w:val="superscript"/>
              </w:rPr>
              <w:t>(1)</w:t>
            </w:r>
          </w:p>
        </w:tc>
      </w:tr>
      <w:tr>
        <w:trPr>
          <w:trHeight w:val="216"/>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April 1,</w:t>
            </w:r>
          </w:p>
        </w:tc>
      </w:tr>
      <w:tr>
        <w:trPr>
          <w:trHeight w:val="238"/>
        </w:trPr>
        <w:tc>
          <w:tcPr>
            <w:tcW w:w="7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2024 </w:t>
            </w:r>
            <w:r>
              <w:rPr>
                <w:rFonts w:ascii="Times New Roman" w:cs="Times New Roman" w:eastAsia="Times New Roman" w:hAnsi="Times New Roman"/>
                <w:sz w:val="27"/>
                <w:szCs w:val="27"/>
                <w:b w:val="1"/>
                <w:bCs w:val="1"/>
                <w:color w:val="auto"/>
                <w:vertAlign w:val="superscript"/>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7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107,614</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179,371</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58,365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93,153</w:t>
            </w: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22,336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22,510</w:t>
            </w: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35,082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34,189</w:t>
            </w: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8,754</w:t>
            </w:r>
          </w:p>
        </w:tc>
      </w:tr>
      <w:tr>
        <w:trPr>
          <w:trHeight w:val="216"/>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159,494</w:t>
            </w:r>
          </w:p>
        </w:tc>
        <w:tc>
          <w:tcPr>
            <w:tcW w:w="120" w:type="dxa"/>
            <w:vAlign w:val="bottom"/>
          </w:tcPr>
          <w:p>
            <w:pPr>
              <w:spacing w:after="0"/>
              <w:rPr>
                <w:sz w:val="18"/>
                <w:szCs w:val="18"/>
                <w:color w:val="auto"/>
              </w:rPr>
            </w:pPr>
          </w:p>
        </w:tc>
      </w:tr>
      <w:tr>
        <w:trPr>
          <w:trHeight w:val="20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(17,973)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19,877</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loss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7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(16,335)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20,658</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4,973</w:t>
            </w:r>
          </w:p>
        </w:tc>
      </w:tr>
      <w:tr>
        <w:trPr>
          <w:trHeight w:val="20"/>
        </w:trPr>
        <w:tc>
          <w:tcPr>
            <w:tcW w:w="7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(14,635)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15,685</w:t>
            </w:r>
          </w:p>
        </w:tc>
      </w:tr>
      <w:tr>
        <w:trPr>
          <w:trHeight w:val="197"/>
        </w:trPr>
        <w:tc>
          <w:tcPr>
            <w:tcW w:w="79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(0.31)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9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(0.31)</w:t>
            </w:r>
          </w:p>
        </w:tc>
        <w:tc>
          <w:tcPr>
            <w:tcW w:w="34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0.33</w:t>
            </w:r>
          </w:p>
        </w:tc>
      </w:tr>
      <w:tr>
        <w:trPr>
          <w:trHeight w:val="196"/>
        </w:trPr>
        <w:tc>
          <w:tcPr>
            <w:tcW w:w="79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9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used in computing income (loss) per share: </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47,134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47,343</w:t>
            </w: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9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47,134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48,171</w:t>
            </w:r>
          </w:p>
        </w:tc>
      </w:tr>
      <w:tr>
        <w:trPr>
          <w:trHeight w:val="34"/>
        </w:trPr>
        <w:tc>
          <w:tcPr>
            <w:tcW w:w="794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r>
    </w:tbl>
    <w:p>
      <w:pPr>
        <w:spacing w:after="0" w:line="36" w:lineRule="exact"/>
        <w:rPr>
          <w:sz w:val="20"/>
          <w:szCs w:val="20"/>
          <w:color w:val="auto"/>
        </w:rPr>
      </w:pPr>
    </w:p>
    <w:p>
      <w:pPr>
        <w:ind w:left="500" w:hanging="317"/>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 periods ended March 30, 2024 and April 1, 2023 were both comprised of 13 weeks.</w:t>
      </w:r>
    </w:p>
    <w:p>
      <w:pPr>
        <w:spacing w:after="0" w:line="27" w:lineRule="exact"/>
        <w:rPr>
          <w:rFonts w:ascii="Times New Roman" w:cs="Times New Roman" w:eastAsia="Times New Roman" w:hAnsi="Times New Roman"/>
          <w:sz w:val="18"/>
          <w:szCs w:val="18"/>
          <w:color w:val="auto"/>
        </w:rPr>
      </w:pPr>
    </w:p>
    <w:p>
      <w:pPr>
        <w:ind w:left="500" w:right="140" w:hanging="317"/>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2023 the Company completed the acquisition of MCT Worldwide, LLC (“MCT”) and October 2, 2023 the Company completed the acquisition of Equiptest Engineering Pte. Ltd. (“EQT”) the results of MCT’s and EQT’s operations have been included since those dates.</w:t>
      </w:r>
    </w:p>
    <w:p>
      <w:pPr>
        <w:ind w:left="500" w:right="620" w:hanging="317"/>
        <w:spacing w:after="0" w:line="26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 ended March 30, 2024, potentially dilutive securities were excluded from the per share computations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Cash and investments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335,698</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115,994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124,624</w:t>
            </w: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151,587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155,793</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34,014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572,917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638,818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76,414</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69,085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241,658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151,770</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15,935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29,928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1,074,448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196"/>
        </w:trPr>
        <w:tc>
          <w:tcPr>
            <w:tcW w:w="78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85,271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91,095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103,421</w:t>
            </w: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34,303</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12,520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47,452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49,283</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915,357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1,074,448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
        </w:trPr>
        <w:tc>
          <w:tcPr>
            <w:tcW w:w="7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ind w:left="500" w:right="160" w:hanging="317"/>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2024, the Company made a cash payment of $29.3 million to repay the remaining outstanding amounts owed under our Term Loan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30,</w:t>
            </w:r>
          </w:p>
        </w:tc>
        <w:tc>
          <w:tcPr>
            <w:tcW w:w="2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6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(17,973)</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3,471</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3,914</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9,738</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8,754</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step-up included in COS (g)</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included in SG&amp;A (h)</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(i)</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(j)</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34,194</w:t>
            </w: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 GAAP basis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(14,635)</w:t>
            </w:r>
          </w:p>
        </w:tc>
        <w:tc>
          <w:tcPr>
            <w:tcW w:w="240" w:type="dxa"/>
            <w:vAlign w:val="bottom"/>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15,685</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16,387</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14,317</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(k)</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(3,057)</w:t>
            </w:r>
          </w:p>
        </w:tc>
      </w:tr>
      <w:tr>
        <w:trPr>
          <w:trHeight w:val="20"/>
        </w:trPr>
        <w:tc>
          <w:tcPr>
            <w:tcW w:w="6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 non-GAAP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26,945</w:t>
            </w: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GAAP net income (loss) per share - diluted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40" w:type="dxa"/>
            <w:vAlign w:val="bottom"/>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0.33</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share - diluted (l)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and the acquisitions of MCT and EQT. Restructuring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1"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 0.2% and 11.1% of net sales, respectively.</w:t>
      </w:r>
    </w:p>
    <w:p>
      <w:pPr>
        <w:spacing w:after="0" w:line="1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the integration of MCT and Xcerra.</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impact of the impairment of our investment in Fraes-und Technologiezentrum GmbH Frasdorf, a company based in Germany.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amortization of inventory step up charges related to the acquisition of MCT and EQT.</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depreciation of PP&amp;E step up charges related to the acquisition of MCT and EQT.</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12.2% and 19.1% of net sales, respectively.</w:t>
      </w:r>
    </w:p>
    <w:p>
      <w:pPr>
        <w:spacing w:after="0" w:line="36"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36" w:lineRule="exact"/>
        <w:rPr>
          <w:rFonts w:ascii="Times New Roman" w:cs="Times New Roman" w:eastAsia="Times New Roman" w:hAnsi="Times New Roman"/>
          <w:sz w:val="18"/>
          <w:szCs w:val="18"/>
          <w:color w:val="auto"/>
        </w:rPr>
      </w:pPr>
    </w:p>
    <w:p>
      <w:pPr>
        <w:ind w:left="500" w:right="260" w:hanging="330"/>
        <w:spacing w:after="0" w:line="261"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30, 2024 and December 30, 2023 were computed using 47,606 and 47,795 shares outstanding, respectively,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March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December 30,</w:t>
            </w:r>
          </w:p>
        </w:tc>
        <w:tc>
          <w:tcPr>
            <w:tcW w:w="2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6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49,249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65,410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86,218</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r>
      <w:tr>
        <w:trPr>
          <w:trHeight w:val="20"/>
        </w:trPr>
        <w:tc>
          <w:tcPr>
            <w:tcW w:w="6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49,472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66,508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86,512</w:t>
            </w:r>
          </w:p>
        </w:tc>
      </w:tr>
      <w:tr>
        <w:trPr>
          <w:trHeight w:val="20"/>
        </w:trPr>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(14,635)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15,685</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1,531</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4,973</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(2,847)</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9,738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8,754</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3,372</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3,337</w:t>
            </w:r>
          </w:p>
        </w:tc>
      </w:tr>
      <w:tr>
        <w:trPr>
          <w:trHeight w:val="216"/>
        </w:trPr>
        <w:tc>
          <w:tcPr>
            <w:tcW w:w="61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5,554</w:t>
            </w:r>
          </w:p>
        </w:tc>
      </w:tr>
      <w:tr>
        <w:trPr>
          <w:trHeight w:val="20"/>
        </w:trPr>
        <w:tc>
          <w:tcPr>
            <w:tcW w:w="6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37,782</w:t>
            </w:r>
          </w:p>
        </w:tc>
      </w:tr>
      <w:tr>
        <w:trPr>
          <w:trHeight w:val="20"/>
        </w:trPr>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6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67,222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65,076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66,341</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(15,289)</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(14,023)</w:t>
            </w:r>
          </w:p>
        </w:tc>
      </w:tr>
      <w:tr>
        <w:trPr>
          <w:trHeight w:val="20"/>
        </w:trPr>
        <w:tc>
          <w:tcPr>
            <w:tcW w:w="6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50,211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49,787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52,318</w:t>
            </w:r>
          </w:p>
        </w:tc>
      </w:tr>
      <w:tr>
        <w:trPr>
          <w:trHeight w:val="35"/>
        </w:trPr>
        <w:tc>
          <w:tcPr>
            <w:tcW w:w="614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CCEEFF"/>
              <w:bottom w:val="single" w:sz="8" w:color="auto"/>
            </w:tcBorders>
          </w:tcPr>
          <w:p>
            <w:pPr>
              <w:spacing w:after="0"/>
              <w:rPr>
                <w:sz w:val="3"/>
                <w:szCs w:val="3"/>
                <w:color w:val="auto"/>
              </w:rPr>
            </w:pPr>
          </w:p>
        </w:tc>
      </w:tr>
    </w:tbl>
    <w:p>
      <w:pPr>
        <w:spacing w:after="0" w:line="3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amortization of $7,522, $7,476 and $6,891 for the three months ending March 30, 2024, December 30, 2023 and April 01, 2023, respectively.</w:t>
      </w:r>
    </w:p>
    <w:p>
      <w:pPr>
        <w:spacing w:after="0" w:line="38"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2024-05-02T15:20:52Z</dcterms:created>
  <dcterms:modified xsi:type="dcterms:W3CDTF">2024-05-02T15:20:52Z</dcterms:modified>
</cp:coreProperties>
</file>