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5"/>
          </w:tcPr>
          <w:p>
            <w:pPr>
              <w:spacing w:after="0"/>
              <w:rPr>
                <w:sz w:val="20"/>
                <w:szCs w:val="20"/>
                <w:color w:val="auto"/>
              </w:rPr>
            </w:pPr>
            <w:r>
              <w:rPr>
                <w:rFonts w:ascii="Arial" w:cs="Arial" w:eastAsia="Arial" w:hAnsi="Arial"/>
                <w:sz w:val="18"/>
                <w:szCs w:val="18"/>
                <w:color w:val="auto"/>
              </w:rPr>
              <w:t>Date of Report (Date of Earliest Event Reported):</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jc w:val="right"/>
              <w:ind w:right="950"/>
              <w:spacing w:after="0"/>
              <w:rPr>
                <w:sz w:val="20"/>
                <w:szCs w:val="20"/>
                <w:color w:val="auto"/>
              </w:rPr>
            </w:pPr>
            <w:r>
              <w:rPr>
                <w:rFonts w:ascii="Arial" w:cs="Arial" w:eastAsia="Arial" w:hAnsi="Arial"/>
                <w:sz w:val="18"/>
                <w:szCs w:val="18"/>
                <w:color w:val="auto"/>
              </w:rPr>
              <w:t>May 6, 2019</w:t>
            </w:r>
          </w:p>
        </w:tc>
      </w:tr>
      <w:tr>
        <w:trPr>
          <w:trHeight w:val="738"/>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4"/>
          </w:tcPr>
          <w:p>
            <w:pPr>
              <w:jc w:val="center"/>
              <w:ind w:right="1180"/>
              <w:spacing w:after="0"/>
              <w:rPr>
                <w:sz w:val="20"/>
                <w:szCs w:val="20"/>
                <w:color w:val="auto"/>
              </w:rPr>
            </w:pPr>
            <w:r>
              <w:rPr>
                <w:rFonts w:ascii="Arial" w:cs="Arial" w:eastAsia="Arial" w:hAnsi="Arial"/>
                <w:sz w:val="43"/>
                <w:szCs w:val="43"/>
                <w:color w:val="auto"/>
                <w:w w:val="92"/>
              </w:rPr>
              <w:t>Cohu, Inc.</w:t>
            </w:r>
          </w:p>
        </w:tc>
        <w:tc>
          <w:tcPr>
            <w:tcW w:w="2460" w:type="dxa"/>
            <w:vAlign w:val="bottom"/>
          </w:tcPr>
          <w:p>
            <w:pPr>
              <w:spacing w:after="0"/>
              <w:rPr>
                <w:sz w:val="24"/>
                <w:szCs w:val="24"/>
                <w:color w:val="auto"/>
              </w:rPr>
            </w:pPr>
          </w:p>
        </w:tc>
      </w:tr>
      <w:tr>
        <w:trPr>
          <w:trHeight w:val="194"/>
        </w:trPr>
        <w:tc>
          <w:tcPr>
            <w:tcW w:w="1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331"/>
        </w:trPr>
        <w:tc>
          <w:tcPr>
            <w:tcW w:w="1160" w:type="dxa"/>
            <w:vAlign w:val="bottom"/>
          </w:tcPr>
          <w:p>
            <w:pPr>
              <w:spacing w:after="0"/>
              <w:rPr>
                <w:sz w:val="24"/>
                <w:szCs w:val="24"/>
                <w:color w:val="auto"/>
              </w:rPr>
            </w:pPr>
          </w:p>
        </w:tc>
        <w:tc>
          <w:tcPr>
            <w:tcW w:w="6660" w:type="dxa"/>
            <w:vAlign w:val="bottom"/>
            <w:gridSpan w:val="8"/>
          </w:tcPr>
          <w:p>
            <w:pPr>
              <w:jc w:val="center"/>
              <w:ind w:left="2370"/>
              <w:spacing w:after="0"/>
              <w:rPr>
                <w:sz w:val="20"/>
                <w:szCs w:val="20"/>
                <w:color w:val="auto"/>
              </w:rPr>
            </w:pPr>
            <w:r>
              <w:rPr>
                <w:rFonts w:ascii="Arial" w:cs="Arial" w:eastAsia="Arial" w:hAnsi="Arial"/>
                <w:sz w:val="18"/>
                <w:szCs w:val="18"/>
                <w:color w:val="auto"/>
                <w:w w:val="90"/>
              </w:rPr>
              <w:t>(Exact name of registrant as specified in its charter)</w:t>
            </w:r>
          </w:p>
        </w:tc>
        <w:tc>
          <w:tcPr>
            <w:tcW w:w="246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620" w:type="dxa"/>
            <w:vAlign w:val="bottom"/>
            <w:gridSpan w:val="4"/>
          </w:tcPr>
          <w:p>
            <w:pPr>
              <w:jc w:val="center"/>
              <w:ind w:right="760"/>
              <w:spacing w:after="0"/>
              <w:rPr>
                <w:sz w:val="20"/>
                <w:szCs w:val="20"/>
                <w:color w:val="auto"/>
              </w:rPr>
            </w:pPr>
            <w:r>
              <w:rPr>
                <w:rFonts w:ascii="Arial" w:cs="Arial" w:eastAsia="Arial" w:hAnsi="Arial"/>
                <w:sz w:val="18"/>
                <w:szCs w:val="18"/>
                <w:color w:val="auto"/>
                <w:w w:val="92"/>
              </w:rPr>
              <w:t>Delaware</w:t>
            </w:r>
          </w:p>
        </w:tc>
        <w:tc>
          <w:tcPr>
            <w:tcW w:w="2080" w:type="dxa"/>
            <w:vAlign w:val="bottom"/>
          </w:tcPr>
          <w:p>
            <w:pPr>
              <w:jc w:val="center"/>
              <w:ind w:right="65"/>
              <w:spacing w:after="0"/>
              <w:rPr>
                <w:sz w:val="20"/>
                <w:szCs w:val="20"/>
                <w:color w:val="auto"/>
              </w:rPr>
            </w:pPr>
            <w:r>
              <w:rPr>
                <w:rFonts w:ascii="Arial" w:cs="Arial" w:eastAsia="Arial" w:hAnsi="Arial"/>
                <w:sz w:val="18"/>
                <w:szCs w:val="18"/>
                <w:color w:val="auto"/>
                <w:w w:val="90"/>
              </w:rPr>
              <w:t>001-04298</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jc w:val="center"/>
              <w:ind w:right="290"/>
              <w:spacing w:after="0"/>
              <w:rPr>
                <w:sz w:val="20"/>
                <w:szCs w:val="20"/>
                <w:color w:val="auto"/>
              </w:rPr>
            </w:pPr>
            <w:r>
              <w:rPr>
                <w:rFonts w:ascii="Arial" w:cs="Arial" w:eastAsia="Arial" w:hAnsi="Arial"/>
                <w:sz w:val="18"/>
                <w:szCs w:val="18"/>
                <w:color w:val="auto"/>
                <w:w w:val="91"/>
              </w:rPr>
              <w:t>95-1934119</w:t>
            </w:r>
          </w:p>
        </w:tc>
      </w:tr>
      <w:tr>
        <w:trPr>
          <w:trHeight w:val="195"/>
        </w:trPr>
        <w:tc>
          <w:tcPr>
            <w:tcW w:w="1160" w:type="dxa"/>
            <w:vAlign w:val="bottom"/>
          </w:tcPr>
          <w:p>
            <w:pPr>
              <w:spacing w:after="0"/>
              <w:rPr>
                <w:sz w:val="16"/>
                <w:szCs w:val="16"/>
                <w:color w:val="auto"/>
              </w:rPr>
            </w:pPr>
          </w:p>
        </w:tc>
        <w:tc>
          <w:tcPr>
            <w:tcW w:w="28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ind w:right="65"/>
              <w:spacing w:after="0" w:line="195" w:lineRule="exact"/>
              <w:rPr>
                <w:sz w:val="20"/>
                <w:szCs w:val="20"/>
                <w:color w:val="auto"/>
              </w:rPr>
            </w:pPr>
            <w:r>
              <w:rPr>
                <w:rFonts w:ascii="Arial" w:cs="Arial" w:eastAsia="Arial" w:hAnsi="Arial"/>
                <w:sz w:val="18"/>
                <w:szCs w:val="18"/>
                <w:color w:val="auto"/>
                <w:w w:val="93"/>
              </w:rPr>
              <w:t>(Commission</w:t>
            </w:r>
          </w:p>
        </w:tc>
        <w:tc>
          <w:tcPr>
            <w:tcW w:w="580" w:type="dxa"/>
            <w:vAlign w:val="bottom"/>
            <w:gridSpan w:val="2"/>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tcPr>
          <w:p>
            <w:pPr>
              <w:jc w:val="center"/>
              <w:ind w:right="29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1160" w:type="dxa"/>
            <w:vAlign w:val="bottom"/>
          </w:tcPr>
          <w:p>
            <w:pPr>
              <w:spacing w:after="0"/>
              <w:rPr>
                <w:sz w:val="20"/>
                <w:szCs w:val="20"/>
                <w:color w:val="auto"/>
              </w:rPr>
            </w:pPr>
          </w:p>
        </w:tc>
        <w:tc>
          <w:tcPr>
            <w:tcW w:w="3620" w:type="dxa"/>
            <w:vAlign w:val="bottom"/>
            <w:gridSpan w:val="4"/>
          </w:tcPr>
          <w:p>
            <w:pPr>
              <w:jc w:val="center"/>
              <w:ind w:right="760"/>
              <w:spacing w:after="0"/>
              <w:rPr>
                <w:sz w:val="20"/>
                <w:szCs w:val="20"/>
                <w:color w:val="auto"/>
              </w:rPr>
            </w:pPr>
            <w:r>
              <w:rPr>
                <w:rFonts w:ascii="Arial" w:cs="Arial" w:eastAsia="Arial" w:hAnsi="Arial"/>
                <w:sz w:val="18"/>
                <w:szCs w:val="18"/>
                <w:color w:val="auto"/>
                <w:w w:val="93"/>
              </w:rPr>
              <w:t>of incorporation)</w:t>
            </w:r>
          </w:p>
        </w:tc>
        <w:tc>
          <w:tcPr>
            <w:tcW w:w="3040" w:type="dxa"/>
            <w:vAlign w:val="bottom"/>
            <w:gridSpan w:val="4"/>
          </w:tcPr>
          <w:p>
            <w:pPr>
              <w:jc w:val="center"/>
              <w:ind w:right="1140"/>
              <w:spacing w:after="0"/>
              <w:rPr>
                <w:sz w:val="20"/>
                <w:szCs w:val="20"/>
                <w:color w:val="auto"/>
              </w:rPr>
            </w:pPr>
            <w:r>
              <w:rPr>
                <w:rFonts w:ascii="Arial" w:cs="Arial" w:eastAsia="Arial" w:hAnsi="Arial"/>
                <w:sz w:val="18"/>
                <w:szCs w:val="18"/>
                <w:color w:val="auto"/>
                <w:w w:val="94"/>
              </w:rPr>
              <w:t>File Number)</w:t>
            </w:r>
          </w:p>
        </w:tc>
        <w:tc>
          <w:tcPr>
            <w:tcW w:w="246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160" w:type="dxa"/>
            <w:vAlign w:val="bottom"/>
          </w:tcPr>
          <w:p>
            <w:pPr>
              <w:spacing w:after="0"/>
              <w:rPr>
                <w:sz w:val="24"/>
                <w:szCs w:val="24"/>
                <w:color w:val="auto"/>
              </w:rPr>
            </w:pPr>
          </w:p>
        </w:tc>
        <w:tc>
          <w:tcPr>
            <w:tcW w:w="3620" w:type="dxa"/>
            <w:vAlign w:val="bottom"/>
            <w:gridSpan w:val="4"/>
          </w:tcPr>
          <w:p>
            <w:pPr>
              <w:jc w:val="center"/>
              <w:ind w:right="760"/>
              <w:spacing w:after="0"/>
              <w:rPr>
                <w:sz w:val="20"/>
                <w:szCs w:val="20"/>
                <w:color w:val="auto"/>
              </w:rPr>
            </w:pPr>
            <w:r>
              <w:rPr>
                <w:rFonts w:ascii="Arial" w:cs="Arial" w:eastAsia="Arial" w:hAnsi="Arial"/>
                <w:sz w:val="18"/>
                <w:szCs w:val="18"/>
                <w:color w:val="auto"/>
                <w:w w:val="91"/>
              </w:rPr>
              <w:t>12367 Crosthwaite Circle, Poway,</w:t>
            </w:r>
          </w:p>
        </w:tc>
        <w:tc>
          <w:tcPr>
            <w:tcW w:w="2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jc w:val="right"/>
              <w:ind w:right="1110"/>
              <w:spacing w:after="0"/>
              <w:rPr>
                <w:sz w:val="20"/>
                <w:szCs w:val="20"/>
                <w:color w:val="auto"/>
              </w:rPr>
            </w:pPr>
            <w:r>
              <w:rPr>
                <w:rFonts w:ascii="Arial" w:cs="Arial" w:eastAsia="Arial" w:hAnsi="Arial"/>
                <w:sz w:val="18"/>
                <w:szCs w:val="18"/>
                <w:color w:val="auto"/>
              </w:rPr>
              <w:t>92064</w:t>
            </w:r>
          </w:p>
        </w:tc>
      </w:tr>
      <w:tr>
        <w:trPr>
          <w:trHeight w:val="230"/>
        </w:trPr>
        <w:tc>
          <w:tcPr>
            <w:tcW w:w="1160" w:type="dxa"/>
            <w:vAlign w:val="bottom"/>
          </w:tcPr>
          <w:p>
            <w:pPr>
              <w:spacing w:after="0"/>
              <w:rPr>
                <w:sz w:val="20"/>
                <w:szCs w:val="20"/>
                <w:color w:val="auto"/>
              </w:rPr>
            </w:pPr>
          </w:p>
        </w:tc>
        <w:tc>
          <w:tcPr>
            <w:tcW w:w="3620" w:type="dxa"/>
            <w:vAlign w:val="bottom"/>
            <w:gridSpan w:val="4"/>
          </w:tcPr>
          <w:p>
            <w:pPr>
              <w:jc w:val="center"/>
              <w:ind w:right="760"/>
              <w:spacing w:after="0"/>
              <w:rPr>
                <w:sz w:val="20"/>
                <w:szCs w:val="20"/>
                <w:color w:val="auto"/>
              </w:rPr>
            </w:pPr>
            <w:r>
              <w:rPr>
                <w:rFonts w:ascii="Arial" w:cs="Arial" w:eastAsia="Arial" w:hAnsi="Arial"/>
                <w:sz w:val="18"/>
                <w:szCs w:val="18"/>
                <w:color w:val="auto"/>
                <w:w w:val="97"/>
              </w:rPr>
              <w:t>California</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24"/>
        </w:trPr>
        <w:tc>
          <w:tcPr>
            <w:tcW w:w="1160" w:type="dxa"/>
            <w:vAlign w:val="bottom"/>
          </w:tcPr>
          <w:p>
            <w:pPr>
              <w:spacing w:after="0"/>
              <w:rPr>
                <w:sz w:val="19"/>
                <w:szCs w:val="19"/>
                <w:color w:val="auto"/>
              </w:rPr>
            </w:pPr>
          </w:p>
        </w:tc>
        <w:tc>
          <w:tcPr>
            <w:tcW w:w="28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760" w:type="dxa"/>
            <w:vAlign w:val="bottom"/>
            <w:gridSpan w:val="2"/>
          </w:tcPr>
          <w:p>
            <w:pPr>
              <w:spacing w:after="0"/>
              <w:rPr>
                <w:sz w:val="19"/>
                <w:szCs w:val="19"/>
                <w:color w:val="auto"/>
              </w:rPr>
            </w:pP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color w:val="auto"/>
                <w:w w:val="94"/>
              </w:rPr>
              <w:t>(Zip Code)</w:t>
            </w:r>
          </w:p>
        </w:tc>
      </w:tr>
      <w:tr>
        <w:trPr>
          <w:trHeight w:val="445"/>
        </w:trPr>
        <w:tc>
          <w:tcPr>
            <w:tcW w:w="4780" w:type="dxa"/>
            <w:vAlign w:val="bottom"/>
            <w:gridSpan w:val="5"/>
          </w:tcPr>
          <w:p>
            <w:pPr>
              <w:ind w:left="1000"/>
              <w:spacing w:after="0"/>
              <w:rPr>
                <w:sz w:val="20"/>
                <w:szCs w:val="20"/>
                <w:color w:val="auto"/>
              </w:rPr>
            </w:pPr>
            <w:r>
              <w:rPr>
                <w:rFonts w:ascii="Arial" w:cs="Arial" w:eastAsia="Arial" w:hAnsi="Arial"/>
                <w:sz w:val="18"/>
                <w:szCs w:val="18"/>
                <w:color w:val="auto"/>
                <w:w w:val="90"/>
              </w:rPr>
              <w:t>Registrant’s telephone number, including area code:</w:t>
            </w:r>
          </w:p>
        </w:tc>
        <w:tc>
          <w:tcPr>
            <w:tcW w:w="2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jc w:val="right"/>
              <w:ind w:right="1110"/>
              <w:spacing w:after="0"/>
              <w:rPr>
                <w:sz w:val="20"/>
                <w:szCs w:val="20"/>
                <w:color w:val="auto"/>
              </w:rPr>
            </w:pPr>
            <w:r>
              <w:rPr>
                <w:rFonts w:ascii="Arial" w:cs="Arial" w:eastAsia="Arial" w:hAnsi="Arial"/>
                <w:sz w:val="18"/>
                <w:szCs w:val="18"/>
                <w:color w:val="auto"/>
              </w:rPr>
              <w:t>858-848-8100</w:t>
            </w:r>
          </w:p>
        </w:tc>
      </w:tr>
      <w:tr>
        <w:trPr>
          <w:trHeight w:val="432"/>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4"/>
          </w:tcPr>
          <w:p>
            <w:pPr>
              <w:jc w:val="center"/>
              <w:ind w:right="1180"/>
              <w:spacing w:after="0"/>
              <w:rPr>
                <w:sz w:val="20"/>
                <w:szCs w:val="20"/>
                <w:color w:val="auto"/>
              </w:rPr>
            </w:pPr>
            <w:r>
              <w:rPr>
                <w:rFonts w:ascii="Arial" w:cs="Arial" w:eastAsia="Arial" w:hAnsi="Arial"/>
                <w:sz w:val="18"/>
                <w:szCs w:val="18"/>
                <w:color w:val="auto"/>
                <w:w w:val="94"/>
              </w:rPr>
              <w:t>Not Applicable</w:t>
            </w:r>
          </w:p>
        </w:tc>
        <w:tc>
          <w:tcPr>
            <w:tcW w:w="2460" w:type="dxa"/>
            <w:vAlign w:val="bottom"/>
          </w:tcPr>
          <w:p>
            <w:pPr>
              <w:spacing w:after="0"/>
              <w:rPr>
                <w:sz w:val="24"/>
                <w:szCs w:val="24"/>
                <w:color w:val="auto"/>
              </w:rPr>
            </w:pPr>
          </w:p>
        </w:tc>
      </w:tr>
    </w:tbl>
    <w:p>
      <w:pPr>
        <w:spacing w:after="0" w:line="215"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-130175</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40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 $1.00 par value</w:t>
            </w:r>
          </w:p>
        </w:tc>
        <w:tc>
          <w:tcPr>
            <w:tcW w:w="34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4"/>
              </w:rPr>
              <w:t>COHU</w:t>
            </w:r>
          </w:p>
        </w:tc>
        <w:tc>
          <w:tcPr>
            <w:tcW w:w="39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May 6, 2019, Cohu, Inc. (the “Company”) issued a press release regarding its financial results for the first quarter ended March 30, 2019. The Company’s press release is attached as Exhibit 99.1 to this Current Report on Form 8-K and incorporated by reference herein.</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financial results determined in accordance with generally accepted accounting principles (“GAAP”), this press release refers to financial information determined by methods other than in accordance with GAAP, including non-GAAP Gross Margin, Income and Income (adjusted earnings) per share, Adjusted EBITDA, and Operating Expense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including favorable/unfavorable lease adjustments, restructuring costs, manufacturing transition and severance costs, acquisition-related costs and associated professional fees, fair value adjustment to contingent consideration, reduction of indemnification receivable,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w:t>
      </w:r>
    </w:p>
    <w:p>
      <w:pPr>
        <w:spacing w:after="0" w:line="16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targets; design-wins; contactor sales growth; 5G opportunities; incremental sales opportunities; semiconductor market conditions in 2019, expected improvements and mid-term growth; Cohu’s second quarter 2019 sales forecast, guidance, non-GAAP operating expenses, gross margin, adjusted EBITDA and effective tax rate, and cash and shares outstanding;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and trade wars; ERP system implementation issues; the seasonal, volatile and unpredictable nature of capital expenditures by semiconductor manufacturers and the late 2018 and early 2019 weakened demand in this market; ongoing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acquisition will not be realized, (iii) litigation relating to the acquisition that still could be instituted against Cohu and/or Xcerra,</w:t>
      </w:r>
    </w:p>
    <w:p>
      <w:pPr>
        <w:spacing w:after="0" w:line="12" w:lineRule="exact"/>
        <w:rPr>
          <w:sz w:val="20"/>
          <w:szCs w:val="20"/>
          <w:color w:val="auto"/>
        </w:rPr>
      </w:pPr>
    </w:p>
    <w:p>
      <w:pPr>
        <w:ind w:right="20" w:firstLine="8"/>
        <w:spacing w:after="0" w:line="267" w:lineRule="auto"/>
        <w:tabs>
          <w:tab w:leader="none" w:pos="30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possibility that restructuring charges will significantly exceed estimates, (v) the ability of Cohu or Xcerra to retain, attract and hire key personnel, (vi) potential adverse reactions or changes to relationships with customers, employees, suppliers or other parties resulting from the acquisition, (vii) potential disruptions, expenses and lost revenue associated with the transition to direct sales in China and Taiwan; (viii) the discovery of liabilities or deficiencies associated with Xcerra that were not identified in advance, (ix) potential failures to maintain adequate internal controls over financial reporting given the significant increase in size, number of employees, global operations and complexity of Cohu’s business, (x) mandatory ongoing impairment evaluation of goodwill and other intangibles whereby Cohu could be required to write off some or all of this goodwill and other intangibles, (xi) the adverse impact to Cohu’s operating results from interest expense on the financing debt, rising interest rates, and any restrictions on operations related to such debt, and (xii) continued availability of capital and financing and rating agency actions, and limited market access given our high debt levels. These and other risks and uncertainties are discussed more fully in Cohu’s filings with the Securities and Exchange Commission,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For press releases and other information of interest to investors, please visit Cohu’s website at www.cohu.com.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8899" w:firstLine="8"/>
        <w:spacing w:after="0" w:line="53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8"/>
          <w:szCs w:val="18"/>
          <w:color w:val="auto"/>
        </w:rPr>
      </w:pPr>
      <w:r>
        <w:rPr>
          <w:rFonts w:ascii="Arial" w:cs="Arial" w:eastAsia="Arial" w:hAnsi="Arial"/>
          <w:sz w:val="18"/>
          <w:szCs w:val="18"/>
          <w:color w:val="auto"/>
        </w:rPr>
        <w:t xml:space="preserve">Description – </w:t>
      </w:r>
      <w:hyperlink w:anchor="page6">
        <w:r>
          <w:rPr>
            <w:rFonts w:ascii="Arial" w:cs="Arial" w:eastAsia="Arial" w:hAnsi="Arial"/>
            <w:sz w:val="18"/>
            <w:szCs w:val="18"/>
            <w:u w:val="single" w:color="auto"/>
            <w:color w:val="0000EE"/>
          </w:rPr>
          <w:t>First Quarter 2019 Earnings Release, dated May 6, 2019,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4420" w:type="dxa"/>
            <w:vAlign w:val="bottom"/>
            <w:gridSpan w:val="2"/>
          </w:tcPr>
          <w:p>
            <w:pPr>
              <w:ind w:left="2420"/>
              <w:spacing w:after="0"/>
              <w:rPr>
                <w:sz w:val="20"/>
                <w:szCs w:val="20"/>
                <w:color w:val="auto"/>
              </w:rPr>
            </w:pPr>
            <w:r>
              <w:rPr>
                <w:rFonts w:ascii="Arial" w:cs="Arial" w:eastAsia="Arial" w:hAnsi="Arial"/>
                <w:sz w:val="18"/>
                <w:szCs w:val="18"/>
                <w:color w:val="auto"/>
              </w:rPr>
              <w:t>Cohu, Inc.</w:t>
            </w:r>
          </w:p>
        </w:tc>
      </w:tr>
      <w:tr>
        <w:trPr>
          <w:trHeight w:val="432"/>
        </w:trPr>
        <w:tc>
          <w:tcPr>
            <w:tcW w:w="3320" w:type="dxa"/>
            <w:vAlign w:val="bottom"/>
          </w:tcPr>
          <w:p>
            <w:pPr>
              <w:spacing w:after="0"/>
              <w:rPr>
                <w:sz w:val="20"/>
                <w:szCs w:val="20"/>
                <w:color w:val="auto"/>
              </w:rPr>
            </w:pPr>
            <w:r>
              <w:rPr>
                <w:rFonts w:ascii="Arial" w:cs="Arial" w:eastAsia="Arial" w:hAnsi="Arial"/>
                <w:sz w:val="18"/>
                <w:szCs w:val="18"/>
                <w:i w:val="1"/>
                <w:iCs w:val="1"/>
                <w:color w:val="auto"/>
              </w:rPr>
              <w:t>May 6, 2019</w:t>
            </w:r>
          </w:p>
        </w:tc>
        <w:tc>
          <w:tcPr>
            <w:tcW w:w="2840" w:type="dxa"/>
            <w:vAlign w:val="bottom"/>
          </w:tcPr>
          <w:p>
            <w:pPr>
              <w:ind w:left="2400"/>
              <w:spacing w:after="0"/>
              <w:rPr>
                <w:sz w:val="20"/>
                <w:szCs w:val="20"/>
                <w:color w:val="auto"/>
              </w:rPr>
            </w:pPr>
            <w:r>
              <w:rPr>
                <w:rFonts w:ascii="Arial" w:cs="Arial" w:eastAsia="Arial" w:hAnsi="Arial"/>
                <w:sz w:val="18"/>
                <w:szCs w:val="18"/>
                <w:i w:val="1"/>
                <w:iCs w:val="1"/>
                <w:color w:val="auto"/>
              </w:rPr>
              <w:t>By:</w:t>
            </w:r>
          </w:p>
        </w:tc>
        <w:tc>
          <w:tcPr>
            <w:tcW w:w="1580" w:type="dxa"/>
            <w:vAlign w:val="bottom"/>
          </w:tcPr>
          <w:p>
            <w:pPr>
              <w:ind w:left="200"/>
              <w:spacing w:after="0"/>
              <w:rPr>
                <w:sz w:val="20"/>
                <w:szCs w:val="20"/>
                <w:color w:val="auto"/>
              </w:rPr>
            </w:pPr>
            <w:r>
              <w:rPr>
                <w:rFonts w:ascii="Arial" w:cs="Arial" w:eastAsia="Arial" w:hAnsi="Arial"/>
                <w:sz w:val="18"/>
                <w:szCs w:val="18"/>
                <w:i w:val="1"/>
                <w:iCs w:val="1"/>
                <w:color w:val="auto"/>
                <w:w w:val="88"/>
              </w:rPr>
              <w:t>/s/ Jeffrey D. Jones</w:t>
            </w:r>
          </w:p>
        </w:tc>
      </w:tr>
    </w:tbl>
    <w:p>
      <w:pPr>
        <w:ind w:left="618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tcPr>
          <w:p>
            <w:pPr>
              <w:ind w:left="3500"/>
              <w:spacing w:after="0"/>
              <w:rPr>
                <w:sz w:val="20"/>
                <w:szCs w:val="20"/>
                <w:color w:val="auto"/>
              </w:rPr>
            </w:pPr>
            <w:r>
              <w:rPr>
                <w:rFonts w:ascii="Arial" w:cs="Arial" w:eastAsia="Arial" w:hAnsi="Arial"/>
                <w:sz w:val="18"/>
                <w:szCs w:val="18"/>
                <w:color w:val="auto"/>
              </w:rPr>
              <w:t>Exhibit Index</w:t>
            </w:r>
          </w:p>
        </w:tc>
      </w:tr>
      <w:tr>
        <w:trPr>
          <w:trHeight w:val="864"/>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50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Description – First Quarter 2019 Earnings Release, dated May 6, 2019, of Cohu, Inc.</w:t>
            </w:r>
          </w:p>
        </w:tc>
      </w:tr>
    </w:tbl>
    <w:p>
      <w:pPr>
        <w:sectPr>
          <w:pgSz w:w="11900" w:h="16838" w:orient="portrait"/>
          <w:cols w:equalWidth="0" w:num="1">
            <w:col w:w="11420"/>
          </w:cols>
          <w:pgMar w:left="240" w:top="58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172085</wp:posOffset>
            </wp:positionV>
            <wp:extent cx="3507740" cy="1689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774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First Quarter 2019 Results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Sales of $147.8 million on higher than anticipated recurring revenue</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of 36.8%; non-GAAP gross margin of 41.5%</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Business model to benefit from accelerated integration synergies</w:t>
      </w:r>
    </w:p>
    <w:p>
      <w:pPr>
        <w:spacing w:after="0" w:line="225" w:lineRule="exact"/>
        <w:rPr>
          <w:sz w:val="20"/>
          <w:szCs w:val="20"/>
          <w:color w:val="auto"/>
        </w:rPr>
      </w:pPr>
    </w:p>
    <w:p>
      <w:pPr>
        <w:jc w:val="both"/>
        <w:ind w:right="340"/>
        <w:spacing w:after="0" w:line="269" w:lineRule="auto"/>
        <w:rPr>
          <w:sz w:val="20"/>
          <w:szCs w:val="20"/>
          <w:color w:val="auto"/>
        </w:rPr>
      </w:pPr>
      <w:r>
        <w:rPr>
          <w:rFonts w:ascii="Arial" w:cs="Arial" w:eastAsia="Arial" w:hAnsi="Arial"/>
          <w:sz w:val="18"/>
          <w:szCs w:val="18"/>
          <w:color w:val="auto"/>
        </w:rPr>
        <w:t xml:space="preserve">POWAY, Calif., May 6, 2019 -- Cohu, Inc. (NASDAQ: COHU), a global leader in back-end semiconductor equipment and services, today reported fiscal 2019 first quarter net sales of $147.8 million and GAAP loss of $22.9 million or $0.56 per share. Cohu also reported first quarter 2019 non-GAAP loss of $1.4 million or $0.03 per share. </w:t>
      </w:r>
      <w:r>
        <w:rPr>
          <w:rFonts w:ascii="Arial" w:cs="Arial" w:eastAsia="Arial" w:hAnsi="Arial"/>
          <w:sz w:val="30"/>
          <w:szCs w:val="30"/>
          <w:color w:val="auto"/>
          <w:vertAlign w:val="superscript"/>
        </w:rPr>
        <w:t>(1)</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64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23"/>
                <w:szCs w:val="23"/>
                <w:b w:val="1"/>
                <w:bCs w:val="1"/>
                <w:color w:val="auto"/>
                <w:vertAlign w:val="superscript"/>
              </w:rPr>
              <w:t>(1)</w:t>
            </w:r>
          </w:p>
        </w:tc>
        <w:tc>
          <w:tcPr>
            <w:tcW w:w="1480" w:type="dxa"/>
            <w:vAlign w:val="bottom"/>
            <w:tcBorders>
              <w:top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Q1 FY 2019</w:t>
            </w:r>
          </w:p>
        </w:tc>
        <w:tc>
          <w:tcPr>
            <w:tcW w:w="2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Q4 FY 2018</w:t>
            </w: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Q1 FY 2018</w:t>
            </w:r>
          </w:p>
        </w:tc>
        <w:tc>
          <w:tcPr>
            <w:tcW w:w="1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2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(in millions, except per share amounts)</w:t>
            </w:r>
          </w:p>
        </w:tc>
        <w:tc>
          <w:tcPr>
            <w:tcW w:w="14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42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Net sales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$147.8</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$170.6</w:t>
            </w:r>
          </w:p>
        </w:tc>
        <w:tc>
          <w:tcPr>
            <w:tcW w:w="17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$95.2</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Income (loss)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$(22.9)</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$(57.1)</w:t>
            </w:r>
          </w:p>
        </w:tc>
        <w:tc>
          <w:tcPr>
            <w:tcW w:w="17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$8.1</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Income (loss)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$(0.56)</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$(1.40)</w:t>
            </w:r>
          </w:p>
        </w:tc>
        <w:tc>
          <w:tcPr>
            <w:tcW w:w="17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$0.28</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23"/>
                <w:szCs w:val="23"/>
                <w:b w:val="1"/>
                <w:bCs w:val="1"/>
                <w:color w:val="auto"/>
                <w:vertAlign w:val="superscript"/>
              </w:rPr>
              <w:t>(1)</w:t>
            </w:r>
          </w:p>
        </w:tc>
        <w:tc>
          <w:tcPr>
            <w:tcW w:w="1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Q1 FY 2019</w:t>
            </w:r>
          </w:p>
        </w:tc>
        <w:tc>
          <w:tcPr>
            <w:tcW w:w="260" w:type="dxa"/>
            <w:vAlign w:val="bottom"/>
          </w:tcPr>
          <w:p>
            <w:pPr>
              <w:spacing w:after="0"/>
              <w:rPr>
                <w:sz w:val="24"/>
                <w:szCs w:val="24"/>
                <w:color w:val="auto"/>
              </w:rPr>
            </w:pPr>
          </w:p>
        </w:tc>
        <w:tc>
          <w:tcPr>
            <w:tcW w:w="14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Q4 FY 2018</w:t>
            </w:r>
          </w:p>
        </w:tc>
        <w:tc>
          <w:tcPr>
            <w:tcW w:w="220" w:type="dxa"/>
            <w:vAlign w:val="bottom"/>
          </w:tcPr>
          <w:p>
            <w:pPr>
              <w:spacing w:after="0"/>
              <w:rPr>
                <w:sz w:val="24"/>
                <w:szCs w:val="24"/>
                <w:color w:val="auto"/>
              </w:rPr>
            </w:pPr>
          </w:p>
        </w:tc>
        <w:tc>
          <w:tcPr>
            <w:tcW w:w="1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Q1 FY 2018</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2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(in millions, except per share amounts)</w:t>
            </w:r>
          </w:p>
        </w:tc>
        <w:tc>
          <w:tcPr>
            <w:tcW w:w="14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42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Income (loss)</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$(1.4)</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$10.0</w:t>
            </w:r>
          </w:p>
        </w:tc>
        <w:tc>
          <w:tcPr>
            <w:tcW w:w="17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$10.5</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2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Income (loss)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$(0.03)</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$0.24</w:t>
            </w:r>
          </w:p>
        </w:tc>
        <w:tc>
          <w:tcPr>
            <w:tcW w:w="17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$0.36</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amounts presented are from continuing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Total cash and investments at the end of first quarter 2019 were $160.1 million.</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“First quarter sales and gross margin were above guidance due to a ramp in recurring business,” said Cohu President and CEO Luis Müller. “Market conditions appear to have stabilized and we are forecasting some segments to start improving in the second quarter and continuing into the second half of the year. We are accelerating the integration of Xcerra, have begun to implement the restructuring of our German operation, and now project annual run-rate cost synergies of $40 million by the end of 2019, significantly advancing the timeframe for when the full synergy savings will positively impact the business.”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Cohu expects second quarter 2019 sales to be between $150 million and $160 million. Cohu's Board of Directors approved a quarterly cash dividend of $0.06 per share payable on July 26, 2019 to shareholders of record on June 14,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will host a live conference call and webcast with slides to discuss first quarter 2019 results at 1:30 p.m. Pacific Time/4:30 p.m. Eastern Time on May 6, 2019. Interested investors and analysts are invited to dial into the conference call by using 1-866-434-5330 (domestic) or +1-213-660-0873 (international) and entering the pass code 6874566. Webcast access will be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87"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 xml:space="preserve">The teleconference replay will be available through June 5, 2019. The replay dial-in number is 1-855-859-2056 (domestic) or +1-404-537-3406 (international) using pass code 6874566. The webcast replay will be available on the Company’s website through May 6, 2020 at </w:t>
      </w:r>
      <w:r>
        <w:rPr>
          <w:rFonts w:ascii="Arial" w:cs="Arial" w:eastAsia="Arial" w:hAnsi="Arial"/>
          <w:sz w:val="16"/>
          <w:szCs w:val="16"/>
          <w:u w:val="single" w:color="auto"/>
          <w:color w:val="auto"/>
        </w:rPr>
        <w:t>www.cohu.com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Included within this press release and accompanying materials are non-GAAP financial measures, including non-GAAP Gross Margin, Income and Income (adjusted earnings) per share, Adjusted EBITDA, and Operating Expense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including favorable/unfavorable lease adjustments, restructuring costs, manufacturing transition and severance costs, acquisition-related costs and associated professional fees, fair value adjustment to contingent consideration, reduction of indemnification receivable,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w:t>
      </w:r>
    </w:p>
    <w:p>
      <w:pPr>
        <w:spacing w:after="0" w:line="18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targets; design-wins; contactor sales growth; 5G opportunities; incremental sales opportunities; semiconductor market conditions in 2019, expected improvements and mid-term growth; Cohu’s second quarter 2019 sales forecast, guidance, non-GAAP operating expenses, gross margin, adjusted EBITDA and effective tax rate, and cash and shares outstanding;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and trade wars; ERP system implementation issues; the seasonal, volatile and unpredictable nature of capital expenditures by semiconductor manufacturers and the late 2018 and early 2019 weakened demand in this market; ongoing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acquisition will not be realized, (iii) litigation relating to the acquisition that still could be instituted against Cohu and/or Xcerra,</w:t>
      </w:r>
    </w:p>
    <w:p>
      <w:pPr>
        <w:spacing w:after="0" w:line="12" w:lineRule="exact"/>
        <w:rPr>
          <w:sz w:val="20"/>
          <w:szCs w:val="20"/>
          <w:color w:val="auto"/>
        </w:rPr>
      </w:pPr>
    </w:p>
    <w:p>
      <w:pPr>
        <w:ind w:firstLine="8"/>
        <w:spacing w:after="0" w:line="267"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restructuring charges will significantly exceed estimates, (v) the ability of Cohu or Xcerra to retain, attract and hire key personnel, (vi) potential adverse reactions or changes to relationships with customers, employees, suppliers or other parties resulting from the acquisition, (vii) potential disruptions, expenses and lost revenue associated with the transition to direct sales in China and Taiwan; (viii) the discovery of liabilities or deficiencies associated with Xcerra that were not identified in advance, (ix) potential failures to maintain adequate internal controls over financial reporting given the significant increase in size, number of employees, global operations and complexity of Cohu’s business, (x) mandatory ongoing impairment evaluation of goodwill and other intangibles whereby Cohu could be required to write off some or all of this goodwill and other intangibles, (xi) the adverse impact to Cohu’s operating results from interest expense on the financing debt, rising interest rates, and any restrictions on operations related to such debt, and (xii) continued availability of capital and financing and rating agency actions, and limited market access given our high debt levels. These and other risks and uncertainties are discussed more fully in Cohu’s filings with the Securities and Exchange Commission,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Yerganian, 781-467-5063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rich.yerganian@cohu.com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70"/>
              <w:spacing w:after="0" w:line="234" w:lineRule="exact"/>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147,809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Cost and expenses: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Cost of sales (excludes amortization shown below) </w:t>
            </w:r>
            <w:r>
              <w:rPr>
                <w:rFonts w:ascii="Arial" w:cs="Arial" w:eastAsia="Arial" w:hAnsi="Arial"/>
                <w:sz w:val="29"/>
                <w:szCs w:val="29"/>
                <w:color w:val="auto"/>
                <w:vertAlign w:val="superscript"/>
              </w:rPr>
              <w:t>(2)</w:t>
            </w:r>
          </w:p>
        </w:tc>
        <w:tc>
          <w:tcPr>
            <w:tcW w:w="1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93,394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22,733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11,775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29"/>
                <w:szCs w:val="29"/>
                <w:color w:val="auto"/>
                <w:vertAlign w:val="superscript"/>
              </w:rPr>
              <w:t>(3)</w:t>
            </w:r>
          </w:p>
        </w:tc>
        <w:tc>
          <w:tcPr>
            <w:tcW w:w="1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38,286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Amortization of purchased intangible assets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Restructuring charges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165,793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83,558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(17,984)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(expense) income: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(5,507)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transaction gain (loss) and other</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(23,051)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(22,851)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40" w:type="dxa"/>
            <w:vAlign w:val="bottom"/>
          </w:tcPr>
          <w:p>
            <w:pPr>
              <w:spacing w:after="0" w:line="256"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9"/>
                <w:szCs w:val="29"/>
                <w:color w:val="auto"/>
                <w:vertAlign w:val="superscript"/>
              </w:rPr>
              <w:t>(4)</w:t>
            </w: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 before taxes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(22,687)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color w:val="auto"/>
              </w:rPr>
              <w:t>Net income (loss) attributable to Cohu</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(22,643)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(loss) per share: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 before non-controlling interest</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Net income (loss) attributable to noncontrolling interest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Cohu</w:t>
            </w: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(0.55)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 before non-controlling interest</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Net income (loss) attributable to noncontrolling interest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Cohu</w:t>
            </w: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(0.55)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Weighted average shares used in computing income (loss) per share: </w:t>
            </w:r>
            <w:r>
              <w:rPr>
                <w:rFonts w:ascii="Arial" w:cs="Arial" w:eastAsia="Arial" w:hAnsi="Arial"/>
                <w:sz w:val="29"/>
                <w:szCs w:val="29"/>
                <w:color w:val="auto"/>
                <w:vertAlign w:val="superscript"/>
              </w:rPr>
              <w:t>(5)</w:t>
            </w:r>
          </w:p>
        </w:tc>
        <w:tc>
          <w:tcPr>
            <w:tcW w:w="1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40,872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40,872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29,531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tcBorders>
              <w:top w:val="single" w:sz="8" w:color="CCEEFF"/>
              <w:bottom w:val="single" w:sz="8" w:color="auto"/>
            </w:tcBorders>
          </w:tcPr>
          <w:p>
            <w:pPr>
              <w:spacing w:after="0"/>
              <w:rPr>
                <w:sz w:val="13"/>
                <w:szCs w:val="13"/>
                <w:color w:val="auto"/>
              </w:rPr>
            </w:pPr>
          </w:p>
        </w:tc>
        <w:tc>
          <w:tcPr>
            <w:tcW w:w="1360" w:type="dxa"/>
            <w:vAlign w:val="bottom"/>
            <w:tcBorders>
              <w:top w:val="single" w:sz="8" w:color="CCEEFF"/>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00" w:right="340" w:hanging="330"/>
        <w:spacing w:after="0" w:line="230"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three- month periods ended March 30, 2019 and March 31, 2018 were both comprised of 13 weeks. The Company’s results for the three months ended March 30, 2019, include the results of Xcerra which was acquired on October 1, 2018.</w:t>
      </w:r>
    </w:p>
    <w:p>
      <w:pPr>
        <w:ind w:left="500" w:right="8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conjunction with the acquisition of Xcerra the Company assessed the need to realign its historical financial statement presentation and certain statement of operations classifications were reclassified to conform to current period presentation. The changes made were as follows:</w:t>
      </w:r>
    </w:p>
    <w:p>
      <w:pPr>
        <w:ind w:left="820" w:right="100" w:hanging="326"/>
        <w:spacing w:after="0" w:line="221" w:lineRule="auto"/>
        <w:tabs>
          <w:tab w:leader="none" w:pos="820" w:val="left"/>
        </w:tabs>
        <w:numPr>
          <w:ilvl w:val="1"/>
          <w:numId w:val="7"/>
        </w:numPr>
        <w:rPr>
          <w:rFonts w:ascii="Arial" w:cs="Arial" w:eastAsia="Arial" w:hAnsi="Arial"/>
          <w:sz w:val="14"/>
          <w:szCs w:val="14"/>
          <w:color w:val="auto"/>
        </w:rPr>
      </w:pPr>
      <w:r>
        <w:rPr>
          <w:rFonts w:ascii="Arial" w:cs="Arial" w:eastAsia="Arial" w:hAnsi="Arial"/>
          <w:sz w:val="14"/>
          <w:szCs w:val="14"/>
          <w:color w:val="auto"/>
        </w:rPr>
        <w:t>Prior to the fourth quarter of 2018, amortization of intangibles previously were presented in cost of sales and SG&amp;A. These amounts are now presented as a separate line item “Amortization of purchased intangible assets” within operating expenses. Amounts associated with purchased intangible assets that previously would have been included in cost of sales are $7.6 million for three-month period ended March 30, 2019. Amounts previously presented in cost of sales that have been reclassified to conform with the Company’s revised presentation for the three-month period ended March 31, 2018 are $0.7 million.</w:t>
      </w:r>
    </w:p>
    <w:p>
      <w:pPr>
        <w:spacing w:after="0" w:line="1" w:lineRule="exact"/>
        <w:rPr>
          <w:rFonts w:ascii="Arial" w:cs="Arial" w:eastAsia="Arial" w:hAnsi="Arial"/>
          <w:sz w:val="14"/>
          <w:szCs w:val="14"/>
          <w:color w:val="auto"/>
        </w:rPr>
      </w:pPr>
    </w:p>
    <w:p>
      <w:pPr>
        <w:ind w:left="820" w:right="120" w:hanging="326"/>
        <w:spacing w:after="0" w:line="221" w:lineRule="auto"/>
        <w:tabs>
          <w:tab w:leader="none" w:pos="820" w:val="left"/>
        </w:tabs>
        <w:numPr>
          <w:ilvl w:val="1"/>
          <w:numId w:val="7"/>
        </w:numPr>
        <w:rPr>
          <w:rFonts w:ascii="Arial" w:cs="Arial" w:eastAsia="Arial" w:hAnsi="Arial"/>
          <w:sz w:val="14"/>
          <w:szCs w:val="14"/>
          <w:color w:val="auto"/>
        </w:rPr>
      </w:pPr>
      <w:r>
        <w:rPr>
          <w:rFonts w:ascii="Arial" w:cs="Arial" w:eastAsia="Arial" w:hAnsi="Arial"/>
          <w:sz w:val="14"/>
          <w:szCs w:val="14"/>
          <w:color w:val="auto"/>
        </w:rPr>
        <w:t>Historically, gains and losses associated with foreign currency translation and remeasurement were included within SG&amp;A which resulted in fluctuations in expenses as foreign exchange rates change. These amounts are now being presented within foreign transaction gain (loss) and other as it will provide investors more insight into the Company’s operating expenses.</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SG&amp;A expense for the three-month periods ended March 30, 2019 and March 31, 2018 include Xcerra transaction costs totaling $0.2 million and $0.3 million, respectively.</w:t>
      </w:r>
    </w:p>
    <w:p>
      <w:pPr>
        <w:ind w:left="500" w:right="1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October 1, 2018, the Company made the decision to sell the fixtures business acquired from Xcerra, and, as a result, the operating results of the fixtures business have been presented as discontinued operations.</w:t>
      </w:r>
    </w:p>
    <w:p>
      <w:pPr>
        <w:ind w:left="500" w:right="200" w:hanging="330"/>
        <w:spacing w:after="0" w:line="229"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three-month period ended March 30, 2019,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30,</w:t>
            </w: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December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investments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160,086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131,133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130,744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18,761</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444,846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71,792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239,270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242,127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305,306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line="21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3"/>
                <w:szCs w:val="23"/>
                <w:b w:val="1"/>
                <w:bCs w:val="1"/>
                <w:color w:val="auto"/>
                <w:vertAlign w:val="superscript"/>
              </w:rPr>
              <w:t>(1)</w:t>
            </w:r>
          </w:p>
        </w:tc>
        <w:tc>
          <w:tcPr>
            <w:tcW w:w="2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44,889</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1,106,197</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3,160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installments of long-term debt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profit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8,268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122,643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596</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138,089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342,632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346,041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noncurrent liabilities </w:t>
            </w:r>
            <w:r>
              <w:rPr>
                <w:rFonts w:ascii="Arial" w:cs="Arial" w:eastAsia="Arial" w:hAnsi="Arial"/>
                <w:sz w:val="23"/>
                <w:szCs w:val="23"/>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97,162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Cohu stockholders’ equity</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528,670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546,243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(356)</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 &amp; stockholders’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1,106,197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1,134,002</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00" w:right="80" w:hanging="330"/>
        <w:spacing w:after="0" w:line="229"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Cohu adopted </w:t>
      </w:r>
      <w:r>
        <w:rPr>
          <w:rFonts w:ascii="Arial" w:cs="Arial" w:eastAsia="Arial" w:hAnsi="Arial"/>
          <w:sz w:val="14"/>
          <w:szCs w:val="14"/>
          <w:i w:val="1"/>
          <w:iCs w:val="1"/>
          <w:color w:val="auto"/>
        </w:rPr>
        <w:t>ASU 2016-02, Leases (Topic 842)</w:t>
      </w:r>
      <w:r>
        <w:rPr>
          <w:rFonts w:ascii="Arial" w:cs="Arial" w:eastAsia="Arial" w:hAnsi="Arial"/>
          <w:sz w:val="14"/>
          <w:szCs w:val="14"/>
          <w:color w:val="auto"/>
        </w:rPr>
        <w:t>, as of December 30, 2018. Adoption of the new standard resulted in the recording of additional net lease assets and lease liabilities of approximately $30.7 million and $29.9 million, respectively, as of December 30, 2018. We had previously recorded a sale and operating leaseback transaction in accordance with Topic 840 and as a result of the adoption of the new standard, recognized $10.2 million of deferred gain as an adjustment to retained earnings. In addition, we had previously recognized assets and liabilities related to a build-to-suit designation under Topic 840 and as a result of the adoption of the new standard, derecognized assets and liabilities of $0.5 million and $0.6 million, respectively, with the difference recorded as an adjustment to retained earnings. The difference between the additional lease assets and lease liabilities, net of the deferred tax impact, was recorded as an adjustment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March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line="231"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3"/>
                <w:szCs w:val="23"/>
                <w:color w:val="auto"/>
                <w:vertAlign w:val="superscript"/>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line="231"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3"/>
                <w:szCs w:val="23"/>
                <w:color w:val="auto"/>
                <w:vertAlign w:val="superscript"/>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GAAP basis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(59,151)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included in (b):</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Cost of sales (COS)</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(R&amp;D)</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3,799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 (c)</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14,080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 related to inventory adjustments in COS (d)</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Restructuring charges (d):</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18,704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Manufacturing and sales transition costs included in (e):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 (COS)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included in SG&amp;A (f)</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Acquisition costs included in SG&amp;A (g)</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4,633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step-up included in COS (h)</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PP&amp;E step-up included in SG&amp;A (i)</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 of indemnification receivable included in SG&amp;A (j)</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Income from operations - non-GAAP basis (k)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5,835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19,278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from continuing operations - GAAP basis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(22,851)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(57,116)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Tax effect of non-GAAP adjustments (l)</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(11,302)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 non-GAAP basis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continuing operations per share -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(loss) from continuing operations per share - diluted (m)</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Includes operating results from Xcerra acquired on October 1, 2018</w:t>
      </w:r>
    </w:p>
    <w:p>
      <w:pPr>
        <w:spacing w:after="0" w:line="109"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adjustments for inventory step-up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86"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(12.2)%, (34.7)% and 12.2% of net sales, respectively.</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eliminate restructuring costs incurred related to the integration of Xcerra.</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eliminate manufacturing and sales transition and severance costs.</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eliminate fair value adjustment to contingent consideration related to the acquisition of Kita.</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acquisitions.</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the acquisition of Xcerra.</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eliminate the accelerated depreciation from the property, plant &amp; equipment step-up related to the acquisition of Xcerra.</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eliminate the impact of the reduction of an uncertain tax position liability and related indemnification receivable.</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3.9%, 11.3% and 15.2% of net sales, respectively.</w:t>
      </w:r>
    </w:p>
    <w:p>
      <w:pPr>
        <w:ind w:left="500" w:hanging="330"/>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500" w:right="160" w:hanging="330"/>
        <w:spacing w:after="0" w:line="232"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three months ended December 29, 2018 was computed using 41,241 shares outstanding as the effect of dilutive securities was excluded from GAAP diluted common shares due to the reported net loss under GAAP, but are included for non-GAAP diluted common shares since the Company has non-GAAP net income. All other periods presented were computed using number of GAAP diluted shares outstanding for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Three Months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March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29,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line="231"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3"/>
                <w:szCs w:val="23"/>
                <w:color w:val="auto"/>
                <w:vertAlign w:val="superscript"/>
              </w:rPr>
              <w:t>(1)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line="231" w:lineRule="exact"/>
              <w:rPr>
                <w:sz w:val="20"/>
                <w:szCs w:val="20"/>
                <w:color w:val="auto"/>
              </w:rPr>
            </w:pPr>
            <w:r>
              <w:rPr>
                <w:rFonts w:ascii="Arial" w:cs="Arial" w:eastAsia="Arial" w:hAnsi="Arial"/>
                <w:sz w:val="18"/>
                <w:szCs w:val="18"/>
                <w:color w:val="auto"/>
                <w:w w:val="87"/>
              </w:rPr>
              <w:t xml:space="preserve">2018 </w:t>
            </w:r>
            <w:r>
              <w:rPr>
                <w:rFonts w:ascii="Arial" w:cs="Arial" w:eastAsia="Arial" w:hAnsi="Arial"/>
                <w:sz w:val="23"/>
                <w:szCs w:val="23"/>
                <w:color w:val="auto"/>
                <w:w w:val="87"/>
                <w:vertAlign w:val="superscript"/>
              </w:rPr>
              <w:t>(1)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tcPr>
          <w:p>
            <w:pPr>
              <w:ind w:left="160"/>
              <w:spacing w:after="0" w:line="256" w:lineRule="exact"/>
              <w:rPr>
                <w:sz w:val="20"/>
                <w:szCs w:val="20"/>
                <w:color w:val="auto"/>
              </w:rPr>
            </w:pPr>
            <w:r>
              <w:rPr>
                <w:rFonts w:ascii="Arial" w:cs="Arial" w:eastAsia="Arial" w:hAnsi="Arial"/>
                <w:sz w:val="18"/>
                <w:szCs w:val="18"/>
                <w:color w:val="auto"/>
              </w:rPr>
              <w:t>Gross profit - GAAP basis (excluding amortization)</w:t>
            </w:r>
            <w:r>
              <w:rPr>
                <w:rFonts w:ascii="Arial" w:cs="Arial" w:eastAsia="Arial" w:hAnsi="Arial"/>
                <w:sz w:val="29"/>
                <w:szCs w:val="29"/>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54,415</w:t>
            </w:r>
          </w:p>
        </w:tc>
        <w:tc>
          <w:tcPr>
            <w:tcW w:w="2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41,919</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Gross profit - Non-GAAP basis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61,279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75,892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40,348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Non-GAAP gross profit as a percentage of net sales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Net income (loss) attributable to Cohu - GAAP Basis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(22,643)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(56,754)</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(6,266)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14,080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4,691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non-GAAP adjustments (as scheduled above)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63,092</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9,723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23,394</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Adjusted EBITDA as a percentage of net sales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Operating Expense - GAAP basis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72,399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101,070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operating expenses (as scheduled above)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(16,955)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(44,456)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Operating Expenses - Non-GAAP basis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55,444</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56,614</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25,877</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operating results from Xcerra acquired on October 1, 2018</w:t>
      </w:r>
    </w:p>
    <w:p>
      <w:pPr>
        <w:ind w:left="500" w:hanging="33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Excludes amortization of $7,641 for the three months ending March 30, 2019, $11,626 for the three months ending December 29, 2018 and $676 for the three months ended March 31,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Roman"/>
      <w:start w:val="4"/>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Roman"/>
      <w:start w:val="4"/>
    </w:lvl>
  </w:abstractNum>
  <w:abstractNum w:abstractNumId="6">
    <w:nsid w:val="515F007C"/>
    <w:multiLevelType w:val="hybridMultilevel"/>
    <w:lvl w:ilvl="0">
      <w:lvlJc w:val="left"/>
      <w:lvlText w:val="(%1)"/>
      <w:numFmt w:val="decimal"/>
      <w:start w:val="1"/>
    </w:lvl>
    <w:lvl w:ilvl="1">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2019-12-28T13:06:33Z</dcterms:created>
  <dcterms:modified xsi:type="dcterms:W3CDTF">2019-12-28T13:06:33Z</dcterms:modified>
</cp:coreProperties>
</file>