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1"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WASHINGTON, D. C. 20549</w:t>
      </w:r>
    </w:p>
    <w:p>
      <w:pPr>
        <w:spacing w:after="0" w:line="183"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10-K</w:t>
      </w:r>
    </w:p>
    <w:p>
      <w:pPr>
        <w:spacing w:after="0" w:line="186" w:lineRule="exact"/>
        <w:rPr>
          <w:sz w:val="24"/>
          <w:szCs w:val="24"/>
          <w:color w:val="auto"/>
        </w:rPr>
      </w:pPr>
    </w:p>
    <w:p>
      <w:pPr>
        <w:ind w:left="943" w:right="3239" w:hanging="943"/>
        <w:spacing w:after="0" w:line="237" w:lineRule="auto"/>
        <w:tabs>
          <w:tab w:leader="none" w:pos="94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8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FOR THE FISCAL YEAR ENDED DECEMBER 31, 1999</w:t>
      </w:r>
    </w:p>
    <w:p>
      <w:pPr>
        <w:spacing w:after="0" w:line="1" w:lineRule="exact"/>
        <w:rPr>
          <w:sz w:val="24"/>
          <w:szCs w:val="24"/>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943" w:right="2859" w:hanging="943"/>
        <w:spacing w:after="0" w:line="237" w:lineRule="auto"/>
        <w:tabs>
          <w:tab w:leader="none" w:pos="18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COMMISSION FILE NUMBER 1-4298</w:t>
      </w:r>
    </w:p>
    <w:p>
      <w:pPr>
        <w:spacing w:after="0" w:line="183" w:lineRule="exact"/>
        <w:rPr>
          <w:sz w:val="24"/>
          <w:szCs w:val="24"/>
          <w:color w:val="auto"/>
        </w:rPr>
      </w:pPr>
    </w:p>
    <w:p>
      <w:pPr>
        <w:jc w:val="center"/>
        <w:ind w:right="2576"/>
        <w:spacing w:after="0"/>
        <w:rPr>
          <w:sz w:val="20"/>
          <w:szCs w:val="20"/>
          <w:color w:val="auto"/>
        </w:rPr>
      </w:pPr>
      <w:r>
        <w:rPr>
          <w:rFonts w:ascii="Courier New" w:cs="Courier New" w:eastAsia="Courier New" w:hAnsi="Courier New"/>
          <w:sz w:val="16"/>
          <w:szCs w:val="16"/>
          <w:color w:val="auto"/>
        </w:rPr>
        <w:t>COHU, INC.</w:t>
      </w:r>
    </w:p>
    <w:p>
      <w:pPr>
        <w:spacing w:after="0" w:line="1" w:lineRule="exact"/>
        <w:rPr>
          <w:sz w:val="24"/>
          <w:szCs w:val="24"/>
          <w:color w:val="auto"/>
        </w:rPr>
      </w:pPr>
    </w:p>
    <w:p>
      <w:pPr>
        <w:jc w:val="center"/>
        <w:ind w:right="257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142"/>
          </w:cols>
          <w:pgMar w:left="317" w:top="235" w:right="1440" w:bottom="1440" w:gutter="0" w:footer="0" w:header="0"/>
        </w:sectPr>
      </w:pPr>
    </w:p>
    <w:p>
      <w:pPr>
        <w:spacing w:after="0" w:line="183" w:lineRule="exact"/>
        <w:rPr>
          <w:sz w:val="24"/>
          <w:szCs w:val="24"/>
          <w:color w:val="auto"/>
        </w:rPr>
      </w:pPr>
    </w:p>
    <w:p>
      <w:pPr>
        <w:ind w:left="1043"/>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95-1934119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72" w:lineRule="exact"/>
        <w:rPr>
          <w:sz w:val="24"/>
          <w:szCs w:val="24"/>
          <w:color w:val="auto"/>
        </w:rPr>
      </w:pPr>
    </w:p>
    <w:p>
      <w:pPr>
        <w:sectPr>
          <w:pgSz w:w="11900" w:h="16838" w:orient="portrait"/>
          <w:cols w:equalWidth="0" w:num="2">
            <w:col w:w="3443" w:space="720"/>
            <w:col w:w="5979"/>
          </w:cols>
          <w:pgMar w:left="317" w:top="235" w:right="1440" w:bottom="1440" w:gutter="0" w:footer="0" w:header="0"/>
          <w:type w:val="continuous"/>
        </w:sectPr>
      </w:pPr>
    </w:p>
    <w:p>
      <w:pPr>
        <w:spacing w:after="0" w:line="3" w:lineRule="exact"/>
        <w:rPr>
          <w:sz w:val="24"/>
          <w:szCs w:val="24"/>
          <w:color w:val="auto"/>
        </w:rPr>
      </w:pPr>
    </w:p>
    <w:p>
      <w:pPr>
        <w:ind w:left="183" w:right="1080" w:hanging="188"/>
        <w:spacing w:after="0" w:line="267" w:lineRule="auto"/>
        <w:rPr>
          <w:sz w:val="20"/>
          <w:szCs w:val="20"/>
          <w:color w:val="auto"/>
        </w:rPr>
      </w:pPr>
      <w:r>
        <w:rPr>
          <w:rFonts w:ascii="Courier New" w:cs="Courier New" w:eastAsia="Courier New" w:hAnsi="Courier New"/>
          <w:sz w:val="15"/>
          <w:szCs w:val="15"/>
          <w:color w:val="auto"/>
        </w:rPr>
        <w:t>5755 KEARNY VILLA ROAD, SAN DIEGO, CALIFORNIA (Address of principal executive offices)</w:t>
      </w:r>
    </w:p>
    <w:p>
      <w:pPr>
        <w:spacing w:after="0" w:line="20" w:lineRule="exact"/>
        <w:rPr>
          <w:sz w:val="24"/>
          <w:szCs w:val="24"/>
          <w:color w:val="auto"/>
        </w:rPr>
      </w:pPr>
      <w:r>
        <w:rPr>
          <w:sz w:val="24"/>
          <w:szCs w:val="24"/>
          <w:color w:val="auto"/>
        </w:rPr>
        <w:br w:type="column"/>
      </w:r>
    </w:p>
    <w:p>
      <w:pPr>
        <w:ind w:left="280"/>
        <w:spacing w:after="0"/>
        <w:rPr>
          <w:sz w:val="20"/>
          <w:szCs w:val="20"/>
          <w:color w:val="auto"/>
        </w:rPr>
      </w:pPr>
      <w:r>
        <w:rPr>
          <w:rFonts w:ascii="Courier New" w:cs="Courier New" w:eastAsia="Courier New" w:hAnsi="Courier New"/>
          <w:sz w:val="16"/>
          <w:szCs w:val="16"/>
          <w:color w:val="auto"/>
        </w:rPr>
        <w:t>92123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0" w:lineRule="exact"/>
        <w:rPr>
          <w:sz w:val="24"/>
          <w:szCs w:val="24"/>
          <w:color w:val="auto"/>
        </w:rPr>
      </w:pPr>
    </w:p>
    <w:p>
      <w:pPr>
        <w:sectPr>
          <w:pgSz w:w="11900" w:h="16838" w:orient="portrait"/>
          <w:cols w:equalWidth="0" w:num="2">
            <w:col w:w="5343" w:space="720"/>
            <w:col w:w="4079"/>
          </w:cols>
          <w:pgMar w:left="317" w:top="235" w:right="1440" w:bottom="1440" w:gutter="0" w:footer="0" w:header="0"/>
          <w:type w:val="continuous"/>
        </w:sectPr>
      </w:pPr>
    </w:p>
    <w:p>
      <w:pPr>
        <w:jc w:val="center"/>
        <w:ind w:right="2576"/>
        <w:spacing w:after="0"/>
        <w:rPr>
          <w:sz w:val="20"/>
          <w:szCs w:val="20"/>
          <w:color w:val="auto"/>
        </w:rPr>
      </w:pPr>
      <w:r>
        <w:rPr>
          <w:rFonts w:ascii="Courier New" w:cs="Courier New" w:eastAsia="Courier New" w:hAnsi="Courier New"/>
          <w:sz w:val="16"/>
          <w:szCs w:val="16"/>
          <w:color w:val="auto"/>
        </w:rPr>
        <w:t>Registrant's telephone number, including area code: (858) 541-5194</w:t>
      </w:r>
    </w:p>
    <w:p>
      <w:pPr>
        <w:spacing w:after="0" w:line="183" w:lineRule="exact"/>
        <w:rPr>
          <w:sz w:val="24"/>
          <w:szCs w:val="24"/>
          <w:color w:val="auto"/>
        </w:rPr>
      </w:pPr>
    </w:p>
    <w:p>
      <w:pPr>
        <w:ind w:left="763"/>
        <w:spacing w:after="0"/>
        <w:rPr>
          <w:sz w:val="20"/>
          <w:szCs w:val="20"/>
          <w:color w:val="auto"/>
        </w:rPr>
      </w:pPr>
      <w:r>
        <w:rPr>
          <w:rFonts w:ascii="Courier New" w:cs="Courier New" w:eastAsia="Courier New" w:hAnsi="Courier New"/>
          <w:sz w:val="16"/>
          <w:szCs w:val="16"/>
          <w:color w:val="auto"/>
        </w:rPr>
        <w:t>Securities registered pursuant to Section 12(b) of the Act: None</w:t>
      </w:r>
    </w:p>
    <w:p>
      <w:pPr>
        <w:spacing w:after="0" w:line="183" w:lineRule="exact"/>
        <w:rPr>
          <w:sz w:val="24"/>
          <w:szCs w:val="24"/>
          <w:color w:val="auto"/>
        </w:rPr>
      </w:pPr>
    </w:p>
    <w:p>
      <w:pPr>
        <w:jc w:val="center"/>
        <w:ind w:right="2476"/>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COMMON STOCK, $1.00 PAR VALUE</w:t>
      </w:r>
    </w:p>
    <w:p>
      <w:pPr>
        <w:spacing w:after="0" w:line="1"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PREFERRED STOCK PURCHASE RIGHTS, $1.00 PAR VALUE</w:t>
      </w:r>
    </w:p>
    <w:p>
      <w:pPr>
        <w:spacing w:after="0" w:line="186" w:lineRule="exact"/>
        <w:rPr>
          <w:sz w:val="24"/>
          <w:szCs w:val="24"/>
          <w:color w:val="auto"/>
        </w:rPr>
      </w:pPr>
    </w:p>
    <w:p>
      <w:pPr>
        <w:ind w:left="3" w:right="2679" w:firstLine="378"/>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9" w:lineRule="exact"/>
        <w:rPr>
          <w:sz w:val="24"/>
          <w:szCs w:val="24"/>
          <w:color w:val="auto"/>
        </w:rPr>
      </w:pPr>
    </w:p>
    <w:p>
      <w:pPr>
        <w:ind w:left="3" w:right="2579" w:firstLine="378"/>
        <w:spacing w:after="0" w:line="239"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9" w:lineRule="exact"/>
        <w:rPr>
          <w:sz w:val="24"/>
          <w:szCs w:val="24"/>
          <w:color w:val="auto"/>
        </w:rPr>
      </w:pPr>
    </w:p>
    <w:p>
      <w:pPr>
        <w:ind w:left="3" w:right="2679" w:firstLine="378"/>
        <w:spacing w:after="0"/>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$831,000,000 as of February 15, 2000.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87" w:lineRule="exact"/>
        <w:rPr>
          <w:sz w:val="24"/>
          <w:szCs w:val="24"/>
          <w:color w:val="auto"/>
        </w:rPr>
      </w:pPr>
    </w:p>
    <w:p>
      <w:pPr>
        <w:ind w:left="3" w:right="2759" w:firstLine="378"/>
        <w:spacing w:after="0" w:line="237" w:lineRule="auto"/>
        <w:rPr>
          <w:sz w:val="20"/>
          <w:szCs w:val="20"/>
          <w:color w:val="auto"/>
        </w:rPr>
      </w:pPr>
      <w:r>
        <w:rPr>
          <w:rFonts w:ascii="Courier New" w:cs="Courier New" w:eastAsia="Courier New" w:hAnsi="Courier New"/>
          <w:sz w:val="16"/>
          <w:szCs w:val="16"/>
          <w:color w:val="auto"/>
        </w:rPr>
        <w:t>As of February 15, 2000, the Registrant had 20,103,019 shares of its $1.00 par value common stock outstanding.</w:t>
      </w:r>
    </w:p>
    <w:p>
      <w:pPr>
        <w:spacing w:after="0" w:line="184" w:lineRule="exact"/>
        <w:rPr>
          <w:sz w:val="24"/>
          <w:szCs w:val="24"/>
          <w:color w:val="auto"/>
        </w:rPr>
      </w:pPr>
    </w:p>
    <w:p>
      <w:pPr>
        <w:jc w:val="center"/>
        <w:ind w:right="2476"/>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6" w:lineRule="exact"/>
        <w:rPr>
          <w:sz w:val="24"/>
          <w:szCs w:val="24"/>
          <w:color w:val="auto"/>
        </w:rPr>
      </w:pPr>
    </w:p>
    <w:p>
      <w:pPr>
        <w:ind w:left="3" w:right="2759" w:firstLine="378"/>
        <w:spacing w:after="0" w:line="239" w:lineRule="auto"/>
        <w:rPr>
          <w:sz w:val="20"/>
          <w:szCs w:val="20"/>
          <w:color w:val="auto"/>
        </w:rPr>
      </w:pPr>
      <w:r>
        <w:rPr>
          <w:rFonts w:ascii="Courier New" w:cs="Courier New" w:eastAsia="Courier New" w:hAnsi="Courier New"/>
          <w:sz w:val="16"/>
          <w:szCs w:val="16"/>
          <w:color w:val="auto"/>
        </w:rPr>
        <w:t>Part I and Part II incorporate certain information by reference from the Annual Report to Stockholders for the year ended December 31, 1999. Part III incorporates certain information by reference from the Proxy Statement for the 2000 Annual Meeting of Stockholders.</w:t>
      </w:r>
    </w:p>
    <w:p>
      <w:pPr>
        <w:sectPr>
          <w:pgSz w:w="11900" w:h="16838" w:orient="portrait"/>
          <w:cols w:equalWidth="0" w:num="1">
            <w:col w:w="10142"/>
          </w:cols>
          <w:pgMar w:left="317" w:top="23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PART 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86"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This Annual Report on Form 10-K contains certain forward-looking statements including expectations of market demand, challenges and plans,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certain risks and uncertainties, including but not limited to those discussed herein and, in particular, under the caption "Business and Market Risks" beginning on page 7 that could cause actual results to differ materially from those projected.</w:t>
      </w:r>
    </w:p>
    <w:p>
      <w:pPr>
        <w:spacing w:after="0" w:line="175"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A predecessor of Cohu, Inc. ("Cohu") was incorporated under the laws of California in 1947 as Kalbfell Lab., Inc. and commenced active operations in the same year. Its name was changed to Kay Lab in 1954. In 1957 Cohu was reincorporated under the laws of the State of Delaware as Cohu Electronics, Inc. and in 1972 its name was changed to Cohu, Inc.</w:t>
      </w:r>
    </w:p>
    <w:p>
      <w:pPr>
        <w:spacing w:after="0" w:line="189"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Cohu has two reportable segments as defined by FASB Statement No. 131, Disclosures about Segments of an Enterprise and Related Information. The semiconductor equipment segment, operated under the Company's wholly owned subsidiary Delta Design, Inc., designs, manufactures and sells semiconductor test handling equipment to semiconductor manufacturers throughout the world. The television camera segment (the "Electronics Division") designs, manufactures and sells closed circuit television cameras and systems to original equipment manufacturers, contractors and government agencies. Cohu's other operating segments include Fisher Research Laboratory, Inc. ("FRL"), a metal detection business, and Broadcast Microwave Services, Inc. ("BMS"), a microwave radio equipment company.</w:t>
      </w:r>
    </w:p>
    <w:p>
      <w:pPr>
        <w:spacing w:after="0" w:line="189" w:lineRule="exact"/>
        <w:rPr>
          <w:sz w:val="20"/>
          <w:szCs w:val="20"/>
          <w:color w:val="auto"/>
        </w:rPr>
      </w:pPr>
    </w:p>
    <w:p>
      <w:pPr>
        <w:jc w:val="both"/>
        <w:ind w:right="2579"/>
        <w:spacing w:after="0" w:line="237" w:lineRule="auto"/>
        <w:rPr>
          <w:sz w:val="20"/>
          <w:szCs w:val="20"/>
          <w:color w:val="auto"/>
        </w:rPr>
      </w:pPr>
      <w:r>
        <w:rPr>
          <w:rFonts w:ascii="Courier New" w:cs="Courier New" w:eastAsia="Courier New" w:hAnsi="Courier New"/>
          <w:sz w:val="16"/>
          <w:szCs w:val="16"/>
          <w:color w:val="auto"/>
        </w:rPr>
        <w:t>Sales by segment, expressed as a percentage of total consolidated net sales, for the last three years were as follows:</w:t>
      </w:r>
    </w:p>
    <w:p>
      <w:pPr>
        <w:spacing w:after="0" w:line="200" w:lineRule="exact"/>
        <w:rPr>
          <w:sz w:val="20"/>
          <w:szCs w:val="20"/>
          <w:color w:val="auto"/>
        </w:rPr>
      </w:pPr>
    </w:p>
    <w:p>
      <w:pPr>
        <w:spacing w:after="0" w:line="348"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24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460" w:type="dxa"/>
            <w:vAlign w:val="bottom"/>
          </w:tcPr>
          <w:p>
            <w:pPr>
              <w:spacing w:after="0"/>
              <w:rPr>
                <w:sz w:val="20"/>
                <w:szCs w:val="20"/>
                <w:color w:val="auto"/>
              </w:rPr>
            </w:pPr>
            <w:r>
              <w:rPr>
                <w:rFonts w:ascii="Courier New" w:cs="Courier New" w:eastAsia="Courier New" w:hAnsi="Courier New"/>
                <w:sz w:val="16"/>
                <w:szCs w:val="16"/>
                <w:color w:val="auto"/>
              </w:rPr>
              <w:t>Semiconductor equipment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Television cameras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r>
      <w:tr>
        <w:trPr>
          <w:trHeight w:val="182"/>
        </w:trPr>
        <w:tc>
          <w:tcPr>
            <w:tcW w:w="24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2"/>
        </w:trPr>
        <w:tc>
          <w:tcPr>
            <w:tcW w:w="24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jc w:val="both"/>
        <w:ind w:right="2579"/>
        <w:spacing w:after="0" w:line="262" w:lineRule="auto"/>
        <w:rPr>
          <w:sz w:val="20"/>
          <w:szCs w:val="20"/>
          <w:color w:val="auto"/>
        </w:rPr>
      </w:pPr>
      <w:r>
        <w:rPr>
          <w:rFonts w:ascii="Courier New" w:cs="Courier New" w:eastAsia="Courier New" w:hAnsi="Courier New"/>
          <w:sz w:val="15"/>
          <w:szCs w:val="15"/>
          <w:color w:val="auto"/>
        </w:rPr>
        <w:t>Additional financial information on industry segments for each of the last three years is included on pages 2 (Selected Financial Data) and 10 and 11 (Note 7) in the 1999 Annual Report to Stockholders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 EQUIPMENT</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Effective January 1, 2000, Cohu united its semiconductor equipment operations, Delta Design (San Diego, CA) and Daymarc (Littleton, MA) under the Delta Design name. Delta Design ("Delta") is the largest U.S. based and the second largest worldwide supplier of semiconductor test handling equipment. Delta designs, manufactures, markets and services a broad range of test handlers, capable of handling virtually any type of integrated circuit ("IC") package. Test handlers are electromechanical systems, that are used to automate the IC final test process. Testing determines the quality and performance of the IC prior to shipment to customers. While testers are designed for specific IC types, such as microprocessor, logic, DRAM or mixed signal, handlers are engineered to process one or more of the various plastic or ceramic packages which protect the micro-circuitry and provide electrical connection to the printed circuit board or substrate.</w:t>
      </w:r>
    </w:p>
    <w:p>
      <w:pPr>
        <w:spacing w:after="0" w:line="190"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Most test handlers use either gravity-feed or pick-and-place technologies to process ICs. Delta's systems utilize both pick-and-place handling and gravity-feed techniques. The IC package type normally determines the appropriate handling approach. Because gravity-feed handling is simple, reliable and fast, it is the preferred technique for packages with leads on only two sides, including the dual-in-line ("DIP") and Small Outline ("SOIC"). ICs with leads on all four sides, such as the Quad Flat Pack and certain ICs with leads on two sides, such as the thin small outline package ("TSOP"), are predominately run in pick-and-place systems. In gravity-</w:t>
      </w:r>
    </w:p>
    <w:p>
      <w:pPr>
        <w:sectPr>
          <w:pgSz w:w="11900" w:h="16838" w:orient="portrait"/>
          <w:cols w:equalWidth="0" w:num="1">
            <w:col w:w="10139"/>
          </w:cols>
          <w:pgMar w:left="320" w:top="295" w:right="1440" w:bottom="880" w:gutter="0" w:footer="0" w:header="0"/>
        </w:sectPr>
      </w:pP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295" w:right="1440" w:bottom="88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feed handlers, ICs are unloaded from plastic tubes or metal magazines at the top of the machine and flow through the system, from top to bottom, propelled along precision trackwork by the force of gravity. At the output of the handler, the ICs are sorted and reloaded into tubes or magazines for additional process steps or for shipment. In pick-and-place systems, ICs are automatically removed from waffle-like trays, placed in precision transport boats, or carriers, and cycled through the system. ICs are sorted and reloaded into designated trays, based on test results.</w:t>
      </w:r>
    </w:p>
    <w:p>
      <w:pPr>
        <w:spacing w:after="0" w:line="187"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As a significant portion of IC test is performed at hot and/or cold temperatures, many of Delta's test handlers are designed to provide a controlled test environment over the range of -60 degrees C to +160 degrees C. Over the years, Delta has developed considerable expertise in the design of reliable, precision mechanisms which operate in these extreme temperatures and in controlling test temperature during test. As semiconductor manufacturers continue to reduce the size of ICs while providing higher performance and speed, test handler manufacturers have faced the additional and substantial challenge of dissipating large amounts of heat which are generated during the test process. This heat is capable of damaging or destroying the IC and can also result in downgrading, when devices fail to operate at full specification during test. Device yields are extremely important and directly affect the profitability of the semiconductor manufacturer. In addition to temperature capability, other key factors in the design of test handlers are equipment speed, flexibility, parallel test capability and size.</w:t>
      </w:r>
    </w:p>
    <w:p>
      <w:pPr>
        <w:spacing w:after="0" w:line="192"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Handlers are complex, electromechanical systems, which are used in high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Delta deploys service engineers worldwide, often within customer production facilities, who work with customer personnel on continuous equipment improvement programs.</w:t>
      </w:r>
    </w:p>
    <w:p>
      <w:pPr>
        <w:spacing w:after="0" w:line="187"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Equipment flexibility is important to semiconductor manufacturers and Delta's pick-and-place test handlers may be configured for virtually any semiconductor package type, through the use of tooling known as package dedication kits. Delta has a large installed base of pick-and-place test handlers, with over 2,000 systems installed at more than 130 locations worldwide.</w:t>
      </w:r>
    </w:p>
    <w:p>
      <w:pPr>
        <w:spacing w:after="0" w:line="189"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Delta Nitro Flex(TM), available in three models with various levels of automation, provides hot/cold test capability and broad versatility in IC package and media (tray or tube) handling. The "Flex" is considered an industry workhorse and more Flexes have been sold than any other logic pick-and-place test handler. Through Delta's continuous product improvement process, the handler has been successfully adapted to meet the evolving needs of IC manufacturers.</w:t>
      </w:r>
    </w:p>
    <w:p>
      <w:pPr>
        <w:spacing w:after="0" w:line="187"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The Model 2040, or RFS(TM), is a fast-index time pick-and-place handler, designed for high production applications. The handler's large environmental storage capacity enables uninterrupted operation in short test applications and parallel testing of up to four devices. The RFS(TM) utilizes a patented contactor indexing mechanism to achieve an index time of approximately 500 milliseconds.</w:t>
      </w:r>
    </w:p>
    <w:p>
      <w:pPr>
        <w:spacing w:after="0" w:line="190"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The Model 1688 is an ambient pick-and-place handler, which uses the same fast contactor indexing mechanism as the RFS(TM). The handler's small footprint of only eleven square feet, combined with high speed and dependable operation, make the 1688 a highly cost effective solution for test applications where environmental capability is not required.</w:t>
      </w:r>
    </w:p>
    <w:p>
      <w:pPr>
        <w:spacing w:after="0" w:line="189"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Delta's Castle handlers incorporate an innovative vertical tray handling system which provides high input/output automation in an extremely small footprint. The system is available in both memory and logic configurations. Castle Mx32 provides parallel testing of up to thirty-two devices. Castle Lx offers the same benchmark small footprint as the Mx32 and a fast index time to maximize test system utilization.</w:t>
      </w:r>
    </w:p>
    <w:p>
      <w:pPr>
        <w:spacing w:after="0" w:line="190"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Delta's newest handler, Summit, is designed to meet the requirements of manufacturers of advanced microprocessors and other high speed, high power devices. Summit utilizes chilled fluid to control test temperatures and dissipate the considerable heat generated by these devices during test.</w:t>
      </w:r>
    </w:p>
    <w:p>
      <w:pPr>
        <w:spacing w:after="0" w:line="173"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6"/>
          <w:szCs w:val="16"/>
          <w:color w:val="auto"/>
        </w:rPr>
        <w:t>Delta manufactures three lines of gravity-feed test handlers: the 717 Series, 3000 Series and 4000 Series.</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295"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The 717 Series test handlers accommodate SOIC packages. The small dimensions and high-speed applications of the SOIC package require a handler with minimal transition distances, high performance contacting and automation features to reduce the need for operator intervention. The 717 ambient and tri-temperature handlers provide index times as low as 350 and 500 milliseconds, respectively. The systems can be adapted to handle many different package types.</w:t>
      </w:r>
    </w:p>
    <w:p>
      <w:pPr>
        <w:spacing w:after="0" w:line="190"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The 3000 Series Handlers are designed for a wide range of gravity feed devices, including DIPs and SOICs. These handlers may be configured to test 1-32 devices in parallel and accommodate a wide range of package types at throughput rates up to 4,200 units per hour ("UPH"). The 3000 Series handlers provide tri-temperature operation and input/output automation for increased productivity.</w:t>
      </w:r>
    </w:p>
    <w:p>
      <w:pPr>
        <w:spacing w:after="0" w:line="190"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6"/>
          <w:szCs w:val="16"/>
          <w:color w:val="auto"/>
        </w:rPr>
        <w:t>The 4000 Series handlers combine high speed SOIC handling with multi-site capability. The 4100 is a fully automated, high-speed handler designed for high-volume, ambient test applications. The system operates at speeds up to 18,000 UPH in dual or quad site configurations.</w:t>
      </w:r>
    </w:p>
    <w:p>
      <w:pPr>
        <w:spacing w:after="0" w:line="188" w:lineRule="exact"/>
        <w:rPr>
          <w:sz w:val="20"/>
          <w:szCs w:val="20"/>
          <w:color w:val="auto"/>
        </w:rPr>
      </w:pPr>
    </w:p>
    <w:p>
      <w:pPr>
        <w:ind w:right="2579"/>
        <w:spacing w:after="0" w:line="258" w:lineRule="auto"/>
        <w:rPr>
          <w:sz w:val="20"/>
          <w:szCs w:val="20"/>
          <w:color w:val="auto"/>
        </w:rPr>
      </w:pPr>
      <w:r>
        <w:rPr>
          <w:rFonts w:ascii="Courier New" w:cs="Courier New" w:eastAsia="Courier New" w:hAnsi="Courier New"/>
          <w:sz w:val="15"/>
          <w:szCs w:val="15"/>
          <w:color w:val="auto"/>
        </w:rPr>
        <w:t>The Enterprise handler employs a handling technique known as test-in-tray. Unlike pick-and-place handlers, which remove ICs from trays and process them in boats, or carriers, Enterprise transports the devices through the handler in the storage tray, greatly reducing the amount of device handling. Test-in-tray is particularly suited for parallel test applications. Test-in-tray requires the IC manufacturer to make certain changes to conventional IC handling and test processes. While the benefits of test-in-tray may be significant and we sold a significant number of these handlers in 1998, market acceptance of this product has been very limited and the future use of this technology is uncertain.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TELEVISION CAMERAS</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The Electronics Division of Cohu has been a designer, manufacturer and seller of closed circuit television ("CCTV") cameras and systems for over 40 years. The customer base for these products is broadly distributed between machine vision, scientific imaging and security/surveillance markets. The current product line represents a comprehensive array of indoor and outdoor CCTV cameras as well as camera control equipment. To support its camera lines, the Electronics Division offers a wide selection of accessories including monitors, lenses and camera test equipment.</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BUSINESSES</w:t>
      </w:r>
    </w:p>
    <w:p>
      <w:pPr>
        <w:spacing w:after="0" w:line="186" w:lineRule="exact"/>
        <w:rPr>
          <w:sz w:val="20"/>
          <w:szCs w:val="20"/>
          <w:color w:val="auto"/>
        </w:rPr>
      </w:pPr>
    </w:p>
    <w:p>
      <w:pPr>
        <w:ind w:right="2959"/>
        <w:spacing w:after="0" w:line="239" w:lineRule="auto"/>
        <w:rPr>
          <w:sz w:val="20"/>
          <w:szCs w:val="20"/>
          <w:color w:val="auto"/>
        </w:rPr>
      </w:pPr>
      <w:r>
        <w:rPr>
          <w:rFonts w:ascii="Courier New" w:cs="Courier New" w:eastAsia="Courier New" w:hAnsi="Courier New"/>
          <w:sz w:val="16"/>
          <w:szCs w:val="16"/>
          <w:color w:val="auto"/>
        </w:rPr>
        <w:t>FRL designs, manufactures and sells metal detectors and related underground detection devices for consumer and industrial markets. All products are sold under the Fisher M-Scope label. Industrial products include pipe and cable locators, water leak detectors, property marker locators and instruments for locating reinforcing bars in concrete.</w:t>
      </w:r>
    </w:p>
    <w:p>
      <w:pPr>
        <w:spacing w:after="0" w:line="189"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BMS designs, manufactures and sells microwave radio equipment, antenna systems and associated equipment. These products are used in the transmission of telemetry, data, video and audio signals. Customers include government test ranges, law enforcement agencies, unmanned air vehicle programs and television broadcasters.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EQUIPMENT</w:t>
      </w:r>
    </w:p>
    <w:p>
      <w:pPr>
        <w:spacing w:after="0" w:line="186"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Our customer base includes companies that manufacture semiconductor devices primarily for internal use and companies that manufacture devices for sale to others. Repeat sales to existing customers represent a significant portion of our sales in this business segment. We believe that our installed customer base represents a significant competitive advantage.</w:t>
      </w:r>
    </w:p>
    <w:p>
      <w:pPr>
        <w:spacing w:after="0" w:line="189"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We rely on a limited number of customers for a substantial percentage of our net sales. In 1999 Motorola and Texas Instruments accounted for 24% and 12%, respectively, of our net sales. In 1998 Motorola, Micron Technology and Intel accounted for 22%, 17% and 12%, respectively, of our net sales. In 1997 Motorola, Intel and Micron Technology represented 17%, 14% and 11%, respectively, of our net sales. The loss of or a</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295"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significant reduction in orders by these or other significant customers, including reductions due to market, economic or competitive conditions or the outsourcing of final IC test to third parties that are not our customers would adversely affect our financial condition and results of operations.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TELEVISION CAMERAS AND OTHER BUSINESSES</w:t>
      </w:r>
    </w:p>
    <w:p>
      <w:pPr>
        <w:spacing w:after="0" w:line="186"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Our customer base in the television cameras industry segment is diverse and includes government agencies, original equipment manufacturers, contractors and value-added resellers throughout the world. No single customer of this segment accounted for 10% or more of our consolidated net sales in 1999, 1998 or 1997.</w:t>
      </w:r>
    </w:p>
    <w:p>
      <w:pPr>
        <w:spacing w:after="0" w:line="173"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Our customer base in the other operating businesses (FRL and BMS) is also diverse and includes government agencies, original equipment manufacturers, contractors, distributors and consumers throughout the world. No single customer of either FRL or BMS accounted for 10% or more of our consolidated net sales in 1999, 1998 or 1997.</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Contracts, including subcontract work, with U. S. Government agencies accounted for net sales of $3.4 million, $4.7 million, and $5.3 million in 1999, 1998 and 1997, respectively. Such contracts are frequently subject to termination provisions at the convenience of the Government.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186" w:lineRule="exact"/>
        <w:rPr>
          <w:sz w:val="20"/>
          <w:szCs w:val="20"/>
          <w:color w:val="auto"/>
        </w:rPr>
      </w:pPr>
    </w:p>
    <w:p>
      <w:pPr>
        <w:ind w:right="2579"/>
        <w:spacing w:after="0" w:line="258" w:lineRule="auto"/>
        <w:rPr>
          <w:sz w:val="20"/>
          <w:szCs w:val="20"/>
          <w:color w:val="auto"/>
        </w:rPr>
      </w:pPr>
      <w:r>
        <w:rPr>
          <w:rFonts w:ascii="Courier New" w:cs="Courier New" w:eastAsia="Courier New" w:hAnsi="Courier New"/>
          <w:sz w:val="15"/>
          <w:szCs w:val="15"/>
          <w:color w:val="auto"/>
        </w:rPr>
        <w:t>We market our products worldwide through a combination of direct sales force and independent sales representatives. In a geographic area where we believe there is sufficient sales potential, we maintain sales offices staffed with our own sales personnel. We maintain U.S.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The sales in Europe are derived primarily through sales representatives.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The semiconductor equipment industry is intensely competitive and is characterized by rapid technological change and demanding worldwide service requirements. Significant competitive factors include product performance, price and reliability, customer support and installed base of products. While we believe we are the largest U.S. based supplier of semiconductor test handling equipment, we face substantial competition in the U.S. and throughout the world.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we will continue to compete successfully in the U.S. or throughout the world.</w:t>
      </w:r>
    </w:p>
    <w:p>
      <w:pPr>
        <w:spacing w:after="0" w:line="195"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Our products in the television cameras segment and other businesses are sold in highly competitive markets throughout the world, where competition is on the basis of price, product integration with customer requirements, service and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businesses.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86" w:lineRule="exact"/>
        <w:rPr>
          <w:sz w:val="20"/>
          <w:szCs w:val="20"/>
          <w:color w:val="auto"/>
        </w:rPr>
      </w:pPr>
    </w:p>
    <w:p>
      <w:pPr>
        <w:ind w:right="2959"/>
        <w:spacing w:after="0" w:line="239" w:lineRule="auto"/>
        <w:rPr>
          <w:sz w:val="20"/>
          <w:szCs w:val="20"/>
          <w:color w:val="auto"/>
        </w:rPr>
      </w:pPr>
      <w:r>
        <w:rPr>
          <w:rFonts w:ascii="Courier New" w:cs="Courier New" w:eastAsia="Courier New" w:hAnsi="Courier New"/>
          <w:sz w:val="16"/>
          <w:szCs w:val="16"/>
          <w:color w:val="auto"/>
        </w:rPr>
        <w:t>The dollar amount of our order backlog of as of December 31, 1999 was $72.9 million as compared to $28.1 million at December 31, 1998. Of these amounts, $62.3 million ($20.8 million in 1998) was in semiconductor test handling equipment, $8.8 million ($5.3 million in 1998) was in television cameras and $1.8 million ($2.0</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39"/>
          </w:cols>
          <w:pgMar w:left="320" w:top="295"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million in 1998) from FRL and BMS. Virtually all backlog is expected to be shipped within the next twelve months. Due to the possibility of customer changes in delivery schedules, cancellation of orders and potential delays in product shipments, our backlog as of any point in time may not be representative of actual sales in any future period. All orders are subject to cancellation or rescheduling by the customer with limited penalty. There is no significant seasonal aspect to the business of Cohu.</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AND RAW MATERIALS</w:t>
      </w:r>
    </w:p>
    <w:p>
      <w:pPr>
        <w:spacing w:after="0" w:line="186"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Our manufacturing activities take place in San Diego, California (BMS, Delta Design and the Electronics Division), Littleton, Massachusetts (Delta Design) and Los Banos, California (FRL). Many of the components and subassemblies are standard products, although certain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negative affect on our operations while we attempted to locate and qualify replacement suppliers.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TRADEMARKS</w:t>
      </w:r>
    </w:p>
    <w:p>
      <w:pPr>
        <w:spacing w:after="0" w:line="186" w:lineRule="exact"/>
        <w:rPr>
          <w:sz w:val="20"/>
          <w:szCs w:val="20"/>
          <w:color w:val="auto"/>
        </w:rPr>
      </w:pPr>
    </w:p>
    <w:p>
      <w:pPr>
        <w:ind w:right="2579"/>
        <w:spacing w:after="0" w:line="257" w:lineRule="auto"/>
        <w:rPr>
          <w:sz w:val="20"/>
          <w:szCs w:val="20"/>
          <w:color w:val="auto"/>
        </w:rPr>
      </w:pPr>
      <w:r>
        <w:rPr>
          <w:rFonts w:ascii="Courier New" w:cs="Courier New" w:eastAsia="Courier New" w:hAnsi="Courier New"/>
          <w:sz w:val="15"/>
          <w:szCs w:val="15"/>
          <w:color w:val="auto"/>
        </w:rPr>
        <w:t>Cohu protects its proprietary technology through various intellectual property laws. However, we believe that, due to the rapid pace of technological change in the semiconductor equipment industry, the successful manufacture and sales of our products generally depend upon our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we may be vulnerable to competitors who attempt to copy or imitate our products or processes. Although we believe our intellectual property has value (and includes trademark rights and trade names other than Cohu), we have in the past and will in the future take actions we deem appropriate to protect such property from misappropriation, there can be no assurance such actions will provide meaningful protection from competition. Protecting our intellectual property rights or defending against claims brought by other holders of such rights, either directly against Cohu or against customers we have agreed to indemnify, would likely be expensive and time consuming and could have a material adverse affect on our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6" w:lineRule="exact"/>
        <w:rPr>
          <w:sz w:val="20"/>
          <w:szCs w:val="20"/>
          <w:color w:val="auto"/>
        </w:rPr>
      </w:pPr>
    </w:p>
    <w:p>
      <w:pPr>
        <w:ind w:right="2579"/>
        <w:spacing w:after="0" w:line="258" w:lineRule="auto"/>
        <w:rPr>
          <w:sz w:val="20"/>
          <w:szCs w:val="20"/>
          <w:color w:val="auto"/>
        </w:rPr>
      </w:pPr>
      <w:r>
        <w:rPr>
          <w:rFonts w:ascii="Courier New" w:cs="Courier New" w:eastAsia="Courier New" w:hAnsi="Courier New"/>
          <w:sz w:val="15"/>
          <w:szCs w:val="15"/>
          <w:color w:val="auto"/>
        </w:rPr>
        <w:t>Certain of the markets served by Cohu, particularly the semiconductor equipment industry, are characterized by rapid technological change. Research and development activities are carried on in the various subsidiaries and division of Cohu and are directed toward development of new products and equipment, as well as enhancements to existing products and equipment. Total research and development expenses were $20.5 million in 1999, $20.4 million in 1998 and $17.5 million in 1997. Total dollar expenditures increased primarily due to increased spending for R &amp; D on semiconductor test handling equipment. There was no significant customer-sponsored product development during these years.</w:t>
      </w:r>
    </w:p>
    <w:p>
      <w:pPr>
        <w:spacing w:after="0" w:line="175"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We work closely with our key customers to make improvements on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LAWS</w:t>
      </w:r>
    </w:p>
    <w:p>
      <w:pPr>
        <w:spacing w:after="0" w:line="186"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Compliance with Federal, State and local laws which have been enacted or adopted regulating the discharge of materials into the environment or otherwise relating to the protection of the environment has not had a material affect and is not expected to have a material affect upon the capital expenditures, results of operations or competitive position of Cohu.</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6" w:lineRule="exact"/>
        <w:rPr>
          <w:sz w:val="20"/>
          <w:szCs w:val="20"/>
          <w:color w:val="auto"/>
        </w:rPr>
      </w:pPr>
    </w:p>
    <w:p>
      <w:pPr>
        <w:ind w:right="2959"/>
        <w:spacing w:after="0" w:line="238" w:lineRule="auto"/>
        <w:rPr>
          <w:sz w:val="20"/>
          <w:szCs w:val="20"/>
          <w:color w:val="auto"/>
        </w:rPr>
      </w:pPr>
      <w:r>
        <w:rPr>
          <w:rFonts w:ascii="Courier New" w:cs="Courier New" w:eastAsia="Courier New" w:hAnsi="Courier New"/>
          <w:sz w:val="16"/>
          <w:szCs w:val="16"/>
          <w:color w:val="auto"/>
        </w:rPr>
        <w:t>At December 31, 1999 we had approximately 1,300 employees. None of these employees are covered by collective bargaining agreements. We believe that a great part of our future success will depend on our</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295"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right="2579"/>
        <w:spacing w:after="0" w:line="238" w:lineRule="auto"/>
        <w:rPr>
          <w:sz w:val="20"/>
          <w:szCs w:val="20"/>
          <w:color w:val="auto"/>
        </w:rPr>
      </w:pPr>
      <w:r>
        <w:rPr>
          <w:rFonts w:ascii="Courier New" w:cs="Courier New" w:eastAsia="Courier New" w:hAnsi="Courier New"/>
          <w:sz w:val="16"/>
          <w:szCs w:val="16"/>
          <w:color w:val="auto"/>
        </w:rPr>
        <w:t>continued ability to attract and retain qualified employees. Competition for the services of certain personnel, particularly those with technical skills, is intense. We consider our relations with our employees to be good.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AND MARKET RISKS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INDUSTRY CYCLES</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affect on the semiconductor industry's demand for capital equipment, including equipment of the type manufactured and marketed by Cohu. We anticipate that the markets for newer generations of semiconductors may also be subject to similar cycles and severe downturns, such as those experienced in 1996 and 1998. Reductions in capital equipment investment by semiconductor manufacturers will adversely affect our financial position and results of operations.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RAPID TECHNOLOGICAL CHANGE AND NEW PRODUCTS</w:t>
      </w:r>
    </w:p>
    <w:p>
      <w:pPr>
        <w:spacing w:after="0" w:line="186" w:lineRule="exact"/>
        <w:rPr>
          <w:sz w:val="20"/>
          <w:szCs w:val="20"/>
          <w:color w:val="auto"/>
        </w:rPr>
      </w:pPr>
    </w:p>
    <w:p>
      <w:pPr>
        <w:ind w:right="2579"/>
        <w:spacing w:after="0" w:line="257" w:lineRule="auto"/>
        <w:rPr>
          <w:sz w:val="20"/>
          <w:szCs w:val="20"/>
          <w:color w:val="auto"/>
        </w:rPr>
      </w:pPr>
      <w:r>
        <w:rPr>
          <w:rFonts w:ascii="Courier New" w:cs="Courier New" w:eastAsia="Courier New" w:hAnsi="Courier New"/>
          <w:sz w:val="15"/>
          <w:szCs w:val="15"/>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similar to or in excess of those recorded in 1998, that could have a material adverse impact on our financial condition and results of operations.</w:t>
      </w:r>
    </w:p>
    <w:p>
      <w:pPr>
        <w:spacing w:after="0" w:line="181" w:lineRule="exact"/>
        <w:rPr>
          <w:sz w:val="20"/>
          <w:szCs w:val="20"/>
          <w:color w:val="auto"/>
        </w:rPr>
      </w:pPr>
    </w:p>
    <w:p>
      <w:pPr>
        <w:ind w:right="2579"/>
        <w:spacing w:after="0" w:line="257" w:lineRule="auto"/>
        <w:rPr>
          <w:sz w:val="20"/>
          <w:szCs w:val="20"/>
          <w:color w:val="auto"/>
        </w:rPr>
      </w:pPr>
      <w:r>
        <w:rPr>
          <w:rFonts w:ascii="Courier New" w:cs="Courier New" w:eastAsia="Courier New" w:hAnsi="Courier New"/>
          <w:sz w:val="15"/>
          <w:szCs w:val="15"/>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No assurance can be made that we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our operations, financial condition and results of operations.</w:t>
      </w:r>
    </w:p>
    <w:p>
      <w:pPr>
        <w:spacing w:after="0" w:line="363" w:lineRule="exact"/>
        <w:rPr>
          <w:sz w:val="20"/>
          <w:szCs w:val="20"/>
          <w:color w:val="auto"/>
        </w:rPr>
      </w:pPr>
    </w:p>
    <w:p>
      <w:pPr>
        <w:ind w:right="2679"/>
        <w:spacing w:after="0" w:line="257" w:lineRule="auto"/>
        <w:rPr>
          <w:sz w:val="20"/>
          <w:szCs w:val="20"/>
          <w:color w:val="auto"/>
        </w:rPr>
      </w:pPr>
      <w:r>
        <w:rPr>
          <w:rFonts w:ascii="Courier New" w:cs="Courier New" w:eastAsia="Courier New" w:hAnsi="Courier New"/>
          <w:sz w:val="15"/>
          <w:szCs w:val="15"/>
          <w:color w:val="auto"/>
        </w:rPr>
        <w:t>The transition from product development to the manufacture of new semiconductor equipment is a difficult process and delays in product introductions and problems in manufacturing such equipment are common. During 1998 and 1999 we experienced difficulties in manufacturing and volume production of our new test handlers. In addition, after sale support and warranty costs are typically greater with new test handlers than with established products. There can be no assurance that future technologies, processes and product developments will not render our current or future product offerings obsolete or that we will be able to develop, introduce and successfully manufacture new products or make enhancements to our existing products in a timely manner to satisfy customer requirements or achieve market acceptance. Furthermore, there is no assurance that we will realize acceptable profit margins on such products.</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39"/>
          </w:cols>
          <w:pgMar w:left="320" w:top="295"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HIGHLY COMPETITIVE INDUSTRY</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The semiconductor equipment industry is intensely competitive and we face substantial competition from numerous companies throughout the world. While we believe we are the largest U.S. based supplier of semiconductor test handling equipment, we face substantial competition in the U.S. and throughout the world.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Cohu or our competitors to use certain intellectual property or technology could result in a loss of our competitive position and reduced sales of or margins on existing products.</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CUSTOMER CONCENTRATION</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As is common in the semiconductor equipment industry, we rely on a limited number of customers for a substantial percentage of our net sales. In 1999, four customers of the semiconductor equipment segment accounted for 46% (60% in 1998) of our net sales. The loss of or a significant reduction in orders by these or other significant customers as a result of competitive products, market conditions, outsourcing final IC test to third parties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BACKLOG</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Our order backlog rose significantly during 1999 primarily as a result of the improved business conditions in the semiconductor equipment industry and strong demand for our new pick-and-place test handler products. A significant portion of our semiconductor test handling equipment backlog at December 31, 1999 was for new products, including the Castle and Summit test handlers. Due to the possibility of customer changes in delivery schedules, cancellation of orders, potential delays in product shipments, difficulties in obtaining inventory parts from suppliers and failure to satisfy customer acceptance requirements, our backlog as of any point in time may not be representative of actual sales in any future period. Furthermore, all orders are subject to cancellation or rescheduling by the customer with limited penalty. A reduction in backlog during any particular period could have a material adverse affect on our business, financial condition and results of operations.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DEMANDS ON INFRASTRUCTURE</w:t>
      </w:r>
    </w:p>
    <w:p>
      <w:pPr>
        <w:spacing w:after="0" w:line="186" w:lineRule="exact"/>
        <w:rPr>
          <w:sz w:val="20"/>
          <w:szCs w:val="20"/>
          <w:color w:val="auto"/>
        </w:rPr>
      </w:pPr>
    </w:p>
    <w:p>
      <w:pPr>
        <w:ind w:right="2579"/>
        <w:spacing w:after="0" w:line="257" w:lineRule="auto"/>
        <w:rPr>
          <w:sz w:val="20"/>
          <w:szCs w:val="20"/>
          <w:color w:val="auto"/>
        </w:rPr>
      </w:pPr>
      <w:r>
        <w:rPr>
          <w:rFonts w:ascii="Courier New" w:cs="Courier New" w:eastAsia="Courier New" w:hAnsi="Courier New"/>
          <w:sz w:val="15"/>
          <w:szCs w:val="15"/>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and other semiconductor equipment manufacturers. In response to a severe industry downturn in 1998, we reduced our total workforce by approximately 40%. During 1999, we increased our workforce by more than 50% as business conditions in the semiconductor equipment industry and our order backlog improved. Such radical changes in workforce levels place enormous demands on our operations and infrastructure since newly hired personnel rarely possess the expertise and level of experience of people they replace.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No assurance can be given that we will continue to successfully adjust our production capacity to meet customers' changing requirements. The inability to meet such requirements will have an adverse impact on our financial position and results of operations.</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39"/>
          </w:cols>
          <w:pgMar w:left="320" w:top="295"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DECLINE IN GRAVITY-FEED IC TEST HANDLER SALES</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Sales of gravity-feed IC test handlers used in DRAM testing have represented a significant percentage of Cohu's total semiconductor equipment related revenue during the last five years. Due to changes in IC package technology, gravity-feed handlers are no longer suitable for handling many types of DRAMs. As a result, we have seen a significant decline in sales of our gravity-feed test handler products. We introduced our Enterprise handler in 1998 that employs a handling technique, known as test-in-tray, that is particularly suited for parallel test applications like DRAMs. While the benefits of test-in-tray may be significant and we sold a significant number of these handlers in 1998, market acceptance of this product has been very limited and the future use of this technology is uncertain. If we are unable to successfully develop and market new products or enhancements to existing products for DRAM applications our results of operations will continue to be adversely impacted.</w:t>
      </w:r>
    </w:p>
    <w:p>
      <w:pPr>
        <w:spacing w:after="0" w:line="3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DEPENDENCE ON KEY SUPPLIERS</w:t>
      </w:r>
    </w:p>
    <w:p>
      <w:pPr>
        <w:spacing w:after="0" w:line="186"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We use numerous vendors to supply parts, components and subassemblies for the manufacture of our products. While we make reasonable efforts to ensure that parts are available from multiple suppliers, this is not always possible; as a result, certain key parts may be obtained only from a single supplier or a limited number of suppliers. In addition, suppliers may cease manufacturing certain components that are difficult to replace without significant reengineering of our products. Cohu has experienced problems in obtaining adequate and reliable quantities of various parts and components from certain key suppliers. There can be no assurance that our results of operations will not be materially and adversely impacted if we do not receive sufficient parts to meet our requirements in a timely and cost effective manner.</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INTELLECTUAL PROPERTY</w:t>
      </w:r>
    </w:p>
    <w:p>
      <w:pPr>
        <w:spacing w:after="0" w:line="186"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Cohu relies on patent, copyright, trademark and trade secret laws to establish and maintain proprietary rights in our technology and products. However, there can be no assurance that any of our proprietary rights will not be challenged, invalidated or circumvented, or that any such rights will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financial condition and results of operations could be adversely affected.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FOREIGN SALES</w:t>
      </w:r>
    </w:p>
    <w:p>
      <w:pPr>
        <w:spacing w:after="0" w:line="186"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During 1999, 63% of our total net sales were exported to foreign countries, including 72%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changes in the amount or price of semiconductors produced in Asia could impact the profitability or capital equipment spending programs of our foreign and domestic customers.</w:t>
      </w:r>
    </w:p>
    <w:p>
      <w:pPr>
        <w:spacing w:after="0" w:line="36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NON SEMICONDUCTOR EQUIPMENT BUSINESSES</w:t>
      </w:r>
    </w:p>
    <w:p>
      <w:pPr>
        <w:spacing w:after="0" w:line="186"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and the future prospects for certain of these businesses remain uncertain. No assurance can be given that we will continue to compete successfully in any of these businesses.</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39"/>
          </w:cols>
          <w:pgMar w:left="320" w:top="295" w:right="1440" w:bottom="1440" w:gutter="0" w:footer="0" w:header="0"/>
          <w:type w:val="continuous"/>
        </w:sectPr>
      </w:pPr>
    </w:p>
    <w:bookmarkStart w:id="9" w:name="page10"/>
    <w:bookmarkEnd w:id="9"/>
    <w:p>
      <w:pPr>
        <w:ind w:left="283"/>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86" w:lineRule="exact"/>
        <w:rPr>
          <w:sz w:val="20"/>
          <w:szCs w:val="20"/>
          <w:color w:val="auto"/>
        </w:rPr>
      </w:pPr>
    </w:p>
    <w:p>
      <w:pPr>
        <w:ind w:left="3" w:right="2579"/>
        <w:spacing w:after="0" w:line="239" w:lineRule="auto"/>
        <w:rPr>
          <w:sz w:val="20"/>
          <w:szCs w:val="20"/>
          <w:color w:val="auto"/>
        </w:rPr>
      </w:pPr>
      <w:r>
        <w:rPr>
          <w:rFonts w:ascii="Courier New" w:cs="Courier New" w:eastAsia="Courier New" w:hAnsi="Courier New"/>
          <w:sz w:val="16"/>
          <w:szCs w:val="16"/>
          <w:color w:val="auto"/>
        </w:rPr>
        <w:t>At December 31, 1999 our investment portfolio includes fixed-income securities of approximately $66.6 million. These securities are subject to interest rate risk and will decline in value if interest rates increase. Due to the relatively short duration of our investment portfolio, an immediate 10 percent increase in interest rates would have no material impact on our financial condition or results of operations.</w:t>
      </w:r>
    </w:p>
    <w:p>
      <w:pPr>
        <w:spacing w:after="0" w:line="190" w:lineRule="exact"/>
        <w:rPr>
          <w:sz w:val="20"/>
          <w:szCs w:val="20"/>
          <w:color w:val="auto"/>
        </w:rPr>
      </w:pPr>
    </w:p>
    <w:p>
      <w:pPr>
        <w:ind w:left="3" w:right="2679"/>
        <w:spacing w:after="0" w:line="239" w:lineRule="auto"/>
        <w:rPr>
          <w:sz w:val="20"/>
          <w:szCs w:val="20"/>
          <w:color w:val="auto"/>
        </w:rPr>
      </w:pPr>
      <w:r>
        <w:rPr>
          <w:rFonts w:ascii="Courier New" w:cs="Courier New" w:eastAsia="Courier New" w:hAnsi="Courier New"/>
          <w:sz w:val="16"/>
          <w:szCs w:val="16"/>
          <w:color w:val="auto"/>
        </w:rPr>
        <w:t>We generally conduct business, including sales to foreign customers, in U.S. dollars and as a result have limited foreign currency exchange rate risk. Monetary assets and liabilities of Cohu's foreign operations are not significant. The effect of an immediate 10 percent change in foreign exchange rates would not have a material impact on our financial condition or results of operations.</w:t>
      </w:r>
    </w:p>
    <w:p>
      <w:pPr>
        <w:spacing w:after="0" w:line="186"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YEAR 2000 RISKS</w:t>
      </w:r>
    </w:p>
    <w:p>
      <w:pPr>
        <w:spacing w:after="0" w:line="186" w:lineRule="exact"/>
        <w:rPr>
          <w:sz w:val="20"/>
          <w:szCs w:val="20"/>
          <w:color w:val="auto"/>
        </w:rPr>
      </w:pPr>
    </w:p>
    <w:p>
      <w:pPr>
        <w:ind w:left="3" w:right="2579"/>
        <w:spacing w:after="0"/>
        <w:rPr>
          <w:sz w:val="20"/>
          <w:szCs w:val="20"/>
          <w:color w:val="auto"/>
        </w:rPr>
      </w:pPr>
      <w:r>
        <w:rPr>
          <w:rFonts w:ascii="Courier New" w:cs="Courier New" w:eastAsia="Courier New" w:hAnsi="Courier New"/>
          <w:sz w:val="16"/>
          <w:szCs w:val="16"/>
          <w:color w:val="auto"/>
        </w:rPr>
        <w:t>In prior periods, we discussed the nature and progress of our plans to become Year 2000 ready. In late 1999, we completed the remediation and testing of our mission critical systems. Through January 2000, we have experienced no significant disruptions in mission critical information technology and non-information technology systems and believe those systems successfully responded to the Year 2000 date change. Cohu expensed approximately $500,000 in connection with remediating our systems. We are not aware of any material problems resulting from Year 2000 issues, either with our products, our internal systems or the products and services of third parties. We will continue to monitor our mission critical computer applications and those of our suppliers and vendors throughout the year 2000.</w:t>
      </w:r>
    </w:p>
    <w:p>
      <w:pPr>
        <w:spacing w:after="0" w:line="189" w:lineRule="exact"/>
        <w:rPr>
          <w:sz w:val="20"/>
          <w:szCs w:val="20"/>
          <w:color w:val="auto"/>
        </w:rPr>
      </w:pPr>
    </w:p>
    <w:p>
      <w:pPr>
        <w:ind w:left="3" w:right="2579"/>
        <w:spacing w:after="0" w:line="239" w:lineRule="auto"/>
        <w:rPr>
          <w:sz w:val="20"/>
          <w:szCs w:val="20"/>
          <w:color w:val="auto"/>
        </w:rPr>
      </w:pPr>
      <w:r>
        <w:rPr>
          <w:rFonts w:ascii="Courier New" w:cs="Courier New" w:eastAsia="Courier New" w:hAnsi="Courier New"/>
          <w:sz w:val="16"/>
          <w:szCs w:val="16"/>
          <w:color w:val="auto"/>
        </w:rPr>
        <w:t>If significant yet to be identified Year 2000 issues arise, we may experience significant problems that could have a material adverse affect on our financial condition and results of operations. Litigation regarding Year 2000 issues is possible. It is uncertain whether, or to what extent, we may be affected by such litigation.</w:t>
      </w:r>
    </w:p>
    <w:p>
      <w:pPr>
        <w:spacing w:after="0" w:line="371" w:lineRule="exact"/>
        <w:rPr>
          <w:sz w:val="20"/>
          <w:szCs w:val="20"/>
          <w:color w:val="auto"/>
        </w:rPr>
      </w:pPr>
    </w:p>
    <w:p>
      <w:pPr>
        <w:ind w:left="3" w:right="2579"/>
        <w:spacing w:after="0"/>
        <w:rPr>
          <w:sz w:val="20"/>
          <w:szCs w:val="20"/>
          <w:color w:val="auto"/>
        </w:rPr>
      </w:pPr>
      <w:r>
        <w:rPr>
          <w:rFonts w:ascii="Courier New" w:cs="Courier New" w:eastAsia="Courier New" w:hAnsi="Courier New"/>
          <w:sz w:val="16"/>
          <w:szCs w:val="16"/>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1999 Annual Report on Form 10-K, that could cause actual results to differ materially from those projected or forecasted. Cohu undertakes no obligation to update the information, including the forward-looking statements, in this Form 10-K.</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2. PROPERTIES</w:t>
      </w:r>
    </w:p>
    <w:p>
      <w:pPr>
        <w:spacing w:after="0" w:line="186" w:lineRule="exact"/>
        <w:rPr>
          <w:sz w:val="20"/>
          <w:szCs w:val="20"/>
          <w:color w:val="auto"/>
        </w:rPr>
      </w:pPr>
    </w:p>
    <w:p>
      <w:pPr>
        <w:ind w:left="3" w:right="2679"/>
        <w:spacing w:after="0" w:line="237" w:lineRule="auto"/>
        <w:rPr>
          <w:sz w:val="20"/>
          <w:szCs w:val="20"/>
          <w:color w:val="auto"/>
        </w:rPr>
      </w:pPr>
      <w:r>
        <w:rPr>
          <w:rFonts w:ascii="Courier New" w:cs="Courier New" w:eastAsia="Courier New" w:hAnsi="Courier New"/>
          <w:sz w:val="16"/>
          <w:szCs w:val="16"/>
          <w:color w:val="auto"/>
        </w:rPr>
        <w:t>Certain information concerning Cohu's principal properties at December 31, 1999 identified by business segment is set forth below:</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302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APPROXIMATE</w:t>
            </w:r>
          </w:p>
        </w:tc>
        <w:tc>
          <w:tcPr>
            <w:tcW w:w="1660" w:type="dxa"/>
            <w:vAlign w:val="bottom"/>
          </w:tcPr>
          <w:p>
            <w:pPr>
              <w:spacing w:after="0"/>
              <w:rPr>
                <w:sz w:val="15"/>
                <w:szCs w:val="15"/>
                <w:color w:val="auto"/>
              </w:rPr>
            </w:pP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LOCATION</w:t>
            </w:r>
          </w:p>
        </w:tc>
        <w:tc>
          <w:tcPr>
            <w:tcW w:w="302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SQ. FOOTAGE</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OWNERSHIP</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0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820"/>
              <w:spacing w:after="0"/>
              <w:rPr>
                <w:sz w:val="20"/>
                <w:szCs w:val="20"/>
                <w:color w:val="auto"/>
              </w:rPr>
            </w:pPr>
            <w:r>
              <w:rPr>
                <w:rFonts w:ascii="Courier New" w:cs="Courier New" w:eastAsia="Courier New" w:hAnsi="Courier New"/>
                <w:sz w:val="16"/>
                <w:szCs w:val="16"/>
                <w:color w:val="auto"/>
                <w:w w:val="94"/>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Littleton, MA. (1)</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102,000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Owned</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San Diego, CA. (1)</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52,000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Owned</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San Diego, CA. (1)</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52,000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Owned</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San Diego, CA (1)</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52,000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Owned</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San Diego, CA. (1)</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15,000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Leased</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San Diego, CA. (2)</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57,000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Leased</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San Diego, CA. (3)</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15,000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Leased</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Los Banos, CA. (4)</w:t>
            </w:r>
          </w:p>
        </w:tc>
        <w:tc>
          <w:tcPr>
            <w:tcW w:w="3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23,000</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Owned</w:t>
            </w:r>
          </w:p>
        </w:tc>
      </w:tr>
    </w:tbl>
    <w:p>
      <w:pPr>
        <w:spacing w:after="0" w:line="364" w:lineRule="exact"/>
        <w:rPr>
          <w:sz w:val="20"/>
          <w:szCs w:val="20"/>
          <w:color w:val="auto"/>
        </w:rPr>
      </w:pPr>
    </w:p>
    <w:p>
      <w:pPr>
        <w:ind w:left="383"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Semiconductor equipment</w:t>
      </w:r>
    </w:p>
    <w:p>
      <w:pPr>
        <w:ind w:left="383"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Television cameras</w:t>
      </w:r>
    </w:p>
    <w:p>
      <w:pPr>
        <w:ind w:left="383"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BMS</w:t>
      </w:r>
    </w:p>
    <w:p>
      <w:pPr>
        <w:ind w:left="383"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FRL</w:t>
      </w:r>
    </w:p>
    <w:p>
      <w:pPr>
        <w:sectPr>
          <w:pgSz w:w="11900" w:h="16838" w:orient="portrait"/>
          <w:cols w:equalWidth="0" w:num="1">
            <w:col w:w="10142"/>
          </w:cols>
          <w:pgMar w:left="317" w:top="295"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42"/>
          </w:cols>
          <w:pgMar w:left="317" w:top="295"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In addition to the locations listed above Cohu leases other properties for sales and service offices in various locations including Austin, Texas, Santa Clara, California, Singapore and Taipei, Taiwan. We believe our facilities are suitable for their respective uses and are adequate for our present needs.</w:t>
      </w:r>
    </w:p>
    <w:p>
      <w:pPr>
        <w:spacing w:after="0" w:line="188" w:lineRule="exact"/>
        <w:rPr>
          <w:sz w:val="20"/>
          <w:szCs w:val="20"/>
          <w:color w:val="auto"/>
        </w:rPr>
      </w:pPr>
    </w:p>
    <w:p>
      <w:pPr>
        <w:ind w:right="2679"/>
        <w:spacing w:after="0" w:line="238" w:lineRule="auto"/>
        <w:rPr>
          <w:sz w:val="20"/>
          <w:szCs w:val="20"/>
          <w:color w:val="auto"/>
        </w:rPr>
      </w:pPr>
      <w:r>
        <w:rPr>
          <w:rFonts w:ascii="Courier New" w:cs="Courier New" w:eastAsia="Courier New" w:hAnsi="Courier New"/>
          <w:sz w:val="16"/>
          <w:szCs w:val="16"/>
          <w:color w:val="auto"/>
        </w:rPr>
        <w:t>In May 1996 Cohu acquired approximately 12 acres of land in Poway, California. The land is being held for future expansion needs although no such expansion is currently contemplated.</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8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Cohu is not presently a party to any material legal proceedings, other than ordinary routine litigation incidental to the business.</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AND SIGNIFICANT EMPLOYEES OF THE REGISTRANT</w:t>
      </w:r>
    </w:p>
    <w:p>
      <w:pPr>
        <w:spacing w:after="0" w:line="186"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The following sets forth the names and ages of and the positions and offices held by all executive officers and significant employees of Cohu as of February 15, 2000. Executive Officers serve at the discretion of the Board of Directors, until their successors are appointed.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AGE</w:t>
            </w:r>
          </w:p>
        </w:tc>
        <w:tc>
          <w:tcPr>
            <w:tcW w:w="1600" w:type="dxa"/>
            <w:vAlign w:val="bottom"/>
          </w:tcPr>
          <w:p>
            <w:pPr>
              <w:ind w:left="620"/>
              <w:spacing w:after="0"/>
              <w:rPr>
                <w:sz w:val="20"/>
                <w:szCs w:val="20"/>
                <w:color w:val="auto"/>
              </w:rPr>
            </w:pPr>
            <w:r>
              <w:rPr>
                <w:rFonts w:ascii="Courier New" w:cs="Courier New" w:eastAsia="Courier New" w:hAnsi="Courier New"/>
                <w:sz w:val="16"/>
                <w:szCs w:val="16"/>
                <w:color w:val="auto"/>
              </w:rPr>
              <w:t>POSITION</w:t>
            </w:r>
          </w:p>
        </w:tc>
        <w:tc>
          <w:tcPr>
            <w:tcW w:w="3260" w:type="dxa"/>
            <w:vAlign w:val="bottom"/>
          </w:tcPr>
          <w:p>
            <w:pPr>
              <w:spacing w:after="0"/>
              <w:rPr>
                <w:sz w:val="15"/>
                <w:szCs w:val="15"/>
                <w:color w:val="auto"/>
              </w:rPr>
            </w:pP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spacing w:after="0"/>
              <w:rPr>
                <w:sz w:val="15"/>
                <w:szCs w:val="15"/>
                <w:color w:val="auto"/>
              </w:rPr>
            </w:pPr>
          </w:p>
        </w:tc>
      </w:tr>
      <w:tr>
        <w:trPr>
          <w:trHeight w:val="364"/>
        </w:trPr>
        <w:tc>
          <w:tcPr>
            <w:tcW w:w="2700" w:type="dxa"/>
            <w:vAlign w:val="bottom"/>
          </w:tcPr>
          <w:p>
            <w:pPr>
              <w:spacing w:after="0"/>
              <w:rPr>
                <w:sz w:val="20"/>
                <w:szCs w:val="20"/>
                <w:color w:val="auto"/>
              </w:rPr>
            </w:pPr>
            <w:r>
              <w:rPr>
                <w:rFonts w:ascii="Courier New" w:cs="Courier New" w:eastAsia="Courier New" w:hAnsi="Courier New"/>
                <w:sz w:val="16"/>
                <w:szCs w:val="16"/>
                <w:color w:val="auto"/>
              </w:rPr>
              <w:t>EXECUTIVE OFFICERS:</w:t>
            </w: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Charles A. Schwan</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60</w:t>
            </w:r>
          </w:p>
        </w:tc>
        <w:tc>
          <w:tcPr>
            <w:tcW w:w="1600" w:type="dxa"/>
            <w:vAlign w:val="bottom"/>
          </w:tcPr>
          <w:p>
            <w:pPr>
              <w:ind w:left="620"/>
              <w:spacing w:after="0"/>
              <w:rPr>
                <w:sz w:val="20"/>
                <w:szCs w:val="20"/>
                <w:color w:val="auto"/>
              </w:rPr>
            </w:pPr>
            <w:r>
              <w:rPr>
                <w:rFonts w:ascii="Courier New" w:cs="Courier New" w:eastAsia="Courier New" w:hAnsi="Courier New"/>
                <w:sz w:val="16"/>
                <w:szCs w:val="16"/>
                <w:color w:val="auto"/>
                <w:w w:val="99"/>
              </w:rPr>
              <w:t>Chairman &amp;</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 Director</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James A. Donahue</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51</w:t>
            </w:r>
          </w:p>
        </w:tc>
        <w:tc>
          <w:tcPr>
            <w:tcW w:w="486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7"/>
              </w:rPr>
              <w:t>President &amp; Chief Operating Officer, Director</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John H. Allen</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48</w:t>
            </w:r>
          </w:p>
        </w:tc>
        <w:tc>
          <w:tcPr>
            <w:tcW w:w="48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Vice President, Finance &amp; Chief Financial</w:t>
            </w:r>
          </w:p>
        </w:tc>
      </w:tr>
      <w:tr>
        <w:trPr>
          <w:trHeight w:val="182"/>
        </w:trPr>
        <w:tc>
          <w:tcPr>
            <w:tcW w:w="2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6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Officer, Secretary</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SIGNIFICANT EMPLOYEES:</w:t>
            </w:r>
          </w:p>
        </w:tc>
        <w:tc>
          <w:tcPr>
            <w:tcW w:w="1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James M. Brown</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62</w:t>
            </w:r>
          </w:p>
        </w:tc>
        <w:tc>
          <w:tcPr>
            <w:tcW w:w="1600" w:type="dxa"/>
            <w:vAlign w:val="bottom"/>
          </w:tcPr>
          <w:p>
            <w:pPr>
              <w:ind w:left="620"/>
              <w:spacing w:after="0"/>
              <w:rPr>
                <w:sz w:val="20"/>
                <w:szCs w:val="20"/>
                <w:color w:val="auto"/>
              </w:rPr>
            </w:pPr>
            <w:r>
              <w:rPr>
                <w:rFonts w:ascii="Courier New" w:cs="Courier New" w:eastAsia="Courier New" w:hAnsi="Courier New"/>
                <w:sz w:val="16"/>
                <w:szCs w:val="16"/>
                <w:color w:val="auto"/>
                <w:w w:val="99"/>
              </w:rPr>
              <w:t>President,</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Cohu Electronics Division</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Graham Bunney</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44</w:t>
            </w:r>
          </w:p>
        </w:tc>
        <w:tc>
          <w:tcPr>
            <w:tcW w:w="1600" w:type="dxa"/>
            <w:vAlign w:val="bottom"/>
          </w:tcPr>
          <w:p>
            <w:pPr>
              <w:ind w:left="620"/>
              <w:spacing w:after="0"/>
              <w:rPr>
                <w:sz w:val="20"/>
                <w:szCs w:val="20"/>
                <w:color w:val="auto"/>
              </w:rPr>
            </w:pPr>
            <w:r>
              <w:rPr>
                <w:rFonts w:ascii="Courier New" w:cs="Courier New" w:eastAsia="Courier New" w:hAnsi="Courier New"/>
                <w:sz w:val="16"/>
                <w:szCs w:val="16"/>
                <w:color w:val="auto"/>
                <w:w w:val="99"/>
              </w:rPr>
              <w:t>President,</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BMS</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Roger A. Cimino</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52</w:t>
            </w:r>
          </w:p>
        </w:tc>
        <w:tc>
          <w:tcPr>
            <w:tcW w:w="1600" w:type="dxa"/>
            <w:vAlign w:val="bottom"/>
          </w:tcPr>
          <w:p>
            <w:pPr>
              <w:ind w:left="620"/>
              <w:spacing w:after="0"/>
              <w:rPr>
                <w:sz w:val="20"/>
                <w:szCs w:val="20"/>
                <w:color w:val="auto"/>
              </w:rPr>
            </w:pPr>
            <w:r>
              <w:rPr>
                <w:rFonts w:ascii="Courier New" w:cs="Courier New" w:eastAsia="Courier New" w:hAnsi="Courier New"/>
                <w:sz w:val="16"/>
                <w:szCs w:val="16"/>
                <w:color w:val="auto"/>
                <w:w w:val="99"/>
              </w:rPr>
              <w:t>President,</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FRL</w:t>
            </w:r>
          </w:p>
        </w:tc>
      </w:tr>
    </w:tbl>
    <w:p>
      <w:pPr>
        <w:spacing w:after="0" w:line="368"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5"/>
          <w:szCs w:val="15"/>
          <w:color w:val="auto"/>
        </w:rPr>
        <w:t>Mr. Schwan has been employed by Cohu since 1971 and became President &amp; Chief Executive Officer on March 1, 1996. Mr. Schwan had been Treasurer since 1972, Vice President, Finance since 1983 and Executive Vice President &amp; Chief Operating Officer since September 1995. In July 1999 Mr. Schwan was appointed Chairman of the Board. Mr. Schwan has been a member of the Board of Directors since 1990 and served as Secretary from 1988 until September 1995.</w:t>
      </w:r>
    </w:p>
    <w:p>
      <w:pPr>
        <w:spacing w:after="0" w:line="173"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Mr. Donahue has been employed by Delta Design since 1978 and has been President of Delta Design since May 1983. In May 1998 Mr. Donahue was promoted to President of the Cohu Semiconductor Equipment Group. In October 1999 Mr. Donahue was named to the position of President &amp; Chief Operating Officer of Cohu, Inc. and was appointed to Cohu's Board of Directors.</w:t>
      </w:r>
    </w:p>
    <w:p>
      <w:pPr>
        <w:spacing w:after="0" w:line="189"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Mr. Allen has been employed by Cohu since June 1995. He was Director of Finance until September 1995, became Vice President, Finance and Secretary in September 1995 and was appointed Chief Financial Officer in October 1995. Prior to joining Cohu, Mr. Allen held various positions with Ernst &amp; Young LLP from 1976 until June 1995 and had been a partner with that firm since 1987.</w:t>
      </w:r>
    </w:p>
    <w:p>
      <w:pPr>
        <w:spacing w:after="0" w:line="189" w:lineRule="exact"/>
        <w:rPr>
          <w:sz w:val="20"/>
          <w:szCs w:val="20"/>
          <w:color w:val="auto"/>
        </w:rPr>
      </w:pPr>
    </w:p>
    <w:p>
      <w:pPr>
        <w:ind w:right="2679"/>
        <w:spacing w:after="0" w:line="237" w:lineRule="auto"/>
        <w:rPr>
          <w:sz w:val="20"/>
          <w:szCs w:val="20"/>
          <w:color w:val="auto"/>
        </w:rPr>
      </w:pPr>
      <w:r>
        <w:rPr>
          <w:rFonts w:ascii="Courier New" w:cs="Courier New" w:eastAsia="Courier New" w:hAnsi="Courier New"/>
          <w:sz w:val="16"/>
          <w:szCs w:val="16"/>
          <w:color w:val="auto"/>
        </w:rPr>
        <w:t>Mr. Brown has been employed by the Cohu Electronics Division since 1980 and has been President of that division since 1983.</w:t>
      </w:r>
    </w:p>
    <w:p>
      <w:pPr>
        <w:spacing w:after="0" w:line="188" w:lineRule="exact"/>
        <w:rPr>
          <w:sz w:val="20"/>
          <w:szCs w:val="20"/>
          <w:color w:val="auto"/>
        </w:rPr>
      </w:pPr>
    </w:p>
    <w:p>
      <w:pPr>
        <w:ind w:right="2579"/>
        <w:spacing w:after="0" w:line="238" w:lineRule="auto"/>
        <w:rPr>
          <w:sz w:val="20"/>
          <w:szCs w:val="20"/>
          <w:color w:val="auto"/>
        </w:rPr>
      </w:pPr>
      <w:r>
        <w:rPr>
          <w:rFonts w:ascii="Courier New" w:cs="Courier New" w:eastAsia="Courier New" w:hAnsi="Courier New"/>
          <w:sz w:val="16"/>
          <w:szCs w:val="16"/>
          <w:color w:val="auto"/>
        </w:rPr>
        <w:t>Mr. Bunney has been employed by BMS since 1985. Mr. Bunney was a project manager until June 1994, manufacturing manager from June 1994 through January 1996 and was promoted to President of BMS in January 1996.</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95"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ind w:right="2579"/>
        <w:spacing w:after="0" w:line="260" w:lineRule="auto"/>
        <w:rPr>
          <w:sz w:val="20"/>
          <w:szCs w:val="20"/>
          <w:color w:val="auto"/>
        </w:rPr>
      </w:pPr>
      <w:r>
        <w:rPr>
          <w:rFonts w:ascii="Courier New" w:cs="Courier New" w:eastAsia="Courier New" w:hAnsi="Courier New"/>
          <w:sz w:val="15"/>
          <w:szCs w:val="15"/>
          <w:color w:val="auto"/>
        </w:rPr>
        <w:t>Mr. Cimino has been employed by FRL since December 1998 and has been President of FRL since February 1999. Prior to joining FRL Mr. Cimino held various positions with Cummins Engine Company, Inc. from 1989 until 1998 including Vice President and General Manager of the Cadec Systems subsidiary from 1993 to 1998.</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88"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Information regarding the market prices of Cohu's stock, markets for that stock, the number of stockholders and dividend information is contained on the inside back cover of the 1999 Annual Report to Stockholders under " Cohu Stock Information". Such information is incorporated herein by reference.</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86" w:lineRule="exact"/>
        <w:rPr>
          <w:sz w:val="20"/>
          <w:szCs w:val="20"/>
          <w:color w:val="auto"/>
        </w:rPr>
      </w:pPr>
    </w:p>
    <w:p>
      <w:pPr>
        <w:ind w:right="2579"/>
        <w:spacing w:after="0" w:line="237" w:lineRule="auto"/>
        <w:rPr>
          <w:sz w:val="20"/>
          <w:szCs w:val="20"/>
          <w:color w:val="auto"/>
        </w:rPr>
      </w:pPr>
      <w:r>
        <w:rPr>
          <w:rFonts w:ascii="Courier New" w:cs="Courier New" w:eastAsia="Courier New" w:hAnsi="Courier New"/>
          <w:sz w:val="16"/>
          <w:szCs w:val="16"/>
          <w:color w:val="auto"/>
        </w:rPr>
        <w:t>"Selected Financial Data" on page 2 of the 1999 Annual Report to Stockholders is incorporated herein by reference.</w:t>
      </w:r>
    </w:p>
    <w:p>
      <w:pPr>
        <w:spacing w:after="0" w:line="370" w:lineRule="exact"/>
        <w:rPr>
          <w:sz w:val="20"/>
          <w:szCs w:val="20"/>
          <w:color w:val="auto"/>
        </w:rPr>
      </w:pPr>
    </w:p>
    <w:p>
      <w:pPr>
        <w:ind w:right="2679"/>
        <w:spacing w:after="0" w:line="237"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8" w:lineRule="exact"/>
        <w:rPr>
          <w:sz w:val="20"/>
          <w:szCs w:val="20"/>
          <w:color w:val="auto"/>
        </w:rPr>
      </w:pPr>
    </w:p>
    <w:p>
      <w:pPr>
        <w:ind w:right="2679"/>
        <w:spacing w:after="0" w:line="238"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on pages 13 through 16 of the 1999 Annual Report to Stockholders is incorporated herein by reference.</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86"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Information regarding Cohu's market risk is set forth under "Quantitative and Qualitative Disclosures About Market Risk" on page 16 of the 1999 Annual Report to Stockholders and on page 10 of this report and is incorporated herein by reference.</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consolidated financial statements of Cohu, including the report thereon of Ernst &amp; Young LLP, on pages 6 through 12 and the unaudited Quarterly Financial Data contained on the inside back cover of the 1999 Annual Report to Stockholders is incorporated herein by reference.</w:t>
      </w:r>
    </w:p>
    <w:p>
      <w:pPr>
        <w:spacing w:after="0" w:line="369"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III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86"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5"/>
          <w:szCs w:val="15"/>
          <w:color w:val="auto"/>
        </w:rPr>
        <w:t>Information regarding directors of Cohu is set forth under "Election Of Directors" in Cohu's Proxy Statement for the 2000 Annual Meeting of Stockholders ("the Proxy Statement"), which information is incorporated herein by reference. Information concerning the executive officers of Cohu is included in Part I of this report. Information in the Proxy Statement under "Section 16(a) Beneficial Ownership Reporting Compliance" is also incorporated herein by reference.</w:t>
      </w:r>
    </w:p>
    <w:p>
      <w:pPr>
        <w:spacing w:after="0" w:line="200" w:lineRule="exact"/>
        <w:rPr>
          <w:sz w:val="20"/>
          <w:szCs w:val="20"/>
          <w:color w:val="auto"/>
        </w:rPr>
      </w:pPr>
    </w:p>
    <w:p>
      <w:pPr>
        <w:spacing w:after="0" w:line="33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Information regarding Cohu's compensation of its executive officers and directors and certain other information is set forth in the Proxy Statement under "Board of Directors and Committees", "Compensation of Executive Officers and Other Information" and "Compensation Committee Interlocks and Insider Participation" and is incorporated herein by reference.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86"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6"/>
          <w:szCs w:val="16"/>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86"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Information regarding certain relationships and related transactions is set forth in the Proxy Statement under "Certain Relationships and Related Transactions" and is incorporated herein by reference.</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PART IV</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83" w:lineRule="exact"/>
        <w:rPr>
          <w:sz w:val="20"/>
          <w:szCs w:val="20"/>
          <w:color w:val="auto"/>
        </w:rPr>
      </w:pPr>
    </w:p>
    <w:p>
      <w:pPr>
        <w:ind w:left="760"/>
        <w:spacing w:after="0"/>
        <w:tabs>
          <w:tab w:leader="none" w:pos="1400" w:val="left"/>
          <w:tab w:leader="none" w:pos="20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5"/>
          <w:szCs w:val="15"/>
          <w:color w:val="auto"/>
        </w:rPr>
        <w:t>Financial Statements</w:t>
      </w:r>
    </w:p>
    <w:p>
      <w:pPr>
        <w:spacing w:after="0" w:line="186" w:lineRule="exact"/>
        <w:rPr>
          <w:sz w:val="20"/>
          <w:szCs w:val="20"/>
          <w:color w:val="auto"/>
        </w:rPr>
      </w:pPr>
    </w:p>
    <w:p>
      <w:pPr>
        <w:ind w:left="2080" w:right="2679"/>
        <w:spacing w:after="0" w:line="239" w:lineRule="auto"/>
        <w:rPr>
          <w:sz w:val="20"/>
          <w:szCs w:val="20"/>
          <w:color w:val="auto"/>
        </w:rPr>
      </w:pPr>
      <w:r>
        <w:rPr>
          <w:rFonts w:ascii="Courier New" w:cs="Courier New" w:eastAsia="Courier New" w:hAnsi="Courier New"/>
          <w:sz w:val="16"/>
          <w:szCs w:val="16"/>
          <w:color w:val="auto"/>
        </w:rPr>
        <w:t>The financial statements listed in the accompanying index to financial statements and financial statement schedules are incorporated herein by reference as part of this Annual Report on Form 10-K.</w:t>
      </w:r>
    </w:p>
    <w:p>
      <w:pPr>
        <w:spacing w:after="0" w:line="184" w:lineRule="exact"/>
        <w:rPr>
          <w:sz w:val="20"/>
          <w:szCs w:val="20"/>
          <w:color w:val="auto"/>
        </w:rPr>
      </w:pPr>
    </w:p>
    <w:p>
      <w:pPr>
        <w:ind w:left="2080" w:hanging="664"/>
        <w:spacing w:after="0"/>
        <w:tabs>
          <w:tab w:leader="none" w:pos="20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w:t>
      </w:r>
    </w:p>
    <w:p>
      <w:pPr>
        <w:spacing w:after="0" w:line="186" w:lineRule="exact"/>
        <w:rPr>
          <w:rFonts w:ascii="Courier New" w:cs="Courier New" w:eastAsia="Courier New" w:hAnsi="Courier New"/>
          <w:sz w:val="16"/>
          <w:szCs w:val="16"/>
          <w:color w:val="auto"/>
        </w:rPr>
      </w:pPr>
    </w:p>
    <w:p>
      <w:pPr>
        <w:ind w:left="2080" w:right="25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 schedule listed in the accompanying index to financial statements and financial statement schedules is filed as part of this Annual Report on Form 10-K.</w:t>
      </w:r>
    </w:p>
    <w:p>
      <w:pPr>
        <w:spacing w:after="0" w:line="183" w:lineRule="exact"/>
        <w:rPr>
          <w:rFonts w:ascii="Courier New" w:cs="Courier New" w:eastAsia="Courier New" w:hAnsi="Courier New"/>
          <w:sz w:val="16"/>
          <w:szCs w:val="16"/>
          <w:color w:val="auto"/>
        </w:rPr>
      </w:pPr>
    </w:p>
    <w:p>
      <w:pPr>
        <w:ind w:left="2080" w:hanging="664"/>
        <w:spacing w:after="0"/>
        <w:tabs>
          <w:tab w:leader="none" w:pos="20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6" w:lineRule="exact"/>
        <w:rPr>
          <w:rFonts w:ascii="Courier New" w:cs="Courier New" w:eastAsia="Courier New" w:hAnsi="Courier New"/>
          <w:sz w:val="16"/>
          <w:szCs w:val="16"/>
          <w:color w:val="auto"/>
        </w:rPr>
      </w:pPr>
    </w:p>
    <w:p>
      <w:pPr>
        <w:ind w:left="2080" w:right="26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exhibits listed in the accompanying index to exhibits are filed or incorporated herein by reference as part of this Annual Report on Form 10-K.</w:t>
      </w:r>
    </w:p>
    <w:p>
      <w:pPr>
        <w:spacing w:after="0" w:line="184" w:lineRule="exact"/>
        <w:rPr>
          <w:rFonts w:ascii="Courier New" w:cs="Courier New" w:eastAsia="Courier New" w:hAnsi="Courier New"/>
          <w:sz w:val="16"/>
          <w:szCs w:val="16"/>
          <w:color w:val="auto"/>
        </w:rPr>
      </w:pPr>
    </w:p>
    <w:p>
      <w:pPr>
        <w:ind w:left="2080" w:hanging="1326"/>
        <w:spacing w:after="0"/>
        <w:tabs>
          <w:tab w:leader="none" w:pos="2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ind w:left="2080" w:right="257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quarter ended December 31, 1999.</w:t>
      </w: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COHU, INC.</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INDEX TO FINANCIAL STATEMENTS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AND FINANCIAL STATEMENT SCHEDULES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ind w:left="3220"/>
              <w:spacing w:after="0"/>
              <w:rPr>
                <w:sz w:val="20"/>
                <w:szCs w:val="20"/>
                <w:color w:val="auto"/>
              </w:rPr>
            </w:pPr>
            <w:r>
              <w:rPr>
                <w:rFonts w:ascii="Courier New" w:cs="Courier New" w:eastAsia="Courier New" w:hAnsi="Courier New"/>
                <w:sz w:val="16"/>
                <w:szCs w:val="16"/>
                <w:color w:val="auto"/>
              </w:rPr>
              <w:t>(Item 14(a))</w:t>
            </w:r>
          </w:p>
        </w:tc>
        <w:tc>
          <w:tcPr>
            <w:tcW w:w="2500" w:type="dxa"/>
            <w:vAlign w:val="bottom"/>
          </w:tcPr>
          <w:p>
            <w:pPr>
              <w:spacing w:after="0"/>
              <w:rPr>
                <w:sz w:val="15"/>
                <w:szCs w:val="15"/>
                <w:color w:val="auto"/>
              </w:rPr>
            </w:pPr>
          </w:p>
        </w:tc>
      </w:tr>
      <w:tr>
        <w:trPr>
          <w:trHeight w:val="728"/>
        </w:trPr>
        <w:tc>
          <w:tcPr>
            <w:tcW w:w="5160" w:type="dxa"/>
            <w:vAlign w:val="bottom"/>
          </w:tcPr>
          <w:p>
            <w:pPr>
              <w:spacing w:after="0"/>
              <w:rPr>
                <w:sz w:val="24"/>
                <w:szCs w:val="24"/>
                <w:color w:val="auto"/>
              </w:rPr>
            </w:pPr>
          </w:p>
        </w:tc>
        <w:tc>
          <w:tcPr>
            <w:tcW w:w="2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Pages incorporated</w:t>
            </w:r>
          </w:p>
        </w:tc>
      </w:tr>
      <w:tr>
        <w:trPr>
          <w:trHeight w:val="182"/>
        </w:trPr>
        <w:tc>
          <w:tcPr>
            <w:tcW w:w="5160" w:type="dxa"/>
            <w:vAlign w:val="bottom"/>
          </w:tcPr>
          <w:p>
            <w:pPr>
              <w:spacing w:after="0"/>
              <w:rPr>
                <w:sz w:val="15"/>
                <w:szCs w:val="15"/>
                <w:color w:val="auto"/>
              </w:rPr>
            </w:pPr>
          </w:p>
        </w:tc>
        <w:tc>
          <w:tcPr>
            <w:tcW w:w="2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from Annual Report</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(a) 1. Financial Statements</w:t>
            </w:r>
          </w:p>
        </w:tc>
        <w:tc>
          <w:tcPr>
            <w:tcW w:w="25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to Stockholders</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00" w:type="dxa"/>
            <w:vAlign w:val="bottom"/>
          </w:tcPr>
          <w:p>
            <w:pPr>
              <w:ind w:left="108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Consolidated balance sheets at</w:t>
            </w:r>
          </w:p>
        </w:tc>
        <w:tc>
          <w:tcPr>
            <w:tcW w:w="2500" w:type="dxa"/>
            <w:vAlign w:val="bottom"/>
          </w:tcPr>
          <w:p>
            <w:pPr>
              <w:spacing w:after="0"/>
              <w:rPr>
                <w:sz w:val="24"/>
                <w:szCs w:val="24"/>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December 31, 1999 and 1998</w:t>
            </w:r>
          </w:p>
        </w:tc>
        <w:tc>
          <w:tcPr>
            <w:tcW w:w="2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6</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Consolidated statements of income for</w:t>
            </w:r>
          </w:p>
        </w:tc>
        <w:tc>
          <w:tcPr>
            <w:tcW w:w="2500" w:type="dxa"/>
            <w:vAlign w:val="bottom"/>
          </w:tcPr>
          <w:p>
            <w:pPr>
              <w:spacing w:after="0"/>
              <w:rPr>
                <w:sz w:val="24"/>
                <w:szCs w:val="24"/>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each of the three years in the</w:t>
            </w:r>
          </w:p>
        </w:tc>
        <w:tc>
          <w:tcPr>
            <w:tcW w:w="2500" w:type="dxa"/>
            <w:vAlign w:val="bottom"/>
          </w:tcPr>
          <w:p>
            <w:pPr>
              <w:spacing w:after="0"/>
              <w:rPr>
                <w:sz w:val="15"/>
                <w:szCs w:val="15"/>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period ended December 31, 1999</w:t>
            </w:r>
          </w:p>
        </w:tc>
        <w:tc>
          <w:tcPr>
            <w:tcW w:w="2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7</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w:t>
            </w:r>
          </w:p>
        </w:tc>
        <w:tc>
          <w:tcPr>
            <w:tcW w:w="2500" w:type="dxa"/>
            <w:vAlign w:val="bottom"/>
          </w:tcPr>
          <w:p>
            <w:pPr>
              <w:spacing w:after="0"/>
              <w:rPr>
                <w:sz w:val="24"/>
                <w:szCs w:val="24"/>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for each of the three years in</w:t>
            </w:r>
          </w:p>
        </w:tc>
        <w:tc>
          <w:tcPr>
            <w:tcW w:w="2500" w:type="dxa"/>
            <w:vAlign w:val="bottom"/>
          </w:tcPr>
          <w:p>
            <w:pPr>
              <w:spacing w:after="0"/>
              <w:rPr>
                <w:sz w:val="15"/>
                <w:szCs w:val="15"/>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the period ended December 31, 1999</w:t>
            </w:r>
          </w:p>
        </w:tc>
        <w:tc>
          <w:tcPr>
            <w:tcW w:w="2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8</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Consolidated statements of stockholders'</w:t>
            </w:r>
          </w:p>
        </w:tc>
        <w:tc>
          <w:tcPr>
            <w:tcW w:w="2500" w:type="dxa"/>
            <w:vAlign w:val="bottom"/>
          </w:tcPr>
          <w:p>
            <w:pPr>
              <w:spacing w:after="0"/>
              <w:rPr>
                <w:sz w:val="24"/>
                <w:szCs w:val="24"/>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equity for each of the three years</w:t>
            </w:r>
          </w:p>
        </w:tc>
        <w:tc>
          <w:tcPr>
            <w:tcW w:w="2500" w:type="dxa"/>
            <w:vAlign w:val="bottom"/>
          </w:tcPr>
          <w:p>
            <w:pPr>
              <w:spacing w:after="0"/>
              <w:rPr>
                <w:sz w:val="15"/>
                <w:szCs w:val="15"/>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in the period ended December 31, 1999</w:t>
            </w:r>
          </w:p>
        </w:tc>
        <w:tc>
          <w:tcPr>
            <w:tcW w:w="2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8</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Notes to consolidated financial</w:t>
            </w:r>
          </w:p>
        </w:tc>
        <w:tc>
          <w:tcPr>
            <w:tcW w:w="2500" w:type="dxa"/>
            <w:vAlign w:val="bottom"/>
          </w:tcPr>
          <w:p>
            <w:pPr>
              <w:spacing w:after="0"/>
              <w:rPr>
                <w:sz w:val="24"/>
                <w:szCs w:val="24"/>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statements</w:t>
            </w:r>
          </w:p>
        </w:tc>
        <w:tc>
          <w:tcPr>
            <w:tcW w:w="2500" w:type="dxa"/>
            <w:vAlign w:val="bottom"/>
          </w:tcPr>
          <w:p>
            <w:pPr>
              <w:ind w:left="1080"/>
              <w:spacing w:after="0"/>
              <w:rPr>
                <w:sz w:val="20"/>
                <w:szCs w:val="20"/>
                <w:color w:val="auto"/>
              </w:rPr>
            </w:pPr>
            <w:r>
              <w:rPr>
                <w:rFonts w:ascii="Courier New" w:cs="Courier New" w:eastAsia="Courier New" w:hAnsi="Courier New"/>
                <w:sz w:val="16"/>
                <w:szCs w:val="16"/>
                <w:color w:val="auto"/>
              </w:rPr>
              <w:t>9-12</w:t>
            </w:r>
          </w:p>
        </w:tc>
      </w:tr>
      <w:tr>
        <w:trPr>
          <w:trHeight w:val="546"/>
        </w:trPr>
        <w:tc>
          <w:tcPr>
            <w:tcW w:w="5160" w:type="dxa"/>
            <w:vAlign w:val="bottom"/>
          </w:tcPr>
          <w:p>
            <w:pPr>
              <w:spacing w:after="0"/>
              <w:rPr>
                <w:sz w:val="20"/>
                <w:szCs w:val="20"/>
                <w:color w:val="auto"/>
              </w:rPr>
            </w:pPr>
            <w:r>
              <w:rPr>
                <w:rFonts w:ascii="Courier New" w:cs="Courier New" w:eastAsia="Courier New" w:hAnsi="Courier New"/>
                <w:sz w:val="16"/>
                <w:szCs w:val="16"/>
                <w:color w:val="auto"/>
              </w:rPr>
              <w:t>(a) 2. Financial Statement Schedule</w:t>
            </w:r>
          </w:p>
        </w:tc>
        <w:tc>
          <w:tcPr>
            <w:tcW w:w="2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10-K Page</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Schedule II - Valuation and Qualifying Accounts</w:t>
            </w:r>
          </w:p>
        </w:tc>
        <w:tc>
          <w:tcPr>
            <w:tcW w:w="2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18</w:t>
            </w:r>
          </w:p>
        </w:tc>
      </w:tr>
    </w:tbl>
    <w:p>
      <w:pPr>
        <w:spacing w:after="0" w:line="200" w:lineRule="exact"/>
        <w:rPr>
          <w:sz w:val="20"/>
          <w:szCs w:val="20"/>
          <w:color w:val="auto"/>
        </w:rPr>
      </w:pPr>
    </w:p>
    <w:p>
      <w:pPr>
        <w:spacing w:after="0" w:line="350" w:lineRule="exact"/>
        <w:rPr>
          <w:sz w:val="20"/>
          <w:szCs w:val="20"/>
          <w:color w:val="auto"/>
        </w:rPr>
      </w:pPr>
    </w:p>
    <w:p>
      <w:pPr>
        <w:ind w:right="2679"/>
        <w:spacing w:after="0" w:line="238" w:lineRule="auto"/>
        <w:rPr>
          <w:sz w:val="20"/>
          <w:szCs w:val="20"/>
          <w:color w:val="auto"/>
        </w:rPr>
      </w:pPr>
      <w:r>
        <w:rPr>
          <w:rFonts w:ascii="Courier New" w:cs="Courier New" w:eastAsia="Courier New" w:hAnsi="Courier New"/>
          <w:sz w:val="16"/>
          <w:szCs w:val="16"/>
          <w:color w:val="auto"/>
        </w:rPr>
        <w:t>All other schedules are omitted because they are not required, are not applicable, or because the information required is included in the consolidated financial statements and the notes thereto.</w:t>
      </w:r>
    </w:p>
    <w:p>
      <w:pPr>
        <w:spacing w:after="0" w:line="188"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The consolidated financial statements listed in the above index which are included in the Annual Report to Stockholders of Cohu, Inc. for the year ended December 31, 1999 are incorporated herein by reference. With the exception of the pages listed in the above index and the Items referred to in Items 1, 5, 6, 7, 7A and 8, the 1999 Annual Report to Stockholders is not to be deemed filed as part of this report.</w:t>
      </w: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295"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6620" w:type="dxa"/>
            <w:vAlign w:val="bottom"/>
          </w:tcPr>
          <w:p>
            <w:pPr>
              <w:ind w:left="2360"/>
              <w:spacing w:after="0"/>
              <w:rPr>
                <w:sz w:val="20"/>
                <w:szCs w:val="20"/>
                <w:color w:val="auto"/>
              </w:rPr>
            </w:pPr>
            <w:r>
              <w:rPr>
                <w:rFonts w:ascii="Courier New" w:cs="Courier New" w:eastAsia="Courier New" w:hAnsi="Courier New"/>
                <w:sz w:val="16"/>
                <w:szCs w:val="16"/>
                <w:color w:val="auto"/>
              </w:rPr>
              <w:t>COHU, INC.</w:t>
            </w:r>
          </w:p>
        </w:tc>
      </w:tr>
      <w:tr>
        <w:trPr>
          <w:trHeight w:val="182"/>
        </w:trPr>
        <w:tc>
          <w:tcPr>
            <w:tcW w:w="940" w:type="dxa"/>
            <w:vAlign w:val="bottom"/>
          </w:tcPr>
          <w:p>
            <w:pPr>
              <w:spacing w:after="0"/>
              <w:rPr>
                <w:sz w:val="15"/>
                <w:szCs w:val="15"/>
                <w:color w:val="auto"/>
              </w:rPr>
            </w:pPr>
          </w:p>
        </w:tc>
        <w:tc>
          <w:tcPr>
            <w:tcW w:w="6620" w:type="dxa"/>
            <w:vAlign w:val="bottom"/>
          </w:tcPr>
          <w:p>
            <w:pPr>
              <w:ind w:left="2080"/>
              <w:spacing w:after="0"/>
              <w:rPr>
                <w:sz w:val="20"/>
                <w:szCs w:val="20"/>
                <w:color w:val="auto"/>
              </w:rPr>
            </w:pPr>
            <w:r>
              <w:rPr>
                <w:rFonts w:ascii="Courier New" w:cs="Courier New" w:eastAsia="Courier New" w:hAnsi="Courier New"/>
                <w:sz w:val="16"/>
                <w:szCs w:val="16"/>
                <w:color w:val="auto"/>
              </w:rPr>
              <w:t>INDEX TO EXHIBITS</w:t>
            </w:r>
          </w:p>
        </w:tc>
      </w:tr>
      <w:tr>
        <w:trPr>
          <w:trHeight w:val="182"/>
        </w:trPr>
        <w:tc>
          <w:tcPr>
            <w:tcW w:w="940" w:type="dxa"/>
            <w:vAlign w:val="bottom"/>
          </w:tcPr>
          <w:p>
            <w:pPr>
              <w:spacing w:after="0"/>
              <w:rPr>
                <w:sz w:val="15"/>
                <w:szCs w:val="15"/>
                <w:color w:val="auto"/>
              </w:rPr>
            </w:pPr>
          </w:p>
        </w:tc>
        <w:tc>
          <w:tcPr>
            <w:tcW w:w="6620" w:type="dxa"/>
            <w:vAlign w:val="bottom"/>
          </w:tcPr>
          <w:p>
            <w:pPr>
              <w:ind w:left="2180"/>
              <w:spacing w:after="0"/>
              <w:rPr>
                <w:sz w:val="20"/>
                <w:szCs w:val="20"/>
                <w:color w:val="auto"/>
              </w:rPr>
            </w:pPr>
            <w:r>
              <w:rPr>
                <w:rFonts w:ascii="Courier New" w:cs="Courier New" w:eastAsia="Courier New" w:hAnsi="Courier New"/>
                <w:sz w:val="16"/>
                <w:szCs w:val="16"/>
                <w:color w:val="auto"/>
              </w:rPr>
              <w:t>(Item 14(a) 3)</w:t>
            </w:r>
          </w:p>
        </w:tc>
      </w:tr>
      <w:tr>
        <w:trPr>
          <w:trHeight w:val="728"/>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620" w:type="dxa"/>
            <w:vAlign w:val="bottom"/>
          </w:tcPr>
          <w:p>
            <w:pPr>
              <w:ind w:left="1620"/>
              <w:spacing w:after="0"/>
              <w:rPr>
                <w:sz w:val="20"/>
                <w:szCs w:val="20"/>
                <w:color w:val="auto"/>
              </w:rPr>
            </w:pPr>
            <w:r>
              <w:rPr>
                <w:rFonts w:ascii="Courier New" w:cs="Courier New" w:eastAsia="Courier New" w:hAnsi="Courier New"/>
                <w:sz w:val="16"/>
                <w:szCs w:val="16"/>
                <w:color w:val="auto"/>
              </w:rPr>
              <w:t>DESCRIPTION</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620" w:type="dxa"/>
            <w:vAlign w:val="bottom"/>
          </w:tcPr>
          <w:p>
            <w:pPr>
              <w:ind w:left="1800"/>
              <w:spacing w:after="0"/>
              <w:rPr>
                <w:sz w:val="20"/>
                <w:szCs w:val="20"/>
                <w:color w:val="auto"/>
              </w:rPr>
            </w:pPr>
            <w:r>
              <w:rPr>
                <w:rFonts w:ascii="Courier New" w:cs="Courier New" w:eastAsia="Courier New" w:hAnsi="Courier New"/>
                <w:sz w:val="16"/>
                <w:szCs w:val="16"/>
                <w:color w:val="auto"/>
              </w:rPr>
              <w:t>-----------</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Amended and Restated Certificate of Incorporation of Cohu, Inc.,</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incorporated herein by reference from the Cohu Form 10-Q for the</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quarter ended June 30, 1999, Exhibit 3.1(a)</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Amended and Restated Bylaws, of Cohu, Inc. incorporated herein by</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reference from the Cohu Form 8-K, filed December 12, 1996, Exhibit</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3.2</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Rights Agreement dated November 15, 1996, between Cohu, Inc. and</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ChaseMellon Shareholder Services, L.L.C, as Rights Agent,</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incorporated herein by reference from the Cohu Form 8-K, filed</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December 12, 1996, Exhibit 4.1</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Description of Cohu, Inc. Executive Incentive Bonus Plan,</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incorporated herein by reference from the Cohu 1990 Form 10-K,</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Exhibit 10.3*</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Termination Agreement between Cohu, Inc. and Charles A. Schwan,</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incorporated herein by reference from the Cohu 1990 Form 10-K,</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Exhibit 10.5*</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The Cohu, Inc. 1992 Stock Option Plan, incorporated herein by</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reference from the Cohu Proxy Statement for its 1992 Annual Meeting</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of Stockholders*</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The Cohu, Inc. 1994 Stock Option Plan, incorporated herein by</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reference from the Cohu Proxy Statement for its 1995 Annual Meeting</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of Stockholders*</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The Cohu, Inc. 1996 Stock Option Plan, incorporated herein by</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reference from the Cohu Proxy Statement for its 1996 Annual Meeting</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of Stockholders*</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Business Loan Agreement between Bank of America National Trust and</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w w:val="99"/>
              </w:rPr>
              <w:t>Savings Association and Cohu, Inc. dated June 15, 1998, incorporated</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herein by reference from the Cohu Form 10-Q for the quarter ended</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June 30, 1998, Exhibit 10.1</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10.6.1</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w w:val="98"/>
              </w:rPr>
              <w:t>Amendment No. 1 to Business Loan Agreement dated May 19, 1999 between</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Cohu, Inc. and Bank of America National Trust and Savings</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w w:val="98"/>
              </w:rPr>
              <w:t>Association, incorporated herein by reference from the Cohu Form 10-Q</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for the quarter ended June 30, 1999, Exhibit 10.1</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Termination Agreement between Cohu, Inc. and John H. Allen,</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incorporated herein by reference from the Cohu 1996 Form 10-K,</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Exhibit 10.11*</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10.8</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w w:val="98"/>
              </w:rPr>
              <w:t>The Cohu, Inc. 1996 Outside Directors Stock Option Plan, incorporated</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herein by reference from the Cohu 1996 Form 10-K, Exhibit 10.12*</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w w:val="98"/>
              </w:rPr>
              <w:t>The Cohu, Inc. 1997 Employee Stock Purchase Plan, incorporated herein</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by reference from the Cohu 1996 Form 10-K, Exhibit 10.13*</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The Cohu, Inc. Key Executive Long Term Incentive Plan incorporated</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herein by reference from the Cohu 1997 Form 10-K, Exhibit 10.13*</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The Cohu, Inc. 1998 Stock Option Plan incorporated herein by</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reference from the Cohu 1997 Form 10-K, Exhibit 10.14*</w:t>
            </w: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Termination Agreement between Cohu, Inc. and James A. Donahue</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incorporated herein by reference from the Cohu Form 10-Q for the</w:t>
            </w:r>
          </w:p>
        </w:tc>
      </w:tr>
      <w:tr>
        <w:trPr>
          <w:trHeight w:val="182"/>
        </w:trPr>
        <w:tc>
          <w:tcPr>
            <w:tcW w:w="940" w:type="dxa"/>
            <w:vAlign w:val="bottom"/>
          </w:tcPr>
          <w:p>
            <w:pPr>
              <w:spacing w:after="0"/>
              <w:rPr>
                <w:sz w:val="15"/>
                <w:szCs w:val="15"/>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6"/>
                <w:szCs w:val="16"/>
                <w:color w:val="auto"/>
              </w:rPr>
              <w:t>quarter ended June 30, 1998, Exhibit 10.2*</w:t>
            </w:r>
          </w:p>
        </w:tc>
      </w:tr>
    </w:tbl>
    <w:p>
      <w:pPr>
        <w:spacing w:after="0" w:line="200" w:lineRule="exact"/>
        <w:rPr>
          <w:sz w:val="20"/>
          <w:szCs w:val="20"/>
          <w:color w:val="auto"/>
        </w:rPr>
      </w:pP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295" w:right="1440" w:bottom="1440" w:gutter="0" w:footer="0" w:header="0"/>
          <w:type w:val="continuous"/>
        </w:sectPr>
      </w:pPr>
    </w:p>
    <w:bookmarkStart w:id="15" w:name="page16"/>
    <w:bookmarkEnd w:id="15"/>
    <w:p>
      <w:pPr>
        <w:ind w:left="283"/>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COHU, INC.</w:t>
      </w:r>
    </w:p>
    <w:p>
      <w:pPr>
        <w:spacing w:after="0" w:line="1"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INDEX TO EXHIBITS</w:t>
      </w:r>
    </w:p>
    <w:p>
      <w:pPr>
        <w:spacing w:after="0" w:line="1"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(Item 14(a) 3)</w:t>
      </w:r>
    </w:p>
    <w:p>
      <w:pPr>
        <w:spacing w:after="0" w:line="200" w:lineRule="exact"/>
        <w:rPr>
          <w:sz w:val="20"/>
          <w:szCs w:val="20"/>
          <w:color w:val="auto"/>
        </w:rPr>
      </w:pPr>
    </w:p>
    <w:p>
      <w:pPr>
        <w:spacing w:after="0" w:line="346" w:lineRule="exact"/>
        <w:rPr>
          <w:sz w:val="20"/>
          <w:szCs w:val="20"/>
          <w:color w:val="auto"/>
        </w:rPr>
      </w:pPr>
    </w:p>
    <w:p>
      <w:pPr>
        <w:ind w:left="3"/>
        <w:spacing w:after="0"/>
        <w:tabs>
          <w:tab w:leader="none" w:pos="2543"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3"/>
        <w:spacing w:after="0"/>
        <w:tabs>
          <w:tab w:leader="none" w:pos="27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1043" w:right="2759" w:hanging="1040"/>
        <w:spacing w:after="0" w:line="239" w:lineRule="auto"/>
        <w:tabs>
          <w:tab w:leader="none" w:pos="1023"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Lease Assignment Agreement dated June 25, 1999 by and between Cohu, Inc., Cubic Defense Systems, Inc. and Thomas G. Plein and Diane L. Plein incorporated herein by reference from the Cohu Form 10-Q for the quarter ended June 30, 1999, Exhibit 10.2.</w:t>
      </w:r>
    </w:p>
    <w:p>
      <w:pPr>
        <w:spacing w:after="0" w:line="188" w:lineRule="exact"/>
        <w:rPr>
          <w:sz w:val="20"/>
          <w:szCs w:val="20"/>
          <w:color w:val="auto"/>
        </w:rPr>
      </w:pPr>
    </w:p>
    <w:p>
      <w:pPr>
        <w:ind w:left="1043" w:right="2959" w:hanging="1043"/>
        <w:spacing w:after="0" w:line="237" w:lineRule="auto"/>
        <w:tabs>
          <w:tab w:leader="none" w:pos="10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Annual Report to Stockholders (Provided for information only except as specifically incorporated by reference)</w:t>
      </w:r>
    </w:p>
    <w:p>
      <w:pPr>
        <w:spacing w:after="0" w:line="184" w:lineRule="exact"/>
        <w:rPr>
          <w:sz w:val="20"/>
          <w:szCs w:val="20"/>
          <w:color w:val="auto"/>
        </w:rPr>
      </w:pPr>
    </w:p>
    <w:p>
      <w:pPr>
        <w:ind w:left="3"/>
        <w:spacing w:after="0"/>
        <w:tabs>
          <w:tab w:leader="none" w:pos="102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Cohu, Inc. has the following wholly owned subsidiaries:</w:t>
      </w:r>
    </w:p>
    <w:p>
      <w:pPr>
        <w:spacing w:after="0" w:line="183"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Delta Design, Inc., a Delaware corporation</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Fisher Research Laboratory, Inc., a Delaware corporation</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Broadcast Microwave Services, Inc., a Delaware corporation</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Delta Design (Littleton), Inc., a Delaware corporation</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Cohu Foreign Sales Ltd., a Barbados corporation</w:t>
      </w:r>
    </w:p>
    <w:p>
      <w:pPr>
        <w:spacing w:after="0" w:line="183" w:lineRule="exact"/>
        <w:rPr>
          <w:sz w:val="20"/>
          <w:szCs w:val="20"/>
          <w:color w:val="auto"/>
        </w:rPr>
      </w:pPr>
    </w:p>
    <w:p>
      <w:pPr>
        <w:ind w:left="1043" w:hanging="1043"/>
        <w:spacing w:after="0"/>
        <w:tabs>
          <w:tab w:leader="none" w:pos="10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Ernst &amp; Young LLP, Independent Auditors</w:t>
      </w:r>
    </w:p>
    <w:p>
      <w:pPr>
        <w:spacing w:after="0" w:line="182" w:lineRule="exact"/>
        <w:rPr>
          <w:rFonts w:ascii="Courier New" w:cs="Courier New" w:eastAsia="Courier New" w:hAnsi="Courier New"/>
          <w:sz w:val="16"/>
          <w:szCs w:val="16"/>
          <w:color w:val="auto"/>
        </w:rPr>
      </w:pPr>
    </w:p>
    <w:p>
      <w:pPr>
        <w:ind w:left="1043" w:hanging="1043"/>
        <w:spacing w:after="0"/>
        <w:tabs>
          <w:tab w:leader="none" w:pos="10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200" w:lineRule="exact"/>
        <w:rPr>
          <w:sz w:val="20"/>
          <w:szCs w:val="20"/>
          <w:color w:val="auto"/>
        </w:rPr>
      </w:pPr>
    </w:p>
    <w:p>
      <w:pPr>
        <w:spacing w:after="0" w:line="346" w:lineRule="exact"/>
        <w:rPr>
          <w:sz w:val="20"/>
          <w:szCs w:val="20"/>
          <w:color w:val="auto"/>
        </w:rPr>
      </w:pPr>
    </w:p>
    <w:p>
      <w:pPr>
        <w:ind w:left="763" w:hanging="763"/>
        <w:spacing w:after="0"/>
        <w:tabs>
          <w:tab w:leader="none" w:pos="7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28" w:lineRule="exact"/>
        <w:rPr>
          <w:rFonts w:ascii="Courier New" w:cs="Courier New" w:eastAsia="Courier New" w:hAnsi="Courier New"/>
          <w:sz w:val="16"/>
          <w:szCs w:val="16"/>
          <w:color w:val="auto"/>
        </w:rPr>
      </w:pPr>
    </w:p>
    <w:p>
      <w:pPr>
        <w:ind w:left="36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w:t>
      </w:r>
    </w:p>
    <w:p>
      <w:pPr>
        <w:sectPr>
          <w:pgSz w:w="11900" w:h="16838" w:orient="portrait"/>
          <w:cols w:equalWidth="0" w:num="1">
            <w:col w:w="10142"/>
          </w:cols>
          <w:pgMar w:left="317" w:top="295" w:right="1440" w:bottom="1440" w:gutter="0" w:footer="0" w:header="0"/>
        </w:sectPr>
      </w:pPr>
    </w:p>
    <w:bookmarkStart w:id="16" w:name="page17"/>
    <w:bookmarkEnd w:id="16"/>
    <w:p>
      <w:pPr>
        <w:ind w:left="283"/>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jc w:val="center"/>
        <w:ind w:right="3117"/>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left="3" w:right="3120" w:firstLine="189"/>
        <w:spacing w:after="0" w:line="238"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COHU, INC.</w:t>
      </w:r>
    </w:p>
    <w:p>
      <w:pPr>
        <w:sectPr>
          <w:pgSz w:w="11900" w:h="16838" w:orient="portrait"/>
          <w:cols w:equalWidth="0" w:num="1">
            <w:col w:w="10683"/>
          </w:cols>
          <w:pgMar w:left="317" w:top="295" w:right="89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100"/>
        <w:spacing w:after="0"/>
        <w:tabs>
          <w:tab w:leader="none" w:pos="640" w:val="left"/>
        </w:tabs>
        <w:rPr>
          <w:sz w:val="20"/>
          <w:szCs w:val="20"/>
          <w:color w:val="auto"/>
        </w:rPr>
      </w:pPr>
      <w:r>
        <w:rPr>
          <w:rFonts w:ascii="Courier New" w:cs="Courier New" w:eastAsia="Courier New" w:hAnsi="Courier New"/>
          <w:sz w:val="16"/>
          <w:szCs w:val="16"/>
          <w:color w:val="auto"/>
        </w:rPr>
        <w:t>/s/</w:t>
        <w:tab/>
        <w:t>Charles A. Schwan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A. Schwan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&amp; Chief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w:t>
      </w:r>
    </w:p>
    <w:p>
      <w:pPr>
        <w:spacing w:after="0" w:line="186" w:lineRule="exact"/>
        <w:rPr>
          <w:sz w:val="20"/>
          <w:szCs w:val="20"/>
          <w:color w:val="auto"/>
        </w:rPr>
      </w:pPr>
    </w:p>
    <w:p>
      <w:pPr>
        <w:sectPr>
          <w:pgSz w:w="11900" w:h="16838" w:orient="portrait"/>
          <w:cols w:equalWidth="0" w:num="4">
            <w:col w:w="483" w:space="180"/>
            <w:col w:w="2400" w:space="720"/>
            <w:col w:w="180" w:space="200"/>
            <w:col w:w="6520"/>
          </w:cols>
          <w:pgMar w:left="317" w:top="295" w:right="899" w:bottom="1440" w:gutter="0" w:footer="0" w:header="0"/>
          <w:type w:val="continuous"/>
        </w:sectPr>
      </w:pPr>
    </w:p>
    <w:p>
      <w:pPr>
        <w:ind w:left="3" w:right="3580" w:firstLine="18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683"/>
          </w:cols>
          <w:pgMar w:left="317" w:top="295"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483"/>
        <w:spacing w:after="0"/>
        <w:tabs>
          <w:tab w:leader="none" w:pos="923" w:val="left"/>
        </w:tabs>
        <w:rPr>
          <w:sz w:val="20"/>
          <w:szCs w:val="20"/>
          <w:color w:val="auto"/>
        </w:rPr>
      </w:pPr>
      <w:r>
        <w:rPr>
          <w:rFonts w:ascii="Courier New" w:cs="Courier New" w:eastAsia="Courier New" w:hAnsi="Courier New"/>
          <w:sz w:val="16"/>
          <w:szCs w:val="16"/>
          <w:color w:val="auto"/>
        </w:rPr>
        <w:t>/s/</w:t>
        <w:tab/>
        <w:t>Charles A. Schwan</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&amp; Chief Executive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Director (Principal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DATE</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 2000</w:t>
      </w:r>
    </w:p>
    <w:p>
      <w:pPr>
        <w:spacing w:after="0" w:line="194" w:lineRule="exact"/>
        <w:rPr>
          <w:sz w:val="20"/>
          <w:szCs w:val="20"/>
          <w:color w:val="auto"/>
        </w:rPr>
      </w:pPr>
    </w:p>
    <w:p>
      <w:pPr>
        <w:sectPr>
          <w:pgSz w:w="11900" w:h="16838" w:orient="portrait"/>
          <w:cols w:equalWidth="0" w:num="3">
            <w:col w:w="3223" w:space="560"/>
            <w:col w:w="4960" w:space="720"/>
            <w:col w:w="1220"/>
          </w:cols>
          <w:pgMar w:left="317" w:top="295" w:right="899"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Charles A. Schwan</w:t>
      </w:r>
    </w:p>
    <w:p>
      <w:pPr>
        <w:sectPr>
          <w:pgSz w:w="11900" w:h="16838" w:orient="portrait"/>
          <w:cols w:equalWidth="0" w:num="1">
            <w:col w:w="10683"/>
          </w:cols>
          <w:pgMar w:left="317" w:top="295" w:right="899" w:bottom="1440" w:gutter="0" w:footer="0" w:header="0"/>
          <w:type w:val="continuous"/>
        </w:sectPr>
      </w:pPr>
    </w:p>
    <w:p>
      <w:pPr>
        <w:spacing w:after="0" w:line="372" w:lineRule="exact"/>
        <w:rPr>
          <w:sz w:val="20"/>
          <w:szCs w:val="20"/>
          <w:color w:val="auto"/>
        </w:rPr>
      </w:pPr>
    </w:p>
    <w:p>
      <w:pPr>
        <w:ind w:left="483"/>
        <w:spacing w:after="0"/>
        <w:tabs>
          <w:tab w:leader="none" w:pos="923" w:val="left"/>
        </w:tabs>
        <w:rPr>
          <w:sz w:val="20"/>
          <w:szCs w:val="20"/>
          <w:color w:val="auto"/>
        </w:rPr>
      </w:pPr>
      <w:r>
        <w:rPr>
          <w:rFonts w:ascii="Courier New" w:cs="Courier New" w:eastAsia="Courier New" w:hAnsi="Courier New"/>
          <w:sz w:val="16"/>
          <w:szCs w:val="16"/>
          <w:color w:val="auto"/>
        </w:rPr>
        <w:t>/s/</w:t>
        <w:tab/>
        <w:t>James A. Donahue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Operating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 2000</w:t>
      </w:r>
    </w:p>
    <w:p>
      <w:pPr>
        <w:spacing w:after="0" w:line="194" w:lineRule="exact"/>
        <w:rPr>
          <w:sz w:val="20"/>
          <w:szCs w:val="20"/>
          <w:color w:val="auto"/>
        </w:rPr>
      </w:pPr>
    </w:p>
    <w:p>
      <w:pPr>
        <w:sectPr>
          <w:pgSz w:w="11900" w:h="16838" w:orient="portrait"/>
          <w:cols w:equalWidth="0" w:num="3">
            <w:col w:w="3123" w:space="660"/>
            <w:col w:w="4960" w:space="720"/>
            <w:col w:w="1220"/>
          </w:cols>
          <w:pgMar w:left="317" w:top="295" w:right="899"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James A. Donahue</w:t>
      </w:r>
    </w:p>
    <w:p>
      <w:pPr>
        <w:sectPr>
          <w:pgSz w:w="11900" w:h="16838" w:orient="portrait"/>
          <w:cols w:equalWidth="0" w:num="1">
            <w:col w:w="10683"/>
          </w:cols>
          <w:pgMar w:left="317" w:top="295" w:right="899" w:bottom="1440" w:gutter="0" w:footer="0" w:header="0"/>
          <w:type w:val="continuous"/>
        </w:sectPr>
      </w:pPr>
    </w:p>
    <w:p>
      <w:pPr>
        <w:spacing w:after="0" w:line="372" w:lineRule="exact"/>
        <w:rPr>
          <w:sz w:val="20"/>
          <w:szCs w:val="20"/>
          <w:color w:val="auto"/>
        </w:rPr>
      </w:pPr>
    </w:p>
    <w:p>
      <w:pPr>
        <w:ind w:left="483"/>
        <w:spacing w:after="0"/>
        <w:tabs>
          <w:tab w:leader="none" w:pos="923" w:val="left"/>
        </w:tabs>
        <w:rPr>
          <w:sz w:val="20"/>
          <w:szCs w:val="20"/>
          <w:color w:val="auto"/>
        </w:rPr>
      </w:pPr>
      <w:r>
        <w:rPr>
          <w:rFonts w:ascii="Courier New" w:cs="Courier New" w:eastAsia="Courier New" w:hAnsi="Courier New"/>
          <w:sz w:val="16"/>
          <w:szCs w:val="16"/>
          <w:color w:val="auto"/>
        </w:rPr>
        <w:t>/s/</w:t>
        <w:tab/>
        <w:t>John H. Allen</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John H. Allen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Officer, Secretary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&amp; Accounting Officer)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 2000</w:t>
      </w:r>
    </w:p>
    <w:p>
      <w:pPr>
        <w:spacing w:after="0" w:line="557" w:lineRule="exact"/>
        <w:rPr>
          <w:sz w:val="20"/>
          <w:szCs w:val="20"/>
          <w:color w:val="auto"/>
        </w:rPr>
      </w:pPr>
    </w:p>
    <w:p>
      <w:pPr>
        <w:sectPr>
          <w:pgSz w:w="11900" w:h="16838" w:orient="portrait"/>
          <w:cols w:equalWidth="0" w:num="3">
            <w:col w:w="3123" w:space="660"/>
            <w:col w:w="4960" w:space="720"/>
            <w:col w:w="1220"/>
          </w:cols>
          <w:pgMar w:left="317" w:top="295" w:right="899" w:bottom="1440" w:gutter="0" w:footer="0" w:header="0"/>
          <w:type w:val="continuous"/>
        </w:sectPr>
      </w:pPr>
    </w:p>
    <w:p>
      <w:pPr>
        <w:ind w:left="483"/>
        <w:spacing w:after="0"/>
        <w:tabs>
          <w:tab w:leader="none" w:pos="923" w:val="left"/>
        </w:tabs>
        <w:rPr>
          <w:sz w:val="20"/>
          <w:szCs w:val="20"/>
          <w:color w:val="auto"/>
        </w:rPr>
      </w:pPr>
      <w:r>
        <w:rPr>
          <w:rFonts w:ascii="Courier New" w:cs="Courier New" w:eastAsia="Courier New" w:hAnsi="Courier New"/>
          <w:sz w:val="15"/>
          <w:szCs w:val="15"/>
          <w:color w:val="auto"/>
        </w:rPr>
        <w:t>/s/</w:t>
        <w:tab/>
        <w:t>James W.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3, 2000</w:t>
      </w:r>
    </w:p>
    <w:p>
      <w:pPr>
        <w:spacing w:after="0" w:line="8" w:lineRule="exact"/>
        <w:rPr>
          <w:sz w:val="20"/>
          <w:szCs w:val="20"/>
          <w:color w:val="auto"/>
        </w:rPr>
      </w:pPr>
    </w:p>
    <w:p>
      <w:pPr>
        <w:sectPr>
          <w:pgSz w:w="11900" w:h="16838" w:orient="portrait"/>
          <w:cols w:equalWidth="0" w:num="3">
            <w:col w:w="3063" w:space="720"/>
            <w:col w:w="4960" w:space="720"/>
            <w:col w:w="1220"/>
          </w:cols>
          <w:pgMar w:left="317" w:top="295" w:right="899" w:bottom="1440" w:gutter="0" w:footer="0" w:header="0"/>
          <w:type w:val="continuous"/>
        </w:sectPr>
      </w:pPr>
    </w:p>
    <w:p>
      <w:pPr>
        <w:ind w:left="183" w:hanging="183"/>
        <w:spacing w:after="0"/>
        <w:tabs>
          <w:tab w:leader="none" w:pos="18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W. Barnes</w:t>
      </w:r>
    </w:p>
    <w:p>
      <w:pPr>
        <w:spacing w:after="0" w:line="364" w:lineRule="exact"/>
        <w:rPr>
          <w:sz w:val="20"/>
          <w:szCs w:val="20"/>
          <w:color w:val="auto"/>
        </w:rPr>
      </w:pPr>
    </w:p>
    <w:p>
      <w:pPr>
        <w:ind w:left="483"/>
        <w:spacing w:after="0"/>
        <w:tabs>
          <w:tab w:leader="none" w:pos="923" w:val="left"/>
          <w:tab w:leader="none" w:pos="3763" w:val="left"/>
          <w:tab w:leader="none" w:pos="9443" w:val="left"/>
        </w:tabs>
        <w:rPr>
          <w:sz w:val="20"/>
          <w:szCs w:val="20"/>
          <w:color w:val="auto"/>
        </w:rPr>
      </w:pPr>
      <w:r>
        <w:rPr>
          <w:rFonts w:ascii="Courier New" w:cs="Courier New" w:eastAsia="Courier New" w:hAnsi="Courier New"/>
          <w:sz w:val="16"/>
          <w:szCs w:val="16"/>
          <w:color w:val="auto"/>
        </w:rPr>
        <w:t>/s/</w:t>
        <w:tab/>
        <w:t>Harry L. Casari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March 3, 2000</w:t>
      </w:r>
    </w:p>
    <w:p>
      <w:pPr>
        <w:spacing w:after="0" w:line="1" w:lineRule="exact"/>
        <w:rPr>
          <w:sz w:val="20"/>
          <w:szCs w:val="20"/>
          <w:color w:val="auto"/>
        </w:rPr>
      </w:pPr>
    </w:p>
    <w:p>
      <w:pPr>
        <w:ind w:left="183" w:hanging="183"/>
        <w:spacing w:after="0"/>
        <w:tabs>
          <w:tab w:leader="none" w:pos="1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Harry L. Casari</w:t>
      </w:r>
    </w:p>
    <w:p>
      <w:pPr>
        <w:spacing w:after="0" w:line="364" w:lineRule="exact"/>
        <w:rPr>
          <w:sz w:val="20"/>
          <w:szCs w:val="20"/>
          <w:color w:val="auto"/>
        </w:rPr>
      </w:pPr>
    </w:p>
    <w:p>
      <w:pPr>
        <w:ind w:left="483"/>
        <w:spacing w:after="0"/>
        <w:tabs>
          <w:tab w:leader="none" w:pos="923" w:val="left"/>
          <w:tab w:leader="none" w:pos="3763" w:val="left"/>
          <w:tab w:leader="none" w:pos="9443" w:val="left"/>
        </w:tabs>
        <w:rPr>
          <w:sz w:val="20"/>
          <w:szCs w:val="20"/>
          <w:color w:val="auto"/>
        </w:rPr>
      </w:pPr>
      <w:r>
        <w:rPr>
          <w:rFonts w:ascii="Courier New" w:cs="Courier New" w:eastAsia="Courier New" w:hAnsi="Courier New"/>
          <w:sz w:val="16"/>
          <w:szCs w:val="16"/>
          <w:color w:val="auto"/>
        </w:rPr>
        <w:t>/s/</w:t>
        <w:tab/>
        <w:t>Frank W. Davis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March 3, 2000</w:t>
      </w:r>
    </w:p>
    <w:p>
      <w:pPr>
        <w:spacing w:after="0" w:line="1" w:lineRule="exact"/>
        <w:rPr>
          <w:sz w:val="20"/>
          <w:szCs w:val="20"/>
          <w:color w:val="auto"/>
        </w:rPr>
      </w:pPr>
    </w:p>
    <w:p>
      <w:pPr>
        <w:ind w:left="183" w:hanging="183"/>
        <w:spacing w:after="0"/>
        <w:tabs>
          <w:tab w:leader="none" w:pos="18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Frank W. Davis</w:t>
      </w:r>
    </w:p>
    <w:p>
      <w:pPr>
        <w:spacing w:after="0" w:line="364" w:lineRule="exact"/>
        <w:rPr>
          <w:sz w:val="20"/>
          <w:szCs w:val="20"/>
          <w:color w:val="auto"/>
        </w:rPr>
      </w:pPr>
    </w:p>
    <w:p>
      <w:pPr>
        <w:ind w:left="483"/>
        <w:spacing w:after="0"/>
        <w:tabs>
          <w:tab w:leader="none" w:pos="1023" w:val="left"/>
          <w:tab w:leader="none" w:pos="3763" w:val="left"/>
          <w:tab w:leader="none" w:pos="9443" w:val="left"/>
        </w:tabs>
        <w:rPr>
          <w:sz w:val="20"/>
          <w:szCs w:val="20"/>
          <w:color w:val="auto"/>
        </w:rPr>
      </w:pPr>
      <w:r>
        <w:rPr>
          <w:rFonts w:ascii="Courier New" w:cs="Courier New" w:eastAsia="Courier New" w:hAnsi="Courier New"/>
          <w:sz w:val="16"/>
          <w:szCs w:val="16"/>
          <w:color w:val="auto"/>
        </w:rPr>
        <w:t>/s/</w:t>
        <w:tab/>
        <w:t>Harold Harrigian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March 3, 2000</w:t>
      </w:r>
    </w:p>
    <w:p>
      <w:pPr>
        <w:spacing w:after="0" w:line="1" w:lineRule="exact"/>
        <w:rPr>
          <w:sz w:val="20"/>
          <w:szCs w:val="20"/>
          <w:color w:val="auto"/>
        </w:rPr>
      </w:pPr>
    </w:p>
    <w:p>
      <w:pPr>
        <w:ind w:left="183" w:hanging="183"/>
        <w:spacing w:after="0"/>
        <w:tabs>
          <w:tab w:leader="none" w:pos="18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Harold Harrigian</w:t>
      </w:r>
    </w:p>
    <w:p>
      <w:pPr>
        <w:spacing w:after="0" w:line="364" w:lineRule="exact"/>
        <w:rPr>
          <w:sz w:val="20"/>
          <w:szCs w:val="20"/>
          <w:color w:val="auto"/>
        </w:rPr>
      </w:pPr>
    </w:p>
    <w:p>
      <w:pPr>
        <w:ind w:left="483"/>
        <w:spacing w:after="0"/>
        <w:tabs>
          <w:tab w:leader="none" w:pos="923" w:val="left"/>
          <w:tab w:leader="none" w:pos="3763" w:val="left"/>
          <w:tab w:leader="none" w:pos="9443" w:val="left"/>
        </w:tabs>
        <w:rPr>
          <w:sz w:val="20"/>
          <w:szCs w:val="20"/>
          <w:color w:val="auto"/>
        </w:rPr>
      </w:pPr>
      <w:r>
        <w:rPr>
          <w:rFonts w:ascii="Courier New" w:cs="Courier New" w:eastAsia="Courier New" w:hAnsi="Courier New"/>
          <w:sz w:val="16"/>
          <w:szCs w:val="16"/>
          <w:color w:val="auto"/>
        </w:rPr>
        <w:t>/s/</w:t>
        <w:tab/>
        <w:t>Gene E. Leary</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March 3, 2000</w:t>
      </w:r>
    </w:p>
    <w:p>
      <w:pPr>
        <w:spacing w:after="0" w:line="1" w:lineRule="exact"/>
        <w:rPr>
          <w:sz w:val="20"/>
          <w:szCs w:val="20"/>
          <w:color w:val="auto"/>
        </w:rPr>
      </w:pPr>
    </w:p>
    <w:p>
      <w:pPr>
        <w:ind w:left="183" w:hanging="183"/>
        <w:spacing w:after="0"/>
        <w:tabs>
          <w:tab w:leader="none" w:pos="18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 E. Leary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683"/>
          </w:cols>
          <w:pgMar w:left="317" w:top="295" w:right="899"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COHU, INC.</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SCHEDULE II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VALUATION AND</w:t>
            </w:r>
          </w:p>
        </w:tc>
        <w:tc>
          <w:tcPr>
            <w:tcW w:w="246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w w:val="99"/>
              </w:rPr>
              <w:t>QUALIFYING ACCOUNTS</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(in thousands)</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910"/>
        </w:trPr>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Balance at</w:t>
            </w:r>
          </w:p>
        </w:tc>
        <w:tc>
          <w:tcPr>
            <w:tcW w:w="136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Additions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2"/>
          </w:tcPr>
          <w:p>
            <w:pPr>
              <w:jc w:val="center"/>
              <w:ind w:left="141"/>
              <w:spacing w:after="0"/>
              <w:rPr>
                <w:sz w:val="20"/>
                <w:szCs w:val="20"/>
                <w:color w:val="auto"/>
              </w:rPr>
            </w:pPr>
            <w:r>
              <w:rPr>
                <w:rFonts w:ascii="Courier New" w:cs="Courier New" w:eastAsia="Courier New" w:hAnsi="Courier New"/>
                <w:sz w:val="16"/>
                <w:szCs w:val="16"/>
                <w:color w:val="auto"/>
                <w:w w:val="99"/>
              </w:rPr>
              <w:t>Balance at</w:t>
            </w:r>
          </w:p>
        </w:tc>
      </w:tr>
      <w:tr>
        <w:trPr>
          <w:trHeight w:val="182"/>
        </w:trPr>
        <w:tc>
          <w:tcPr>
            <w:tcW w:w="10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Beginning</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Charged</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Deductions</w:t>
            </w:r>
          </w:p>
        </w:tc>
        <w:tc>
          <w:tcPr>
            <w:tcW w:w="420" w:type="dxa"/>
            <w:vAlign w:val="bottom"/>
          </w:tcPr>
          <w:p>
            <w:pPr>
              <w:spacing w:after="0"/>
              <w:rPr>
                <w:sz w:val="15"/>
                <w:szCs w:val="15"/>
                <w:color w:val="auto"/>
              </w:rPr>
            </w:pPr>
          </w:p>
        </w:tc>
        <w:tc>
          <w:tcPr>
            <w:tcW w:w="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End of</w:t>
            </w:r>
          </w:p>
        </w:tc>
      </w:tr>
      <w:tr>
        <w:trPr>
          <w:trHeight w:val="182"/>
        </w:trPr>
        <w:tc>
          <w:tcPr>
            <w:tcW w:w="28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Description</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of Year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Expense</w:t>
            </w: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(Write-offs)</w:t>
            </w:r>
          </w:p>
        </w:tc>
        <w:tc>
          <w:tcPr>
            <w:tcW w:w="420" w:type="dxa"/>
            <w:vAlign w:val="bottom"/>
          </w:tcPr>
          <w:p>
            <w:pPr>
              <w:spacing w:after="0"/>
              <w:rPr>
                <w:sz w:val="15"/>
                <w:szCs w:val="15"/>
                <w:color w:val="auto"/>
              </w:rPr>
            </w:pPr>
          </w:p>
        </w:tc>
        <w:tc>
          <w:tcPr>
            <w:tcW w:w="76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Year</w:t>
            </w:r>
          </w:p>
        </w:tc>
      </w:tr>
      <w:tr>
        <w:trPr>
          <w:trHeight w:val="182"/>
        </w:trPr>
        <w:tc>
          <w:tcPr>
            <w:tcW w:w="28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center"/>
              <w:ind w:left="14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Allowance for doubtful</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w w:val="97"/>
              </w:rPr>
              <w:t>accounts:</w:t>
            </w:r>
          </w:p>
        </w:tc>
        <w:tc>
          <w:tcPr>
            <w:tcW w:w="1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Year ended</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December 31, 1997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1,827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148</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1,788</w:t>
            </w: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Year ended</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December 31, 1998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1,788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147</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597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1,338</w:t>
            </w: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Year ended</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December 31, 1999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1,338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823</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1,981</w:t>
            </w:r>
          </w:p>
        </w:tc>
      </w:tr>
      <w:tr>
        <w:trPr>
          <w:trHeight w:val="364"/>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Reserve for excess and</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obsolete</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Year ended</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December 31, 1997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15,690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1,471</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2,067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15,094</w:t>
            </w: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Year ended</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December 31, 1998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15,094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10,583</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7,255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18,422</w:t>
            </w: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Year ended</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December 31, 1999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18,422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1,113</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3,676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15,859</w:t>
            </w:r>
          </w:p>
        </w:tc>
      </w:tr>
      <w:tr>
        <w:trPr>
          <w:trHeight w:val="910"/>
        </w:trPr>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18</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139"/>
          </w:cols>
          <w:pgMar w:left="320" w:top="295" w:right="1440" w:bottom="1440" w:gutter="0" w:footer="0" w:header="0"/>
        </w:sectPr>
      </w:pPr>
    </w:p>
    <w:bookmarkStart w:id="18" w:name="page19"/>
    <w:bookmarkEnd w:id="18"/>
    <w:p>
      <w:pPr>
        <w:ind w:left="283"/>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6623"/>
        <w:spacing w:after="0"/>
        <w:rPr>
          <w:sz w:val="20"/>
          <w:szCs w:val="20"/>
          <w:color w:val="auto"/>
        </w:rPr>
      </w:pPr>
      <w:r>
        <w:rPr>
          <w:rFonts w:ascii="Courier New" w:cs="Courier New" w:eastAsia="Courier New" w:hAnsi="Courier New"/>
          <w:sz w:val="16"/>
          <w:szCs w:val="16"/>
          <w:color w:val="auto"/>
        </w:rPr>
        <w:t>EXHIBIT 13</w:t>
      </w:r>
    </w:p>
    <w:p>
      <w:pPr>
        <w:spacing w:after="0" w:line="200" w:lineRule="exact"/>
        <w:rPr>
          <w:sz w:val="20"/>
          <w:szCs w:val="20"/>
          <w:color w:val="auto"/>
        </w:rPr>
      </w:pPr>
    </w:p>
    <w:p>
      <w:pPr>
        <w:spacing w:after="0" w:line="350" w:lineRule="exact"/>
        <w:rPr>
          <w:sz w:val="20"/>
          <w:szCs w:val="20"/>
          <w:color w:val="auto"/>
        </w:rPr>
      </w:pPr>
    </w:p>
    <w:p>
      <w:pPr>
        <w:ind w:left="183" w:hanging="183"/>
        <w:spacing w:after="0"/>
        <w:tabs>
          <w:tab w:leader="none" w:pos="1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COMPANY PROFILE</w:t>
      </w:r>
    </w:p>
    <w:p>
      <w:pPr>
        <w:spacing w:after="0" w:line="186"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Cohu, Inc. ("Cohu") is the largest U.S. based and one of the world's largest suppliers of test handling equipment used by semiconductor manufacturers in final test operations. Cohu also manufactures closed circuit television, metal detection and microwave radio equipment.</w:t>
      </w: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FINANCIAL HIGHLIGHTS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5020" w:type="dxa"/>
            <w:vAlign w:val="bottom"/>
          </w:tcPr>
          <w:p>
            <w:pPr>
              <w:spacing w:after="0"/>
              <w:rPr>
                <w:sz w:val="15"/>
                <w:szCs w:val="15"/>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02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ORDERS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$253,571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$144,122</w:t>
            </w: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208,780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171,511</w:t>
            </w: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25,926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11,646</w:t>
            </w: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02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502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546"/>
        </w:trPr>
        <w:tc>
          <w:tcPr>
            <w:tcW w:w="502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CASH, CASH EQUIVALENTS AND SHORT-TERM INVESTMENTS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81,600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86,703</w:t>
            </w: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146,050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120,143</w:t>
            </w: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220,733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162,231</w:t>
            </w:r>
          </w:p>
        </w:tc>
      </w:tr>
      <w:tr>
        <w:trPr>
          <w:trHeight w:val="182"/>
        </w:trPr>
        <w:tc>
          <w:tcPr>
            <w:tcW w:w="50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162,356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137,463</w:t>
            </w:r>
          </w:p>
        </w:tc>
      </w:tr>
    </w:tbl>
    <w:p>
      <w:pPr>
        <w:spacing w:after="0" w:line="368" w:lineRule="exact"/>
        <w:rPr>
          <w:sz w:val="20"/>
          <w:szCs w:val="20"/>
          <w:color w:val="auto"/>
        </w:rPr>
      </w:pPr>
    </w:p>
    <w:p>
      <w:pPr>
        <w:ind w:left="3" w:right="4179" w:hanging="3"/>
        <w:spacing w:after="0" w:line="476" w:lineRule="auto"/>
        <w:tabs>
          <w:tab w:leader="none" w:pos="19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two-for-one stock split effective September 1999 (GRAPH)</w:t>
      </w:r>
    </w:p>
    <w:p>
      <w:pPr>
        <w:spacing w:after="0" w:line="369" w:lineRule="exact"/>
        <w:rPr>
          <w:sz w:val="20"/>
          <w:szCs w:val="20"/>
          <w:color w:val="auto"/>
        </w:rPr>
      </w:pPr>
    </w:p>
    <w:tbl>
      <w:tblPr>
        <w:tblLayout w:type="fixed"/>
        <w:tblInd w:w="563" w:type="dxa"/>
        <w:tblCellMar>
          <w:top w:w="0" w:type="dxa"/>
          <w:left w:w="0" w:type="dxa"/>
          <w:bottom w:w="0" w:type="dxa"/>
          <w:right w:w="0" w:type="dxa"/>
        </w:tblCellMar>
      </w:tblPr>
      <w:tr>
        <w:trPr>
          <w:trHeight w:val="181"/>
        </w:trPr>
        <w:tc>
          <w:tcPr>
            <w:tcW w:w="66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ORDERS</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SALES</w:t>
            </w:r>
          </w:p>
        </w:tc>
        <w:tc>
          <w:tcPr>
            <w:tcW w:w="14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NET INCOME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STOCKHOLDERS' EQUITY</w:t>
            </w:r>
          </w:p>
        </w:tc>
      </w:tr>
      <w:tr>
        <w:trPr>
          <w:trHeight w:val="182"/>
        </w:trPr>
        <w:tc>
          <w:tcPr>
            <w:tcW w:w="660" w:type="dxa"/>
            <w:vAlign w:val="bottom"/>
          </w:tcPr>
          <w:p>
            <w:pPr>
              <w:spacing w:after="0"/>
              <w:rPr>
                <w:sz w:val="15"/>
                <w:szCs w:val="15"/>
                <w:color w:val="auto"/>
              </w:rPr>
            </w:pPr>
          </w:p>
        </w:tc>
        <w:tc>
          <w:tcPr>
            <w:tcW w:w="29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 millions) (in millions)</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(in millions)</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 millions)</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189.4</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178.8</w:t>
            </w:r>
          </w:p>
        </w:tc>
        <w:tc>
          <w:tcPr>
            <w:tcW w:w="14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23.6</w:t>
            </w:r>
          </w:p>
        </w:tc>
        <w:tc>
          <w:tcPr>
            <w:tcW w:w="19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72.0</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147.9</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159.4</w:t>
            </w:r>
          </w:p>
        </w:tc>
        <w:tc>
          <w:tcPr>
            <w:tcW w:w="14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24.2</w:t>
            </w:r>
          </w:p>
        </w:tc>
        <w:tc>
          <w:tcPr>
            <w:tcW w:w="19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96.3</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209.3</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187.8</w:t>
            </w:r>
          </w:p>
        </w:tc>
        <w:tc>
          <w:tcPr>
            <w:tcW w:w="14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29.2</w:t>
            </w:r>
          </w:p>
        </w:tc>
        <w:tc>
          <w:tcPr>
            <w:tcW w:w="19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126.2</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144.1</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171.5</w:t>
            </w:r>
          </w:p>
        </w:tc>
        <w:tc>
          <w:tcPr>
            <w:tcW w:w="14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11.6</w:t>
            </w:r>
          </w:p>
        </w:tc>
        <w:tc>
          <w:tcPr>
            <w:tcW w:w="19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137.5</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253.6</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208.8</w:t>
            </w:r>
          </w:p>
        </w:tc>
        <w:tc>
          <w:tcPr>
            <w:tcW w:w="14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25.9</w:t>
            </w:r>
          </w:p>
        </w:tc>
        <w:tc>
          <w:tcPr>
            <w:tcW w:w="19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162.4</w:t>
            </w:r>
          </w:p>
        </w:tc>
      </w:tr>
    </w:tbl>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FORWARD-LOOKING STATEMENTS</w:t>
      </w:r>
    </w:p>
    <w:p>
      <w:pPr>
        <w:spacing w:after="0" w:line="186" w:lineRule="exact"/>
        <w:rPr>
          <w:sz w:val="20"/>
          <w:szCs w:val="20"/>
          <w:color w:val="auto"/>
        </w:rPr>
      </w:pPr>
    </w:p>
    <w:p>
      <w:pPr>
        <w:ind w:left="3" w:right="2679"/>
        <w:spacing w:after="0" w:line="258" w:lineRule="auto"/>
        <w:rPr>
          <w:sz w:val="20"/>
          <w:szCs w:val="20"/>
          <w:color w:val="auto"/>
        </w:rPr>
      </w:pPr>
      <w:r>
        <w:rPr>
          <w:rFonts w:ascii="Courier New" w:cs="Courier New" w:eastAsia="Courier New" w:hAnsi="Courier New"/>
          <w:sz w:val="15"/>
          <w:szCs w:val="15"/>
          <w:color w:val="auto"/>
        </w:rPr>
        <w:t>This Annual Report contains forward-looking statements, including expectations of market demand, hallenges and plans, within the meaning of Section 21E of the Securities Exchange Act of 1934, as amended, and is subject to the Safe Harbor provisions created by that statute. The words "anticipate", "expect", "believe" and similar expressions are intended to identify such statements that are subject to certain risks and uncertainties, including but not limited to those discussed under the caption "Business and Market Risks" beginning on page 14 of this Annual Report, that could cause actual results to differ materially from those projected. Readers are cautioned not to place undue reliance on these forward-looking statements, which speak only as of the date hereof.</w:t>
      </w:r>
    </w:p>
    <w:p>
      <w:pPr>
        <w:sectPr>
          <w:pgSz w:w="11900" w:h="16838" w:orient="portrait"/>
          <w:cols w:equalWidth="0" w:num="1">
            <w:col w:w="10142"/>
          </w:cols>
          <w:pgMar w:left="317" w:top="138" w:right="1440" w:bottom="1440" w:gutter="0" w:footer="0" w:header="0"/>
        </w:sectPr>
      </w:pPr>
    </w:p>
    <w:bookmarkStart w:id="19" w:name="page20"/>
    <w:bookmarkEnd w:id="19"/>
    <w:p>
      <w:pPr>
        <w:ind w:left="283"/>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LETTER TO STOCKHOLDERS: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3" w:right="2679" w:firstLine="757"/>
        <w:spacing w:after="0" w:line="238" w:lineRule="auto"/>
        <w:rPr>
          <w:sz w:val="20"/>
          <w:szCs w:val="20"/>
          <w:color w:val="auto"/>
        </w:rPr>
      </w:pPr>
      <w:r>
        <w:rPr>
          <w:rFonts w:ascii="Courier New" w:cs="Courier New" w:eastAsia="Courier New" w:hAnsi="Courier New"/>
          <w:sz w:val="16"/>
          <w:szCs w:val="16"/>
          <w:color w:val="auto"/>
        </w:rPr>
        <w:t>Sales for 1999 were a record $208.8 million compared to $171.5 million for 1998. Net income for 1999 was $25.9 million or $1.26 per share, compared to $11.6 million or $.58 per share in 1998.</w:t>
      </w:r>
    </w:p>
    <w:p>
      <w:pPr>
        <w:spacing w:after="0" w:line="188" w:lineRule="exact"/>
        <w:rPr>
          <w:sz w:val="20"/>
          <w:szCs w:val="20"/>
          <w:color w:val="auto"/>
        </w:rPr>
      </w:pPr>
    </w:p>
    <w:p>
      <w:pPr>
        <w:jc w:val="both"/>
        <w:ind w:left="3" w:right="2679" w:firstLine="757"/>
        <w:spacing w:after="0" w:line="238" w:lineRule="auto"/>
        <w:rPr>
          <w:sz w:val="20"/>
          <w:szCs w:val="20"/>
          <w:color w:val="auto"/>
        </w:rPr>
      </w:pPr>
      <w:r>
        <w:rPr>
          <w:rFonts w:ascii="Courier New" w:cs="Courier New" w:eastAsia="Courier New" w:hAnsi="Courier New"/>
          <w:sz w:val="16"/>
          <w:szCs w:val="16"/>
          <w:color w:val="auto"/>
        </w:rPr>
        <w:t>Orders for 1999 were a record $253.6 million compared to $144.1 million in 1998. Backlog at the end of 1999 was $72.9 million compared to year end 1998 backlog of $28.1 million.</w:t>
      </w:r>
    </w:p>
    <w:p>
      <w:pPr>
        <w:spacing w:after="0" w:line="188" w:lineRule="exact"/>
        <w:rPr>
          <w:sz w:val="20"/>
          <w:szCs w:val="20"/>
          <w:color w:val="auto"/>
        </w:rPr>
      </w:pPr>
    </w:p>
    <w:p>
      <w:pPr>
        <w:ind w:left="3" w:right="2579" w:firstLine="757"/>
        <w:spacing w:after="0" w:line="239" w:lineRule="auto"/>
        <w:rPr>
          <w:sz w:val="20"/>
          <w:szCs w:val="20"/>
          <w:color w:val="auto"/>
        </w:rPr>
      </w:pPr>
      <w:r>
        <w:rPr>
          <w:rFonts w:ascii="Courier New" w:cs="Courier New" w:eastAsia="Courier New" w:hAnsi="Courier New"/>
          <w:sz w:val="16"/>
          <w:szCs w:val="16"/>
          <w:color w:val="auto"/>
        </w:rPr>
        <w:t>Sales of test handling equipment increased 28% from 1998 levels and accounted for 84% of 1999 total sales. Sales of television cameras and related equipment accounted for 10% of sales and metal detection and microwave equipment contributed 6% of sales.</w:t>
      </w:r>
    </w:p>
    <w:p>
      <w:pPr>
        <w:spacing w:after="0" w:line="188" w:lineRule="exact"/>
        <w:rPr>
          <w:sz w:val="20"/>
          <w:szCs w:val="20"/>
          <w:color w:val="auto"/>
        </w:rPr>
      </w:pPr>
    </w:p>
    <w:p>
      <w:pPr>
        <w:ind w:left="3" w:right="3039" w:firstLine="757"/>
        <w:spacing w:after="0" w:line="238" w:lineRule="auto"/>
        <w:rPr>
          <w:sz w:val="20"/>
          <w:szCs w:val="20"/>
          <w:color w:val="auto"/>
        </w:rPr>
      </w:pPr>
      <w:r>
        <w:rPr>
          <w:rFonts w:ascii="Courier New" w:cs="Courier New" w:eastAsia="Courier New" w:hAnsi="Courier New"/>
          <w:sz w:val="16"/>
          <w:szCs w:val="16"/>
          <w:color w:val="auto"/>
        </w:rPr>
        <w:t>The record sales and orders in 1999 were due to the strength of the semiconductor equipment industry and strong demand for Cohu's test handler products, including our new Castle and Summit handlers.</w:t>
      </w:r>
    </w:p>
    <w:p>
      <w:pPr>
        <w:spacing w:after="0" w:line="188" w:lineRule="exact"/>
        <w:rPr>
          <w:sz w:val="20"/>
          <w:szCs w:val="20"/>
          <w:color w:val="auto"/>
        </w:rPr>
      </w:pPr>
    </w:p>
    <w:p>
      <w:pPr>
        <w:ind w:left="3" w:right="2579" w:firstLine="757"/>
        <w:spacing w:after="0" w:line="239" w:lineRule="auto"/>
        <w:rPr>
          <w:sz w:val="20"/>
          <w:szCs w:val="20"/>
          <w:color w:val="auto"/>
        </w:rPr>
      </w:pPr>
      <w:r>
        <w:rPr>
          <w:rFonts w:ascii="Courier New" w:cs="Courier New" w:eastAsia="Courier New" w:hAnsi="Courier New"/>
          <w:sz w:val="16"/>
          <w:szCs w:val="16"/>
          <w:color w:val="auto"/>
        </w:rPr>
        <w:t>International sales for 1999 were $132.1 million compared to 1998 international sales of $74.9 million and accounted for 63% of consolidated sales compared to 44% for the prior year. The largest segment of international sales is supported by our subsidiary located in Singapore with additional service personnel located throughout Southeast Asia.</w:t>
      </w:r>
    </w:p>
    <w:p>
      <w:pPr>
        <w:spacing w:after="0" w:line="189" w:lineRule="exact"/>
        <w:rPr>
          <w:sz w:val="20"/>
          <w:szCs w:val="20"/>
          <w:color w:val="auto"/>
        </w:rPr>
      </w:pPr>
    </w:p>
    <w:p>
      <w:pPr>
        <w:ind w:left="3" w:right="2579" w:firstLine="757"/>
        <w:spacing w:after="0" w:line="239" w:lineRule="auto"/>
        <w:rPr>
          <w:sz w:val="20"/>
          <w:szCs w:val="20"/>
          <w:color w:val="auto"/>
        </w:rPr>
      </w:pPr>
      <w:r>
        <w:rPr>
          <w:rFonts w:ascii="Courier New" w:cs="Courier New" w:eastAsia="Courier New" w:hAnsi="Courier New"/>
          <w:sz w:val="16"/>
          <w:szCs w:val="16"/>
          <w:color w:val="auto"/>
        </w:rPr>
        <w:t>While semiconductor and semiconductor equipment year to year forecasts are subject to a great deal of inaccuracy, semiconductor content in a wide variety of products continues to grow resulting in increased demand over the long-term for semiconductors and related capital equipment. Cohu's objective is to provide advanced, cost-effective solutions and superior technical support and services to our customers.</w:t>
      </w:r>
    </w:p>
    <w:p>
      <w:pPr>
        <w:spacing w:after="0" w:line="190" w:lineRule="exact"/>
        <w:rPr>
          <w:sz w:val="20"/>
          <w:szCs w:val="20"/>
          <w:color w:val="auto"/>
        </w:rPr>
      </w:pPr>
    </w:p>
    <w:p>
      <w:pPr>
        <w:ind w:left="3" w:right="2679" w:firstLine="757"/>
        <w:spacing w:after="0" w:line="238" w:lineRule="auto"/>
        <w:rPr>
          <w:sz w:val="20"/>
          <w:szCs w:val="20"/>
          <w:color w:val="auto"/>
        </w:rPr>
      </w:pPr>
      <w:r>
        <w:rPr>
          <w:rFonts w:ascii="Courier New" w:cs="Courier New" w:eastAsia="Courier New" w:hAnsi="Courier New"/>
          <w:sz w:val="16"/>
          <w:szCs w:val="16"/>
          <w:color w:val="auto"/>
        </w:rPr>
        <w:t>Dividends of $3.6 million or $.18 per share were paid in 1999, the 21st consecutive year of cash dividend payments and the 13th year in a row in which dividends were increased.</w:t>
      </w:r>
    </w:p>
    <w:p>
      <w:pPr>
        <w:spacing w:after="0" w:line="200" w:lineRule="exact"/>
        <w:rPr>
          <w:sz w:val="20"/>
          <w:szCs w:val="20"/>
          <w:color w:val="auto"/>
        </w:rPr>
      </w:pPr>
    </w:p>
    <w:p>
      <w:pPr>
        <w:spacing w:after="0" w:line="348"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(PHOTO)</w:t>
      </w:r>
    </w:p>
    <w:p>
      <w:pPr>
        <w:spacing w:after="0" w:line="200" w:lineRule="exact"/>
        <w:rPr>
          <w:sz w:val="20"/>
          <w:szCs w:val="20"/>
          <w:color w:val="auto"/>
        </w:rPr>
      </w:pPr>
    </w:p>
    <w:p>
      <w:pPr>
        <w:spacing w:after="0" w:line="350" w:lineRule="exact"/>
        <w:rPr>
          <w:sz w:val="20"/>
          <w:szCs w:val="20"/>
          <w:color w:val="auto"/>
        </w:rPr>
      </w:pPr>
    </w:p>
    <w:p>
      <w:pPr>
        <w:ind w:left="3" w:right="2959" w:firstLine="757"/>
        <w:spacing w:after="0" w:line="262" w:lineRule="auto"/>
        <w:rPr>
          <w:sz w:val="20"/>
          <w:szCs w:val="20"/>
          <w:color w:val="auto"/>
        </w:rPr>
      </w:pPr>
      <w:r>
        <w:rPr>
          <w:rFonts w:ascii="Courier New" w:cs="Courier New" w:eastAsia="Courier New" w:hAnsi="Courier New"/>
          <w:sz w:val="15"/>
          <w:szCs w:val="15"/>
          <w:color w:val="auto"/>
        </w:rPr>
        <w:t>We wish to thank our shareholders and customers for their continued support and express our appreciation to our employees and suppliers, without whose extraordinary efforts we could not have achieved our record results.</w:t>
      </w:r>
    </w:p>
    <w:p>
      <w:pPr>
        <w:spacing w:after="0" w:line="167"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Sincerely,</w:t>
      </w:r>
    </w:p>
    <w:p>
      <w:pPr>
        <w:spacing w:after="0" w:line="364"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Charles A. Schwan</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Chairman &amp; Chief Executive Officer</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January 27, 2000</w:t>
      </w:r>
    </w:p>
    <w:p>
      <w:pPr>
        <w:spacing w:after="0" w:line="3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3" w:right="2679" w:firstLine="757"/>
        <w:spacing w:after="0" w:line="239" w:lineRule="auto"/>
        <w:rPr>
          <w:sz w:val="20"/>
          <w:szCs w:val="20"/>
          <w:color w:val="auto"/>
        </w:rPr>
      </w:pPr>
      <w:r>
        <w:rPr>
          <w:rFonts w:ascii="Courier New" w:cs="Courier New" w:eastAsia="Courier New" w:hAnsi="Courier New"/>
          <w:sz w:val="16"/>
          <w:szCs w:val="16"/>
          <w:color w:val="auto"/>
        </w:rPr>
        <w:t>This Annual Report is dedicated to the memory of William Ivans, Cohu's former Chairman, who was killed in a glider plane accident in July. Bill had been associated with Cohu for over 40 years and was President and CEO from 1965 to 1983.</w:t>
      </w:r>
    </w:p>
    <w:p>
      <w:pPr>
        <w:spacing w:after="0" w:line="188" w:lineRule="exact"/>
        <w:rPr>
          <w:sz w:val="20"/>
          <w:szCs w:val="20"/>
          <w:color w:val="auto"/>
        </w:rPr>
      </w:pPr>
    </w:p>
    <w:p>
      <w:pPr>
        <w:ind w:left="183" w:hanging="183"/>
        <w:spacing w:after="0"/>
        <w:tabs>
          <w:tab w:leader="none" w:pos="18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53" w:lineRule="exact"/>
        <w:rPr>
          <w:rFonts w:ascii="Courier New" w:cs="Courier New" w:eastAsia="Courier New" w:hAnsi="Courier New"/>
          <w:sz w:val="15"/>
          <w:szCs w:val="15"/>
          <w:color w:val="auto"/>
        </w:rPr>
      </w:pPr>
    </w:p>
    <w:p>
      <w:pPr>
        <w:ind w:left="74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w:t>
      </w:r>
    </w:p>
    <w:p>
      <w:pPr>
        <w:sectPr>
          <w:pgSz w:w="11900" w:h="16838" w:orient="portrait"/>
          <w:cols w:equalWidth="0" w:num="1">
            <w:col w:w="10142"/>
          </w:cols>
          <w:pgMar w:left="317" w:top="295"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FINANCIAL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rPr>
              <w:t>FOR THE YEARS ENDED DECEMBER 31</w:t>
            </w:r>
          </w:p>
        </w:tc>
        <w:tc>
          <w:tcPr>
            <w:tcW w:w="320" w:type="dxa"/>
            <w:vAlign w:val="bottom"/>
          </w:tcPr>
          <w:p>
            <w:pPr>
              <w:spacing w:after="0"/>
              <w:rPr>
                <w:sz w:val="15"/>
                <w:szCs w:val="15"/>
                <w:color w:val="auto"/>
              </w:rPr>
            </w:pPr>
          </w:p>
        </w:tc>
        <w:tc>
          <w:tcPr>
            <w:tcW w:w="10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1999</w:t>
            </w:r>
          </w:p>
        </w:tc>
        <w:tc>
          <w:tcPr>
            <w:tcW w:w="340" w:type="dxa"/>
            <w:vAlign w:val="bottom"/>
          </w:tcPr>
          <w:p>
            <w:pPr>
              <w:spacing w:after="0"/>
              <w:rPr>
                <w:sz w:val="15"/>
                <w:szCs w:val="15"/>
                <w:color w:val="auto"/>
              </w:rPr>
            </w:pPr>
          </w:p>
        </w:tc>
        <w:tc>
          <w:tcPr>
            <w:tcW w:w="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5"/>
                <w:szCs w:val="15"/>
                <w:color w:val="auto"/>
              </w:rPr>
            </w:pPr>
          </w:p>
        </w:tc>
        <w:tc>
          <w:tcPr>
            <w:tcW w:w="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c>
          <w:tcPr>
            <w:tcW w:w="32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Semiconductor equipment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$ 175,140</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$ 136,323</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$ 152,668</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$ 126,236</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$ 146,093</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Television cameras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21,330</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21,001</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23,553</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22,298</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21,570</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ind w:left="940"/>
              <w:spacing w:after="0"/>
              <w:rPr>
                <w:sz w:val="20"/>
                <w:szCs w:val="20"/>
                <w:color w:val="auto"/>
              </w:rPr>
            </w:pPr>
            <w:r>
              <w:rPr>
                <w:rFonts w:ascii="Courier New" w:cs="Courier New" w:eastAsia="Courier New" w:hAnsi="Courier New"/>
                <w:sz w:val="16"/>
                <w:szCs w:val="16"/>
                <w:color w:val="auto"/>
              </w:rPr>
              <w:t>Net sales for reportable segments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196,470</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157,324</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176,221</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148,534</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167,663</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All other</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12,310</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14,187</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11,535</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10,819</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11,096</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Total consolidated net sales</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$ 208,780</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$ 171,511</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$ 187,756</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$ 159,353</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$ 178,759</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Operating profit (loss):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Semiconductor equipment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35,715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14,213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41,167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35,298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37,704</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Television cameras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1,891</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1,570</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3,056</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2,866</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2,280</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ind w:left="940"/>
              <w:spacing w:after="0"/>
              <w:rPr>
                <w:sz w:val="20"/>
                <w:szCs w:val="20"/>
                <w:color w:val="auto"/>
              </w:rPr>
            </w:pPr>
            <w:r>
              <w:rPr>
                <w:rFonts w:ascii="Courier New" w:cs="Courier New" w:eastAsia="Courier New" w:hAnsi="Courier New"/>
                <w:sz w:val="16"/>
                <w:szCs w:val="16"/>
                <w:color w:val="auto"/>
              </w:rPr>
              <w:t>Operating profit for reportable segments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37,606</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15,783</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44,223</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38,164</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39,984</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All other</w:t>
            </w:r>
          </w:p>
        </w:tc>
        <w:tc>
          <w:tcPr>
            <w:tcW w:w="3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(792)</w:t>
            </w:r>
          </w:p>
        </w:tc>
        <w:tc>
          <w:tcPr>
            <w:tcW w:w="34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(1,094)</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159</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145</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Total consolidated operating profit</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36,814</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14,689</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44,382</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38,309</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39,970</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Other unallocated amounts: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Corporate expenses</w:t>
            </w:r>
          </w:p>
        </w:tc>
        <w:tc>
          <w:tcPr>
            <w:tcW w:w="3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(1,871)</w:t>
            </w:r>
          </w:p>
        </w:tc>
        <w:tc>
          <w:tcPr>
            <w:tcW w:w="34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(955)</w:t>
            </w:r>
          </w:p>
        </w:tc>
        <w:tc>
          <w:tcPr>
            <w:tcW w:w="34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(1,337)</w:t>
            </w:r>
          </w:p>
        </w:tc>
        <w:tc>
          <w:tcPr>
            <w:tcW w:w="3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(1,273)</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(1,051)</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Interest income</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4,271</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3,469</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2,999</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1,960</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704</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Interest expense</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Goodwill amortization and write-down</w:t>
            </w:r>
          </w:p>
        </w:tc>
        <w:tc>
          <w:tcPr>
            <w:tcW w:w="3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(288)</w:t>
            </w:r>
          </w:p>
        </w:tc>
        <w:tc>
          <w:tcPr>
            <w:tcW w:w="34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(1,157)</w:t>
            </w:r>
          </w:p>
        </w:tc>
        <w:tc>
          <w:tcPr>
            <w:tcW w:w="34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w:t>
            </w:r>
          </w:p>
        </w:tc>
        <w:tc>
          <w:tcPr>
            <w:tcW w:w="3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(689)</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38,926</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16,046</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45,887</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38,839</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38,922</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13,000</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4,400</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16,700</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14,600</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15,300</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25,926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11,646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29,187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24,239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23,622</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1.47</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1.25</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1.23</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Cash dividends per share, paid quarterly*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.08</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deducted in</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arriving at operating profit: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Semiconductor equipment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2,303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1,953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833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620</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Television cameras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468</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424</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420</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410</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387</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All other</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265</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250</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253</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3,006</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2,642</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1,991</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1,496</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1,195</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Goodwill amortization</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288</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157</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689</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2,799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2,148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1,653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1,884</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Semiconductor equipment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3,513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3,586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4,932</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Television cameras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452</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162</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341</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294</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192</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All other</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129</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208</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275</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1,256</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163</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2,409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4,129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5,136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5,287</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AT DECEMBER 31</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Total assets by segment: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Semiconductor equipment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$ 115,671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50,754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79,978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39,981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48,708</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Television cameras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11,758</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8,728</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10,696</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10,573</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10,886</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ind w:left="840"/>
              <w:spacing w:after="0"/>
              <w:rPr>
                <w:sz w:val="20"/>
                <w:szCs w:val="20"/>
                <w:color w:val="auto"/>
              </w:rPr>
            </w:pPr>
            <w:r>
              <w:rPr>
                <w:rFonts w:ascii="Courier New" w:cs="Courier New" w:eastAsia="Courier New" w:hAnsi="Courier New"/>
                <w:sz w:val="16"/>
                <w:szCs w:val="16"/>
                <w:color w:val="auto"/>
              </w:rPr>
              <w:t>Total assets for reportable segments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127,429</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59,482</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90,674</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50,554</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59,594</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All other operating segments</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5,419</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7,537</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8,307</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7,449</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8,240</w:t>
            </w:r>
          </w:p>
        </w:tc>
      </w:tr>
      <w:tr>
        <w:trPr>
          <w:trHeight w:val="182"/>
        </w:trPr>
        <w:tc>
          <w:tcPr>
            <w:tcW w:w="4920" w:type="dxa"/>
            <w:vAlign w:val="bottom"/>
          </w:tcPr>
          <w:p>
            <w:pPr>
              <w:ind w:left="480"/>
              <w:spacing w:after="0"/>
              <w:rPr>
                <w:sz w:val="20"/>
                <w:szCs w:val="20"/>
                <w:color w:val="auto"/>
              </w:rPr>
            </w:pPr>
            <w:r>
              <w:rPr>
                <w:rFonts w:ascii="Courier New" w:cs="Courier New" w:eastAsia="Courier New" w:hAnsi="Courier New"/>
                <w:sz w:val="16"/>
                <w:szCs w:val="16"/>
                <w:color w:val="auto"/>
              </w:rPr>
              <w:t>Corporate</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87,885</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95,212</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63,911</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59,923</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36,100</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Total consolidated assets</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$ 220,733</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$ 162,231</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$ 162,892</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$ 117,926</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$ 103,934</w:t>
            </w:r>
          </w:p>
        </w:tc>
      </w:tr>
      <w:tr>
        <w:trPr>
          <w:trHeight w:val="182"/>
        </w:trPr>
        <w:tc>
          <w:tcPr>
            <w:tcW w:w="49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$ 146,050</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$ 120,143</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$ 106,201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78,003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57,228</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162,356</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137,463</w:t>
            </w:r>
          </w:p>
        </w:tc>
        <w:tc>
          <w:tcPr>
            <w:tcW w:w="3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126,211</w:t>
            </w:r>
          </w:p>
        </w:tc>
        <w:tc>
          <w:tcPr>
            <w:tcW w:w="340" w:type="dxa"/>
            <w:vAlign w:val="bottom"/>
          </w:tcPr>
          <w:p>
            <w:pPr>
              <w:spacing w:after="0"/>
              <w:rPr>
                <w:sz w:val="15"/>
                <w:szCs w:val="15"/>
                <w:color w:val="auto"/>
              </w:rPr>
            </w:pP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96,272</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72,029</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Adjusted for two-for-one stock split effective September 1999</w:t>
      </w:r>
    </w:p>
    <w:p>
      <w:pPr>
        <w:sectPr>
          <w:pgSz w:w="11900" w:h="16838" w:orient="portrait"/>
          <w:cols w:equalWidth="0" w:num="1">
            <w:col w:w="11340"/>
          </w:cols>
          <w:pgMar w:left="320" w:top="295" w:right="239" w:bottom="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340"/>
          </w:cols>
          <w:pgMar w:left="320" w:top="295" w:right="239" w:bottom="153"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 TEST HANDLING EQUIPMENT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right="2679" w:firstLine="757"/>
        <w:spacing w:after="0"/>
        <w:rPr>
          <w:sz w:val="20"/>
          <w:szCs w:val="20"/>
          <w:color w:val="auto"/>
        </w:rPr>
      </w:pPr>
      <w:r>
        <w:rPr>
          <w:rFonts w:ascii="Courier New" w:cs="Courier New" w:eastAsia="Courier New" w:hAnsi="Courier New"/>
          <w:sz w:val="16"/>
          <w:szCs w:val="16"/>
          <w:color w:val="auto"/>
        </w:rPr>
        <w:t>Cohu's Delta Design ("Delta") subsidiary is the largest U.S. based and second largest worldwide supplier of test handling equipment to the semiconductor industry. Test handlers are electromechanical systems that automate the testing of integrated circuits (ICs). Testing is an essential part of the IC manufacturing process. Test handlers, connected to automatic test equipment (ATE), provide an efficient method for verifying the quality and characterizing the performance of ICs before shipment to customers.</w:t>
      </w:r>
    </w:p>
    <w:p>
      <w:pPr>
        <w:spacing w:after="0" w:line="187" w:lineRule="exact"/>
        <w:rPr>
          <w:sz w:val="20"/>
          <w:szCs w:val="20"/>
          <w:color w:val="auto"/>
        </w:rPr>
      </w:pPr>
    </w:p>
    <w:p>
      <w:pPr>
        <w:ind w:right="2679" w:firstLine="757"/>
        <w:spacing w:after="0" w:line="257" w:lineRule="auto"/>
        <w:rPr>
          <w:sz w:val="20"/>
          <w:szCs w:val="20"/>
          <w:color w:val="auto"/>
        </w:rPr>
      </w:pPr>
      <w:r>
        <w:rPr>
          <w:rFonts w:ascii="Courier New" w:cs="Courier New" w:eastAsia="Courier New" w:hAnsi="Courier New"/>
          <w:sz w:val="15"/>
          <w:szCs w:val="15"/>
          <w:color w:val="auto"/>
        </w:rPr>
        <w:t>Delta's handlers are engineered to provide a precisely-controlled test environment, over the range -60 degrees C to +160 degrees C, as most ICs are tested at hot or cold temperatures to verify their performance under extreme operating conditions. Test handlers mainly use gravity-feed or pick-and-place technologies. In gravity-feed handlers, ICs are unloaded from plastic tubes or metal magazines at the top of the machine and flow through the system, from top to bottom, propelled along precision trackwork by the force of gravity. After being tested, the devices are sorted and reloaded into tubes or magazines for additional process steps or for shipment. Gravity-feed handling is simple, reliable and fast and is the preferred technique for devices with leads on only two sides, such as the dual-in-line (DIP) and small outline (SOIC). ICs with leads on all four sides, such as the Quad Flat Pack (QFP) and certain ICs with fragile leads, such as the thin small outline package (TSOP), cannot be processed in gravity systems. Instead, pick-and-place systems, which handle devices individually, thereby providing protection for the leads, are used. In pick-and-place systems, ICs are automatically removed from waffle-like, plastic trays, placed in precision transport boats, or carriers and processed through the system. After testing, the devices are sorted and reloaded into designated trays, based on test results.</w:t>
      </w:r>
    </w:p>
    <w:p>
      <w:pPr>
        <w:spacing w:after="0" w:line="363" w:lineRule="exact"/>
        <w:rPr>
          <w:sz w:val="20"/>
          <w:szCs w:val="20"/>
          <w:color w:val="auto"/>
        </w:rPr>
      </w:pPr>
    </w:p>
    <w:p>
      <w:pPr>
        <w:ind w:right="2579" w:firstLine="757"/>
        <w:spacing w:after="0" w:line="257" w:lineRule="auto"/>
        <w:rPr>
          <w:sz w:val="20"/>
          <w:szCs w:val="20"/>
          <w:color w:val="auto"/>
        </w:rPr>
      </w:pPr>
      <w:r>
        <w:rPr>
          <w:rFonts w:ascii="Courier New" w:cs="Courier New" w:eastAsia="Courier New" w:hAnsi="Courier New"/>
          <w:sz w:val="15"/>
          <w:szCs w:val="15"/>
          <w:color w:val="auto"/>
        </w:rPr>
        <w:t>Delta offers semiconductor manufacturers a broad line of both pick-and-place and gravity test handling equipment. The Nitro Flex (Flex) is an industry workhorse. More Flexes have been sold than any other logic pick-and-place test handler. Through Delta's continuous product improvement process, the Flex has been successfully adapted to meet the evolving needs of IC manufacturers. The Model 2040 RFS(TM) is a fast-index time pick-and-place handler, designed for high production applications. The RFS(TM) utilizes a patented contactor indexing mechanism to deliver among the highest throughputs of any logic pick-and-place handler available today. The Delta 1688 is an ambient pick-and-place system that uses the same fast contactor indexing mechanism as the RFS(TM). During 1999, the 1688 gained widespread use among manufacturers of ICs for the communications and RF markets. Delta's Castle handlers incorporate a unique tray handling system that provides high input/output automation in an extremely small footprint, an important factor for IC manufacturers, who must make efficient use of their manufacturing floorspace. The system is available in configurations tailored for handling logic or memory devices. The Castle Mx32, which can test up to 32 devices in parallel, including chip scale packages (CSPs), is being used in the emerging market for high-speed memory ICs. Castle Lx, for logic applications, is Delta's next generation logic handling platform. Delta's newest handler, Summit, is the market leader in handling advanced microprocessors and other high speed, high power devices. Summit utilizes an innovative system to control test temperatures and dissipate the considerable heat generated by these devices during test.</w:t>
      </w:r>
    </w:p>
    <w:p>
      <w:pPr>
        <w:spacing w:after="0" w:line="363" w:lineRule="exact"/>
        <w:rPr>
          <w:sz w:val="20"/>
          <w:szCs w:val="20"/>
          <w:color w:val="auto"/>
        </w:rPr>
      </w:pPr>
    </w:p>
    <w:p>
      <w:pPr>
        <w:ind w:right="2579" w:firstLine="757"/>
        <w:spacing w:after="0"/>
        <w:rPr>
          <w:sz w:val="20"/>
          <w:szCs w:val="20"/>
          <w:color w:val="auto"/>
        </w:rPr>
      </w:pPr>
      <w:r>
        <w:rPr>
          <w:rFonts w:ascii="Courier New" w:cs="Courier New" w:eastAsia="Courier New" w:hAnsi="Courier New"/>
          <w:sz w:val="16"/>
          <w:szCs w:val="16"/>
          <w:color w:val="auto"/>
        </w:rPr>
        <w:t>Delta manufactures three lines of gravity test handlers: the 717 Series, 3000 Series and 4000 Series. The 717 handles SOIC devices used by communications and wireless IC manufacturers and is an industry leader in the growing market for handling high frequency ICs. The 3000 Series handlers are engineered for larger ICs and for parallel test applications. Like the Flex handler, the 3287 has been successfully adapted as test requirements and IC packaging have changed. The 4000 Series, capable of processing up to 18,000 units per hour, combines the high speed SOIC handling of the 717 Series with the multi-site capability of the 3000 Series.</w:t>
      </w:r>
    </w:p>
    <w:p>
      <w:pPr>
        <w:spacing w:after="0" w:line="188" w:lineRule="exact"/>
        <w:rPr>
          <w:sz w:val="20"/>
          <w:szCs w:val="20"/>
          <w:color w:val="auto"/>
        </w:rPr>
      </w:pPr>
    </w:p>
    <w:p>
      <w:pPr>
        <w:ind w:right="2579" w:firstLine="757"/>
        <w:spacing w:after="0" w:line="258" w:lineRule="auto"/>
        <w:rPr>
          <w:sz w:val="20"/>
          <w:szCs w:val="20"/>
          <w:color w:val="auto"/>
        </w:rPr>
      </w:pPr>
      <w:r>
        <w:rPr>
          <w:rFonts w:ascii="Courier New" w:cs="Courier New" w:eastAsia="Courier New" w:hAnsi="Courier New"/>
          <w:sz w:val="15"/>
          <w:szCs w:val="15"/>
          <w:color w:val="auto"/>
        </w:rPr>
        <w:t>In 1998, the semiconductor and semiconductor equipment industries experienced one of the worst slumps in history. However, business rebounded sharply in 1999, driven by broad-based growth in semiconductor markets, strong PC demand and advances in wireless communications. At Delta, with our strong customer base, including many of the world's largest and fastest growing IC manufacturers, this meant a rapid and steep increase in orders for our products. For the first time in Delta's history, orders in 1999 exceeded $200 million. We</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74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295"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increased manufacturing capacity significantly and from Q1 to Q4, the dollar value and unit volume of shipments more than tripled. To support this growth, our workforce more than doubled during 1999. Geographically, handler related sales were distributed 68% in Asia, 29% in North America and 3% to the rest of the world. The percentage of shipments to Southeast Asia has grown steadily, as IC manufacturers continue to focus their test expansion in that region. Our extensive, Southeast Asia service, sales and applications engineering organization deployed at more than fifteen locations throughout the region, enables us to provide our customers with unmatched support and is a powerful competitive advantage.</w:t>
      </w:r>
    </w:p>
    <w:p>
      <w:pPr>
        <w:spacing w:after="0" w:line="188" w:lineRule="exact"/>
        <w:rPr>
          <w:sz w:val="20"/>
          <w:szCs w:val="20"/>
          <w:color w:val="auto"/>
        </w:rPr>
      </w:pPr>
    </w:p>
    <w:p>
      <w:pPr>
        <w:ind w:right="2579" w:firstLine="757"/>
        <w:spacing w:after="0"/>
        <w:rPr>
          <w:sz w:val="20"/>
          <w:szCs w:val="20"/>
          <w:color w:val="auto"/>
        </w:rPr>
      </w:pPr>
      <w:r>
        <w:rPr>
          <w:rFonts w:ascii="Courier New" w:cs="Courier New" w:eastAsia="Courier New" w:hAnsi="Courier New"/>
          <w:sz w:val="16"/>
          <w:szCs w:val="16"/>
          <w:color w:val="auto"/>
        </w:rPr>
        <w:t>The semiconductor industry is in a period of accelerated change as industry experts predict that wireless communications and portable electronics will surpass PCs to become the primary drivers of semiconductor growth. These applications require electronics manufacturers to continually shrink the size of their products. As a result, the semiconductor industry is introducing smaller IC packages at a faster rate than anytime in its history. ICs, such as CSPs are highly efficient, as they are only slightly larger than the circuitry packaged inside. Market forecasters predict that IC unit volumes will grow at a rate of twenty percent or more for the next several years. Delta is being challenged to produce systems that can accommodate a wider variety of these new packages, at higher performance levels, at lower cost and with shorter lead times than ever before.</w:t>
      </w:r>
    </w:p>
    <w:p>
      <w:pPr>
        <w:spacing w:after="0" w:line="200" w:lineRule="exact"/>
        <w:rPr>
          <w:sz w:val="20"/>
          <w:szCs w:val="20"/>
          <w:color w:val="auto"/>
        </w:r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(PHOTO)</w:t>
      </w:r>
    </w:p>
    <w:p>
      <w:pPr>
        <w:spacing w:after="0" w:line="200" w:lineRule="exact"/>
        <w:rPr>
          <w:sz w:val="20"/>
          <w:szCs w:val="20"/>
          <w:color w:val="auto"/>
        </w:rPr>
      </w:pPr>
    </w:p>
    <w:p>
      <w:pPr>
        <w:spacing w:after="0" w:line="346"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SUMMIT TEST HANDLER</w:t>
      </w:r>
    </w:p>
    <w:p>
      <w:pPr>
        <w:spacing w:after="0" w:line="186" w:lineRule="exact"/>
        <w:rPr>
          <w:sz w:val="20"/>
          <w:szCs w:val="20"/>
          <w:color w:val="auto"/>
        </w:rPr>
      </w:pPr>
    </w:p>
    <w:p>
      <w:pPr>
        <w:ind w:right="2579" w:firstLine="757"/>
        <w:spacing w:after="0"/>
        <w:rPr>
          <w:sz w:val="20"/>
          <w:szCs w:val="20"/>
          <w:color w:val="auto"/>
        </w:rPr>
      </w:pPr>
      <w:r>
        <w:rPr>
          <w:rFonts w:ascii="Courier New" w:cs="Courier New" w:eastAsia="Courier New" w:hAnsi="Courier New"/>
          <w:sz w:val="16"/>
          <w:szCs w:val="16"/>
          <w:color w:val="auto"/>
        </w:rPr>
        <w:t>While these are formidable challenges, Delta has never been in a stronger position, with solid financials, leading products and a global infrastructure to meet the requirements of our multinational customers. New products are in development for our two major markets today - pick-and-place and gravity. Additionally, we are investing in a new handling approach, non-singulated test, which we believe will develop into a measurable market segment within the next several years.</w:t>
      </w:r>
    </w:p>
    <w:p>
      <w:pPr>
        <w:spacing w:after="0" w:line="187" w:lineRule="exact"/>
        <w:rPr>
          <w:sz w:val="20"/>
          <w:szCs w:val="20"/>
          <w:color w:val="auto"/>
        </w:rPr>
      </w:pPr>
    </w:p>
    <w:p>
      <w:pPr>
        <w:ind w:right="2679" w:firstLine="757"/>
        <w:spacing w:after="0"/>
        <w:rPr>
          <w:sz w:val="20"/>
          <w:szCs w:val="20"/>
          <w:color w:val="auto"/>
        </w:rPr>
      </w:pPr>
      <w:r>
        <w:rPr>
          <w:rFonts w:ascii="Courier New" w:cs="Courier New" w:eastAsia="Courier New" w:hAnsi="Courier New"/>
          <w:sz w:val="16"/>
          <w:szCs w:val="16"/>
          <w:color w:val="auto"/>
        </w:rPr>
        <w:t>On January 1, 2000, we united our operations, Delta Design (San Diego, CA) and Daymarc (Littleton, MA) under the Delta Design name. With this alignment, we can more effectively leverage the significant capabilities and resources of our organization to meet the needs and expectations of our customers. For example, as a result of the steep ramp in our handler business, we successfully transferred production of our Model 1688 pick-and-place handler from our San Diego plant to our Littleton facility. This move helped maximize our production output and enabled us to keep pace with unprecedented demand for our products.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ELECTRONICS DIVISION (TELEVISION CAMERAS)</w:t>
      </w:r>
    </w:p>
    <w:p>
      <w:pPr>
        <w:spacing w:after="0" w:line="186" w:lineRule="exact"/>
        <w:rPr>
          <w:sz w:val="20"/>
          <w:szCs w:val="20"/>
          <w:color w:val="auto"/>
        </w:rPr>
      </w:pPr>
    </w:p>
    <w:p>
      <w:pPr>
        <w:ind w:right="2679" w:firstLine="757"/>
        <w:spacing w:after="0" w:line="260" w:lineRule="auto"/>
        <w:rPr>
          <w:sz w:val="20"/>
          <w:szCs w:val="20"/>
          <w:color w:val="auto"/>
        </w:rPr>
      </w:pPr>
      <w:r>
        <w:rPr>
          <w:rFonts w:ascii="Courier New" w:cs="Courier New" w:eastAsia="Courier New" w:hAnsi="Courier New"/>
          <w:sz w:val="15"/>
          <w:szCs w:val="15"/>
          <w:color w:val="auto"/>
        </w:rPr>
        <w:t>Cohu's Electronics Division has been a leading American designer and manufacturer of closed circuit television ("CCTV") cameras and systems for more than forty years. Our customer base for these products is broadly distributed between machine vision, scientific imaging and security/surveillance markets.</w:t>
      </w:r>
    </w:p>
    <w:p>
      <w:pPr>
        <w:spacing w:after="0" w:line="173" w:lineRule="exact"/>
        <w:rPr>
          <w:sz w:val="20"/>
          <w:szCs w:val="20"/>
          <w:color w:val="auto"/>
        </w:rPr>
      </w:pPr>
    </w:p>
    <w:p>
      <w:pPr>
        <w:ind w:right="2579" w:firstLine="757"/>
        <w:spacing w:after="0" w:line="239" w:lineRule="auto"/>
        <w:rPr>
          <w:sz w:val="20"/>
          <w:szCs w:val="20"/>
          <w:color w:val="auto"/>
        </w:rPr>
      </w:pPr>
      <w:r>
        <w:rPr>
          <w:rFonts w:ascii="Courier New" w:cs="Courier New" w:eastAsia="Courier New" w:hAnsi="Courier New"/>
          <w:sz w:val="16"/>
          <w:szCs w:val="16"/>
          <w:color w:val="auto"/>
        </w:rPr>
        <w:t>Cohu's product line represents a comprehensive array of indoor and outdoor CCTV cameras and camera control equipment. We are most readily differentiated from the competition by our willingness and ability to create quality products that solve a customer's unique requirements. Cohu's long established role in advanced CCTV technology is based on a continuing commitment to quality, product performance and customer support.</w:t>
      </w:r>
    </w:p>
    <w:p>
      <w:pPr>
        <w:spacing w:after="0" w:line="190" w:lineRule="exact"/>
        <w:rPr>
          <w:sz w:val="20"/>
          <w:szCs w:val="20"/>
          <w:color w:val="auto"/>
        </w:rPr>
      </w:pPr>
    </w:p>
    <w:p>
      <w:pPr>
        <w:ind w:right="2759" w:firstLine="757"/>
        <w:spacing w:after="0" w:line="237" w:lineRule="auto"/>
        <w:rPr>
          <w:sz w:val="20"/>
          <w:szCs w:val="20"/>
          <w:color w:val="auto"/>
        </w:rPr>
      </w:pPr>
      <w:r>
        <w:rPr>
          <w:rFonts w:ascii="Courier New" w:cs="Courier New" w:eastAsia="Courier New" w:hAnsi="Courier New"/>
          <w:sz w:val="16"/>
          <w:szCs w:val="16"/>
          <w:color w:val="auto"/>
        </w:rPr>
        <w:t>Drawing on their flexibility and reliability, Cohu cameras continue to find new applications. CCTV</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74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295"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solutions have been created for such diverse requirements as aircraft in-flight safety and entertainment, explosives detection, border control and underground pipe inspection. Cohu completed and delivered a major CCTV system consisting of cameras and video accessories for monitoring petroleum processing in the Middle East. This project illustrates our ability to design complex video systems that integrate products and resources from multiple vendors.</w:t>
      </w:r>
    </w:p>
    <w:p>
      <w:pPr>
        <w:spacing w:after="0" w:line="173" w:lineRule="exact"/>
        <w:rPr>
          <w:sz w:val="20"/>
          <w:szCs w:val="20"/>
          <w:color w:val="auto"/>
        </w:rPr>
      </w:pPr>
    </w:p>
    <w:p>
      <w:pPr>
        <w:ind w:right="2579" w:firstLine="757"/>
        <w:spacing w:after="0"/>
        <w:rPr>
          <w:sz w:val="20"/>
          <w:szCs w:val="20"/>
          <w:color w:val="auto"/>
        </w:rPr>
      </w:pPr>
      <w:r>
        <w:rPr>
          <w:rFonts w:ascii="Courier New" w:cs="Courier New" w:eastAsia="Courier New" w:hAnsi="Courier New"/>
          <w:sz w:val="16"/>
          <w:szCs w:val="16"/>
          <w:color w:val="auto"/>
        </w:rPr>
        <w:t>Cohu manufactures video cameras for a number of Original Equipment Manufacturer ("OEM") customers that integrate our components into their products. The OEM sales team helps customers meet automated assembly challenges. The rebound of the semiconductor industry is reflected in increased orders for machine vision components. In addition to standard CCTV cameras, Cohu is capable of designing and manufacturing custom or special-purpose cameras for process automation, including pick-and-place, assembly and test and measurement. The product line includes cameras that are integrated into systems for fluorescing gel analysis, medical research and x-ray.</w:t>
      </w:r>
    </w:p>
    <w:p>
      <w:pPr>
        <w:spacing w:after="0" w:line="188" w:lineRule="exact"/>
        <w:rPr>
          <w:sz w:val="20"/>
          <w:szCs w:val="20"/>
          <w:color w:val="auto"/>
        </w:rPr>
      </w:pPr>
    </w:p>
    <w:p>
      <w:pPr>
        <w:ind w:right="2579" w:firstLine="757"/>
        <w:spacing w:after="0"/>
        <w:rPr>
          <w:sz w:val="20"/>
          <w:szCs w:val="20"/>
          <w:color w:val="auto"/>
        </w:rPr>
      </w:pPr>
      <w:r>
        <w:rPr>
          <w:rFonts w:ascii="Courier New" w:cs="Courier New" w:eastAsia="Courier New" w:hAnsi="Courier New"/>
          <w:sz w:val="16"/>
          <w:szCs w:val="16"/>
          <w:color w:val="auto"/>
        </w:rPr>
        <w:t>Other distribution channels for television products include direct sales to end users, contractors and value-added resellers. In 1999 Cohu won a number of contracts for traffic surveillance cameras, including systems in Wisconsin, Texas and Georgia. Cohu cameras will be used to monitor highways leading to the 2002 Winter Olympic venues near Salt Lake City, Utah. In addition to sales of standard cameras to state and federal highway departments, Cohu is an OEM provider to a key manufacturer of wide area detection products for traffic control.</w:t>
      </w:r>
    </w:p>
    <w:p>
      <w:pPr>
        <w:spacing w:after="0" w:line="187" w:lineRule="exact"/>
        <w:rPr>
          <w:sz w:val="20"/>
          <w:szCs w:val="20"/>
          <w:color w:val="auto"/>
        </w:rPr>
      </w:pPr>
    </w:p>
    <w:p>
      <w:pPr>
        <w:ind w:right="2679" w:firstLine="757"/>
        <w:spacing w:after="0" w:line="262" w:lineRule="auto"/>
        <w:rPr>
          <w:sz w:val="20"/>
          <w:szCs w:val="20"/>
          <w:color w:val="auto"/>
        </w:rPr>
      </w:pPr>
      <w:r>
        <w:rPr>
          <w:rFonts w:ascii="Courier New" w:cs="Courier New" w:eastAsia="Courier New" w:hAnsi="Courier New"/>
          <w:sz w:val="15"/>
          <w:szCs w:val="15"/>
          <w:color w:val="auto"/>
        </w:rPr>
        <w:t>We continue to pursue opportunities in the international market through distributors, contractors and OEM accounts. Sales efforts will be focused on process monitoring, security, large projects and advanced imaging applications.</w:t>
      </w:r>
    </w:p>
    <w:p>
      <w:pPr>
        <w:spacing w:after="0" w:line="171" w:lineRule="exact"/>
        <w:rPr>
          <w:sz w:val="20"/>
          <w:szCs w:val="20"/>
          <w:color w:val="auto"/>
        </w:rPr>
      </w:pPr>
    </w:p>
    <w:p>
      <w:pPr>
        <w:ind w:right="2679" w:firstLine="757"/>
        <w:spacing w:after="0" w:line="239" w:lineRule="auto"/>
        <w:rPr>
          <w:sz w:val="20"/>
          <w:szCs w:val="20"/>
          <w:color w:val="auto"/>
        </w:rPr>
      </w:pPr>
      <w:r>
        <w:rPr>
          <w:rFonts w:ascii="Courier New" w:cs="Courier New" w:eastAsia="Courier New" w:hAnsi="Courier New"/>
          <w:sz w:val="16"/>
          <w:szCs w:val="16"/>
          <w:color w:val="auto"/>
        </w:rPr>
        <w:t>Cohu has been involved with a number of large-scale construction projects where specialized design expertise is provided to major engineering firms. Installations include process monitoring for waste handling, water works and hazardous material and facility security.</w:t>
      </w:r>
    </w:p>
    <w:p>
      <w:pPr>
        <w:spacing w:after="0" w:line="188" w:lineRule="exact"/>
        <w:rPr>
          <w:sz w:val="20"/>
          <w:szCs w:val="20"/>
          <w:color w:val="auto"/>
        </w:rPr>
      </w:pPr>
    </w:p>
    <w:p>
      <w:pPr>
        <w:ind w:right="2679" w:firstLine="757"/>
        <w:spacing w:after="0" w:line="239" w:lineRule="auto"/>
        <w:rPr>
          <w:sz w:val="20"/>
          <w:szCs w:val="20"/>
          <w:color w:val="auto"/>
        </w:rPr>
      </w:pPr>
      <w:r>
        <w:rPr>
          <w:rFonts w:ascii="Courier New" w:cs="Courier New" w:eastAsia="Courier New" w:hAnsi="Courier New"/>
          <w:sz w:val="16"/>
          <w:szCs w:val="16"/>
          <w:color w:val="auto"/>
        </w:rPr>
        <w:t>We are registered compliant to ISO-9001 standards, the most rigid of five levels of standards in the ISO 9000 series. ISO registration is a competitive advantage in market areas where ISO 9000 is heavily supported, such as Europe and the Middle East.</w:t>
      </w:r>
    </w:p>
    <w:p>
      <w:pPr>
        <w:spacing w:after="0" w:line="188" w:lineRule="exact"/>
        <w:rPr>
          <w:sz w:val="20"/>
          <w:szCs w:val="20"/>
          <w:color w:val="auto"/>
        </w:rPr>
      </w:pPr>
    </w:p>
    <w:p>
      <w:pPr>
        <w:ind w:right="2859" w:firstLine="757"/>
        <w:spacing w:after="0" w:line="267" w:lineRule="auto"/>
        <w:rPr>
          <w:sz w:val="20"/>
          <w:szCs w:val="20"/>
          <w:color w:val="auto"/>
        </w:rPr>
      </w:pPr>
      <w:r>
        <w:rPr>
          <w:rFonts w:ascii="Courier New" w:cs="Courier New" w:eastAsia="Courier New" w:hAnsi="Courier New"/>
          <w:sz w:val="15"/>
          <w:szCs w:val="15"/>
          <w:color w:val="auto"/>
        </w:rPr>
        <w:t>In 2000, key markets for Cohu CCTV products are expected to include applications for transportation, machine vision, microscopy and surveillance.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BUSINESSES</w:t>
      </w:r>
    </w:p>
    <w:p>
      <w:pPr>
        <w:spacing w:after="0" w:line="186" w:lineRule="exact"/>
        <w:rPr>
          <w:sz w:val="20"/>
          <w:szCs w:val="20"/>
          <w:color w:val="auto"/>
        </w:rPr>
      </w:pPr>
    </w:p>
    <w:p>
      <w:pPr>
        <w:ind w:right="2579" w:firstLine="757"/>
        <w:spacing w:after="0" w:line="238" w:lineRule="auto"/>
        <w:rPr>
          <w:sz w:val="20"/>
          <w:szCs w:val="20"/>
          <w:color w:val="auto"/>
        </w:rPr>
      </w:pPr>
      <w:r>
        <w:rPr>
          <w:rFonts w:ascii="Courier New" w:cs="Courier New" w:eastAsia="Courier New" w:hAnsi="Courier New"/>
          <w:sz w:val="16"/>
          <w:szCs w:val="16"/>
          <w:color w:val="auto"/>
        </w:rPr>
        <w:t>Fisher Research Laboratory ("FRL") designs, manufactures and sells metal detectors and other underground detection devices for industrial and consumer markets.</w:t>
      </w:r>
    </w:p>
    <w:p>
      <w:pPr>
        <w:spacing w:after="0" w:line="188" w:lineRule="exact"/>
        <w:rPr>
          <w:sz w:val="20"/>
          <w:szCs w:val="20"/>
          <w:color w:val="auto"/>
        </w:rPr>
      </w:pPr>
    </w:p>
    <w:p>
      <w:pPr>
        <w:ind w:right="2679" w:firstLine="757"/>
        <w:spacing w:after="0" w:line="260" w:lineRule="auto"/>
        <w:rPr>
          <w:sz w:val="20"/>
          <w:szCs w:val="20"/>
          <w:color w:val="auto"/>
        </w:rPr>
      </w:pPr>
      <w:r>
        <w:rPr>
          <w:rFonts w:ascii="Courier New" w:cs="Courier New" w:eastAsia="Courier New" w:hAnsi="Courier New"/>
          <w:sz w:val="15"/>
          <w:szCs w:val="15"/>
          <w:color w:val="auto"/>
        </w:rPr>
        <w:t>Industrial products include pipe and cable locators, water leak detectors, property marker locators and instruments for locating reinforcing bars in concrete. FRL's XLT-20 water leak detector can detect the sound of escaping water and pinpoint small leaks in buried pipes to a depth of six feet.</w:t>
      </w:r>
    </w:p>
    <w:p>
      <w:pPr>
        <w:spacing w:after="0" w:line="173" w:lineRule="exact"/>
        <w:rPr>
          <w:sz w:val="20"/>
          <w:szCs w:val="20"/>
          <w:color w:val="auto"/>
        </w:rPr>
      </w:pPr>
    </w:p>
    <w:p>
      <w:pPr>
        <w:ind w:right="2679" w:firstLine="757"/>
        <w:spacing w:after="0" w:line="239" w:lineRule="auto"/>
        <w:rPr>
          <w:sz w:val="20"/>
          <w:szCs w:val="20"/>
          <w:color w:val="auto"/>
        </w:rPr>
      </w:pPr>
      <w:r>
        <w:rPr>
          <w:rFonts w:ascii="Courier New" w:cs="Courier New" w:eastAsia="Courier New" w:hAnsi="Courier New"/>
          <w:sz w:val="16"/>
          <w:szCs w:val="16"/>
          <w:color w:val="auto"/>
        </w:rPr>
        <w:t>Consumer metal detectors include models for prospectors, relic hunters, sport divers and weekend treasure hunters. As with the industrial line, FRL's consumer products have a well earned reputation for quality, performance and durability. As a result, several of the models designed for hobby use are also used by law enforcement agencies, archaeologists and professional treasure salvors.</w:t>
      </w:r>
    </w:p>
    <w:p>
      <w:pPr>
        <w:spacing w:after="0" w:line="190" w:lineRule="exact"/>
        <w:rPr>
          <w:sz w:val="20"/>
          <w:szCs w:val="20"/>
          <w:color w:val="auto"/>
        </w:rPr>
      </w:pPr>
    </w:p>
    <w:p>
      <w:pPr>
        <w:ind w:right="2579" w:firstLine="757"/>
        <w:spacing w:after="0" w:line="259" w:lineRule="auto"/>
        <w:rPr>
          <w:sz w:val="20"/>
          <w:szCs w:val="20"/>
          <w:color w:val="auto"/>
        </w:rPr>
      </w:pPr>
      <w:r>
        <w:rPr>
          <w:rFonts w:ascii="Courier New" w:cs="Courier New" w:eastAsia="Courier New" w:hAnsi="Courier New"/>
          <w:sz w:val="15"/>
          <w:szCs w:val="15"/>
          <w:color w:val="auto"/>
        </w:rPr>
        <w:t>Broadcast Microwave Services, Inc. ("BMS") manufactures high quality microwave radio transmitters, receivers, antenna systems and related support items. These products are used in the transmission of telemetry, data, video and audio signals. BMS customers include government test ranges, law enforcement agencies, unmanned air vehicle programs and television broadcasters.</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74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39"/>
          </w:cols>
          <w:pgMar w:left="320" w:top="295" w:right="1440" w:bottom="1440" w:gutter="0" w:footer="0" w:header="0"/>
          <w:type w:val="continuous"/>
        </w:sectPr>
      </w:pPr>
    </w:p>
    <w:bookmarkStart w:id="24" w:name="page25"/>
    <w:bookmarkEnd w:id="24"/>
    <w:p>
      <w:pPr>
        <w:ind w:left="283"/>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ind w:left="183" w:hanging="183"/>
        <w:spacing w:after="0"/>
        <w:tabs>
          <w:tab w:leader="none" w:pos="1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par value)</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560" w:type="dxa"/>
            <w:vAlign w:val="bottom"/>
          </w:tcPr>
          <w:p>
            <w:pPr>
              <w:spacing w:after="0"/>
              <w:rPr>
                <w:sz w:val="15"/>
                <w:szCs w:val="15"/>
                <w:color w:val="auto"/>
              </w:rPr>
            </w:pPr>
          </w:p>
        </w:tc>
        <w:tc>
          <w:tcPr>
            <w:tcW w:w="20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5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$ 55,954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$ 74,446</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Short-term investments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25,646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12,257</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of $1,981 in 1999 and $1,338 in 1998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52,262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18,800</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Raw materials and purchased parts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21,257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12,977</w:t>
            </w: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Work in process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18,768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5,927</w:t>
            </w: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Finished goods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15,621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6,973</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55,646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25,877</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Deferred income taxes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11,231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10,477</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Prepaid expenses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2,030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1,541</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Total current assets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202,769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143,398</w:t>
            </w: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Land and land improvements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2,501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2,501</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Buildings and building improvements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12,507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12,102</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Machinery and equipment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19,849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17,801</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34,857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32,404</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17,841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14,791</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Net property, plant and equipment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17,016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17,613</w:t>
            </w: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Goodwill, net of accumulated amortization of $2,260 in 1999 and $1,972 in 1998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1,155</w:t>
            </w: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$220,733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$162,231</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$ 13,042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3,016</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Income taxes payable</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6,778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3,070</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Accrued compensation and benefits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7,954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5,369</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Accrued warranty</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5,738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4,060</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Customer advances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18,530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3,978</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Other accrued liabilities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4,677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3,762</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Total current liabilities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56,719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23,255</w:t>
            </w: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Accrued retiree medical benefits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993</w:t>
            </w: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520</w:t>
            </w:r>
          </w:p>
        </w:tc>
      </w:tr>
      <w:tr>
        <w:trPr>
          <w:trHeight w:val="364"/>
        </w:trPr>
        <w:tc>
          <w:tcPr>
            <w:tcW w:w="7560" w:type="dxa"/>
            <w:vAlign w:val="bottom"/>
          </w:tcPr>
          <w:p>
            <w:pPr>
              <w:spacing w:after="0"/>
              <w:rPr>
                <w:sz w:val="20"/>
                <w:szCs w:val="20"/>
                <w:color w:val="auto"/>
              </w:rPr>
            </w:pPr>
            <w:r>
              <w:rPr>
                <w:rFonts w:ascii="Courier New" w:cs="Courier New" w:eastAsia="Courier New" w:hAnsi="Courier New"/>
                <w:sz w:val="16"/>
                <w:szCs w:val="16"/>
                <w:color w:val="auto"/>
              </w:rPr>
              <w:t>Commitments</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75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Preferred stock, $1 par value; 1,000 shares authorized, none issued</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Common stock, $1 par value; 40,000 shares authorized, 19,938 shares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issued and outstanding in 1999 and 9,779 shares in 1998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19,938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9,779</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Paid in excess of par</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3,539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11,169</w:t>
            </w:r>
          </w:p>
        </w:tc>
      </w:tr>
      <w:tr>
        <w:trPr>
          <w:trHeight w:val="182"/>
        </w:trPr>
        <w:tc>
          <w:tcPr>
            <w:tcW w:w="7560" w:type="dxa"/>
            <w:vAlign w:val="bottom"/>
          </w:tcPr>
          <w:p>
            <w:pPr>
              <w:ind w:left="480"/>
              <w:spacing w:after="0"/>
              <w:rPr>
                <w:sz w:val="20"/>
                <w:szCs w:val="20"/>
                <w:color w:val="auto"/>
              </w:rPr>
            </w:pPr>
            <w:r>
              <w:rPr>
                <w:rFonts w:ascii="Courier New" w:cs="Courier New" w:eastAsia="Courier New" w:hAnsi="Courier New"/>
                <w:sz w:val="16"/>
                <w:szCs w:val="16"/>
                <w:color w:val="auto"/>
              </w:rPr>
              <w:t>Retained earnings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138,879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116,515</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ind w:left="940"/>
              <w:spacing w:after="0"/>
              <w:rPr>
                <w:sz w:val="20"/>
                <w:szCs w:val="20"/>
                <w:color w:val="auto"/>
              </w:rPr>
            </w:pPr>
            <w:r>
              <w:rPr>
                <w:rFonts w:ascii="Courier New" w:cs="Courier New" w:eastAsia="Courier New" w:hAnsi="Courier New"/>
                <w:sz w:val="16"/>
                <w:szCs w:val="16"/>
                <w:color w:val="auto"/>
              </w:rPr>
              <w:t>Total stockholders' equity</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162,356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137,463</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$220,733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$162,231</w:t>
            </w:r>
          </w:p>
        </w:tc>
      </w:tr>
      <w:tr>
        <w:trPr>
          <w:trHeight w:val="182"/>
        </w:trPr>
        <w:tc>
          <w:tcPr>
            <w:tcW w:w="756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142"/>
          </w:cols>
          <w:pgMar w:left="317" w:top="295"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42"/>
          </w:cols>
          <w:pgMar w:left="317" w:top="295" w:right="1440" w:bottom="1440" w:gutter="0" w:footer="0" w:header="0"/>
          <w:type w:val="continuous"/>
        </w:sectPr>
      </w:pPr>
    </w:p>
    <w:bookmarkStart w:id="25" w:name="page26"/>
    <w:bookmarkEnd w:id="25"/>
    <w:p>
      <w:pPr>
        <w:ind w:left="283"/>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5" w:lineRule="exact"/>
        <w:rPr>
          <w:sz w:val="20"/>
          <w:szCs w:val="20"/>
          <w:color w:val="auto"/>
        </w:rPr>
      </w:pPr>
    </w:p>
    <w:p>
      <w:pPr>
        <w:ind w:left="183" w:hanging="183"/>
        <w:spacing w:after="0"/>
        <w:tabs>
          <w:tab w:leader="none" w:pos="18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rPr>
              <w:t>Years ended December 31,</w:t>
            </w:r>
          </w:p>
        </w:tc>
      </w:tr>
      <w:tr>
        <w:trPr>
          <w:trHeight w:val="182"/>
        </w:trPr>
        <w:tc>
          <w:tcPr>
            <w:tcW w:w="3960" w:type="dxa"/>
            <w:vAlign w:val="bottom"/>
          </w:tcPr>
          <w:p>
            <w:pPr>
              <w:spacing w:after="0"/>
              <w:rPr>
                <w:sz w:val="15"/>
                <w:szCs w:val="15"/>
                <w:color w:val="auto"/>
              </w:rPr>
            </w:pPr>
          </w:p>
        </w:tc>
        <w:tc>
          <w:tcPr>
            <w:tcW w:w="32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$208,780</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$171,511</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$187,756</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Cost and expenses: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Cost of sales</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126,712</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116,427</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105,991</w:t>
            </w: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20,534</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20,400</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17,513</w:t>
            </w: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Selling, general and administrative</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26,879</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21,107</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21,364</w:t>
            </w: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Goodwill write-down</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174,125</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158,934</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144,868</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34,655</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12,577</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42,888</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4,271</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3,469</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2,999</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38,926</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16,046</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45,887</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13,000</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4,400</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16,700</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$ 25,926</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$ 11,646</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$ 29,187</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1.55</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Weighted average shares used in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960" w:type="dxa"/>
            <w:vAlign w:val="bottom"/>
          </w:tcPr>
          <w:p>
            <w:pPr>
              <w:ind w:left="180"/>
              <w:spacing w:after="0"/>
              <w:rPr>
                <w:sz w:val="20"/>
                <w:szCs w:val="20"/>
                <w:color w:val="auto"/>
              </w:rPr>
            </w:pPr>
            <w:r>
              <w:rPr>
                <w:rFonts w:ascii="Courier New" w:cs="Courier New" w:eastAsia="Courier New" w:hAnsi="Courier New"/>
                <w:sz w:val="16"/>
                <w:szCs w:val="16"/>
                <w:color w:val="auto"/>
              </w:rPr>
              <w:t>computing earnings per share: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19,763</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19,452</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18,874</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20,502</w:t>
            </w:r>
          </w:p>
        </w:tc>
        <w:tc>
          <w:tcPr>
            <w:tcW w:w="2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19,940</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19,900</w:t>
            </w:r>
          </w:p>
        </w:tc>
      </w:tr>
      <w:tr>
        <w:trPr>
          <w:trHeight w:val="182"/>
        </w:trPr>
        <w:tc>
          <w:tcPr>
            <w:tcW w:w="3960" w:type="dxa"/>
            <w:vAlign w:val="bottom"/>
          </w:tcPr>
          <w:p>
            <w:pPr>
              <w:spacing w:after="0"/>
              <w:rPr>
                <w:sz w:val="15"/>
                <w:szCs w:val="15"/>
                <w:color w:val="auto"/>
              </w:rPr>
            </w:pP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6" w:lineRule="exact"/>
        <w:rPr>
          <w:sz w:val="20"/>
          <w:szCs w:val="20"/>
          <w:color w:val="auto"/>
        </w:rPr>
      </w:pPr>
    </w:p>
    <w:p>
      <w:pPr>
        <w:ind w:left="746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42"/>
          </w:cols>
          <w:pgMar w:left="317" w:top="29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180" w:type="dxa"/>
            <w:vAlign w:val="bottom"/>
          </w:tcPr>
          <w:p>
            <w:pPr>
              <w:spacing w:after="0"/>
              <w:rPr>
                <w:sz w:val="15"/>
                <w:szCs w:val="15"/>
                <w:color w:val="auto"/>
              </w:rPr>
            </w:pPr>
          </w:p>
        </w:tc>
        <w:tc>
          <w:tcPr>
            <w:tcW w:w="6540" w:type="dxa"/>
            <w:vAlign w:val="bottom"/>
          </w:tcPr>
          <w:p>
            <w:pPr>
              <w:ind w:left="100"/>
              <w:spacing w:after="0"/>
              <w:rPr>
                <w:sz w:val="20"/>
                <w:szCs w:val="20"/>
                <w:color w:val="auto"/>
              </w:rPr>
            </w:pPr>
            <w:r>
              <w:rPr>
                <w:rFonts w:ascii="Courier New" w:cs="Courier New" w:eastAsia="Courier New" w:hAnsi="Courier New"/>
                <w:sz w:val="16"/>
                <w:szCs w:val="16"/>
                <w:color w:val="auto"/>
              </w:rPr>
              <w:t>9</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46"/>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CASH FLOWS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94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28"/>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(in thousands)</w:t>
            </w:r>
          </w:p>
        </w:tc>
        <w:tc>
          <w:tcPr>
            <w:tcW w:w="350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Years ended December 31,</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$ 25,926</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$ 11,646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$ 29,187</w:t>
            </w: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Adjustments to reconcile net income to net cash provided</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480"/>
              <w:spacing w:after="0"/>
              <w:rPr>
                <w:sz w:val="20"/>
                <w:szCs w:val="20"/>
                <w:color w:val="auto"/>
              </w:rPr>
            </w:pPr>
            <w:r>
              <w:rPr>
                <w:rFonts w:ascii="Courier New" w:cs="Courier New" w:eastAsia="Courier New" w:hAnsi="Courier New"/>
                <w:sz w:val="16"/>
                <w:szCs w:val="16"/>
                <w:color w:val="auto"/>
              </w:rPr>
              <w:t>from operating activities:</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Depreciation and amortization</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3,294</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2,799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2,148</w:t>
            </w: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Loss on asset write-downs and disposals</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420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Goodwill write-down</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Purchase consideration paid with stock</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551</w:t>
            </w: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Deferred income taxes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204</w:t>
            </w: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Increase (decrease) in accrued retiree medical benefits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w:t>
            </w: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Changes in assets and liabilities:</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Accounts receivable</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(33,462)</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13,134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(12,764)</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Inventories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(29,769)</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19,022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(29,317)</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Prepaid expenses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Accounts payable</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10,026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(13,150)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11,702</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Income taxes payable</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4,120</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2,669</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Customer advances</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14,552</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3,978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Accrued compensation, warranty and other liabilities</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5,178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(2,551)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1,176</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Net cash provided from (used for) operating activities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(1,233)</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35,637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5,332</w:t>
            </w:r>
          </w:p>
        </w:tc>
      </w:tr>
      <w:tr>
        <w:trPr>
          <w:trHeight w:val="182"/>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Purchases of short-term investments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(22,429)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(21,280)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(23,779)</w:t>
            </w: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Maturities of short-term investments</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9,040</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22,837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38,291</w:t>
            </w: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(2,409)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(1,726)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(4,129)</w:t>
            </w: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Other assets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Net cash provided from (used for) investing activities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(15,814)</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10,343</w:t>
            </w:r>
          </w:p>
        </w:tc>
      </w:tr>
      <w:tr>
        <w:trPr>
          <w:trHeight w:val="182"/>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Issuance of stock, net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2,117</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2,322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1,671</w:t>
            </w: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Dividends paid</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(3,562)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(3,116)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(2,270)</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15"/>
                <w:szCs w:val="15"/>
                <w:color w:val="auto"/>
              </w:rPr>
            </w:pPr>
          </w:p>
        </w:tc>
        <w:tc>
          <w:tcPr>
            <w:tcW w:w="6540" w:type="dxa"/>
            <w:vAlign w:val="bottom"/>
          </w:tcPr>
          <w:p>
            <w:pPr>
              <w:ind w:left="1240"/>
              <w:spacing w:after="0"/>
              <w:rPr>
                <w:sz w:val="20"/>
                <w:szCs w:val="20"/>
                <w:color w:val="auto"/>
              </w:rPr>
            </w:pPr>
            <w:r>
              <w:rPr>
                <w:rFonts w:ascii="Courier New" w:cs="Courier New" w:eastAsia="Courier New" w:hAnsi="Courier New"/>
                <w:sz w:val="16"/>
                <w:szCs w:val="16"/>
                <w:color w:val="auto"/>
              </w:rPr>
              <w:t>Net cash used for financing activities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(1,445)</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(599)</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(18,492)</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34,710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15,076</w:t>
            </w:r>
          </w:p>
        </w:tc>
      </w:tr>
      <w:tr>
        <w:trPr>
          <w:trHeight w:val="182"/>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74,446</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39,736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24,660</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at end of year</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$ 55,954</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$ 74,446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$ 39,736</w:t>
            </w:r>
          </w:p>
        </w:tc>
      </w:tr>
      <w:tr>
        <w:trPr>
          <w:trHeight w:val="182"/>
        </w:trPr>
        <w:tc>
          <w:tcPr>
            <w:tcW w:w="1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Cash paid during the year for:</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Income taxes, net of refunds</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9,480</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5,191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$ 13,827</w:t>
            </w:r>
          </w:p>
        </w:tc>
      </w:tr>
      <w:tr>
        <w:trPr>
          <w:trHeight w:val="910"/>
        </w:trPr>
        <w:tc>
          <w:tcPr>
            <w:tcW w:w="18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6540" w:type="dxa"/>
            <w:vAlign w:val="bottom"/>
          </w:tcPr>
          <w:p>
            <w:pPr>
              <w:ind w:left="3120"/>
              <w:spacing w:after="0"/>
              <w:rPr>
                <w:sz w:val="20"/>
                <w:szCs w:val="20"/>
                <w:color w:val="auto"/>
              </w:rPr>
            </w:pPr>
            <w:r>
              <w:rPr>
                <w:rFonts w:ascii="Courier New" w:cs="Courier New" w:eastAsia="Courier New" w:hAnsi="Courier New"/>
                <w:sz w:val="16"/>
                <w:szCs w:val="16"/>
                <w:color w:val="auto"/>
              </w:rPr>
              <w:t>upper half</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0"/>
          </w:cols>
          <w:pgMar w:left="320" w:top="295" w:right="135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 except par value and per share amounts)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00" w:type="dxa"/>
            <w:vAlign w:val="bottom"/>
            <w:gridSpan w:val="5"/>
          </w:tcPr>
          <w:p>
            <w:pPr>
              <w:jc w:val="right"/>
              <w:ind w:right="681"/>
              <w:spacing w:after="0"/>
              <w:rPr>
                <w:sz w:val="20"/>
                <w:szCs w:val="20"/>
                <w:color w:val="auto"/>
              </w:rPr>
            </w:pPr>
            <w:r>
              <w:rPr>
                <w:rFonts w:ascii="Courier New" w:cs="Courier New" w:eastAsia="Courier New" w:hAnsi="Courier New"/>
                <w:sz w:val="16"/>
                <w:szCs w:val="16"/>
                <w:color w:val="auto"/>
              </w:rPr>
              <w:t>Years ended December 31, 1999, 1998 and 1997</w:t>
            </w: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86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Common stock</w:t>
            </w:r>
          </w:p>
        </w:tc>
        <w:tc>
          <w:tcPr>
            <w:tcW w:w="16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Paid in</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Retained</w:t>
            </w:r>
          </w:p>
        </w:tc>
        <w:tc>
          <w:tcPr>
            <w:tcW w:w="122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 par value</w:t>
            </w:r>
          </w:p>
        </w:tc>
        <w:tc>
          <w:tcPr>
            <w:tcW w:w="16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excess of par</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earnings</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1996</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9,341</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5,863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81,068</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96,272</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Cash dividends - $.12 per share</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(2,270)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(2,270)</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Daymarc acquisition</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533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551</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Repurchase and retirement of stock</w:t>
            </w:r>
          </w:p>
        </w:tc>
        <w:tc>
          <w:tcPr>
            <w:tcW w:w="56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w:t>
            </w:r>
          </w:p>
        </w:tc>
        <w:tc>
          <w:tcPr>
            <w:tcW w:w="5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Exercise of stock options</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185</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1,350</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1,535</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under employee stock purchase plan</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198</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206</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Tax benefit from stock options</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800</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800</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29,187</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29,187</w:t>
            </w: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1997</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9,549</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8,677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107,985</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126,211</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Cash dividends - $.16 per share</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(3,116)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(3,116)</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Repurchase and retirement of stock</w:t>
            </w:r>
          </w:p>
        </w:tc>
        <w:tc>
          <w:tcPr>
            <w:tcW w:w="56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c>
          <w:tcPr>
            <w:tcW w:w="5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Exercise of stock options</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195</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1,452</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1,647</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under employee stock purchase plan</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703</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Tax benefit from stock options</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400</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11,646</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11,646</w:t>
            </w: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1998</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9,779</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11,169</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116,515</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137,463</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Two-for-one stock split</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9,779</w:t>
            </w:r>
          </w:p>
        </w:tc>
        <w:tc>
          <w:tcPr>
            <w:tcW w:w="5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(9,779)</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Cash dividends - $.18 per share</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(3,562)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(3,562)</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Repurchase and retirement of stock</w:t>
            </w:r>
          </w:p>
        </w:tc>
        <w:tc>
          <w:tcPr>
            <w:tcW w:w="56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w:t>
            </w:r>
          </w:p>
        </w:tc>
        <w:tc>
          <w:tcPr>
            <w:tcW w:w="5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(349)</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Exercise of stock options</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328</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1,831</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under employee stock purchase plan</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75</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658</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Tax benefit from stock options</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412</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412</w:t>
            </w:r>
          </w:p>
        </w:tc>
      </w:tr>
      <w:tr>
        <w:trPr>
          <w:trHeight w:val="182"/>
        </w:trPr>
        <w:tc>
          <w:tcPr>
            <w:tcW w:w="2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25,926</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25,926</w:t>
            </w: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1999</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19,938</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3,539</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$ 138,879</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$ 162,356</w:t>
            </w:r>
          </w:p>
        </w:tc>
      </w:tr>
      <w:tr>
        <w:trPr>
          <w:trHeight w:val="182"/>
        </w:trPr>
        <w:tc>
          <w:tcPr>
            <w:tcW w:w="2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rPr>
              <w:t>See accompanying notes.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28"/>
        </w:trPr>
        <w:tc>
          <w:tcPr>
            <w:tcW w:w="28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4920" w:type="dxa"/>
            <w:vAlign w:val="bottom"/>
          </w:tcPr>
          <w:p>
            <w:pPr>
              <w:ind w:left="2940"/>
              <w:spacing w:after="0"/>
              <w:rPr>
                <w:sz w:val="20"/>
                <w:szCs w:val="20"/>
                <w:color w:val="auto"/>
              </w:rPr>
            </w:pPr>
            <w:r>
              <w:rPr>
                <w:rFonts w:ascii="Courier New" w:cs="Courier New" w:eastAsia="Courier New" w:hAnsi="Courier New"/>
                <w:sz w:val="16"/>
                <w:szCs w:val="16"/>
                <w:color w:val="auto"/>
              </w:rPr>
              <w:t>bottom half</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060"/>
          </w:cols>
          <w:pgMar w:left="320" w:top="295" w:right="519" w:bottom="1440" w:gutter="0" w:footer="0" w:header="0"/>
        </w:sectPr>
      </w:pPr>
    </w:p>
    <w:bookmarkStart w:id="28" w:name="page29"/>
    <w:bookmarkEnd w:id="28"/>
    <w:p>
      <w:pPr>
        <w:spacing w:after="0" w:line="28"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183" w:hanging="183"/>
        <w:spacing w:after="0"/>
        <w:tabs>
          <w:tab w:leader="none" w:pos="18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 SUMMARY OF SIGNIFICANT ACCOUNTING POLICIES</w:t>
      </w:r>
    </w:p>
    <w:p>
      <w:pPr>
        <w:spacing w:after="0" w:line="186" w:lineRule="exact"/>
        <w:rPr>
          <w:sz w:val="20"/>
          <w:szCs w:val="20"/>
          <w:color w:val="auto"/>
        </w:rPr>
      </w:pPr>
    </w:p>
    <w:p>
      <w:pPr>
        <w:ind w:left="3" w:right="2679" w:firstLine="284"/>
        <w:spacing w:after="0" w:line="239" w:lineRule="auto"/>
        <w:rPr>
          <w:sz w:val="20"/>
          <w:szCs w:val="20"/>
          <w:color w:val="auto"/>
        </w:rPr>
      </w:pPr>
      <w:r>
        <w:rPr>
          <w:rFonts w:ascii="Courier New" w:cs="Courier New" w:eastAsia="Courier New" w:hAnsi="Courier New"/>
          <w:sz w:val="16"/>
          <w:szCs w:val="16"/>
          <w:color w:val="auto"/>
        </w:rPr>
        <w:t>PRESENTATION - The consolidated financial statements include the accounts of Cohu, Inc. and its wholly-owned subsidiaries (the "Company"). All significant intercompany accounts and balances have been eliminated in consolidation. Certain amounts in the December 31, 1998 consolidated balance sheet have been reclassified to conform to the 1999 presentation.</w:t>
      </w:r>
    </w:p>
    <w:p>
      <w:pPr>
        <w:spacing w:after="0" w:line="189" w:lineRule="exact"/>
        <w:rPr>
          <w:sz w:val="20"/>
          <w:szCs w:val="20"/>
          <w:color w:val="auto"/>
        </w:rPr>
      </w:pPr>
    </w:p>
    <w:p>
      <w:pPr>
        <w:ind w:left="3" w:right="2579" w:firstLine="284"/>
        <w:spacing w:after="0"/>
        <w:rPr>
          <w:sz w:val="20"/>
          <w:szCs w:val="20"/>
          <w:color w:val="auto"/>
        </w:rPr>
      </w:pPr>
      <w:r>
        <w:rPr>
          <w:rFonts w:ascii="Courier New" w:cs="Courier New" w:eastAsia="Courier New" w:hAnsi="Courier New"/>
          <w:sz w:val="16"/>
          <w:szCs w:val="16"/>
          <w:color w:val="auto"/>
        </w:rPr>
        <w:t>INVESTMENTS - Highly liquid investments with insigni-ficant interest rate risk and original maturities of three months or less are classified as cash and cash equivalents. Investments with maturities greater than three months are classified as short-term investments. All of the Company's investments are classified as available-for-sale and are reported at fair value with unrealized gains and losses, net of tax, recorded in stockholders' equity. Gross unrealized gains and losses were not significant at December 31, 1999 and 1998. The Company manages its cash equivalents and short-term investments as a single portfolio of highly marketable securities, all of which are intended to be available for the Company's current operations.</w:t>
      </w:r>
    </w:p>
    <w:p>
      <w:pPr>
        <w:spacing w:after="0" w:line="188" w:lineRule="exact"/>
        <w:rPr>
          <w:sz w:val="20"/>
          <w:szCs w:val="20"/>
          <w:color w:val="auto"/>
        </w:rPr>
      </w:pPr>
    </w:p>
    <w:p>
      <w:pPr>
        <w:ind w:left="3" w:right="2579" w:firstLine="284"/>
        <w:spacing w:after="0"/>
        <w:rPr>
          <w:sz w:val="20"/>
          <w:szCs w:val="20"/>
          <w:color w:val="auto"/>
        </w:rPr>
      </w:pPr>
      <w:r>
        <w:rPr>
          <w:rFonts w:ascii="Courier New" w:cs="Courier New" w:eastAsia="Courier New" w:hAnsi="Courier New"/>
          <w:sz w:val="16"/>
          <w:szCs w:val="16"/>
          <w:color w:val="auto"/>
        </w:rPr>
        <w:t>CONCENTRATION OF CREDIT RISK - Financial instruments that potentially subject the Company to significant credit risk consist principally of cash equivalents, short-term investments and trade accounts receivable. The Company invests in a variety of financial instruments and by policy limits the amount of credit exposure with any one issuer. The Company's customers include semiconductor manufacturers and others located throughout the world. The Company performs ongoing credit evaluations of its customers and generally requires no collateral.</w:t>
      </w:r>
    </w:p>
    <w:p>
      <w:pPr>
        <w:spacing w:after="0" w:line="187" w:lineRule="exact"/>
        <w:rPr>
          <w:sz w:val="20"/>
          <w:szCs w:val="20"/>
          <w:color w:val="auto"/>
        </w:rPr>
      </w:pPr>
    </w:p>
    <w:p>
      <w:pPr>
        <w:ind w:left="3" w:right="2859" w:firstLine="284"/>
        <w:spacing w:after="0" w:line="237" w:lineRule="auto"/>
        <w:rPr>
          <w:sz w:val="20"/>
          <w:szCs w:val="20"/>
          <w:color w:val="auto"/>
        </w:rPr>
      </w:pPr>
      <w:r>
        <w:rPr>
          <w:rFonts w:ascii="Courier New" w:cs="Courier New" w:eastAsia="Courier New" w:hAnsi="Courier New"/>
          <w:sz w:val="16"/>
          <w:szCs w:val="16"/>
          <w:color w:val="auto"/>
        </w:rPr>
        <w:t>INVENTORIES - Inventories are stated at the lower of cost, determined on a current average or first-in, first-out basis, or market.</w:t>
      </w:r>
    </w:p>
    <w:p>
      <w:pPr>
        <w:spacing w:after="0" w:line="188" w:lineRule="exact"/>
        <w:rPr>
          <w:sz w:val="20"/>
          <w:szCs w:val="20"/>
          <w:color w:val="auto"/>
        </w:rPr>
      </w:pPr>
    </w:p>
    <w:p>
      <w:pPr>
        <w:ind w:left="3" w:right="2579" w:firstLine="284"/>
        <w:spacing w:after="0"/>
        <w:rPr>
          <w:sz w:val="20"/>
          <w:szCs w:val="20"/>
          <w:color w:val="auto"/>
        </w:rPr>
      </w:pPr>
      <w:r>
        <w:rPr>
          <w:rFonts w:ascii="Courier New" w:cs="Courier New" w:eastAsia="Courier New" w:hAnsi="Courier New"/>
          <w:sz w:val="16"/>
          <w:szCs w:val="16"/>
          <w:color w:val="auto"/>
        </w:rPr>
        <w:t>LONG-LIVED ASSETS - Depreciation and amortization of property, plant and equipment is calculated principally on the straight-line method based on estimated useful lives of five to forty years for buildings and building improvements and three to ten years for machinery and equipment. Through December 31, 1998, goodwill was amortized on the straight-line method over twenty years. Commencing January 1999, goodwill is being amortized over four years. The carrying amount and useful life of long-lived assets are reviewed if facts and circumstances suggest there has been impairment. If this review indicates that long-lived assets will not be recoverable, as determined based on estimated undiscounted cash flows, the carrying amount and useful life are reduced.</w:t>
      </w:r>
    </w:p>
    <w:p>
      <w:pPr>
        <w:spacing w:after="0" w:line="189" w:lineRule="exact"/>
        <w:rPr>
          <w:sz w:val="20"/>
          <w:szCs w:val="20"/>
          <w:color w:val="auto"/>
        </w:rPr>
      </w:pPr>
    </w:p>
    <w:p>
      <w:pPr>
        <w:ind w:left="3" w:right="2579" w:firstLine="284"/>
        <w:spacing w:after="0" w:line="239" w:lineRule="auto"/>
        <w:rPr>
          <w:sz w:val="20"/>
          <w:szCs w:val="20"/>
          <w:color w:val="auto"/>
        </w:rPr>
      </w:pPr>
      <w:r>
        <w:rPr>
          <w:rFonts w:ascii="Courier New" w:cs="Courier New" w:eastAsia="Courier New" w:hAnsi="Courier New"/>
          <w:sz w:val="16"/>
          <w:szCs w:val="16"/>
          <w:color w:val="auto"/>
        </w:rPr>
        <w:t>STOCK SPLIT - On August 19, 1999, the Company's Board of Directors authorized a two-for-one stock split in the form of a 100% stock dividend that was paid September 24, 1999, to stockholders of record on September 3, 1999. All per share and certain share amounts included herein have been restated to reflect the split.</w:t>
      </w:r>
    </w:p>
    <w:p>
      <w:pPr>
        <w:spacing w:after="0" w:line="189" w:lineRule="exact"/>
        <w:rPr>
          <w:sz w:val="20"/>
          <w:szCs w:val="20"/>
          <w:color w:val="auto"/>
        </w:rPr>
      </w:pPr>
    </w:p>
    <w:p>
      <w:pPr>
        <w:ind w:left="3" w:right="2579" w:firstLine="284"/>
        <w:spacing w:after="0"/>
        <w:rPr>
          <w:sz w:val="20"/>
          <w:szCs w:val="20"/>
          <w:color w:val="auto"/>
        </w:rPr>
      </w:pPr>
      <w:r>
        <w:rPr>
          <w:rFonts w:ascii="Courier New" w:cs="Courier New" w:eastAsia="Courier New" w:hAnsi="Courier New"/>
          <w:sz w:val="16"/>
          <w:szCs w:val="16"/>
          <w:color w:val="auto"/>
        </w:rPr>
        <w:t>EARNINGS PER SHARE - Earnings per share are computed in accordance with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In 1999 and 1998 options to purchase 100,000 and 476,000 shares, respectively, of common stock at average exercise prices of $18.71 and $16.81, respectively, were excluded from the diluted computation. The following table reconciles the denominators used in computing basic and diluted earnings per share:</w:t>
      </w:r>
    </w:p>
    <w:p>
      <w:pPr>
        <w:spacing w:after="0" w:line="200" w:lineRule="exact"/>
        <w:rPr>
          <w:sz w:val="20"/>
          <w:szCs w:val="20"/>
          <w:color w:val="auto"/>
        </w:rPr>
      </w:pPr>
    </w:p>
    <w:p>
      <w:pPr>
        <w:spacing w:after="0" w:line="348" w:lineRule="exact"/>
        <w:rPr>
          <w:sz w:val="20"/>
          <w:szCs w:val="20"/>
          <w:color w:val="auto"/>
        </w:rPr>
      </w:pPr>
    </w:p>
    <w:tbl>
      <w:tblPr>
        <w:tblLayout w:type="fixed"/>
        <w:tblInd w:w="943" w:type="dxa"/>
        <w:tblCellMar>
          <w:top w:w="0" w:type="dxa"/>
          <w:left w:w="0" w:type="dxa"/>
          <w:bottom w:w="0" w:type="dxa"/>
          <w:right w:w="0" w:type="dxa"/>
        </w:tblCellMar>
      </w:tblPr>
      <w:tr>
        <w:trPr>
          <w:trHeight w:val="181"/>
        </w:trPr>
        <w:tc>
          <w:tcPr>
            <w:tcW w:w="24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24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46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246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19,763</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19,452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18,874</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Effect of dilutive</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460" w:type="dxa"/>
            <w:vAlign w:val="bottom"/>
          </w:tcPr>
          <w:p>
            <w:pPr>
              <w:ind w:left="200"/>
              <w:spacing w:after="0"/>
              <w:rPr>
                <w:sz w:val="20"/>
                <w:szCs w:val="20"/>
                <w:color w:val="auto"/>
              </w:rPr>
            </w:pPr>
            <w:r>
              <w:rPr>
                <w:rFonts w:ascii="Courier New" w:cs="Courier New" w:eastAsia="Courier New" w:hAnsi="Courier New"/>
                <w:sz w:val="16"/>
                <w:szCs w:val="16"/>
                <w:color w:val="auto"/>
              </w:rPr>
              <w:t>stock options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739</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488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1,026</w:t>
            </w:r>
          </w:p>
        </w:tc>
      </w:tr>
      <w:tr>
        <w:trPr>
          <w:trHeight w:val="182"/>
        </w:trPr>
        <w:tc>
          <w:tcPr>
            <w:tcW w:w="24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20,502</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19,940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19,900</w:t>
            </w:r>
          </w:p>
        </w:tc>
      </w:tr>
      <w:tr>
        <w:trPr>
          <w:trHeight w:val="182"/>
        </w:trPr>
        <w:tc>
          <w:tcPr>
            <w:tcW w:w="24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579" w:firstLine="284"/>
        <w:spacing w:after="0" w:line="258" w:lineRule="auto"/>
        <w:rPr>
          <w:sz w:val="20"/>
          <w:szCs w:val="20"/>
          <w:color w:val="auto"/>
        </w:rPr>
      </w:pPr>
      <w:r>
        <w:rPr>
          <w:rFonts w:ascii="Courier New" w:cs="Courier New" w:eastAsia="Courier New" w:hAnsi="Courier New"/>
          <w:sz w:val="15"/>
          <w:szCs w:val="15"/>
          <w:color w:val="auto"/>
        </w:rPr>
        <w:t>REVENUE RECOGNITION - Revenue is generally recognized upon shipment or, in instances where products are required to meet certain customer requirements, upon successful completion of such requirements. During 1999 the Company shipped a significant number of its new Summit test handlers. At December 31, 1999 the Summit handlers had not met certain customer acceptance requirements. In accordance with Staff Accounting Bulletin No. 101, revenue on these shipments will be recognized in 2000 upon customer acceptance. Customer payments received on these shipments totaling approximately $18.5 million at December 31, 1999 have been recorded as customer advances in the consolidated balance sheet. Product warranty costs are accrued in the period sales are recognized.</w:t>
      </w:r>
    </w:p>
    <w:p>
      <w:pPr>
        <w:spacing w:after="0" w:line="170"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STOCK BASED COMPENSATION - The Company applies APB Opinion No. 25 and related</w:t>
      </w:r>
    </w:p>
    <w:p>
      <w:pPr>
        <w:sectPr>
          <w:pgSz w:w="11900" w:h="16867" w:orient="portrait"/>
          <w:cols w:equalWidth="0" w:num="1">
            <w:col w:w="10142"/>
          </w:cols>
          <w:pgMar w:left="317" w:top="295" w:right="1440" w:bottom="0" w:gutter="0" w:footer="0" w:header="0"/>
        </w:sectPr>
      </w:pPr>
    </w:p>
    <w:bookmarkStart w:id="29" w:name="page30"/>
    <w:bookmarkEnd w:id="29"/>
    <w:p>
      <w:pPr>
        <w:ind w:right="2759"/>
        <w:spacing w:after="0" w:line="237" w:lineRule="auto"/>
        <w:rPr>
          <w:sz w:val="20"/>
          <w:szCs w:val="20"/>
          <w:color w:val="auto"/>
        </w:rPr>
      </w:pPr>
      <w:r>
        <w:rPr>
          <w:rFonts w:ascii="Courier New" w:cs="Courier New" w:eastAsia="Courier New" w:hAnsi="Courier New"/>
          <w:sz w:val="16"/>
          <w:szCs w:val="16"/>
          <w:color w:val="auto"/>
        </w:rPr>
        <w:t>interpretations in accounting for its stock option and employee stock purchase plans.</w:t>
      </w:r>
    </w:p>
    <w:p>
      <w:pPr>
        <w:spacing w:after="0" w:line="188" w:lineRule="exact"/>
        <w:rPr>
          <w:sz w:val="20"/>
          <w:szCs w:val="20"/>
          <w:color w:val="auto"/>
        </w:rPr>
      </w:pPr>
    </w:p>
    <w:p>
      <w:pPr>
        <w:ind w:right="2579" w:firstLine="284"/>
        <w:spacing w:after="0"/>
        <w:rPr>
          <w:sz w:val="20"/>
          <w:szCs w:val="20"/>
          <w:color w:val="auto"/>
        </w:rPr>
      </w:pPr>
      <w:r>
        <w:rPr>
          <w:rFonts w:ascii="Courier New" w:cs="Courier New" w:eastAsia="Courier New" w:hAnsi="Courier New"/>
          <w:sz w:val="16"/>
          <w:szCs w:val="16"/>
          <w:color w:val="auto"/>
        </w:rPr>
        <w:t>USE OF ESTIMATES - The preparation of financial statements in conformity with generally accepted accounting principles requires management to make estimates and assumptions about the future that affect the amounts reported in the consolidated financial statements. These estimates include assessing the collectibility of accounts receivable, usage and recoverability of inventory and long-lived assets and incurrence of warranty costs. Actual results could differ from those estimates.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1998 FOURTH QUARTER ADJUSTMENTS</w:t>
      </w:r>
    </w:p>
    <w:p>
      <w:pPr>
        <w:spacing w:after="0" w:line="186" w:lineRule="exact"/>
        <w:rPr>
          <w:sz w:val="20"/>
          <w:szCs w:val="20"/>
          <w:color w:val="auto"/>
        </w:rPr>
      </w:pPr>
    </w:p>
    <w:p>
      <w:pPr>
        <w:ind w:right="2579" w:firstLine="757"/>
        <w:spacing w:after="0" w:line="259" w:lineRule="auto"/>
        <w:rPr>
          <w:sz w:val="20"/>
          <w:szCs w:val="20"/>
          <w:color w:val="auto"/>
        </w:rPr>
      </w:pPr>
      <w:r>
        <w:rPr>
          <w:rFonts w:ascii="Courier New" w:cs="Courier New" w:eastAsia="Courier New" w:hAnsi="Courier New"/>
          <w:sz w:val="15"/>
          <w:szCs w:val="15"/>
          <w:color w:val="auto"/>
        </w:rPr>
        <w:t>In the fourth quarter of 1998 the Company recorded net pretax charges for inventory and related reserves of approximately $3,500,000 and a goodwill write-down of $1,000,000 primarily as a result of changes in customer demand for certain semiconductor handler products. In addition, the credit for income taxes in the fourth quarter of 1998 was favorably affected by approximately $1,000,000 as a result of the settlement of tax examinations for earlier years.</w:t>
      </w:r>
    </w:p>
    <w:p>
      <w:pPr>
        <w:spacing w:after="0" w:line="200" w:lineRule="exact"/>
        <w:rPr>
          <w:sz w:val="20"/>
          <w:szCs w:val="20"/>
          <w:color w:val="auto"/>
        </w:rPr>
      </w:pPr>
    </w:p>
    <w:p>
      <w:pPr>
        <w:spacing w:after="0" w:line="333" w:lineRule="exact"/>
        <w:rPr>
          <w:sz w:val="20"/>
          <w:szCs w:val="20"/>
          <w:color w:val="auto"/>
        </w:rPr>
      </w:pPr>
    </w:p>
    <w:p>
      <w:pPr>
        <w:jc w:val="right"/>
        <w:ind w:right="257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39"/>
          </w:cols>
          <w:pgMar w:left="320" w:top="142" w:right="1440" w:bottom="1440" w:gutter="0" w:footer="0" w:header="0"/>
        </w:sectPr>
      </w:pPr>
    </w:p>
    <w:bookmarkStart w:id="30" w:name="page31"/>
    <w:bookmarkEnd w:id="30"/>
    <w:p>
      <w:pPr>
        <w:ind w:left="283"/>
        <w:spacing w:after="0"/>
        <w:rPr>
          <w:sz w:val="20"/>
          <w:szCs w:val="20"/>
          <w:color w:val="auto"/>
        </w:rPr>
      </w:pPr>
      <w:r>
        <w:rPr>
          <w:rFonts w:ascii="Courier New" w:cs="Courier New" w:eastAsia="Courier New" w:hAnsi="Courier New"/>
          <w:sz w:val="16"/>
          <w:szCs w:val="16"/>
          <w:color w:val="auto"/>
        </w:rPr>
        <w:t>12</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5" w:lineRule="exact"/>
        <w:rPr>
          <w:sz w:val="20"/>
          <w:szCs w:val="20"/>
          <w:color w:val="auto"/>
        </w:rPr>
      </w:pPr>
    </w:p>
    <w:p>
      <w:pPr>
        <w:ind w:left="183" w:hanging="183"/>
        <w:spacing w:after="0"/>
        <w:tabs>
          <w:tab w:leader="none" w:pos="18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 INVESTMENTS</w:t>
      </w:r>
    </w:p>
    <w:p>
      <w:pPr>
        <w:spacing w:after="0" w:line="182"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Investments at December 31, 1999 and 1998, were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1143" w:type="dxa"/>
        <w:tblCellMar>
          <w:top w:w="0" w:type="dxa"/>
          <w:left w:w="0" w:type="dxa"/>
          <w:bottom w:w="0" w:type="dxa"/>
          <w:right w:w="0" w:type="dxa"/>
        </w:tblCellMar>
      </w:tblPr>
      <w:tr>
        <w:trPr>
          <w:trHeight w:val="181"/>
        </w:trPr>
        <w:tc>
          <w:tcPr>
            <w:tcW w:w="2640" w:type="dxa"/>
            <w:vAlign w:val="bottom"/>
          </w:tcPr>
          <w:p>
            <w:pPr>
              <w:ind w:left="80"/>
              <w:spacing w:after="0"/>
              <w:rPr>
                <w:sz w:val="20"/>
                <w:szCs w:val="20"/>
                <w:color w:val="auto"/>
              </w:rPr>
            </w:pPr>
            <w:r>
              <w:rPr>
                <w:rFonts w:ascii="Courier New" w:cs="Courier New" w:eastAsia="Courier New" w:hAnsi="Courier New"/>
                <w:sz w:val="16"/>
                <w:szCs w:val="16"/>
                <w:color w:val="auto"/>
              </w:rPr>
              <w:t>(in thousands)</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26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640" w:type="dxa"/>
            <w:vAlign w:val="bottom"/>
          </w:tcPr>
          <w:p>
            <w:pPr>
              <w:spacing w:after="0"/>
              <w:rPr>
                <w:sz w:val="20"/>
                <w:szCs w:val="20"/>
                <w:color w:val="auto"/>
              </w:rPr>
            </w:pPr>
            <w:r>
              <w:rPr>
                <w:rFonts w:ascii="Courier New" w:cs="Courier New" w:eastAsia="Courier New" w:hAnsi="Courier New"/>
                <w:sz w:val="16"/>
                <w:szCs w:val="16"/>
                <w:color w:val="auto"/>
              </w:rPr>
              <w:t>Corporate debt securities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$ 66,552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$ 79,554</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Less amounts classified</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640" w:type="dxa"/>
            <w:vAlign w:val="bottom"/>
          </w:tcPr>
          <w:p>
            <w:pPr>
              <w:ind w:left="280"/>
              <w:spacing w:after="0"/>
              <w:rPr>
                <w:sz w:val="20"/>
                <w:szCs w:val="20"/>
                <w:color w:val="auto"/>
              </w:rPr>
            </w:pPr>
            <w:r>
              <w:rPr>
                <w:rFonts w:ascii="Courier New" w:cs="Courier New" w:eastAsia="Courier New" w:hAnsi="Courier New"/>
                <w:sz w:val="16"/>
                <w:szCs w:val="16"/>
                <w:color w:val="auto"/>
              </w:rPr>
              <w:t>as cash equivalents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(40,906)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(67,297)</w:t>
            </w:r>
          </w:p>
        </w:tc>
      </w:tr>
      <w:tr>
        <w:trPr>
          <w:trHeight w:val="182"/>
        </w:trPr>
        <w:tc>
          <w:tcPr>
            <w:tcW w:w="26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$ 25,646</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$ 12,257</w:t>
            </w:r>
          </w:p>
        </w:tc>
      </w:tr>
      <w:tr>
        <w:trPr>
          <w:trHeight w:val="182"/>
        </w:trPr>
        <w:tc>
          <w:tcPr>
            <w:tcW w:w="26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579" w:firstLine="757"/>
        <w:spacing w:after="0" w:line="262" w:lineRule="auto"/>
        <w:rPr>
          <w:sz w:val="20"/>
          <w:szCs w:val="20"/>
          <w:color w:val="auto"/>
        </w:rPr>
      </w:pPr>
      <w:r>
        <w:rPr>
          <w:rFonts w:ascii="Courier New" w:cs="Courier New" w:eastAsia="Courier New" w:hAnsi="Courier New"/>
          <w:sz w:val="15"/>
          <w:szCs w:val="15"/>
          <w:color w:val="auto"/>
        </w:rPr>
        <w:t>At December 31, 1999 and 1998 the estimated fair value of the Company's investments approximated amortized cost. Except for $3,260,000 of investments at December 31, 1999 that mature in 2001, all investments mature in 2000.</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4. LINE OF CREDIT</w:t>
      </w:r>
    </w:p>
    <w:p>
      <w:pPr>
        <w:spacing w:after="0" w:line="186" w:lineRule="exact"/>
        <w:rPr>
          <w:sz w:val="20"/>
          <w:szCs w:val="20"/>
          <w:color w:val="auto"/>
        </w:rPr>
      </w:pPr>
    </w:p>
    <w:p>
      <w:pPr>
        <w:ind w:left="3" w:right="2579" w:firstLine="757"/>
        <w:spacing w:after="0" w:line="239" w:lineRule="auto"/>
        <w:rPr>
          <w:sz w:val="20"/>
          <w:szCs w:val="20"/>
          <w:color w:val="auto"/>
        </w:rPr>
      </w:pPr>
      <w:r>
        <w:rPr>
          <w:rFonts w:ascii="Courier New" w:cs="Courier New" w:eastAsia="Courier New" w:hAnsi="Courier New"/>
          <w:sz w:val="16"/>
          <w:szCs w:val="16"/>
          <w:color w:val="auto"/>
        </w:rPr>
        <w:t>The Company maintains a $10,000,000 unsecured bank line-of-credit facility bearing interest at the bank's prime reference rate. The facility requires compliance with certain financial covenants and expires in May 2000. No borrowings were outstanding at December 31, 1999 or 1998.</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 INCOME TAXES</w:t>
      </w:r>
    </w:p>
    <w:p>
      <w:pPr>
        <w:spacing w:after="0" w:line="183"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Significant components of the provision for income taxes are as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follows:</w:t>
      </w:r>
    </w:p>
    <w:p>
      <w:pPr>
        <w:spacing w:after="0" w:line="200" w:lineRule="exact"/>
        <w:rPr>
          <w:sz w:val="20"/>
          <w:szCs w:val="20"/>
          <w:color w:val="auto"/>
        </w:rPr>
      </w:pPr>
    </w:p>
    <w:p>
      <w:pPr>
        <w:spacing w:after="0" w:line="346" w:lineRule="exact"/>
        <w:rPr>
          <w:sz w:val="20"/>
          <w:szCs w:val="20"/>
          <w:color w:val="auto"/>
        </w:rPr>
      </w:pPr>
    </w:p>
    <w:tbl>
      <w:tblPr>
        <w:tblLayout w:type="fixed"/>
        <w:tblInd w:w="943" w:type="dxa"/>
        <w:tblCellMar>
          <w:top w:w="0" w:type="dxa"/>
          <w:left w:w="0" w:type="dxa"/>
          <w:bottom w:w="0" w:type="dxa"/>
          <w:right w:w="0" w:type="dxa"/>
        </w:tblCellMar>
      </w:tblPr>
      <w:tr>
        <w:trPr>
          <w:trHeight w:val="181"/>
        </w:trPr>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(in thousands)</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15"/>
                <w:szCs w:val="15"/>
                <w:color w:val="auto"/>
              </w:rPr>
            </w:pPr>
          </w:p>
        </w:tc>
        <w:tc>
          <w:tcPr>
            <w:tcW w:w="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17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Federal</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$ 11,734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4,329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$ 14,131</w:t>
            </w:r>
          </w:p>
        </w:tc>
      </w:tr>
      <w:tr>
        <w:trPr>
          <w:trHeight w:val="182"/>
        </w:trPr>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State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1,866</w:t>
            </w:r>
          </w:p>
        </w:tc>
        <w:tc>
          <w:tcPr>
            <w:tcW w:w="440" w:type="dxa"/>
            <w:vAlign w:val="bottom"/>
          </w:tcPr>
          <w:p>
            <w:pPr>
              <w:spacing w:after="0"/>
              <w:rPr>
                <w:sz w:val="15"/>
                <w:szCs w:val="15"/>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2,365</w:t>
            </w:r>
          </w:p>
        </w:tc>
      </w:tr>
      <w:tr>
        <w:trPr>
          <w:trHeight w:val="182"/>
        </w:trPr>
        <w:tc>
          <w:tcPr>
            <w:tcW w:w="17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Total current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13,600</w:t>
            </w:r>
          </w:p>
        </w:tc>
        <w:tc>
          <w:tcPr>
            <w:tcW w:w="440" w:type="dxa"/>
            <w:vAlign w:val="bottom"/>
          </w:tcPr>
          <w:p>
            <w:pPr>
              <w:spacing w:after="0"/>
              <w:rPr>
                <w:sz w:val="15"/>
                <w:szCs w:val="15"/>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5,036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16,496</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Federal</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(674)</w:t>
            </w:r>
          </w:p>
        </w:tc>
        <w:tc>
          <w:tcPr>
            <w:tcW w:w="4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82"/>
        </w:trPr>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State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74</w:t>
            </w:r>
          </w:p>
        </w:tc>
        <w:tc>
          <w:tcPr>
            <w:tcW w:w="4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17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Total deferred</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(600)</w:t>
            </w:r>
          </w:p>
        </w:tc>
        <w:tc>
          <w:tcPr>
            <w:tcW w:w="44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204</w:t>
            </w:r>
          </w:p>
        </w:tc>
      </w:tr>
      <w:tr>
        <w:trPr>
          <w:trHeight w:val="182"/>
        </w:trPr>
        <w:tc>
          <w:tcPr>
            <w:tcW w:w="17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$ 16,700</w:t>
            </w:r>
          </w:p>
        </w:tc>
      </w:tr>
      <w:tr>
        <w:trPr>
          <w:trHeight w:val="182"/>
        </w:trPr>
        <w:tc>
          <w:tcPr>
            <w:tcW w:w="17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579" w:firstLine="757"/>
        <w:spacing w:after="0" w:line="239" w:lineRule="auto"/>
        <w:rPr>
          <w:sz w:val="20"/>
          <w:szCs w:val="20"/>
          <w:color w:val="auto"/>
        </w:rPr>
      </w:pPr>
      <w:r>
        <w:rPr>
          <w:rFonts w:ascii="Courier New" w:cs="Courier New" w:eastAsia="Courier New" w:hAnsi="Courier New"/>
          <w:sz w:val="16"/>
          <w:szCs w:val="16"/>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358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5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31,</w:t>
            </w: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3580" w:type="dxa"/>
            <w:vAlign w:val="bottom"/>
          </w:tcPr>
          <w:p>
            <w:pPr>
              <w:spacing w:after="0"/>
              <w:rPr>
                <w:sz w:val="15"/>
                <w:szCs w:val="15"/>
                <w:color w:val="auto"/>
              </w:rPr>
            </w:pP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580" w:type="dxa"/>
            <w:vAlign w:val="bottom"/>
          </w:tcPr>
          <w:p>
            <w:pPr>
              <w:ind w:left="460"/>
              <w:spacing w:after="0"/>
              <w:rPr>
                <w:sz w:val="20"/>
                <w:szCs w:val="20"/>
                <w:color w:val="auto"/>
              </w:rPr>
            </w:pPr>
            <w:r>
              <w:rPr>
                <w:rFonts w:ascii="Courier New" w:cs="Courier New" w:eastAsia="Courier New" w:hAnsi="Courier New"/>
                <w:sz w:val="16"/>
                <w:szCs w:val="16"/>
                <w:color w:val="auto"/>
              </w:rPr>
              <w:t>Reserves and accrued</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3580" w:type="dxa"/>
            <w:vAlign w:val="bottom"/>
          </w:tcPr>
          <w:p>
            <w:pPr>
              <w:ind w:left="660"/>
              <w:spacing w:after="0"/>
              <w:rPr>
                <w:sz w:val="20"/>
                <w:szCs w:val="20"/>
                <w:color w:val="auto"/>
              </w:rPr>
            </w:pPr>
            <w:r>
              <w:rPr>
                <w:rFonts w:ascii="Courier New" w:cs="Courier New" w:eastAsia="Courier New" w:hAnsi="Courier New"/>
                <w:sz w:val="16"/>
                <w:szCs w:val="16"/>
                <w:color w:val="auto"/>
              </w:rPr>
              <w:t>warranty costs</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9,850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9,531</w:t>
            </w:r>
          </w:p>
        </w:tc>
      </w:tr>
      <w:tr>
        <w:trPr>
          <w:trHeight w:val="182"/>
        </w:trPr>
        <w:tc>
          <w:tcPr>
            <w:tcW w:w="3580" w:type="dxa"/>
            <w:vAlign w:val="bottom"/>
          </w:tcPr>
          <w:p>
            <w:pPr>
              <w:ind w:left="460"/>
              <w:spacing w:after="0"/>
              <w:rPr>
                <w:sz w:val="20"/>
                <w:szCs w:val="20"/>
                <w:color w:val="auto"/>
              </w:rPr>
            </w:pPr>
            <w:r>
              <w:rPr>
                <w:rFonts w:ascii="Courier New" w:cs="Courier New" w:eastAsia="Courier New" w:hAnsi="Courier New"/>
                <w:sz w:val="16"/>
                <w:szCs w:val="16"/>
                <w:color w:val="auto"/>
              </w:rPr>
              <w:t>Accrued state income taxes</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482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2"/>
        </w:trPr>
        <w:tc>
          <w:tcPr>
            <w:tcW w:w="3580" w:type="dxa"/>
            <w:vAlign w:val="bottom"/>
          </w:tcPr>
          <w:p>
            <w:pPr>
              <w:ind w:left="460"/>
              <w:spacing w:after="0"/>
              <w:rPr>
                <w:sz w:val="20"/>
                <w:szCs w:val="20"/>
                <w:color w:val="auto"/>
              </w:rPr>
            </w:pPr>
            <w:r>
              <w:rPr>
                <w:rFonts w:ascii="Courier New" w:cs="Courier New" w:eastAsia="Courier New" w:hAnsi="Courier New"/>
                <w:sz w:val="16"/>
                <w:szCs w:val="16"/>
                <w:color w:val="auto"/>
              </w:rPr>
              <w:t>Accrued employee benefits</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1,278</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1,164</w:t>
            </w:r>
          </w:p>
        </w:tc>
      </w:tr>
      <w:tr>
        <w:trPr>
          <w:trHeight w:val="182"/>
        </w:trPr>
        <w:tc>
          <w:tcPr>
            <w:tcW w:w="358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520</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573</w:t>
            </w:r>
          </w:p>
        </w:tc>
      </w:tr>
      <w:tr>
        <w:trPr>
          <w:trHeight w:val="182"/>
        </w:trPr>
        <w:tc>
          <w:tcPr>
            <w:tcW w:w="3580" w:type="dxa"/>
            <w:vAlign w:val="bottom"/>
          </w:tcPr>
          <w:p>
            <w:pPr>
              <w:spacing w:after="0"/>
              <w:rPr>
                <w:sz w:val="15"/>
                <w:szCs w:val="15"/>
                <w:color w:val="auto"/>
              </w:rPr>
            </w:pP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580" w:type="dxa"/>
            <w:vAlign w:val="bottom"/>
          </w:tcPr>
          <w:p>
            <w:pPr>
              <w:ind w:left="940"/>
              <w:spacing w:after="0"/>
              <w:rPr>
                <w:sz w:val="20"/>
                <w:szCs w:val="20"/>
                <w:color w:val="auto"/>
              </w:rPr>
            </w:pPr>
            <w:r>
              <w:rPr>
                <w:rFonts w:ascii="Courier New" w:cs="Courier New" w:eastAsia="Courier New" w:hAnsi="Courier New"/>
                <w:sz w:val="16"/>
                <w:szCs w:val="16"/>
                <w:color w:val="auto"/>
              </w:rPr>
              <w:t>Total deferred tax assets</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12,130</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11,471</w:t>
            </w:r>
          </w:p>
        </w:tc>
      </w:tr>
      <w:tr>
        <w:trPr>
          <w:trHeight w:val="182"/>
        </w:trPr>
        <w:tc>
          <w:tcPr>
            <w:tcW w:w="3580" w:type="dxa"/>
            <w:vAlign w:val="bottom"/>
          </w:tcPr>
          <w:p>
            <w:pPr>
              <w:spacing w:after="0"/>
              <w:rPr>
                <w:sz w:val="15"/>
                <w:szCs w:val="15"/>
                <w:color w:val="auto"/>
              </w:rPr>
            </w:pP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580" w:type="dxa"/>
            <w:vAlign w:val="bottom"/>
          </w:tcPr>
          <w:p>
            <w:pPr>
              <w:ind w:left="460"/>
              <w:spacing w:after="0"/>
              <w:rPr>
                <w:sz w:val="20"/>
                <w:szCs w:val="20"/>
                <w:color w:val="auto"/>
              </w:rPr>
            </w:pPr>
            <w:r>
              <w:rPr>
                <w:rFonts w:ascii="Courier New" w:cs="Courier New" w:eastAsia="Courier New" w:hAnsi="Courier New"/>
                <w:sz w:val="16"/>
                <w:szCs w:val="16"/>
                <w:color w:val="auto"/>
              </w:rPr>
              <w:t>Tax over book depreciation</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1,573</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1,514</w:t>
            </w:r>
          </w:p>
        </w:tc>
      </w:tr>
      <w:tr>
        <w:trPr>
          <w:trHeight w:val="182"/>
        </w:trPr>
        <w:tc>
          <w:tcPr>
            <w:tcW w:w="3580" w:type="dxa"/>
            <w:vAlign w:val="bottom"/>
          </w:tcPr>
          <w:p>
            <w:pPr>
              <w:spacing w:after="0"/>
              <w:rPr>
                <w:sz w:val="15"/>
                <w:szCs w:val="15"/>
                <w:color w:val="auto"/>
              </w:rPr>
            </w:pP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580" w:type="dxa"/>
            <w:vAlign w:val="bottom"/>
          </w:tcPr>
          <w:p>
            <w:pPr>
              <w:ind w:left="940"/>
              <w:spacing w:after="0"/>
              <w:rPr>
                <w:sz w:val="20"/>
                <w:szCs w:val="20"/>
                <w:color w:val="auto"/>
              </w:rPr>
            </w:pPr>
            <w:r>
              <w:rPr>
                <w:rFonts w:ascii="Courier New" w:cs="Courier New" w:eastAsia="Courier New" w:hAnsi="Courier New"/>
                <w:sz w:val="16"/>
                <w:szCs w:val="16"/>
                <w:color w:val="auto"/>
              </w:rPr>
              <w:t>Net deferred tax assets</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$ 10,557</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9,957</w:t>
            </w:r>
          </w:p>
        </w:tc>
      </w:tr>
      <w:tr>
        <w:trPr>
          <w:trHeight w:val="182"/>
        </w:trPr>
        <w:tc>
          <w:tcPr>
            <w:tcW w:w="3580" w:type="dxa"/>
            <w:vAlign w:val="bottom"/>
          </w:tcPr>
          <w:p>
            <w:pPr>
              <w:spacing w:after="0"/>
              <w:rPr>
                <w:sz w:val="15"/>
                <w:szCs w:val="15"/>
                <w:color w:val="auto"/>
              </w:rPr>
            </w:pP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679" w:firstLine="757"/>
        <w:spacing w:after="0" w:line="237" w:lineRule="auto"/>
        <w:rPr>
          <w:sz w:val="20"/>
          <w:szCs w:val="20"/>
          <w:color w:val="auto"/>
        </w:rPr>
      </w:pPr>
      <w:r>
        <w:rPr>
          <w:rFonts w:ascii="Courier New" w:cs="Courier New" w:eastAsia="Courier New" w:hAnsi="Courier New"/>
          <w:sz w:val="16"/>
          <w:szCs w:val="16"/>
          <w:color w:val="auto"/>
        </w:rPr>
        <w:t>The reconciliation of income tax computed at the U.S. federal statutory tax rate to the provision for income taxes is as follows:</w:t>
      </w:r>
    </w:p>
    <w:p>
      <w:pPr>
        <w:sectPr>
          <w:pgSz w:w="11900" w:h="16838" w:orient="portrait"/>
          <w:cols w:equalWidth="0" w:num="1">
            <w:col w:w="10142"/>
          </w:cols>
          <w:pgMar w:left="317" w:top="295" w:right="1440" w:bottom="154" w:gutter="0" w:footer="0" w:header="0"/>
        </w:sectPr>
      </w:pPr>
    </w:p>
    <w:bookmarkStart w:id="31" w:name="page32"/>
    <w:bookmarkEnd w:id="31"/>
    <w:tbl>
      <w:tblPr>
        <w:tblLayout w:type="fixed"/>
        <w:tblInd w:w="380"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4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1999</w:t>
            </w:r>
          </w:p>
        </w:tc>
        <w:tc>
          <w:tcPr>
            <w:tcW w:w="42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27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740" w:type="dxa"/>
            <w:vAlign w:val="bottom"/>
          </w:tcPr>
          <w:p>
            <w:pPr>
              <w:spacing w:after="0"/>
              <w:rPr>
                <w:sz w:val="20"/>
                <w:szCs w:val="20"/>
                <w:color w:val="auto"/>
              </w:rPr>
            </w:pPr>
            <w:r>
              <w:rPr>
                <w:rFonts w:ascii="Courier New" w:cs="Courier New" w:eastAsia="Courier New" w:hAnsi="Courier New"/>
                <w:sz w:val="16"/>
                <w:szCs w:val="16"/>
                <w:color w:val="auto"/>
              </w:rPr>
              <w:t>Tax at U.S. statutory rate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$ 13,624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5,616</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$ 16,060</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State income taxes, net of</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federal tax benefit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1,261</w:t>
            </w:r>
          </w:p>
        </w:tc>
        <w:tc>
          <w:tcPr>
            <w:tcW w:w="420" w:type="dxa"/>
            <w:vAlign w:val="bottom"/>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1,547</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FSC benefit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(1,487)</w:t>
            </w:r>
          </w:p>
        </w:tc>
        <w:tc>
          <w:tcPr>
            <w:tcW w:w="4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(1,477)</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Nondeductible goodwill</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and performance-based</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consideration expense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w:t>
            </w:r>
          </w:p>
        </w:tc>
        <w:tc>
          <w:tcPr>
            <w:tcW w:w="420" w:type="dxa"/>
            <w:vAlign w:val="bottom"/>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248</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Settlement of prior year</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tax examinations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(1,049)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Other - net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(499)</w:t>
            </w:r>
          </w:p>
        </w:tc>
        <w:tc>
          <w:tcPr>
            <w:tcW w:w="4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322</w:t>
            </w:r>
          </w:p>
        </w:tc>
      </w:tr>
      <w:tr>
        <w:trPr>
          <w:trHeight w:val="182"/>
        </w:trPr>
        <w:tc>
          <w:tcPr>
            <w:tcW w:w="27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$ 13,000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4,400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$ 16,700</w:t>
            </w:r>
          </w:p>
        </w:tc>
      </w:tr>
      <w:tr>
        <w:trPr>
          <w:trHeight w:val="182"/>
        </w:trPr>
        <w:tc>
          <w:tcPr>
            <w:tcW w:w="27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STOCKHOLDER RIGHTS PLAN</w:t>
      </w:r>
    </w:p>
    <w:p>
      <w:pPr>
        <w:spacing w:after="0" w:line="186" w:lineRule="exact"/>
        <w:rPr>
          <w:sz w:val="20"/>
          <w:szCs w:val="20"/>
          <w:color w:val="auto"/>
        </w:rPr>
      </w:pPr>
    </w:p>
    <w:p>
      <w:pPr>
        <w:ind w:right="2579" w:firstLine="757"/>
        <w:spacing w:after="0" w:line="257" w:lineRule="auto"/>
        <w:rPr>
          <w:sz w:val="20"/>
          <w:szCs w:val="20"/>
          <w:color w:val="auto"/>
        </w:rPr>
      </w:pPr>
      <w:r>
        <w:rPr>
          <w:rFonts w:ascii="Courier New" w:cs="Courier New" w:eastAsia="Courier New" w:hAnsi="Courier New"/>
          <w:sz w:val="15"/>
          <w:szCs w:val="15"/>
          <w:color w:val="auto"/>
        </w:rPr>
        <w:t>In November 1996 the Company adopted a Stockholder Rights Plan and declared a dividend distribution of one-half Right ("Right") for each share of Common Stock, payable to holders of record on December 3, 1996. Under certain conditions, each Right may be exercised to purchase 1/200 of a share of Series A Preferred Stock at a purchase price of $45, subject to adjustment.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 and, until they become exercisable, have no dilutive effect on the earnings per share of the Company.</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SEGMENT AND RELATED INFORMATION</w:t>
      </w:r>
    </w:p>
    <w:p>
      <w:pPr>
        <w:spacing w:after="0" w:line="186" w:lineRule="exact"/>
        <w:rPr>
          <w:sz w:val="20"/>
          <w:szCs w:val="20"/>
          <w:color w:val="auto"/>
        </w:rPr>
      </w:pPr>
    </w:p>
    <w:p>
      <w:pPr>
        <w:ind w:right="2579" w:firstLine="757"/>
        <w:spacing w:after="0" w:line="257" w:lineRule="auto"/>
        <w:rPr>
          <w:sz w:val="20"/>
          <w:szCs w:val="20"/>
          <w:color w:val="auto"/>
        </w:rPr>
      </w:pPr>
      <w:r>
        <w:rPr>
          <w:rFonts w:ascii="Courier New" w:cs="Courier New" w:eastAsia="Courier New" w:hAnsi="Courier New"/>
          <w:sz w:val="15"/>
          <w:szCs w:val="15"/>
          <w:color w:val="auto"/>
        </w:rPr>
        <w:t>The Company has two reportable segments as defined by FASB Statement No. 131, Disclosures about Segments of an Enterprise and Related Information. The Company's reportable segments are business units that offer different products and are managed separately because each business requires different technology and marketing strategies. The semiconductor equipment segment designs, manufactures and sells semiconductor test handling equipment to semiconductor manufacturers throughout the world and accounted for 84% of net sales in 1999. The television camera segment designs, manufactures and sells closed circuit television cameras and systems to original equipment manufacturers, contractors and government agencies and accounted for 10% of net sales in 1999. The Company's other operating segments include a metal detection business and a microwave radio equipment company. Neither of these other segments met any of the quantitative thresholds for determining reportable segments. Information regarding industry segments for 1999, 1998, and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39"/>
          </w:cols>
          <w:pgMar w:left="320" w:top="138" w:right="1440" w:bottom="1440" w:gutter="0" w:footer="0" w:header="0"/>
        </w:sectPr>
      </w:pPr>
    </w:p>
    <w:bookmarkStart w:id="32" w:name="page33"/>
    <w:bookmarkEnd w:id="32"/>
    <w:p>
      <w:pPr>
        <w:spacing w:after="0" w:line="4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1997 contained in the Selected Financial Data on page 2 is an integral part of these financial statements.</w:t>
      </w:r>
    </w:p>
    <w:p>
      <w:pPr>
        <w:spacing w:after="0" w:line="188" w:lineRule="exact"/>
        <w:rPr>
          <w:sz w:val="20"/>
          <w:szCs w:val="20"/>
          <w:color w:val="auto"/>
        </w:rPr>
      </w:pPr>
    </w:p>
    <w:p>
      <w:pPr>
        <w:ind w:right="2579" w:firstLine="757"/>
        <w:spacing w:after="0" w:line="239" w:lineRule="auto"/>
        <w:rPr>
          <w:sz w:val="20"/>
          <w:szCs w:val="20"/>
          <w:color w:val="auto"/>
        </w:rPr>
      </w:pPr>
      <w:r>
        <w:rPr>
          <w:rFonts w:ascii="Courier New" w:cs="Courier New" w:eastAsia="Courier New" w:hAnsi="Courier New"/>
          <w:sz w:val="16"/>
          <w:szCs w:val="16"/>
          <w:color w:val="auto"/>
        </w:rPr>
        <w:t>The accounting policies of the reportable segments are the same as those described in the summary of significant accounting policies. The Company allocates resources and evaluates the performance of segments based on pretax profit or loss from operations, excluding unusual gains or losses. Intersegment sales were not significant for any period.</w:t>
      </w:r>
    </w:p>
    <w:p>
      <w:pPr>
        <w:spacing w:after="0" w:line="189" w:lineRule="exact"/>
        <w:rPr>
          <w:sz w:val="20"/>
          <w:szCs w:val="20"/>
          <w:color w:val="auto"/>
        </w:rPr>
      </w:pPr>
    </w:p>
    <w:p>
      <w:pPr>
        <w:ind w:right="2959" w:firstLine="757"/>
        <w:spacing w:after="0" w:line="237" w:lineRule="auto"/>
        <w:rPr>
          <w:sz w:val="20"/>
          <w:szCs w:val="20"/>
          <w:color w:val="auto"/>
        </w:rPr>
      </w:pPr>
      <w:r>
        <w:rPr>
          <w:rFonts w:ascii="Courier New" w:cs="Courier New" w:eastAsia="Courier New" w:hAnsi="Courier New"/>
          <w:sz w:val="16"/>
          <w:szCs w:val="16"/>
          <w:color w:val="auto"/>
        </w:rPr>
        <w:t>Customers from the semiconductor equipment segment comprising 10% or greater of the Company's net sales are summarized as follows:</w:t>
      </w:r>
    </w:p>
    <w:p>
      <w:pPr>
        <w:spacing w:after="0" w:line="200" w:lineRule="exact"/>
        <w:rPr>
          <w:sz w:val="20"/>
          <w:szCs w:val="20"/>
          <w:color w:val="auto"/>
        </w:rPr>
      </w:pPr>
    </w:p>
    <w:p>
      <w:pPr>
        <w:spacing w:after="0" w:line="348" w:lineRule="exact"/>
        <w:rPr>
          <w:sz w:val="20"/>
          <w:szCs w:val="20"/>
          <w:color w:val="auto"/>
        </w:rPr>
      </w:pPr>
    </w:p>
    <w:tbl>
      <w:tblPr>
        <w:tblLayout w:type="fixed"/>
        <w:tblInd w:w="132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1380" w:type="dxa"/>
            <w:vAlign w:val="bottom"/>
          </w:tcPr>
          <w:p>
            <w:pPr>
              <w:spacing w:after="0"/>
              <w:rPr>
                <w:sz w:val="15"/>
                <w:szCs w:val="15"/>
                <w:color w:val="auto"/>
              </w:rPr>
            </w:pP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380" w:type="dxa"/>
            <w:vAlign w:val="bottom"/>
          </w:tcPr>
          <w:p>
            <w:pPr>
              <w:spacing w:after="0"/>
              <w:rPr>
                <w:sz w:val="20"/>
                <w:szCs w:val="20"/>
                <w:color w:val="auto"/>
              </w:rPr>
            </w:pPr>
            <w:r>
              <w:rPr>
                <w:rFonts w:ascii="Courier New" w:cs="Courier New" w:eastAsia="Courier New" w:hAnsi="Courier New"/>
                <w:sz w:val="16"/>
                <w:szCs w:val="16"/>
                <w:color w:val="auto"/>
              </w:rPr>
              <w:t>Customer A</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1380" w:type="dxa"/>
            <w:vAlign w:val="bottom"/>
          </w:tcPr>
          <w:p>
            <w:pPr>
              <w:spacing w:after="0"/>
              <w:rPr>
                <w:sz w:val="20"/>
                <w:szCs w:val="20"/>
                <w:color w:val="auto"/>
              </w:rPr>
            </w:pPr>
            <w:r>
              <w:rPr>
                <w:rFonts w:ascii="Courier New" w:cs="Courier New" w:eastAsia="Courier New" w:hAnsi="Courier New"/>
                <w:sz w:val="16"/>
                <w:szCs w:val="16"/>
                <w:color w:val="auto"/>
              </w:rPr>
              <w:t>Customer B</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2"/>
        </w:trPr>
        <w:tc>
          <w:tcPr>
            <w:tcW w:w="1380" w:type="dxa"/>
            <w:vAlign w:val="bottom"/>
          </w:tcPr>
          <w:p>
            <w:pPr>
              <w:spacing w:after="0"/>
              <w:rPr>
                <w:sz w:val="20"/>
                <w:szCs w:val="20"/>
                <w:color w:val="auto"/>
              </w:rPr>
            </w:pPr>
            <w:r>
              <w:rPr>
                <w:rFonts w:ascii="Courier New" w:cs="Courier New" w:eastAsia="Courier New" w:hAnsi="Courier New"/>
                <w:sz w:val="16"/>
                <w:szCs w:val="16"/>
                <w:color w:val="auto"/>
              </w:rPr>
              <w:t>Customer C</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1380" w:type="dxa"/>
            <w:vAlign w:val="bottom"/>
          </w:tcPr>
          <w:p>
            <w:pPr>
              <w:spacing w:after="0"/>
              <w:rPr>
                <w:sz w:val="20"/>
                <w:szCs w:val="20"/>
                <w:color w:val="auto"/>
              </w:rPr>
            </w:pPr>
            <w:r>
              <w:rPr>
                <w:rFonts w:ascii="Courier New" w:cs="Courier New" w:eastAsia="Courier New" w:hAnsi="Courier New"/>
                <w:sz w:val="16"/>
                <w:szCs w:val="16"/>
                <w:color w:val="auto"/>
              </w:rPr>
              <w:t>Customer D</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pacing w:after="0" w:line="368" w:lineRule="exact"/>
        <w:rPr>
          <w:sz w:val="20"/>
          <w:szCs w:val="20"/>
          <w:color w:val="auto"/>
        </w:rPr>
      </w:pPr>
    </w:p>
    <w:p>
      <w:pPr>
        <w:jc w:val="both"/>
        <w:ind w:right="2759" w:firstLine="757"/>
        <w:spacing w:after="0" w:line="238" w:lineRule="auto"/>
        <w:rPr>
          <w:sz w:val="20"/>
          <w:szCs w:val="20"/>
          <w:color w:val="auto"/>
        </w:rPr>
      </w:pPr>
      <w:r>
        <w:rPr>
          <w:rFonts w:ascii="Courier New" w:cs="Courier New" w:eastAsia="Courier New" w:hAnsi="Courier New"/>
          <w:sz w:val="16"/>
          <w:szCs w:val="16"/>
          <w:color w:val="auto"/>
        </w:rPr>
        <w:t>Assets located in foreign countries were not significant. Net sales to customers, attributed to countries based on product shipment destination, were as follows:</w:t>
      </w:r>
    </w:p>
    <w:p>
      <w:pPr>
        <w:spacing w:after="0" w:line="200" w:lineRule="exact"/>
        <w:rPr>
          <w:sz w:val="20"/>
          <w:szCs w:val="20"/>
          <w:color w:val="auto"/>
        </w:rPr>
      </w:pPr>
    </w:p>
    <w:p>
      <w:pPr>
        <w:spacing w:after="0" w:line="348"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24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246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46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$ 76,715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$ 96,645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$ 90,820</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Singapore</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25,616</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8,101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11,810</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China</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21,351</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9,035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11,790</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Taiwan</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19,849</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6,301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15,157</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Malaysia</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18,822</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19,222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23,210</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Philippines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13,363</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19,141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14,736</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Other foreign countries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33,064</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13,066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20,233</w:t>
            </w:r>
          </w:p>
        </w:tc>
      </w:tr>
      <w:tr>
        <w:trPr>
          <w:trHeight w:val="182"/>
        </w:trPr>
        <w:tc>
          <w:tcPr>
            <w:tcW w:w="246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$208,780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$171,511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$187,756</w:t>
            </w:r>
          </w:p>
        </w:tc>
      </w:tr>
      <w:tr>
        <w:trPr>
          <w:trHeight w:val="182"/>
        </w:trPr>
        <w:tc>
          <w:tcPr>
            <w:tcW w:w="246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EMPLOYEE BENEFIT PLANS</w:t>
      </w:r>
    </w:p>
    <w:p>
      <w:pPr>
        <w:spacing w:after="0" w:line="186" w:lineRule="exact"/>
        <w:rPr>
          <w:sz w:val="20"/>
          <w:szCs w:val="20"/>
          <w:color w:val="auto"/>
        </w:rPr>
      </w:pPr>
    </w:p>
    <w:p>
      <w:pPr>
        <w:ind w:right="2579" w:firstLine="568"/>
        <w:spacing w:after="0" w:line="239" w:lineRule="auto"/>
        <w:rPr>
          <w:sz w:val="20"/>
          <w:szCs w:val="20"/>
          <w:color w:val="auto"/>
        </w:rPr>
      </w:pPr>
      <w:r>
        <w:rPr>
          <w:rFonts w:ascii="Courier New" w:cs="Courier New" w:eastAsia="Courier New" w:hAnsi="Courier New"/>
          <w:sz w:val="16"/>
          <w:szCs w:val="16"/>
          <w:color w:val="auto"/>
        </w:rPr>
        <w:t>RETIREMENT PLANS - The Company has voluntary defined contribution retirement 401(k) plans whereby it will match contributions up to 4% of employee compensation. Company contributions to the plans were $1,199,000 in 1999, $1,179,000 in 1998, and $991,000 in 1997. Certain of the Company's foreign employees participate in a defined benefit pension plan. The related expense and benefit obligation of this plan were not significant.</w:t>
      </w:r>
    </w:p>
    <w:p>
      <w:pPr>
        <w:spacing w:after="0" w:line="190" w:lineRule="exact"/>
        <w:rPr>
          <w:sz w:val="20"/>
          <w:szCs w:val="20"/>
          <w:color w:val="auto"/>
        </w:rPr>
      </w:pPr>
    </w:p>
    <w:p>
      <w:pPr>
        <w:ind w:right="2579" w:firstLine="568"/>
        <w:spacing w:after="0" w:line="257" w:lineRule="auto"/>
        <w:rPr>
          <w:sz w:val="20"/>
          <w:szCs w:val="20"/>
          <w:color w:val="auto"/>
        </w:rPr>
      </w:pPr>
      <w:r>
        <w:rPr>
          <w:rFonts w:ascii="Courier New" w:cs="Courier New" w:eastAsia="Courier New" w:hAnsi="Courier New"/>
          <w:sz w:val="15"/>
          <w:szCs w:val="15"/>
          <w:color w:val="auto"/>
        </w:rPr>
        <w:t>RETIREE MEDICAL BENEFITS - The Company provides post-retirement health benefits under a noncontributory plan to certain executives and directors. The net periodic benefit cost was $80,000, $78,000, and $95,000, in 1999, 1998, and 1997, respectively. The Company funds benefits as costs are incurred. Benefits paid and other changes in the benefit obligation for each of the three years in the period ended December 31, 1999 were not significant. The weighted average discount rate used in determining the accumulated post-retirement benefit obligation was 7.0% in 1999 and 1998, and 7.5% in 1997. Annual rates of increase of the cost of health benefits were assumed to be approximately 8.25% in 2000. These rates were then assumed to decrease 0.25% per year to 6% in 2009 and remain level thereafter. A 1% increase (decrease) in health care cost trend rates would increase (decrease) the 1999 net periodic benefit cost by approximately $10,000 ($10,000) and the accumulated post-retirement benefit obligation as of December 31, 1999 by approximately $140,000 ($100,000).</w:t>
      </w:r>
    </w:p>
    <w:p>
      <w:pPr>
        <w:spacing w:after="0" w:line="181" w:lineRule="exact"/>
        <w:rPr>
          <w:sz w:val="20"/>
          <w:szCs w:val="20"/>
          <w:color w:val="auto"/>
        </w:rPr>
      </w:pPr>
    </w:p>
    <w:p>
      <w:pPr>
        <w:ind w:right="2679" w:firstLine="568"/>
        <w:spacing w:after="0" w:line="258" w:lineRule="auto"/>
        <w:rPr>
          <w:sz w:val="20"/>
          <w:szCs w:val="20"/>
          <w:color w:val="auto"/>
        </w:rPr>
      </w:pPr>
      <w:r>
        <w:rPr>
          <w:rFonts w:ascii="Courier New" w:cs="Courier New" w:eastAsia="Courier New" w:hAnsi="Courier New"/>
          <w:sz w:val="15"/>
          <w:szCs w:val="15"/>
          <w:color w:val="auto"/>
        </w:rPr>
        <w:t>EMPLOYEE STOCK PURCHASE PLAN - In May 1997 the Company adopted the Cohu, Inc. 1997 Employee Stock Purchase Plan providing for the issuance of a maximum of 600,000 shares of the Company's Common Stock. Under the Plan, eligible employees may purchase shares of common stock through payroll deductions. The price paid for the common stock is equal to 85% of the fair market value of the Company's Common Stock on specified dates. In 1999, 1998 and 1997, 74,995, 70,958, and 15,780 shares, respectively, were issued under the Plan.</w:t>
      </w:r>
    </w:p>
    <w:p>
      <w:pPr>
        <w:spacing w:after="0" w:line="177" w:lineRule="exact"/>
        <w:rPr>
          <w:sz w:val="20"/>
          <w:szCs w:val="20"/>
          <w:color w:val="auto"/>
        </w:rPr>
      </w:pPr>
    </w:p>
    <w:p>
      <w:pPr>
        <w:ind w:right="2579" w:firstLine="757"/>
        <w:spacing w:after="0" w:line="239" w:lineRule="auto"/>
        <w:rPr>
          <w:sz w:val="20"/>
          <w:szCs w:val="20"/>
          <w:color w:val="auto"/>
        </w:rPr>
      </w:pPr>
      <w:r>
        <w:rPr>
          <w:rFonts w:ascii="Courier New" w:cs="Courier New" w:eastAsia="Courier New" w:hAnsi="Courier New"/>
          <w:sz w:val="16"/>
          <w:szCs w:val="16"/>
          <w:color w:val="auto"/>
        </w:rPr>
        <w:t>The estimated weighted average fair value of purchase rights granted in 1999, 1998 and 1997 was $4.39, $4.51 and $5.26, respectively. The fair value of the purchase rights was estimated using the Black-Scholes option-pricing model with the following assumptions for 1999, 1998 and 1997; risk-free interest rates ranging from 4.4% to 5.3%; dividend yield of 1%; expected life of 6 months and volatility of 54% to 58%.</w:t>
      </w:r>
    </w:p>
    <w:p>
      <w:pPr>
        <w:spacing w:after="0" w:line="190" w:lineRule="exact"/>
        <w:rPr>
          <w:sz w:val="20"/>
          <w:szCs w:val="20"/>
          <w:color w:val="auto"/>
        </w:rPr>
      </w:pPr>
    </w:p>
    <w:p>
      <w:pPr>
        <w:ind w:right="2859" w:firstLine="284"/>
        <w:spacing w:after="0" w:line="262" w:lineRule="auto"/>
        <w:rPr>
          <w:sz w:val="20"/>
          <w:szCs w:val="20"/>
          <w:color w:val="auto"/>
        </w:rPr>
      </w:pPr>
      <w:r>
        <w:rPr>
          <w:rFonts w:ascii="Courier New" w:cs="Courier New" w:eastAsia="Courier New" w:hAnsi="Courier New"/>
          <w:sz w:val="15"/>
          <w:szCs w:val="15"/>
          <w:color w:val="auto"/>
        </w:rPr>
        <w:t>STOCK OPTIONS - Under the Company's stock option plans, options may be granted to key employees and outside directors to purchase a fixed number of shares of the Company's Common Stock at prices not less than 100% of the fair</w:t>
      </w:r>
    </w:p>
    <w:p>
      <w:pPr>
        <w:sectPr>
          <w:pgSz w:w="11900" w:h="16882" w:orient="portrait"/>
          <w:cols w:equalWidth="0" w:num="1">
            <w:col w:w="10139"/>
          </w:cols>
          <w:pgMar w:left="320" w:top="295" w:right="1440" w:bottom="0" w:gutter="0" w:footer="0" w:header="0"/>
        </w:sectPr>
      </w:pPr>
    </w:p>
    <w:bookmarkStart w:id="33" w:name="page34"/>
    <w:bookmarkEnd w:id="33"/>
    <w:p>
      <w:pPr>
        <w:ind w:right="2679"/>
        <w:spacing w:after="0"/>
        <w:rPr>
          <w:sz w:val="20"/>
          <w:szCs w:val="20"/>
          <w:color w:val="auto"/>
        </w:rPr>
      </w:pPr>
      <w:r>
        <w:rPr>
          <w:rFonts w:ascii="Courier New" w:cs="Courier New" w:eastAsia="Courier New" w:hAnsi="Courier New"/>
          <w:sz w:val="16"/>
          <w:szCs w:val="16"/>
          <w:color w:val="auto"/>
        </w:rPr>
        <w:t>market value at the date of grant. The Cohu, Inc. 1996 Outside Directors Stock Option Plan was approved by the Company's stockholders in May 1997. All options become exercisable one-fourth annually beginning one year after the grant date and expire 10 years from the grant date. Options to purchase a total of 443,200 shares were granted to employees in exchange for an equal number of canceled options pursuant to an exchange plan approved by the Board of Directors in December 1998. The newly granted options have exercise prices equal to the fair market value on the date of grant and become exercisable over the four-year period ended December 2002. At December 31, 1999, 255,850 and 120,000 shares were available for future grants under the employee and outside director plans, respectively.</w:t>
      </w:r>
    </w:p>
    <w:p>
      <w:pPr>
        <w:spacing w:after="0" w:line="189" w:lineRule="exact"/>
        <w:rPr>
          <w:sz w:val="20"/>
          <w:szCs w:val="20"/>
          <w:color w:val="auto"/>
        </w:rPr>
      </w:pPr>
    </w:p>
    <w:p>
      <w:pPr>
        <w:ind w:right="2579" w:firstLine="757"/>
        <w:spacing w:after="0" w:line="239" w:lineRule="auto"/>
        <w:rPr>
          <w:sz w:val="20"/>
          <w:szCs w:val="20"/>
          <w:color w:val="auto"/>
        </w:rPr>
      </w:pPr>
      <w:r>
        <w:rPr>
          <w:rFonts w:ascii="Courier New" w:cs="Courier New" w:eastAsia="Courier New" w:hAnsi="Courier New"/>
          <w:sz w:val="16"/>
          <w:szCs w:val="16"/>
          <w:color w:val="auto"/>
        </w:rPr>
        <w:t>The estimated weighted average fair value of options granted during 1999, 1998 and 1997 was $6.04, $6.60, and $7.80, respectively. The fair value of each option grant was estimated on the grant date using the Black-Scholes option-pricing model with the following assumptions for 1999, 1998, and 1997: risk-free interest rates ranging from 4.2% to 6.6%; dividend yield of 1%; expected life of 4 to 5 years and volatility of 48% to 58%.</w:t>
      </w:r>
    </w:p>
    <w:p>
      <w:pPr>
        <w:spacing w:after="0" w:line="190" w:lineRule="exact"/>
        <w:rPr>
          <w:sz w:val="20"/>
          <w:szCs w:val="20"/>
          <w:color w:val="auto"/>
        </w:rPr>
      </w:pPr>
    </w:p>
    <w:p>
      <w:pPr>
        <w:ind w:right="2679" w:firstLine="757"/>
        <w:spacing w:after="0" w:line="239" w:lineRule="auto"/>
        <w:rPr>
          <w:sz w:val="20"/>
          <w:szCs w:val="20"/>
          <w:color w:val="auto"/>
        </w:rPr>
      </w:pPr>
      <w:r>
        <w:rPr>
          <w:rFonts w:ascii="Courier New" w:cs="Courier New" w:eastAsia="Courier New" w:hAnsi="Courier New"/>
          <w:sz w:val="16"/>
          <w:szCs w:val="16"/>
          <w:color w:val="auto"/>
        </w:rPr>
        <w:t>Had compensation cost for the Company's stock option and purchase plan grants from 1995 through 1999 been determined based on the fair value at the date of grant accounting consistent with FASB Statement No. 123, Accounting for Stock-Based Compensation, the Company's pro forma net income and earnings per share would have been as follows:</w:t>
      </w:r>
    </w:p>
    <w:p>
      <w:pPr>
        <w:spacing w:after="0" w:line="200" w:lineRule="exact"/>
        <w:rPr>
          <w:sz w:val="20"/>
          <w:szCs w:val="20"/>
          <w:color w:val="auto"/>
        </w:rPr>
      </w:pPr>
    </w:p>
    <w:p>
      <w:pPr>
        <w:spacing w:after="0" w:line="349"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02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except per share)</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302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Pro forma net income</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$ 23,593</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$ 10,598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$ 28,035</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Pro forma earnings per share:</w:t>
            </w: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020" w:type="dxa"/>
            <w:vAlign w:val="bottom"/>
          </w:tcPr>
          <w:p>
            <w:pPr>
              <w:ind w:left="560"/>
              <w:spacing w:after="0"/>
              <w:rPr>
                <w:sz w:val="20"/>
                <w:szCs w:val="20"/>
                <w:color w:val="auto"/>
              </w:rPr>
            </w:pPr>
            <w:r>
              <w:rPr>
                <w:rFonts w:ascii="Courier New" w:cs="Courier New" w:eastAsia="Courier New" w:hAnsi="Courier New"/>
                <w:sz w:val="16"/>
                <w:szCs w:val="16"/>
                <w:color w:val="auto"/>
              </w:rPr>
              <w:t>Basic</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r>
        <w:trPr>
          <w:trHeight w:val="182"/>
        </w:trPr>
        <w:tc>
          <w:tcPr>
            <w:tcW w:w="3020" w:type="dxa"/>
            <w:vAlign w:val="bottom"/>
          </w:tcPr>
          <w:p>
            <w:pPr>
              <w:ind w:left="560"/>
              <w:spacing w:after="0"/>
              <w:rPr>
                <w:sz w:val="20"/>
                <w:szCs w:val="20"/>
                <w:color w:val="auto"/>
              </w:rPr>
            </w:pPr>
            <w:r>
              <w:rPr>
                <w:rFonts w:ascii="Courier New" w:cs="Courier New" w:eastAsia="Courier New" w:hAnsi="Courier New"/>
                <w:sz w:val="16"/>
                <w:szCs w:val="16"/>
                <w:color w:val="auto"/>
              </w:rPr>
              <w:t>Diluted</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bl>
    <w:p>
      <w:pPr>
        <w:spacing w:after="0" w:line="368" w:lineRule="exact"/>
        <w:rPr>
          <w:sz w:val="20"/>
          <w:szCs w:val="20"/>
          <w:color w:val="auto"/>
        </w:rPr>
      </w:pPr>
    </w:p>
    <w:p>
      <w:pPr>
        <w:ind w:right="2579" w:firstLine="757"/>
        <w:spacing w:after="0"/>
        <w:rPr>
          <w:sz w:val="20"/>
          <w:szCs w:val="20"/>
          <w:color w:val="auto"/>
        </w:rPr>
      </w:pPr>
      <w:r>
        <w:rPr>
          <w:rFonts w:ascii="Courier New" w:cs="Courier New" w:eastAsia="Courier New" w:hAnsi="Courier New"/>
          <w:sz w:val="16"/>
          <w:szCs w:val="16"/>
          <w:color w:val="auto"/>
        </w:rPr>
        <w:t>The Black-Scholes option valuation model was developed for use in estimating the fair value of traded options which have no vesting restrictions and are fully transferable. Because the Company's employee stock option and purchase plans have characteristics significantly different from those of traded options, in management's opinion, this model does not necessarily provide a reliable single measure of the fair value of its employee stock option and purchase plans.</w:t>
      </w:r>
    </w:p>
    <w:p>
      <w:pPr>
        <w:spacing w:after="0" w:line="200" w:lineRule="exact"/>
        <w:rPr>
          <w:sz w:val="20"/>
          <w:szCs w:val="20"/>
          <w:color w:val="auto"/>
        </w:rPr>
      </w:pPr>
    </w:p>
    <w:p>
      <w:pPr>
        <w:spacing w:after="0" w:line="346" w:lineRule="exact"/>
        <w:rPr>
          <w:sz w:val="20"/>
          <w:szCs w:val="20"/>
          <w:color w:val="auto"/>
        </w:rPr>
      </w:pPr>
    </w:p>
    <w:p>
      <w:pPr>
        <w:jc w:val="right"/>
        <w:ind w:right="2579"/>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142" w:right="1440" w:bottom="1440" w:gutter="0" w:footer="0" w:header="0"/>
        </w:sectPr>
      </w:pPr>
    </w:p>
    <w:bookmarkStart w:id="34" w:name="page35"/>
    <w:bookmarkEnd w:id="34"/>
    <w:p>
      <w:pPr>
        <w:ind w:left="283"/>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Stock option activity under all option plans was as follows: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900" w:type="dxa"/>
            <w:vAlign w:val="bottom"/>
          </w:tcPr>
          <w:p>
            <w:pPr>
              <w:spacing w:after="0"/>
              <w:rPr>
                <w:sz w:val="15"/>
                <w:szCs w:val="15"/>
                <w:color w:val="auto"/>
              </w:rPr>
            </w:pPr>
          </w:p>
        </w:tc>
        <w:tc>
          <w:tcPr>
            <w:tcW w:w="14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spacing w:after="0"/>
              <w:rPr>
                <w:sz w:val="15"/>
                <w:szCs w:val="15"/>
                <w:color w:val="auto"/>
              </w:rPr>
            </w:pPr>
          </w:p>
        </w:tc>
        <w:tc>
          <w:tcPr>
            <w:tcW w:w="1420" w:type="dxa"/>
            <w:vAlign w:val="bottom"/>
          </w:tcPr>
          <w:p>
            <w:pPr>
              <w:jc w:val="right"/>
              <w:ind w:right="901"/>
              <w:spacing w:after="0"/>
              <w:rPr>
                <w:sz w:val="20"/>
                <w:szCs w:val="20"/>
                <w:color w:val="auto"/>
              </w:rPr>
            </w:pPr>
            <w:r>
              <w:rPr>
                <w:rFonts w:ascii="Courier New" w:cs="Courier New" w:eastAsia="Courier New" w:hAnsi="Courier New"/>
                <w:sz w:val="16"/>
                <w:szCs w:val="16"/>
                <w:color w:val="auto"/>
              </w:rPr>
              <w:t>1998</w:t>
            </w:r>
          </w:p>
        </w:tc>
        <w:tc>
          <w:tcPr>
            <w:tcW w:w="900" w:type="dxa"/>
            <w:vAlign w:val="bottom"/>
          </w:tcPr>
          <w:p>
            <w:pPr>
              <w:spacing w:after="0"/>
              <w:rPr>
                <w:sz w:val="15"/>
                <w:szCs w:val="15"/>
                <w:color w:val="auto"/>
              </w:rPr>
            </w:pPr>
          </w:p>
        </w:tc>
        <w:tc>
          <w:tcPr>
            <w:tcW w:w="1240" w:type="dxa"/>
            <w:vAlign w:val="bottom"/>
          </w:tcPr>
          <w:p>
            <w:pPr>
              <w:jc w:val="right"/>
              <w:ind w:right="781"/>
              <w:spacing w:after="0"/>
              <w:rPr>
                <w:sz w:val="20"/>
                <w:szCs w:val="20"/>
                <w:color w:val="auto"/>
              </w:rPr>
            </w:pPr>
            <w:r>
              <w:rPr>
                <w:rFonts w:ascii="Courier New" w:cs="Courier New" w:eastAsia="Courier New" w:hAnsi="Courier New"/>
                <w:sz w:val="16"/>
                <w:szCs w:val="16"/>
                <w:color w:val="auto"/>
                <w:w w:val="93"/>
              </w:rPr>
              <w:t>1997</w:t>
            </w:r>
          </w:p>
        </w:tc>
      </w:tr>
      <w:tr>
        <w:trPr>
          <w:trHeight w:val="182"/>
        </w:trPr>
        <w:tc>
          <w:tcPr>
            <w:tcW w:w="3680" w:type="dxa"/>
            <w:vAlign w:val="bottom"/>
          </w:tcPr>
          <w:p>
            <w:pPr>
              <w:spacing w:after="0"/>
              <w:rPr>
                <w:sz w:val="15"/>
                <w:szCs w:val="15"/>
                <w:color w:val="auto"/>
              </w:rPr>
            </w:pPr>
          </w:p>
        </w:tc>
        <w:tc>
          <w:tcPr>
            <w:tcW w:w="2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AVG.</w:t>
            </w:r>
          </w:p>
        </w:tc>
        <w:tc>
          <w:tcPr>
            <w:tcW w:w="8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Avg.</w:t>
            </w:r>
          </w:p>
        </w:tc>
        <w:tc>
          <w:tcPr>
            <w:tcW w:w="9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Avg.</w:t>
            </w:r>
          </w:p>
        </w:tc>
      </w:tr>
      <w:tr>
        <w:trPr>
          <w:trHeight w:val="182"/>
        </w:trPr>
        <w:tc>
          <w:tcPr>
            <w:tcW w:w="36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SHARES</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EX. PRICE</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Shares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Ex. Price</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Ex. Price</w:t>
            </w:r>
          </w:p>
        </w:tc>
      </w:tr>
      <w:tr>
        <w:trPr>
          <w:trHeight w:val="182"/>
        </w:trPr>
        <w:tc>
          <w:tcPr>
            <w:tcW w:w="36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Outstanding, beginning of year</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1,598</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$ 9.47</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1,714</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$ 8.57</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$ 5.64</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816</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12.98</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806</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13.36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15.64</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(390)</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Canceled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(175)</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(532)</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16.31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9.36</w:t>
            </w:r>
          </w:p>
        </w:tc>
      </w:tr>
      <w:tr>
        <w:trPr>
          <w:trHeight w:val="182"/>
        </w:trPr>
        <w:tc>
          <w:tcPr>
            <w:tcW w:w="36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Outstanding, end of year</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1,911</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$11.42</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1,598</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$ 9.47</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$ 8.57</w:t>
            </w:r>
          </w:p>
        </w:tc>
      </w:tr>
      <w:tr>
        <w:trPr>
          <w:trHeight w:val="182"/>
        </w:trPr>
        <w:tc>
          <w:tcPr>
            <w:tcW w:w="36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Options exercisable at year end</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559</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$ 8.87</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610</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$ 6.22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$ 4.77</w:t>
            </w:r>
          </w:p>
        </w:tc>
      </w:tr>
      <w:tr>
        <w:trPr>
          <w:trHeight w:val="182"/>
        </w:trPr>
        <w:tc>
          <w:tcPr>
            <w:tcW w:w="36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Information about stock options outstanding at December 31, 1999 is as follows: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(options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Options Outstanding</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Options Exercisable</w:t>
            </w:r>
          </w:p>
        </w:tc>
      </w:tr>
      <w:tr>
        <w:trPr>
          <w:trHeight w:val="182"/>
        </w:trPr>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74"/>
              </w:rPr>
              <w:t>----------------------------------------------</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80" w:type="dxa"/>
            <w:vAlign w:val="bottom"/>
          </w:tcPr>
          <w:p>
            <w:pPr>
              <w:ind w:left="380"/>
              <w:spacing w:after="0"/>
              <w:rPr>
                <w:sz w:val="20"/>
                <w:szCs w:val="20"/>
                <w:color w:val="auto"/>
              </w:rPr>
            </w:pPr>
            <w:r>
              <w:rPr>
                <w:rFonts w:ascii="Courier New" w:cs="Courier New" w:eastAsia="Courier New" w:hAnsi="Courier New"/>
                <w:sz w:val="16"/>
                <w:szCs w:val="16"/>
                <w:color w:val="auto"/>
              </w:rPr>
              <w:t>Approximate</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Number</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Avg.</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6"/>
                <w:szCs w:val="16"/>
                <w:color w:val="auto"/>
              </w:rPr>
              <w:t>Number</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0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Range of</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Outstanding</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Remaining</w:t>
            </w:r>
          </w:p>
        </w:tc>
        <w:tc>
          <w:tcPr>
            <w:tcW w:w="15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Avg.</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Exercisable</w:t>
            </w:r>
          </w:p>
        </w:tc>
        <w:tc>
          <w:tcPr>
            <w:tcW w:w="12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Avg.</w:t>
            </w:r>
          </w:p>
        </w:tc>
      </w:tr>
      <w:tr>
        <w:trPr>
          <w:trHeight w:val="182"/>
        </w:trPr>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Exercisable Prices</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at 12/31/99</w:t>
            </w:r>
          </w:p>
        </w:tc>
        <w:tc>
          <w:tcPr>
            <w:tcW w:w="1980" w:type="dxa"/>
            <w:vAlign w:val="bottom"/>
          </w:tcPr>
          <w:p>
            <w:pPr>
              <w:ind w:left="380"/>
              <w:spacing w:after="0"/>
              <w:rPr>
                <w:sz w:val="20"/>
                <w:szCs w:val="20"/>
                <w:color w:val="auto"/>
              </w:rPr>
            </w:pPr>
            <w:r>
              <w:rPr>
                <w:rFonts w:ascii="Courier New" w:cs="Courier New" w:eastAsia="Courier New" w:hAnsi="Courier New"/>
                <w:sz w:val="16"/>
                <w:szCs w:val="16"/>
                <w:color w:val="auto"/>
              </w:rPr>
              <w:t>Life (Years)</w:t>
            </w:r>
          </w:p>
        </w:tc>
        <w:tc>
          <w:tcPr>
            <w:tcW w:w="15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Ex. Price</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at 12/31/99</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Ex. Price</w:t>
            </w:r>
          </w:p>
        </w:tc>
      </w:tr>
      <w:tr>
        <w:trPr>
          <w:trHeight w:val="182"/>
        </w:trPr>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w:t>
            </w:r>
          </w:p>
        </w:tc>
        <w:tc>
          <w:tcPr>
            <w:tcW w:w="18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364"/>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$ 4.03</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  4.85</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4.06</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121</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4.06</w:t>
            </w:r>
          </w:p>
        </w:tc>
      </w:tr>
      <w:tr>
        <w:trPr>
          <w:trHeight w:val="182"/>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7.69</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- 12.07</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1,476</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8.5</w:t>
            </w:r>
          </w:p>
        </w:tc>
        <w:tc>
          <w:tcPr>
            <w:tcW w:w="38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10.72</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375</w:t>
            </w:r>
          </w:p>
        </w:tc>
        <w:tc>
          <w:tcPr>
            <w:tcW w:w="4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9.16</w:t>
            </w:r>
          </w:p>
        </w:tc>
      </w:tr>
      <w:tr>
        <w:trPr>
          <w:trHeight w:val="182"/>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12.19</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- 22.00</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303</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8.6</w:t>
            </w:r>
          </w:p>
        </w:tc>
        <w:tc>
          <w:tcPr>
            <w:tcW w:w="38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17.29</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63</w:t>
            </w:r>
          </w:p>
        </w:tc>
        <w:tc>
          <w:tcPr>
            <w:tcW w:w="4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16.30</w:t>
            </w:r>
          </w:p>
        </w:tc>
      </w:tr>
      <w:tr>
        <w:trPr>
          <w:trHeight w:val="182"/>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22.88</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- 27.50</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9.8</w:t>
            </w:r>
          </w:p>
        </w:tc>
        <w:tc>
          <w:tcPr>
            <w:tcW w:w="38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24.30</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spacing w:after="0"/>
              <w:rPr>
                <w:sz w:val="15"/>
                <w:szCs w:val="15"/>
                <w:color w:val="auto"/>
              </w:rPr>
            </w:pPr>
          </w:p>
        </w:tc>
        <w:tc>
          <w:tcPr>
            <w:tcW w:w="15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1,911</w:t>
            </w:r>
          </w:p>
        </w:tc>
        <w:tc>
          <w:tcPr>
            <w:tcW w:w="1980" w:type="dxa"/>
            <w:vAlign w:val="bottom"/>
          </w:tcPr>
          <w:p>
            <w:pPr>
              <w:spacing w:after="0"/>
              <w:rPr>
                <w:sz w:val="15"/>
                <w:szCs w:val="15"/>
                <w:color w:val="auto"/>
              </w:rPr>
            </w:pP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11.42</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559</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8.87</w:t>
            </w:r>
          </w:p>
        </w:tc>
      </w:tr>
      <w:tr>
        <w:trPr>
          <w:trHeight w:val="182"/>
        </w:trPr>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spacing w:after="0"/>
              <w:rPr>
                <w:sz w:val="15"/>
                <w:szCs w:val="15"/>
                <w:color w:val="auto"/>
              </w:rPr>
            </w:pPr>
          </w:p>
        </w:tc>
        <w:tc>
          <w:tcPr>
            <w:tcW w:w="15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9. COMMITMENTS</w:t>
      </w:r>
    </w:p>
    <w:p>
      <w:pPr>
        <w:spacing w:after="0" w:line="186" w:lineRule="exact"/>
        <w:rPr>
          <w:sz w:val="20"/>
          <w:szCs w:val="20"/>
          <w:color w:val="auto"/>
        </w:rPr>
      </w:pPr>
    </w:p>
    <w:p>
      <w:pPr>
        <w:ind w:left="3" w:right="3120"/>
        <w:spacing w:after="0" w:line="239" w:lineRule="auto"/>
        <w:rPr>
          <w:sz w:val="20"/>
          <w:szCs w:val="20"/>
          <w:color w:val="auto"/>
        </w:rPr>
      </w:pPr>
      <w:r>
        <w:rPr>
          <w:rFonts w:ascii="Courier New" w:cs="Courier New" w:eastAsia="Courier New" w:hAnsi="Courier New"/>
          <w:sz w:val="16"/>
          <w:szCs w:val="16"/>
          <w:color w:val="auto"/>
        </w:rPr>
        <w:t>Rent expense for the years ended December 31, 1999, 1998 and 1997 was $1,006,000, $731,000 and $510,000, respectively. Future minimum lease payments at December 31, 1999 are: 2000 - $1,101,000; 2001 - $568,000; 2002 - $366,000; 2003 - $46,000, totaling $2,081,000.</w:t>
      </w:r>
    </w:p>
    <w:p>
      <w:pPr>
        <w:spacing w:after="0" w:line="184" w:lineRule="exact"/>
        <w:rPr>
          <w:sz w:val="20"/>
          <w:szCs w:val="20"/>
          <w:color w:val="auto"/>
        </w:rPr>
      </w:pPr>
    </w:p>
    <w:p>
      <w:pPr>
        <w:ind w:left="183" w:hanging="183"/>
        <w:spacing w:after="0"/>
        <w:tabs>
          <w:tab w:leader="none" w:pos="18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REPORT OF ERNST &amp; YOUNG LLP, INDEPENDENT AUDITORS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Cohu, Inc.</w:t>
      </w:r>
    </w:p>
    <w:p>
      <w:pPr>
        <w:spacing w:after="0" w:line="186" w:lineRule="exact"/>
        <w:rPr>
          <w:sz w:val="20"/>
          <w:szCs w:val="20"/>
          <w:color w:val="auto"/>
        </w:rPr>
      </w:pPr>
    </w:p>
    <w:p>
      <w:pPr>
        <w:ind w:left="3" w:right="3040" w:firstLine="757"/>
        <w:spacing w:after="0" w:line="239" w:lineRule="auto"/>
        <w:rPr>
          <w:sz w:val="20"/>
          <w:szCs w:val="20"/>
          <w:color w:val="auto"/>
        </w:rPr>
      </w:pPr>
      <w:r>
        <w:rPr>
          <w:rFonts w:ascii="Courier New" w:cs="Courier New" w:eastAsia="Courier New" w:hAnsi="Courier New"/>
          <w:sz w:val="16"/>
          <w:szCs w:val="16"/>
          <w:color w:val="auto"/>
        </w:rPr>
        <w:t>We have audited the accompanying consolidated balance sheets of Cohu, Inc. as of December 31, 1999 and 1998, and the related consolidated statements of income,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90" w:lineRule="exact"/>
        <w:rPr>
          <w:sz w:val="20"/>
          <w:szCs w:val="20"/>
          <w:color w:val="auto"/>
        </w:rPr>
      </w:pPr>
    </w:p>
    <w:p>
      <w:pPr>
        <w:ind w:left="3" w:right="2940" w:firstLine="757"/>
        <w:spacing w:after="0"/>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left="3" w:right="3120" w:firstLine="757"/>
        <w:spacing w:after="0" w:line="23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Cohu,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86" w:lineRule="exact"/>
        <w:rPr>
          <w:sz w:val="20"/>
          <w:szCs w:val="20"/>
          <w:color w:val="auto"/>
        </w:rPr>
      </w:pPr>
    </w:p>
    <w:p>
      <w:pPr>
        <w:ind w:left="5203"/>
        <w:spacing w:after="0"/>
        <w:rPr>
          <w:sz w:val="20"/>
          <w:szCs w:val="20"/>
          <w:color w:val="auto"/>
        </w:rPr>
      </w:pPr>
      <w:r>
        <w:rPr>
          <w:rFonts w:ascii="Courier New" w:cs="Courier New" w:eastAsia="Courier New" w:hAnsi="Courier New"/>
          <w:sz w:val="16"/>
          <w:szCs w:val="16"/>
          <w:color w:val="auto"/>
        </w:rPr>
        <w:t>/s/ ERNST &amp; YOUNG LLP</w:t>
      </w:r>
    </w:p>
    <w:p>
      <w:pPr>
        <w:sectPr>
          <w:pgSz w:w="11900" w:h="16838" w:orient="portrait"/>
          <w:cols w:equalWidth="0" w:num="1">
            <w:col w:w="10503"/>
          </w:cols>
          <w:pgMar w:left="317" w:top="295" w:right="1079"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San Diego,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26, 2000</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142" w:right="1440" w:bottom="1440" w:gutter="0" w:footer="0" w:header="0"/>
        </w:sectPr>
      </w:pPr>
    </w:p>
    <w:bookmarkStart w:id="36" w:name="page37"/>
    <w:bookmarkEnd w:id="36"/>
    <w:p>
      <w:pPr>
        <w:spacing w:after="0" w:line="38"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5" w:lineRule="exact"/>
        <w:rPr>
          <w:sz w:val="20"/>
          <w:szCs w:val="20"/>
          <w:color w:val="auto"/>
        </w:rPr>
      </w:pPr>
    </w:p>
    <w:p>
      <w:pPr>
        <w:ind w:left="183" w:hanging="183"/>
        <w:spacing w:after="0"/>
        <w:tabs>
          <w:tab w:leader="none" w:pos="18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jc w:val="both"/>
        <w:ind w:left="3" w:right="8159"/>
        <w:spacing w:after="0" w:line="51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1999 COMPARED TO 1998</w:t>
      </w:r>
    </w:p>
    <w:p>
      <w:pPr>
        <w:spacing w:after="0" w:line="1" w:lineRule="exact"/>
        <w:rPr>
          <w:sz w:val="20"/>
          <w:szCs w:val="20"/>
          <w:color w:val="auto"/>
        </w:rPr>
      </w:pPr>
    </w:p>
    <w:p>
      <w:pPr>
        <w:ind w:left="3" w:right="2679" w:firstLine="662"/>
        <w:spacing w:after="0"/>
        <w:rPr>
          <w:sz w:val="20"/>
          <w:szCs w:val="20"/>
          <w:color w:val="auto"/>
        </w:rPr>
      </w:pPr>
      <w:r>
        <w:rPr>
          <w:rFonts w:ascii="Courier New" w:cs="Courier New" w:eastAsia="Courier New" w:hAnsi="Courier New"/>
          <w:sz w:val="16"/>
          <w:szCs w:val="16"/>
          <w:color w:val="auto"/>
        </w:rPr>
        <w:t>Net sales increased 22% to $208.8 million in 1999 compared to net sales of $171.5 million in 1998. Sales of semiconductor equipment in 1999 increased 28% compared to 1998 and accounted for 84% of consolidated net sales in 1999 versus 80% in 1998. In 1999 sales of television cameras accounted for 10% of sales while the combined sales of metal detection and microwave radio equipment contributed 6% of sales. Export sales accounted for 63% of net sales in 1999 compared to 44% in 1998.</w:t>
      </w:r>
    </w:p>
    <w:p>
      <w:pPr>
        <w:spacing w:after="0" w:line="187" w:lineRule="exact"/>
        <w:rPr>
          <w:sz w:val="20"/>
          <w:szCs w:val="20"/>
          <w:color w:val="auto"/>
        </w:rPr>
      </w:pPr>
    </w:p>
    <w:p>
      <w:pPr>
        <w:ind w:left="3" w:right="2679" w:firstLine="662"/>
        <w:spacing w:after="0"/>
        <w:rPr>
          <w:sz w:val="20"/>
          <w:szCs w:val="20"/>
          <w:color w:val="auto"/>
        </w:rPr>
      </w:pPr>
      <w:r>
        <w:rPr>
          <w:rFonts w:ascii="Courier New" w:cs="Courier New" w:eastAsia="Courier New" w:hAnsi="Courier New"/>
          <w:sz w:val="16"/>
          <w:szCs w:val="16"/>
          <w:color w:val="auto"/>
        </w:rPr>
        <w:t>During 1999 we shipped a significant number of our new Summit test handlers. At December 31, 1999 the Summit handlers had not met certain customer acceptance requirements. In accordance with Staff Accounting Bulletin No. 101, revenue on these shipments will be recognized in 2000 upon customer acceptance. Customer payments received on these shipments totaling approximately $18.5 million at December 31, 1999 have been recorded as customer advances in the consolidated balance sheet.</w:t>
      </w:r>
    </w:p>
    <w:p>
      <w:pPr>
        <w:spacing w:after="0" w:line="187" w:lineRule="exact"/>
        <w:rPr>
          <w:sz w:val="20"/>
          <w:szCs w:val="20"/>
          <w:color w:val="auto"/>
        </w:rPr>
      </w:pPr>
    </w:p>
    <w:p>
      <w:pPr>
        <w:ind w:left="3" w:right="2579" w:firstLine="662"/>
        <w:spacing w:after="0"/>
        <w:rPr>
          <w:sz w:val="20"/>
          <w:szCs w:val="20"/>
          <w:color w:val="auto"/>
        </w:rPr>
      </w:pPr>
      <w:r>
        <w:rPr>
          <w:rFonts w:ascii="Courier New" w:cs="Courier New" w:eastAsia="Courier New" w:hAnsi="Courier New"/>
          <w:sz w:val="16"/>
          <w:szCs w:val="16"/>
          <w:color w:val="auto"/>
        </w:rPr>
        <w:t>Gross margin as a percentage of net sales increased to 39.3% in 1999 versus 32.1% in 1998. Within the semiconductor equipment segment, margins increased in 1999 primarily as a result of changes in product mix and increased business volume. The gross margin in 1998 was adversely impacted by lower margins on sales of our Enterprise test handlers and provisions for excess and obsolete inventories. Research and development expense as a percentage of net sales was 9.8% in 1999 compared to 11.9% in 1998, increasing in absolute dollars from $20.4 million in 1998 to $20.5 million in 1999. Selling, general and administrative expense as a percentage of net sales increased to 12.9% in 1999 from 12.3% in 1998 primarily as a result of increases in bad debt, commission and incentive compensation expense. Interest income increased to $4.3 million in 1999 from $3.5 million in 1998 primarily as a result of an increase in average cash and investments. The provision for income taxes expressed as a percentage of pre-tax income was 33.4% in 1999 vs. 27.4% in 1998. The effective tax rate in 1998 was favorably affected by the settlement of tax examinations for earlier years.</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1998 COMPARED TO 1997</w:t>
      </w:r>
    </w:p>
    <w:p>
      <w:pPr>
        <w:spacing w:after="0" w:line="186" w:lineRule="exact"/>
        <w:rPr>
          <w:sz w:val="20"/>
          <w:szCs w:val="20"/>
          <w:color w:val="auto"/>
        </w:rPr>
      </w:pPr>
    </w:p>
    <w:p>
      <w:pPr>
        <w:ind w:left="3" w:right="2579" w:firstLine="662"/>
        <w:spacing w:after="0"/>
        <w:rPr>
          <w:sz w:val="20"/>
          <w:szCs w:val="20"/>
          <w:color w:val="auto"/>
        </w:rPr>
      </w:pPr>
      <w:r>
        <w:rPr>
          <w:rFonts w:ascii="Courier New" w:cs="Courier New" w:eastAsia="Courier New" w:hAnsi="Courier New"/>
          <w:sz w:val="16"/>
          <w:szCs w:val="16"/>
          <w:color w:val="auto"/>
        </w:rPr>
        <w:t>In 1998 Cohu was affected by the worldwide slowdown in demand for semiconductor equipment and as a result net sales decreased 9% to $171.5 million in 1998 compared to net sales of $187.8 million in 1997. Sales of semiconductor equipment in 1998 decreased 11% compared to 1997 and accounted for 80% of consolidated net sales in 1998 versus 81% in 1997. In 1998 sales of television cameras accounted for 12% of sales while the combined sales of metal detection and microwave radio equipment contributed 8% of sales. Export sales accounted for 44% of net sales in 1998 compared to 52% in 1997.</w:t>
      </w:r>
    </w:p>
    <w:p>
      <w:pPr>
        <w:spacing w:after="0" w:line="187" w:lineRule="exact"/>
        <w:rPr>
          <w:sz w:val="20"/>
          <w:szCs w:val="20"/>
          <w:color w:val="auto"/>
        </w:rPr>
      </w:pPr>
    </w:p>
    <w:p>
      <w:pPr>
        <w:ind w:left="3" w:right="2579" w:firstLine="662"/>
        <w:spacing w:after="0" w:line="257" w:lineRule="auto"/>
        <w:rPr>
          <w:sz w:val="20"/>
          <w:szCs w:val="20"/>
          <w:color w:val="auto"/>
        </w:rPr>
      </w:pPr>
      <w:r>
        <w:rPr>
          <w:rFonts w:ascii="Courier New" w:cs="Courier New" w:eastAsia="Courier New" w:hAnsi="Courier New"/>
          <w:sz w:val="15"/>
          <w:szCs w:val="15"/>
          <w:color w:val="auto"/>
        </w:rPr>
        <w:t>Gross margin as a percentage of net sales declined to 32.1% in 1998 versus 43.5% in 1997 primarily due to lower margins in the semiconductor equipment business. Within the semiconductor equipment segment, margins decreased in 1998 primarily as a result of provisions for warranty and excess inventories, changes in product mix, including new handler products that had significantly lower margins, reduced business volume, sales price reductions and certain cost increases. Research and development expense as a percentage of net sales increased to 11.9% in 1998 compared to 9.3% in 1997 as a result of an increase in new product development efforts in the semiconductor equipment business. Selling, general and administrative expense as a percentage of net sales increased to 12.3% in 1998 from 11.4% in 1997 primarily as a result of the decrease in business volume offset by a reduction in performance-based compensation expense. Interest income was $3.5 million in 1998 and $3.0 million in 1997. The provision for income taxes expressed as a percentage of pre-tax income was 27.4% in 1998 vs. 36.4% in 1997. The decrease in the effective tax rate was largely attributable to a decline in state income taxes and the favorable impact of the settlement of tax examinations for earlier years.</w:t>
      </w:r>
    </w:p>
    <w:p>
      <w:pPr>
        <w:spacing w:after="0" w:line="181" w:lineRule="exact"/>
        <w:rPr>
          <w:sz w:val="20"/>
          <w:szCs w:val="20"/>
          <w:color w:val="auto"/>
        </w:rPr>
      </w:pPr>
    </w:p>
    <w:p>
      <w:pPr>
        <w:ind w:left="3" w:right="2579" w:firstLine="662"/>
        <w:spacing w:after="0"/>
        <w:rPr>
          <w:sz w:val="20"/>
          <w:szCs w:val="20"/>
          <w:color w:val="auto"/>
        </w:rPr>
      </w:pPr>
      <w:r>
        <w:rPr>
          <w:rFonts w:ascii="Courier New" w:cs="Courier New" w:eastAsia="Courier New" w:hAnsi="Courier New"/>
          <w:sz w:val="16"/>
          <w:szCs w:val="16"/>
          <w:color w:val="auto"/>
        </w:rPr>
        <w:t>In the fourth quarter of 1998 we recorded net pretax charges for inventory and related reserves of approximately $3.5 million and a goodwill write-down of $1.0 million primarily as a result of changes in customer demand for certain semiconductor handler products. The goodwill write-down was based on an analysis of future estimated undiscounted cash flows. In addition, the credit for income taxes in the fourth quarter of 1998 was favorably affected by approximately $1.0 million as a result of the settlement of tax examinations for earlier years.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left="3" w:right="2679" w:firstLine="662"/>
        <w:spacing w:after="0" w:line="258" w:lineRule="auto"/>
        <w:rPr>
          <w:sz w:val="20"/>
          <w:szCs w:val="20"/>
          <w:color w:val="auto"/>
        </w:rPr>
      </w:pPr>
      <w:r>
        <w:rPr>
          <w:rFonts w:ascii="Courier New" w:cs="Courier New" w:eastAsia="Courier New" w:hAnsi="Courier New"/>
          <w:sz w:val="15"/>
          <w:szCs w:val="15"/>
          <w:color w:val="auto"/>
        </w:rPr>
        <w:t>Cohu's net cash flows used for operating activities in 1999 totaled $1.2 million. The major components of cash flows used for operating activities were net income of $25.9 million and increases in accounts payable and customer advances of $10.0 million and $14.6 million, respectively, offset by increases in accounts receivable and inventories of $33.5 million and $29.8 million, respectively. The increases in accounts payable, accounts receivable and inventories were attributable to the increase in sales volume between December</w:t>
      </w:r>
    </w:p>
    <w:p>
      <w:pPr>
        <w:sectPr>
          <w:pgSz w:w="11900" w:h="16877" w:orient="portrait"/>
          <w:cols w:equalWidth="0" w:num="1">
            <w:col w:w="10142"/>
          </w:cols>
          <w:pgMar w:left="317" w:top="295" w:right="1440" w:bottom="0" w:gutter="0" w:footer="0" w:header="0"/>
        </w:sectPr>
      </w:pPr>
    </w:p>
    <w:bookmarkStart w:id="37" w:name="page38"/>
    <w:bookmarkEnd w:id="37"/>
    <w:p>
      <w:pPr>
        <w:ind w:right="2579"/>
        <w:spacing w:after="0" w:line="239" w:lineRule="auto"/>
        <w:rPr>
          <w:sz w:val="20"/>
          <w:szCs w:val="20"/>
          <w:color w:val="auto"/>
        </w:rPr>
      </w:pPr>
      <w:r>
        <w:rPr>
          <w:rFonts w:ascii="Courier New" w:cs="Courier New" w:eastAsia="Courier New" w:hAnsi="Courier New"/>
          <w:sz w:val="16"/>
          <w:szCs w:val="16"/>
          <w:color w:val="auto"/>
        </w:rPr>
        <w:t>1998 and December 1999. Net cash used for investing activities was $15.8 million in 1999. Cash used for investing activities included an increase in short-term investments of $13.4 million and purchases of property, plant and equipment totaling $2.4 million. Net cash used for financing activities was $1.4 million. Cash used for financing activities included $3.6 million for the payment of dividends offset by $2.1 million</w:t>
      </w:r>
    </w:p>
    <w:p>
      <w:pPr>
        <w:spacing w:after="0" w:line="200" w:lineRule="exact"/>
        <w:rPr>
          <w:sz w:val="20"/>
          <w:szCs w:val="20"/>
          <w:color w:val="auto"/>
        </w:rPr>
      </w:pPr>
    </w:p>
    <w:p>
      <w:pPr>
        <w:spacing w:after="0" w:line="350" w:lineRule="exact"/>
        <w:rPr>
          <w:sz w:val="20"/>
          <w:szCs w:val="20"/>
          <w:color w:val="auto"/>
        </w:rPr>
      </w:pPr>
    </w:p>
    <w:p>
      <w:pPr>
        <w:jc w:val="right"/>
        <w:ind w:right="2579"/>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142" w:right="1440" w:bottom="1440" w:gutter="0" w:footer="0" w:header="0"/>
        </w:sectPr>
      </w:pPr>
    </w:p>
    <w:bookmarkStart w:id="38" w:name="page39"/>
    <w:bookmarkEnd w:id="38"/>
    <w:p>
      <w:pPr>
        <w:spacing w:after="0" w:line="4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received from the issuance of stock under our stock option and purchase plans. Cohu had $10 million available under our bank line of credit and working capital of $146.1 million at December 31, 1999. We anticipate that present working capital will be sufficient to meet our 2000 operating requirements including any capital expenditures during 2000.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AND MARKET RISKS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CYCLES</w:t>
      </w:r>
    </w:p>
    <w:p>
      <w:pPr>
        <w:spacing w:after="0" w:line="186" w:lineRule="exact"/>
        <w:rPr>
          <w:sz w:val="20"/>
          <w:szCs w:val="20"/>
          <w:color w:val="auto"/>
        </w:rPr>
      </w:pPr>
    </w:p>
    <w:p>
      <w:pPr>
        <w:ind w:right="2579" w:firstLine="662"/>
        <w:spacing w:after="0" w:line="257" w:lineRule="auto"/>
        <w:rPr>
          <w:sz w:val="20"/>
          <w:szCs w:val="20"/>
          <w:color w:val="auto"/>
        </w:rPr>
      </w:pPr>
      <w:r>
        <w:rPr>
          <w:rFonts w:ascii="Courier New" w:cs="Courier New" w:eastAsia="Courier New" w:hAnsi="Courier New"/>
          <w:sz w:val="15"/>
          <w:szCs w:val="15"/>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affect on the semiconductor industry's demand for capital equipment, including equipment of the type manufactured and marketed by Cohu. We anticipate that the markets for newer generations of semiconductors may also be subject to similar cycles and severe downturns, such as those experienced in 1996 and 1998. Reductions in capital equipment investment by semiconductor manufacturers will adversely affect our financial position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RAPID TECHNOLOGICAL CHANGE AND NEW PRODUCTS</w:t>
      </w:r>
    </w:p>
    <w:p>
      <w:pPr>
        <w:spacing w:after="0" w:line="186" w:lineRule="exact"/>
        <w:rPr>
          <w:sz w:val="20"/>
          <w:szCs w:val="20"/>
          <w:color w:val="auto"/>
        </w:rPr>
      </w:pPr>
    </w:p>
    <w:p>
      <w:pPr>
        <w:ind w:right="2579" w:firstLine="662"/>
        <w:spacing w:after="0" w:line="257" w:lineRule="auto"/>
        <w:rPr>
          <w:sz w:val="20"/>
          <w:szCs w:val="20"/>
          <w:color w:val="auto"/>
        </w:rPr>
      </w:pPr>
      <w:r>
        <w:rPr>
          <w:rFonts w:ascii="Courier New" w:cs="Courier New" w:eastAsia="Courier New" w:hAnsi="Courier New"/>
          <w:sz w:val="15"/>
          <w:szCs w:val="15"/>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similar to or in excess of those recorded in 1998, that could have a material adverse impact on our financial condition and results of operations.</w:t>
      </w:r>
    </w:p>
    <w:p>
      <w:pPr>
        <w:spacing w:after="0" w:line="181" w:lineRule="exact"/>
        <w:rPr>
          <w:sz w:val="20"/>
          <w:szCs w:val="20"/>
          <w:color w:val="auto"/>
        </w:rPr>
      </w:pPr>
    </w:p>
    <w:p>
      <w:pPr>
        <w:ind w:right="2579" w:firstLine="662"/>
        <w:spacing w:after="0" w:line="257" w:lineRule="auto"/>
        <w:rPr>
          <w:sz w:val="20"/>
          <w:szCs w:val="20"/>
          <w:color w:val="auto"/>
        </w:rPr>
      </w:pPr>
      <w:r>
        <w:rPr>
          <w:rFonts w:ascii="Courier New" w:cs="Courier New" w:eastAsia="Courier New" w:hAnsi="Courier New"/>
          <w:sz w:val="15"/>
          <w:szCs w:val="15"/>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No assurance can be made that we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our operations, financial condition and results of operations.</w:t>
      </w:r>
    </w:p>
    <w:p>
      <w:pPr>
        <w:spacing w:after="0" w:line="363" w:lineRule="exact"/>
        <w:rPr>
          <w:sz w:val="20"/>
          <w:szCs w:val="20"/>
          <w:color w:val="auto"/>
        </w:rPr>
      </w:pPr>
    </w:p>
    <w:p>
      <w:pPr>
        <w:ind w:right="2579" w:firstLine="662"/>
        <w:spacing w:after="0" w:line="257" w:lineRule="auto"/>
        <w:rPr>
          <w:sz w:val="20"/>
          <w:szCs w:val="20"/>
          <w:color w:val="auto"/>
        </w:rPr>
      </w:pPr>
      <w:r>
        <w:rPr>
          <w:rFonts w:ascii="Courier New" w:cs="Courier New" w:eastAsia="Courier New" w:hAnsi="Courier New"/>
          <w:sz w:val="15"/>
          <w:szCs w:val="15"/>
          <w:color w:val="auto"/>
        </w:rPr>
        <w:t>The transition from product development to the manufacture of new semiconductor equipment is a difficult process and delays in product introductions and problems in manufacturing such equipment are common. During 1998 and 1999 we experienced difficulties in manufacturing and volume production of our new test handlers. In addition, after sale support and warranty costs are typically greater with new test handlers than with established products. There can be no assurance that future technologies, processes and product developments will not render our current or future product offerings obsolete or that we will be able to develop, introduce and successfully manufacture new products or make enhancements to our existing products in a timely manner to satisfy customer requirements or achieve market acceptance. Furthermore, there is no assurance that we will realize acceptable profit margins on such products.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HIGHLY COMPETITIVE INDUSTRY</w:t>
      </w:r>
    </w:p>
    <w:p>
      <w:pPr>
        <w:spacing w:after="0" w:line="186" w:lineRule="exact"/>
        <w:rPr>
          <w:sz w:val="20"/>
          <w:szCs w:val="20"/>
          <w:color w:val="auto"/>
        </w:rPr>
      </w:pPr>
    </w:p>
    <w:p>
      <w:pPr>
        <w:ind w:right="2579" w:firstLine="662"/>
        <w:spacing w:after="0" w:line="258" w:lineRule="auto"/>
        <w:rPr>
          <w:sz w:val="20"/>
          <w:szCs w:val="20"/>
          <w:color w:val="auto"/>
        </w:rPr>
      </w:pPr>
      <w:r>
        <w:rPr>
          <w:rFonts w:ascii="Courier New" w:cs="Courier New" w:eastAsia="Courier New" w:hAnsi="Courier New"/>
          <w:sz w:val="15"/>
          <w:szCs w:val="15"/>
          <w:color w:val="auto"/>
        </w:rPr>
        <w:t>The semiconductor equipment industry is intensely competitive and we face substantial competition from numerous companies throughout the world. While we believe we are the largest U.S. based supplier of semiconductor test handling equipment, we face substantial competition in the U.S. and throughout the world.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w:t>
      </w:r>
    </w:p>
    <w:p>
      <w:pPr>
        <w:sectPr>
          <w:pgSz w:w="11900" w:h="16878" w:orient="portrait"/>
          <w:cols w:equalWidth="0" w:num="1">
            <w:col w:w="10139"/>
          </w:cols>
          <w:pgMar w:left="320" w:top="295" w:right="1440" w:bottom="0" w:gutter="0" w:footer="0" w:header="0"/>
        </w:sectPr>
      </w:pPr>
    </w:p>
    <w:bookmarkStart w:id="39" w:name="page40"/>
    <w:bookmarkEnd w:id="39"/>
    <w:p>
      <w:pPr>
        <w:ind w:right="2859"/>
        <w:spacing w:after="0" w:line="237" w:lineRule="auto"/>
        <w:rPr>
          <w:sz w:val="20"/>
          <w:szCs w:val="20"/>
          <w:color w:val="auto"/>
        </w:rPr>
      </w:pPr>
      <w:r>
        <w:rPr>
          <w:rFonts w:ascii="Courier New" w:cs="Courier New" w:eastAsia="Courier New" w:hAnsi="Courier New"/>
          <w:sz w:val="16"/>
          <w:szCs w:val="16"/>
          <w:color w:val="auto"/>
        </w:rPr>
        <w:t>customer support capabilities and offer more extensive product offerings than Cohu. In addition, there are smaller,</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142" w:right="1440" w:bottom="1440" w:gutter="0" w:footer="0" w:header="0"/>
        </w:sectPr>
      </w:pPr>
    </w:p>
    <w:bookmarkStart w:id="40" w:name="page41"/>
    <w:bookmarkEnd w:id="40"/>
    <w:p>
      <w:pPr>
        <w:spacing w:after="0" w:line="4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emerging semiconductor equipment companies that provide or may provide innovative technology incorporated in products that may compete favorably against those of Cohu. We expect our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Cohu or our competitors to use certain intellectual property or technology could result in a loss of our competitive position and reduced sales of or margins on existing products.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CONCENTRATION</w:t>
      </w:r>
    </w:p>
    <w:p>
      <w:pPr>
        <w:spacing w:after="0" w:line="186" w:lineRule="exact"/>
        <w:rPr>
          <w:sz w:val="20"/>
          <w:szCs w:val="20"/>
          <w:color w:val="auto"/>
        </w:rPr>
      </w:pPr>
    </w:p>
    <w:p>
      <w:pPr>
        <w:ind w:right="2579" w:firstLine="662"/>
        <w:spacing w:after="0"/>
        <w:rPr>
          <w:sz w:val="20"/>
          <w:szCs w:val="20"/>
          <w:color w:val="auto"/>
        </w:rPr>
      </w:pPr>
      <w:r>
        <w:rPr>
          <w:rFonts w:ascii="Courier New" w:cs="Courier New" w:eastAsia="Courier New" w:hAnsi="Courier New"/>
          <w:sz w:val="16"/>
          <w:szCs w:val="16"/>
          <w:color w:val="auto"/>
        </w:rPr>
        <w:t>As is common in the semiconductor equipment industry, we rely on a limited number of customers for a substantial percentage of our net sales. In 1999, four customers of the semiconductor equipment segment accounted for 46% (60% in 1998) of our net sales. The loss of or a significant reduction in orders by these or other significant customers as a result of competitive products, market conditions, outsourcing final IC test to third parties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86" w:lineRule="exact"/>
        <w:rPr>
          <w:sz w:val="20"/>
          <w:szCs w:val="20"/>
          <w:color w:val="auto"/>
        </w:rPr>
      </w:pPr>
    </w:p>
    <w:p>
      <w:pPr>
        <w:ind w:right="2579" w:firstLine="662"/>
        <w:spacing w:after="0" w:line="256" w:lineRule="auto"/>
        <w:rPr>
          <w:sz w:val="20"/>
          <w:szCs w:val="20"/>
          <w:color w:val="auto"/>
        </w:rPr>
      </w:pPr>
      <w:r>
        <w:rPr>
          <w:rFonts w:ascii="Courier New" w:cs="Courier New" w:eastAsia="Courier New" w:hAnsi="Courier New"/>
          <w:sz w:val="15"/>
          <w:szCs w:val="15"/>
          <w:color w:val="auto"/>
        </w:rPr>
        <w:t>Our order backlog rose significantly during 1999 primarily as a result of the improved business conditions in the semiconductor equipment industry and strong demand for our new pick-and-place test handler products. A significant portion of our semiconductor test handling equipment backlog at December 31,</w:t>
      </w:r>
    </w:p>
    <w:p>
      <w:pPr>
        <w:spacing w:after="0" w:line="3"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1999 was for new products, including the Castle and Summit test handlers. Due to the possibility of customer changes in delivery schedules, cancellation of orders, potential delays in product shipments, difficulties in obtaining inventory parts from suppliers and failure to satisfy customer acceptance requirements, our backlog as of any point in time may not be representative of actual sales in any future period. Furthermore, all orders are subject to cancellation or rescheduling by the customer with limited penalty. A reduction in backlog during any particular period could have a material adverse affect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DEMANDS ON INFRASTRUCTURE</w:t>
      </w:r>
    </w:p>
    <w:p>
      <w:pPr>
        <w:spacing w:after="0" w:line="186" w:lineRule="exact"/>
        <w:rPr>
          <w:sz w:val="20"/>
          <w:szCs w:val="20"/>
          <w:color w:val="auto"/>
        </w:rPr>
      </w:pPr>
    </w:p>
    <w:p>
      <w:pPr>
        <w:ind w:right="2579" w:firstLine="662"/>
        <w:spacing w:after="0"/>
        <w:rPr>
          <w:sz w:val="20"/>
          <w:szCs w:val="20"/>
          <w:color w:val="auto"/>
        </w:rPr>
      </w:pPr>
      <w:r>
        <w:rPr>
          <w:rFonts w:ascii="Courier New" w:cs="Courier New" w:eastAsia="Courier New" w:hAnsi="Courier New"/>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and other semiconductor equipment manufacturers. In response to a severe industry downturn in 1998, we reduced our total workforce by approximately 40%. During 1999, we increased our workforce by more than 50% as business conditions in the semiconductor equipment industry and our order backlog improved. Such radical changes in workforce levels place enormous demands on our operations and infrastructure since newly hired personnel rarely possess the expertise and level of experience of people they replace.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No assurance can be given that we will continue to successfully adjust our production capacity to meet customers' changing requirements. The inability to meet such requirements will have an adverse impact on our financial position and 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DECLINE IN GRAVITY-FEED IC TEST HANDLER SALES</w:t>
      </w:r>
    </w:p>
    <w:p>
      <w:pPr>
        <w:spacing w:after="0" w:line="186" w:lineRule="exact"/>
        <w:rPr>
          <w:sz w:val="20"/>
          <w:szCs w:val="20"/>
          <w:color w:val="auto"/>
        </w:rPr>
      </w:pPr>
    </w:p>
    <w:p>
      <w:pPr>
        <w:ind w:right="2579" w:firstLine="662"/>
        <w:spacing w:after="0" w:line="257" w:lineRule="auto"/>
        <w:rPr>
          <w:sz w:val="20"/>
          <w:szCs w:val="20"/>
          <w:color w:val="auto"/>
        </w:rPr>
      </w:pPr>
      <w:r>
        <w:rPr>
          <w:rFonts w:ascii="Courier New" w:cs="Courier New" w:eastAsia="Courier New" w:hAnsi="Courier New"/>
          <w:sz w:val="15"/>
          <w:szCs w:val="15"/>
          <w:color w:val="auto"/>
        </w:rPr>
        <w:t>Sales of gravity-feed IC test handlers used in DRAM testing have represented a significant percentage of Cohu's total semiconductor equipment related revenue during the last five years. Due to changes in IC package technology, gravity-feed handlers are no longer suitable for handling many types of DRAMs. As a result, we have seen a significant decline in sales of our gravity-feed test handler products. We introduced our Enterprise handler in 1998 that employs a handling technique, known as test-in-tray, that is particularly suited for parallel test applications like DRAMs. While the benefits of test-in-tray may be significant and we sold a significant number of these handlers in 1998, market acceptance of this product has been very limited and the future use of this technology is uncertain. If we are unable to successfully develop and market new products or enhancements to existing products for DRAM applications our results of operations will continue to be adversely impacted.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KEY SUPPLIERS</w:t>
      </w:r>
    </w:p>
    <w:p>
      <w:pPr>
        <w:spacing w:after="0" w:line="186" w:lineRule="exact"/>
        <w:rPr>
          <w:sz w:val="20"/>
          <w:szCs w:val="20"/>
          <w:color w:val="auto"/>
        </w:rPr>
      </w:pPr>
    </w:p>
    <w:p>
      <w:pPr>
        <w:ind w:right="2679" w:firstLine="757"/>
        <w:spacing w:after="0" w:line="260" w:lineRule="auto"/>
        <w:rPr>
          <w:sz w:val="20"/>
          <w:szCs w:val="20"/>
          <w:color w:val="auto"/>
        </w:rPr>
      </w:pPr>
      <w:r>
        <w:rPr>
          <w:rFonts w:ascii="Courier New" w:cs="Courier New" w:eastAsia="Courier New" w:hAnsi="Courier New"/>
          <w:sz w:val="15"/>
          <w:szCs w:val="15"/>
          <w:color w:val="auto"/>
        </w:rPr>
        <w:t>We use numerous vendors to supply parts, components and subassemblies for the manufacture of our products. While we make reasonable efforts to ensure that parts are available from multiple suppliers, this is not always possible; as a result, certain key parts may be obtained only from a single supplier or a</w:t>
      </w:r>
    </w:p>
    <w:p>
      <w:pPr>
        <w:sectPr>
          <w:pgSz w:w="11900" w:h="16880" w:orient="portrait"/>
          <w:cols w:equalWidth="0" w:num="1">
            <w:col w:w="10139"/>
          </w:cols>
          <w:pgMar w:left="320" w:top="295" w:right="1440" w:bottom="0" w:gutter="0" w:footer="0" w:header="0"/>
        </w:sectPr>
      </w:pPr>
    </w:p>
    <w:bookmarkStart w:id="41" w:name="page42"/>
    <w:bookmarkEnd w:id="41"/>
    <w:p>
      <w:pPr>
        <w:ind w:right="3039"/>
        <w:spacing w:after="0" w:line="238" w:lineRule="auto"/>
        <w:rPr>
          <w:sz w:val="20"/>
          <w:szCs w:val="20"/>
          <w:color w:val="auto"/>
        </w:rPr>
      </w:pPr>
      <w:r>
        <w:rPr>
          <w:rFonts w:ascii="Courier New" w:cs="Courier New" w:eastAsia="Courier New" w:hAnsi="Courier New"/>
          <w:sz w:val="16"/>
          <w:szCs w:val="16"/>
          <w:color w:val="auto"/>
        </w:rPr>
        <w:t>limited number of suppliers. In addition, suppliers may cease manufacturing certain components that are difficult to replace without significant reengineering of our</w:t>
      </w:r>
    </w:p>
    <w:p>
      <w:pPr>
        <w:spacing w:after="0" w:line="200" w:lineRule="exact"/>
        <w:rPr>
          <w:sz w:val="20"/>
          <w:szCs w:val="20"/>
          <w:color w:val="auto"/>
        </w:rPr>
      </w:pPr>
    </w:p>
    <w:p>
      <w:pPr>
        <w:spacing w:after="0" w:line="348" w:lineRule="exact"/>
        <w:rPr>
          <w:sz w:val="20"/>
          <w:szCs w:val="20"/>
          <w:color w:val="auto"/>
        </w:rPr>
      </w:pPr>
    </w:p>
    <w:p>
      <w:pPr>
        <w:jc w:val="right"/>
        <w:ind w:right="2579"/>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142" w:right="1440" w:bottom="1440" w:gutter="0" w:footer="0" w:header="0"/>
        </w:sectPr>
      </w:pPr>
    </w:p>
    <w:bookmarkStart w:id="42" w:name="page43"/>
    <w:bookmarkEnd w:id="42"/>
    <w:p>
      <w:pPr>
        <w:spacing w:after="0" w:line="4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products. Cohu has experienced problems in obtaining adequate and reliable quantities of various parts and components from certain key suppliers. There can be no assurance that our results of operations will not be materially and adversely impacted if we do not receive sufficient parts to meet our requirements in a timely and cost effective manner.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186" w:lineRule="exact"/>
        <w:rPr>
          <w:sz w:val="20"/>
          <w:szCs w:val="20"/>
          <w:color w:val="auto"/>
        </w:rPr>
      </w:pPr>
    </w:p>
    <w:p>
      <w:pPr>
        <w:ind w:right="2579" w:firstLine="662"/>
        <w:spacing w:after="0"/>
        <w:rPr>
          <w:sz w:val="20"/>
          <w:szCs w:val="20"/>
          <w:color w:val="auto"/>
        </w:rPr>
      </w:pPr>
      <w:r>
        <w:rPr>
          <w:rFonts w:ascii="Courier New" w:cs="Courier New" w:eastAsia="Courier New" w:hAnsi="Courier New"/>
          <w:sz w:val="16"/>
          <w:szCs w:val="16"/>
          <w:color w:val="auto"/>
        </w:rPr>
        <w:t>Cohu relies on patent, copyright, trademark and trade secret laws to establish and maintain proprietary rights in our technology and products. However, there can be no assurance that any of our proprietary rights will not be challenged, invalidated or circumvented, or that any such rights will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financial condition and results of operations could be adversely affected.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SALES</w:t>
      </w:r>
    </w:p>
    <w:p>
      <w:pPr>
        <w:spacing w:after="0" w:line="186" w:lineRule="exact"/>
        <w:rPr>
          <w:sz w:val="20"/>
          <w:szCs w:val="20"/>
          <w:color w:val="auto"/>
        </w:rPr>
      </w:pPr>
    </w:p>
    <w:p>
      <w:pPr>
        <w:ind w:right="2679" w:firstLine="662"/>
        <w:spacing w:after="0"/>
        <w:rPr>
          <w:sz w:val="20"/>
          <w:szCs w:val="20"/>
          <w:color w:val="auto"/>
        </w:rPr>
      </w:pPr>
      <w:r>
        <w:rPr>
          <w:rFonts w:ascii="Courier New" w:cs="Courier New" w:eastAsia="Courier New" w:hAnsi="Courier New"/>
          <w:sz w:val="16"/>
          <w:szCs w:val="16"/>
          <w:color w:val="auto"/>
        </w:rPr>
        <w:t>During 1999, 63% of our total net sales were exported to foreign countries, including 72%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changes in the amount or price of semiconductors produced in Asia could impact the profitability or capital equipment spending programs of our foreign and domestic customers.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SEMICONDUCTOR EQUIPMENT BUSINESSES</w:t>
      </w:r>
    </w:p>
    <w:p>
      <w:pPr>
        <w:spacing w:after="0" w:line="186" w:lineRule="exact"/>
        <w:rPr>
          <w:sz w:val="20"/>
          <w:szCs w:val="20"/>
          <w:color w:val="auto"/>
        </w:rPr>
      </w:pPr>
    </w:p>
    <w:p>
      <w:pPr>
        <w:ind w:right="2579" w:firstLine="662"/>
        <w:spacing w:after="0" w:line="257" w:lineRule="auto"/>
        <w:rPr>
          <w:sz w:val="20"/>
          <w:szCs w:val="20"/>
          <w:color w:val="auto"/>
        </w:rPr>
      </w:pPr>
      <w:r>
        <w:rPr>
          <w:rFonts w:ascii="Courier New" w:cs="Courier New" w:eastAsia="Courier New" w:hAnsi="Courier New"/>
          <w:sz w:val="15"/>
          <w:szCs w:val="15"/>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and the future prospects for certain of these businesses remain uncertain. No assurance can be given that we will continue to compete successfully in any of these businesses.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86" w:lineRule="exact"/>
        <w:rPr>
          <w:sz w:val="20"/>
          <w:szCs w:val="20"/>
          <w:color w:val="auto"/>
        </w:rPr>
      </w:pPr>
    </w:p>
    <w:p>
      <w:pPr>
        <w:ind w:right="2959" w:firstLine="662"/>
        <w:spacing w:after="0" w:line="239" w:lineRule="auto"/>
        <w:rPr>
          <w:sz w:val="20"/>
          <w:szCs w:val="20"/>
          <w:color w:val="auto"/>
        </w:rPr>
      </w:pPr>
      <w:r>
        <w:rPr>
          <w:rFonts w:ascii="Courier New" w:cs="Courier New" w:eastAsia="Courier New" w:hAnsi="Courier New"/>
          <w:sz w:val="16"/>
          <w:szCs w:val="16"/>
          <w:color w:val="auto"/>
        </w:rPr>
        <w:t>At December 31, 1999 our investment portfolio includes fixed-income securities of approximately $66.6 million. These securities are subject to interest rate risk and will decline in value if interest rates increase. Due tothe relatively short duration of our investment portfolio, an immediate 10 percent increase in interest rates would have no material impact on our financial condition or results of operations.</w:t>
      </w:r>
    </w:p>
    <w:p>
      <w:pPr>
        <w:spacing w:after="0" w:line="190" w:lineRule="exact"/>
        <w:rPr>
          <w:sz w:val="20"/>
          <w:szCs w:val="20"/>
          <w:color w:val="auto"/>
        </w:rPr>
      </w:pPr>
    </w:p>
    <w:p>
      <w:pPr>
        <w:ind w:right="2679" w:firstLine="662"/>
        <w:spacing w:after="0" w:line="239" w:lineRule="auto"/>
        <w:rPr>
          <w:sz w:val="20"/>
          <w:szCs w:val="20"/>
          <w:color w:val="auto"/>
        </w:rPr>
      </w:pPr>
      <w:r>
        <w:rPr>
          <w:rFonts w:ascii="Courier New" w:cs="Courier New" w:eastAsia="Courier New" w:hAnsi="Courier New"/>
          <w:sz w:val="16"/>
          <w:szCs w:val="16"/>
          <w:color w:val="auto"/>
        </w:rPr>
        <w:t>We generally conduct business, including sales to foreign customers, in U.S. dollars and as a result have limited foreign currency exchange rate risk. Monetary assets and liabilities of Cohu's foreign operations are not significant. The effect of an immediate 10 percent change in foreign exchange rates would not have a material impact on our financial condition or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RISKS</w:t>
      </w:r>
    </w:p>
    <w:p>
      <w:pPr>
        <w:spacing w:after="0" w:line="186" w:lineRule="exact"/>
        <w:rPr>
          <w:sz w:val="20"/>
          <w:szCs w:val="20"/>
          <w:color w:val="auto"/>
        </w:rPr>
      </w:pPr>
    </w:p>
    <w:p>
      <w:pPr>
        <w:ind w:right="2579" w:firstLine="662"/>
        <w:spacing w:after="0"/>
        <w:rPr>
          <w:sz w:val="20"/>
          <w:szCs w:val="20"/>
          <w:color w:val="auto"/>
        </w:rPr>
      </w:pPr>
      <w:r>
        <w:rPr>
          <w:rFonts w:ascii="Courier New" w:cs="Courier New" w:eastAsia="Courier New" w:hAnsi="Courier New"/>
          <w:sz w:val="16"/>
          <w:szCs w:val="16"/>
          <w:color w:val="auto"/>
        </w:rPr>
        <w:t>In prior periods, we discussed the nature and progress of our plans to become Year 2000 ready. In late 1999, we completed the remediation and testing of our mission critical systems. Through January 2000, we have experienced no significant disruptions in mission critical information technology and non-information technology systems and believe those systems successfully responded to the Year 2000 date change. Cohu expensed approximately $500,000 in connection with remediating our systems. We are not aware of any material problems resulting from Year 2000 issues, either with our products, our internal systems or the products and services of third parties. We will continue to monitor our mission critical computer applications and those of our suppliers and vendors throughout the year 2000.</w:t>
      </w:r>
    </w:p>
    <w:p>
      <w:pPr>
        <w:spacing w:after="0" w:line="189" w:lineRule="exact"/>
        <w:rPr>
          <w:sz w:val="20"/>
          <w:szCs w:val="20"/>
          <w:color w:val="auto"/>
        </w:rPr>
      </w:pPr>
    </w:p>
    <w:p>
      <w:pPr>
        <w:ind w:right="2579" w:firstLine="662"/>
        <w:spacing w:after="0" w:line="239" w:lineRule="auto"/>
        <w:rPr>
          <w:sz w:val="20"/>
          <w:szCs w:val="20"/>
          <w:color w:val="auto"/>
        </w:rPr>
      </w:pPr>
      <w:r>
        <w:rPr>
          <w:rFonts w:ascii="Courier New" w:cs="Courier New" w:eastAsia="Courier New" w:hAnsi="Courier New"/>
          <w:sz w:val="16"/>
          <w:szCs w:val="16"/>
          <w:color w:val="auto"/>
        </w:rPr>
        <w:t>If significant yet to be identified Year 2000 issues arise, we may experience significant problems that could have a material adverse affect on our financial condition and results of operations. Litigation regarding Year 2000 issues is possible. It is uncertain whether, or to what extent, we may be affected by such litigation.</w:t>
      </w:r>
    </w:p>
    <w:p>
      <w:pPr>
        <w:spacing w:after="0" w:line="189" w:lineRule="exact"/>
        <w:rPr>
          <w:sz w:val="20"/>
          <w:szCs w:val="20"/>
          <w:color w:val="auto"/>
        </w:rPr>
      </w:pPr>
    </w:p>
    <w:p>
      <w:pPr>
        <w:ind w:right="2679" w:firstLine="662"/>
        <w:spacing w:after="0" w:line="267" w:lineRule="auto"/>
        <w:rPr>
          <w:sz w:val="20"/>
          <w:szCs w:val="20"/>
          <w:color w:val="auto"/>
        </w:rPr>
      </w:pPr>
      <w:r>
        <w:rPr>
          <w:rFonts w:ascii="Courier New" w:cs="Courier New" w:eastAsia="Courier New" w:hAnsi="Courier New"/>
          <w:sz w:val="15"/>
          <w:szCs w:val="15"/>
          <w:color w:val="auto"/>
        </w:rPr>
        <w:t>Due to all the above and other factors, historical results may not be indicative of results of operations for any future period. In addition, certain</w:t>
      </w:r>
    </w:p>
    <w:p>
      <w:pPr>
        <w:sectPr>
          <w:pgSz w:w="11900" w:h="16886" w:orient="portrait"/>
          <w:cols w:equalWidth="0" w:num="1">
            <w:col w:w="10139"/>
          </w:cols>
          <w:pgMar w:left="320" w:top="295" w:right="1440" w:bottom="0" w:gutter="0" w:footer="0" w:header="0"/>
        </w:sectPr>
      </w:pPr>
    </w:p>
    <w:bookmarkStart w:id="43" w:name="page44"/>
    <w:bookmarkEnd w:id="43"/>
    <w:p>
      <w:pPr>
        <w:ind w:right="2759"/>
        <w:spacing w:after="0" w:line="258" w:lineRule="auto"/>
        <w:rPr>
          <w:sz w:val="20"/>
          <w:szCs w:val="20"/>
          <w:color w:val="auto"/>
        </w:rPr>
      </w:pPr>
      <w:r>
        <w:rPr>
          <w:rFonts w:ascii="Courier New" w:cs="Courier New" w:eastAsia="Courier New" w:hAnsi="Courier New"/>
          <w:sz w:val="15"/>
          <w:szCs w:val="15"/>
          <w:color w:val="auto"/>
        </w:rPr>
        <w:t>matters discussed above are forward-looking statements that are subject to the risks and uncertainties noted herein and the other risks and uncertainties listed from time to time in our filings with the Securities and Exchange Commission, including but not limited to the 1999 Annual Report on Form 10-K, that could cause actual results to differ materially from those projected or forecasted. Cohu undertakes no obligation to update the information, including the forward-looking statements, in this Annual Report.</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139"/>
          </w:cols>
          <w:pgMar w:left="320" w:top="142"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BOARD OF DIRECTORS</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CHARLES A. SCHWAN</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Chairman of the Board and</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Chief Executive Officer,</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Cohu, Inc.</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JAMES W. BARNES</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Retired President and Chief Executive</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Officer, Cohu, Inc.</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HARRY L. CASARI</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Retired Partner</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Ernst &amp; Young LLP</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FRANK W. DAVIS</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Retired President of Convair</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Aerospace Division of</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General Dynamics</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San Diego, California</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JAMES A. DONAHUE</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Cohu, Inc.</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HAROLD HARRIGIAN</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Retired Partner &amp; Director</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of Corporate Finance</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Crowell, Weedon &amp; Co.</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GENE E. LEARY</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Retired Executive at</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Honeywell, Inc. and</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Control Data Corporation</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CORPORATE OFFICERS</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CHARLES A. SCHWAN</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JAMES A. DONAHUE</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JOHN H. ALLEN</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Vice President, Finance and</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Chief Financial Officer, Secretary</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TRANSFER AGENT AND REGISTRAR</w:t>
      </w:r>
    </w:p>
    <w:p>
      <w:pPr>
        <w:spacing w:after="0" w:line="5"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ChaseMellon Shareholder Services, L.L.C.</w:t>
      </w:r>
    </w:p>
    <w:p>
      <w:pPr>
        <w:spacing w:after="0" w:line="8"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P.O. Box 3315</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South Hackensack, NJ 07606-1915</w:t>
      </w:r>
    </w:p>
    <w:p>
      <w:pPr>
        <w:spacing w:after="0" w:line="5" w:lineRule="exact"/>
        <w:rPr>
          <w:sz w:val="20"/>
          <w:szCs w:val="20"/>
          <w:color w:val="auto"/>
        </w:rPr>
      </w:pPr>
    </w:p>
    <w:p>
      <w:pPr>
        <w:jc w:val="right"/>
        <w:ind w:left="1980" w:right="6359" w:firstLine="476"/>
        <w:spacing w:after="0" w:line="267" w:lineRule="auto"/>
        <w:tabs>
          <w:tab w:leader="none" w:pos="302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356-2017 www.chasemellon.com</w:t>
      </w:r>
    </w:p>
    <w:p>
      <w:pPr>
        <w:spacing w:after="0" w:line="164"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INDEPENDENT AUDITORS</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Ernst &amp; Young LLP</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San Diego, California</w:t>
      </w:r>
    </w:p>
    <w:p>
      <w:pPr>
        <w:spacing w:after="0" w:line="18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LEGAL COUNSEL</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Gray Cary Ware &amp; Freidenrich LLP</w:t>
      </w:r>
    </w:p>
    <w:p>
      <w:pPr>
        <w:spacing w:after="0" w:line="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6"/>
          <w:szCs w:val="16"/>
          <w:color w:val="auto"/>
        </w:rPr>
        <w:t>San Diego, California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STOCK INFORMATION</w:t>
      </w:r>
    </w:p>
    <w:p>
      <w:pPr>
        <w:spacing w:after="0" w:line="186" w:lineRule="exact"/>
        <w:rPr>
          <w:sz w:val="20"/>
          <w:szCs w:val="20"/>
          <w:color w:val="auto"/>
        </w:rPr>
      </w:pPr>
    </w:p>
    <w:p>
      <w:pPr>
        <w:ind w:right="2579"/>
        <w:spacing w:after="0" w:line="238" w:lineRule="auto"/>
        <w:rPr>
          <w:sz w:val="20"/>
          <w:szCs w:val="20"/>
          <w:color w:val="auto"/>
        </w:rPr>
      </w:pPr>
      <w:r>
        <w:rPr>
          <w:rFonts w:ascii="Courier New" w:cs="Courier New" w:eastAsia="Courier New" w:hAnsi="Courier New"/>
          <w:sz w:val="16"/>
          <w:szCs w:val="16"/>
          <w:color w:val="auto"/>
        </w:rPr>
        <w:t>Cohu, Inc. stock is traded on the Nasdaq Stock Market under the symbol "COHU". Cohu declared cash dividends at the rate of $.045* per share per quarter in 1999 and $.04* per share per quarter in 1998.</w:t>
      </w:r>
    </w:p>
    <w:p>
      <w:pPr>
        <w:spacing w:after="0" w:line="188" w:lineRule="exact"/>
        <w:rPr>
          <w:sz w:val="20"/>
          <w:szCs w:val="20"/>
          <w:color w:val="auto"/>
        </w:rPr>
      </w:pPr>
    </w:p>
    <w:p>
      <w:pPr>
        <w:ind w:right="2679"/>
        <w:spacing w:after="0" w:line="237" w:lineRule="auto"/>
        <w:rPr>
          <w:sz w:val="20"/>
          <w:szCs w:val="20"/>
          <w:color w:val="auto"/>
        </w:rPr>
      </w:pPr>
      <w:r>
        <w:rPr>
          <w:rFonts w:ascii="Courier New" w:cs="Courier New" w:eastAsia="Courier New" w:hAnsi="Courier New"/>
          <w:sz w:val="16"/>
          <w:szCs w:val="16"/>
          <w:color w:val="auto"/>
        </w:rPr>
        <w:t>The following table sets forth the high and low sales prices as reported on the Nasdaq Stock Market during the last two years.</w:t>
      </w:r>
    </w:p>
    <w:p>
      <w:pPr>
        <w:spacing w:after="0" w:line="200" w:lineRule="exact"/>
        <w:rPr>
          <w:sz w:val="20"/>
          <w:szCs w:val="20"/>
          <w:color w:val="auto"/>
        </w:rPr>
      </w:pPr>
    </w:p>
    <w:p>
      <w:pPr>
        <w:spacing w:after="0" w:line="348"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1999*</w:t>
            </w:r>
          </w:p>
        </w:tc>
        <w:tc>
          <w:tcPr>
            <w:tcW w:w="90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1620" w:type="dxa"/>
            <w:vAlign w:val="bottom"/>
          </w:tcPr>
          <w:p>
            <w:pPr>
              <w:spacing w:after="0"/>
              <w:rPr>
                <w:sz w:val="15"/>
                <w:szCs w:val="15"/>
                <w:color w:val="auto"/>
              </w:rPr>
            </w:pPr>
          </w:p>
        </w:tc>
        <w:tc>
          <w:tcPr>
            <w:tcW w:w="22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HIGH</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LOW</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High</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162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6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$17.22</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$10.57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$24.32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$14.07</w:t>
            </w:r>
          </w:p>
        </w:tc>
      </w:tr>
      <w:tr>
        <w:trPr>
          <w:trHeight w:val="182"/>
        </w:trPr>
        <w:tc>
          <w:tcPr>
            <w:tcW w:w="162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18.13</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19.63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11.75</w:t>
            </w:r>
          </w:p>
        </w:tc>
      </w:tr>
      <w:tr>
        <w:trPr>
          <w:trHeight w:val="182"/>
        </w:trPr>
        <w:tc>
          <w:tcPr>
            <w:tcW w:w="162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25.00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12.44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7.13</w:t>
            </w:r>
          </w:p>
        </w:tc>
      </w:tr>
      <w:tr>
        <w:trPr>
          <w:trHeight w:val="182"/>
        </w:trPr>
        <w:tc>
          <w:tcPr>
            <w:tcW w:w="162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31.75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16.50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12.63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Adjusted for two-for-one stock split effective September 1999</w:t>
      </w:r>
    </w:p>
    <w:p>
      <w:pPr>
        <w:spacing w:after="0" w:line="186" w:lineRule="exact"/>
        <w:rPr>
          <w:sz w:val="20"/>
          <w:szCs w:val="20"/>
          <w:color w:val="auto"/>
        </w:rPr>
      </w:pPr>
    </w:p>
    <w:p>
      <w:pPr>
        <w:ind w:right="2679"/>
        <w:spacing w:after="0" w:line="237" w:lineRule="auto"/>
        <w:rPr>
          <w:sz w:val="20"/>
          <w:szCs w:val="20"/>
          <w:color w:val="auto"/>
        </w:rPr>
      </w:pPr>
      <w:r>
        <w:rPr>
          <w:rFonts w:ascii="Courier New" w:cs="Courier New" w:eastAsia="Courier New" w:hAnsi="Courier New"/>
          <w:sz w:val="16"/>
          <w:szCs w:val="16"/>
          <w:color w:val="auto"/>
        </w:rPr>
        <w:t>At December 31, 1999 Cohu had approximately 10,000 total stockholders including 1,201 holders of record.</w:t>
      </w:r>
    </w:p>
    <w:p>
      <w:pPr>
        <w:sectPr>
          <w:pgSz w:w="11900" w:h="16838" w:orient="portrait"/>
          <w:cols w:equalWidth="0" w:num="1">
            <w:col w:w="10139"/>
          </w:cols>
          <w:pgMar w:left="320" w:top="295" w:right="1440" w:bottom="0" w:gutter="0" w:footer="0" w:header="0"/>
        </w:sectPr>
      </w:pPr>
    </w:p>
    <w:bookmarkStart w:id="45" w:name="page46"/>
    <w:bookmarkEnd w:id="45"/>
    <w:p>
      <w:pPr>
        <w:ind w:left="3" w:right="3139"/>
        <w:spacing w:after="0" w:line="238" w:lineRule="auto"/>
        <w:rPr>
          <w:sz w:val="20"/>
          <w:szCs w:val="20"/>
          <w:color w:val="auto"/>
        </w:rPr>
      </w:pPr>
      <w:r>
        <w:rPr>
          <w:rFonts w:ascii="Courier New" w:cs="Courier New" w:eastAsia="Courier New" w:hAnsi="Courier New"/>
          <w:sz w:val="16"/>
          <w:szCs w:val="16"/>
          <w:color w:val="auto"/>
        </w:rPr>
        <w:t>A COPY OF COHU'S ANNUAL REPORT ON FORM 10-K FILED WITH THE SECURITIES AND EXCHANGE COMMISSION FOR 1999 AND OTHER INFORMATION ABOUT COHU IS AVAILABLE WITHOUT CHARGE BY CONTACTING:</w:t>
      </w:r>
    </w:p>
    <w:p>
      <w:pPr>
        <w:spacing w:after="0" w:line="36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Investor Relations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Cohu, Inc.</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5755 Kearny Villa Road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San Diego, CA 92123-1111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(858) 541-5184</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or visit our website at www.cohu.com</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QUARTERLY FINANCIAL DATA (UNAUDITED)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FIRST</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SECOND</w:t>
            </w:r>
          </w:p>
        </w:tc>
        <w:tc>
          <w:tcPr>
            <w:tcW w:w="13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THIRD</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FOURTH</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YEAR</w:t>
            </w:r>
          </w:p>
        </w:tc>
      </w:tr>
      <w:tr>
        <w:trPr>
          <w:trHeight w:val="182"/>
        </w:trPr>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9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29,526</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43,471</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61,728</w:t>
            </w:r>
          </w:p>
        </w:tc>
        <w:tc>
          <w:tcPr>
            <w:tcW w:w="15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74,055</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$ 208,780</w:t>
            </w:r>
          </w:p>
        </w:tc>
      </w:tr>
      <w:tr>
        <w:trPr>
          <w:trHeight w:val="182"/>
        </w:trPr>
        <w:tc>
          <w:tcPr>
            <w:tcW w:w="19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56,691</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55,202</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34,277</w:t>
            </w:r>
          </w:p>
        </w:tc>
        <w:tc>
          <w:tcPr>
            <w:tcW w:w="15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25,341</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171,511</w:t>
            </w:r>
          </w:p>
        </w:tc>
      </w:tr>
      <w:tr>
        <w:trPr>
          <w:trHeight w:val="364"/>
        </w:trPr>
        <w:tc>
          <w:tcPr>
            <w:tcW w:w="19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10,362</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17,721</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24,652</w:t>
            </w:r>
          </w:p>
        </w:tc>
        <w:tc>
          <w:tcPr>
            <w:tcW w:w="15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29,333</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82,068</w:t>
            </w:r>
          </w:p>
        </w:tc>
      </w:tr>
      <w:tr>
        <w:trPr>
          <w:trHeight w:val="182"/>
        </w:trPr>
        <w:tc>
          <w:tcPr>
            <w:tcW w:w="19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23,324</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19,577</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8,671</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3,512*</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55,084</w:t>
            </w:r>
          </w:p>
        </w:tc>
      </w:tr>
      <w:tr>
        <w:trPr>
          <w:trHeight w:val="364"/>
        </w:trPr>
        <w:tc>
          <w:tcPr>
            <w:tcW w:w="19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1,391</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4,870</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7,482</w:t>
            </w:r>
          </w:p>
        </w:tc>
        <w:tc>
          <w:tcPr>
            <w:tcW w:w="15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12,183</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25,926</w:t>
            </w:r>
          </w:p>
        </w:tc>
      </w:tr>
      <w:tr>
        <w:trPr>
          <w:trHeight w:val="182"/>
        </w:trPr>
        <w:tc>
          <w:tcPr>
            <w:tcW w:w="19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8,216</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5,313</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466</w:t>
            </w:r>
          </w:p>
        </w:tc>
        <w:tc>
          <w:tcPr>
            <w:tcW w:w="15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(2,349)*</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11,646</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Earnings (loss)</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2"/>
        </w:trPr>
        <w:tc>
          <w:tcPr>
            <w:tcW w:w="1980" w:type="dxa"/>
            <w:vAlign w:val="bottom"/>
          </w:tcPr>
          <w:p>
            <w:pPr>
              <w:ind w:left="280"/>
              <w:spacing w:after="0"/>
              <w:rPr>
                <w:sz w:val="20"/>
                <w:szCs w:val="20"/>
                <w:color w:val="auto"/>
              </w:rPr>
            </w:pPr>
            <w:r>
              <w:rPr>
                <w:rFonts w:ascii="Courier New" w:cs="Courier New" w:eastAsia="Courier New" w:hAnsi="Courier New"/>
                <w:sz w:val="16"/>
                <w:szCs w:val="16"/>
                <w:color w:val="auto"/>
              </w:rPr>
              <w:t>per share**:</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2"/>
        </w:trPr>
        <w:tc>
          <w:tcPr>
            <w:tcW w:w="1980" w:type="dxa"/>
            <w:vAlign w:val="bottom"/>
          </w:tcPr>
          <w:p>
            <w:pPr>
              <w:ind w:left="560"/>
              <w:spacing w:after="0"/>
              <w:rPr>
                <w:sz w:val="20"/>
                <w:szCs w:val="20"/>
                <w:color w:val="auto"/>
              </w:rPr>
            </w:pPr>
            <w:r>
              <w:rPr>
                <w:rFonts w:ascii="Courier New" w:cs="Courier New" w:eastAsia="Courier New" w:hAnsi="Courier New"/>
                <w:sz w:val="16"/>
                <w:szCs w:val="16"/>
                <w:color w:val="auto"/>
              </w:rPr>
              <w:t>Basic</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w:t>
            </w:r>
          </w:p>
        </w:tc>
        <w:tc>
          <w:tcPr>
            <w:tcW w:w="15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.61</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w:t>
            </w:r>
          </w:p>
        </w:tc>
      </w:tr>
      <w:tr>
        <w:trPr>
          <w:trHeight w:val="182"/>
        </w:trPr>
        <w:tc>
          <w:tcPr>
            <w:tcW w:w="19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r>
      <w:tr>
        <w:trPr>
          <w:trHeight w:val="364"/>
        </w:trPr>
        <w:tc>
          <w:tcPr>
            <w:tcW w:w="1980" w:type="dxa"/>
            <w:vAlign w:val="bottom"/>
          </w:tcPr>
          <w:p>
            <w:pPr>
              <w:ind w:left="560"/>
              <w:spacing w:after="0"/>
              <w:rPr>
                <w:sz w:val="20"/>
                <w:szCs w:val="20"/>
                <w:color w:val="auto"/>
              </w:rPr>
            </w:pPr>
            <w:r>
              <w:rPr>
                <w:rFonts w:ascii="Courier New" w:cs="Courier New" w:eastAsia="Courier New" w:hAnsi="Courier New"/>
                <w:sz w:val="16"/>
                <w:szCs w:val="16"/>
                <w:color w:val="auto"/>
              </w:rPr>
              <w:t>Diluted</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w:t>
            </w:r>
          </w:p>
        </w:tc>
        <w:tc>
          <w:tcPr>
            <w:tcW w:w="15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w:t>
            </w:r>
          </w:p>
        </w:tc>
      </w:tr>
      <w:tr>
        <w:trPr>
          <w:trHeight w:val="182"/>
        </w:trPr>
        <w:tc>
          <w:tcPr>
            <w:tcW w:w="19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bl>
    <w:p>
      <w:pPr>
        <w:spacing w:after="0" w:line="368" w:lineRule="exact"/>
        <w:rPr>
          <w:sz w:val="20"/>
          <w:szCs w:val="20"/>
          <w:color w:val="auto"/>
        </w:rPr>
      </w:pPr>
    </w:p>
    <w:p>
      <w:pPr>
        <w:ind w:left="3" w:right="2579" w:hanging="3"/>
        <w:spacing w:after="0" w:line="476" w:lineRule="auto"/>
        <w:tabs>
          <w:tab w:leader="none" w:pos="19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Impacted by asset write-downs. See Note 2 to Consolidated Financial Statements ** Adjusted for two-for-one stock split effective September 1999</w:t>
      </w:r>
    </w:p>
    <w:p>
      <w:pPr>
        <w:sectPr>
          <w:pgSz w:w="11900" w:h="16838" w:orient="portrait"/>
          <w:cols w:equalWidth="0" w:num="1">
            <w:col w:w="10142"/>
          </w:cols>
          <w:pgMar w:left="317" w:top="323"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579"/>
        <w:spacing w:after="0"/>
        <w:rPr>
          <w:sz w:val="20"/>
          <w:szCs w:val="20"/>
          <w:color w:val="auto"/>
        </w:rPr>
      </w:pPr>
      <w:r>
        <w:rPr>
          <w:rFonts w:ascii="Courier New" w:cs="Courier New" w:eastAsia="Courier New" w:hAnsi="Courier New"/>
          <w:sz w:val="16"/>
          <w:szCs w:val="16"/>
          <w:color w:val="auto"/>
        </w:rPr>
        <w:t>EXHIBIT 23</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368" w:lineRule="exact"/>
        <w:rPr>
          <w:sz w:val="20"/>
          <w:szCs w:val="20"/>
          <w:color w:val="auto"/>
        </w:rPr>
      </w:pPr>
    </w:p>
    <w:p>
      <w:pPr>
        <w:ind w:right="267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Annual Report (Form 10-K) of Cohu, Inc. of our report dated January 26, 2000, included in the 1999 Annual Report to Stockholders of Cohu, Inc.</w:t>
      </w:r>
    </w:p>
    <w:p>
      <w:pPr>
        <w:spacing w:after="0" w:line="188" w:lineRule="exact"/>
        <w:rPr>
          <w:sz w:val="20"/>
          <w:szCs w:val="20"/>
          <w:color w:val="auto"/>
        </w:rPr>
      </w:pPr>
    </w:p>
    <w:p>
      <w:pPr>
        <w:ind w:right="2579"/>
        <w:spacing w:after="0" w:line="239" w:lineRule="auto"/>
        <w:rPr>
          <w:sz w:val="20"/>
          <w:szCs w:val="20"/>
          <w:color w:val="auto"/>
        </w:rPr>
      </w:pPr>
      <w:r>
        <w:rPr>
          <w:rFonts w:ascii="Courier New" w:cs="Courier New" w:eastAsia="Courier New" w:hAnsi="Courier New"/>
          <w:sz w:val="16"/>
          <w:szCs w:val="16"/>
          <w:color w:val="auto"/>
        </w:rPr>
        <w:t>Our audit also included the financial statement schedule of Cohu, Inc. listed in Item 14(a).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90" w:lineRule="exact"/>
        <w:rPr>
          <w:sz w:val="20"/>
          <w:szCs w:val="20"/>
          <w:color w:val="auto"/>
        </w:rPr>
      </w:pPr>
    </w:p>
    <w:p>
      <w:pPr>
        <w:ind w:right="2579"/>
        <w:spacing w:after="0"/>
        <w:rPr>
          <w:sz w:val="20"/>
          <w:szCs w:val="20"/>
          <w:color w:val="auto"/>
        </w:rPr>
      </w:pPr>
      <w:r>
        <w:rPr>
          <w:rFonts w:ascii="Courier New" w:cs="Courier New" w:eastAsia="Courier New" w:hAnsi="Courier New"/>
          <w:sz w:val="16"/>
          <w:szCs w:val="16"/>
          <w:color w:val="auto"/>
        </w:rPr>
        <w:t>We also consent to the incorporation by reference in the Registration Statements (Form S-8 Nos. 33-63818, 33-60735, 333-16293, 333-62803, and 333-27663) pertaining to the Cohu, Inc. 1992, 1994, 1996 and 1998 Stock Option Plans, 1996 Outside Directors Stock Option Plan and 1997 Employee Stock Purchase Plan of our report dated January 26, 2000, with respect to the consolidated financial statements incorporated herein by reference, and our report included in the preceding paragraph with respect to the financial statement schedule included in this Annual Report (Form 10-K) of Cohu, Inc.</w:t>
      </w:r>
    </w:p>
    <w:p>
      <w:pPr>
        <w:spacing w:after="0" w:line="365"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/s/ ERNST &amp; YOUNG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 2000</w:t>
      </w:r>
    </w:p>
    <w:p>
      <w:pPr>
        <w:sectPr>
          <w:pgSz w:w="11900" w:h="16838" w:orient="portrait"/>
          <w:cols w:equalWidth="0" w:num="1">
            <w:col w:w="10139"/>
          </w:cols>
          <w:pgMar w:left="320" w:top="138" w:right="1440" w:bottom="1440" w:gutter="0" w:footer="0" w:header="0"/>
        </w:sectPr>
      </w:pPr>
    </w:p>
    <w:bookmarkStart w:id="47" w:name="page48"/>
    <w:bookmarkEnd w:id="47"/>
    <w:p>
      <w:pPr>
        <w:ind w:left="10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left="20" w:right="311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1999 FINANCIAL STATEMENTS AND IS QUALIFIED IN ITS ENTIRETY BY REFERENCE TO SUCH FINANCIAL STATEMENTS.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YEAR</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DEC-31-1999</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JAN-01-1999</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DEC-31-1999</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55,954</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25,646</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52,262</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1,981</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55,646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202,769</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34,857</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17,841</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220,733</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56,719</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19,938</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142,418</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220,733</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208,780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208,780</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126,712</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126,712</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38,926</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13,000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25,926</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25,926</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1.31</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1.26</w:t>
      </w:r>
    </w:p>
    <w:p>
      <w:pPr>
        <w:spacing w:after="0" w:line="186" w:lineRule="exact"/>
        <w:rPr>
          <w:sz w:val="20"/>
          <w:szCs w:val="20"/>
          <w:color w:val="auto"/>
        </w:rPr>
      </w:pPr>
    </w:p>
    <w:p>
      <w:pPr>
        <w:jc w:val="both"/>
        <w:ind w:right="3719"/>
        <w:spacing w:after="0" w:line="267" w:lineRule="auto"/>
        <w:rPr>
          <w:sz w:val="20"/>
          <w:szCs w:val="20"/>
          <w:color w:val="auto"/>
        </w:rPr>
      </w:pPr>
      <w:r>
        <w:rPr>
          <w:rFonts w:ascii="Courier New" w:cs="Courier New" w:eastAsia="Courier New" w:hAnsi="Courier New"/>
          <w:sz w:val="15"/>
          <w:szCs w:val="15"/>
          <w:color w:val="auto"/>
        </w:rPr>
        <w:t>Restated for two-for-one stock split effective September 1999. Prior financial data schedules have not been restated for the stock split.</w:t>
      </w:r>
    </w:p>
    <w:sectPr>
      <w:pgSz w:w="11900" w:h="16838" w:orient="portrait"/>
      <w:cols w:equalWidth="0" w:num="1">
        <w:col w:w="10139"/>
      </w:cols>
      <w:pgMar w:left="32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Letter"/>
      <w:start w:val="1"/>
    </w:lvl>
    <w:lvl w:ilvl="1">
      <w:lvlJc w:val="left"/>
      <w:lvlText w:val="%2."/>
      <w:numFmt w:val="decimal"/>
      <w:start w:val="2"/>
    </w:lvl>
  </w:abstractNum>
  <w:abstractNum w:abstractNumId="4">
    <w:nsid w:val="1BEFD79F"/>
    <w:multiLevelType w:val="hybridMultilevel"/>
    <w:lvl w:ilvl="0">
      <w:lvlJc w:val="left"/>
      <w:lvlText w:val="(%1)"/>
      <w:numFmt w:val="lowerLetter"/>
      <w:start w:val="2"/>
    </w:lvl>
    <w:lvl w:ilvl="1">
      <w:lvlJc w:val="left"/>
      <w:lvlText w:val="%2"/>
      <w:numFmt w:val="decimal"/>
      <w:start w:val="1"/>
    </w:lvl>
  </w:abstractNum>
  <w:abstractNum w:abstractNumId="5">
    <w:nsid w:val="41A7C4C9"/>
    <w:multiLevelType w:val="hybridMultilevel"/>
    <w:lvl w:ilvl="0">
      <w:lvlJc w:val="left"/>
      <w:lvlText w:val="%1"/>
      <w:numFmt w:val="decimal"/>
      <w:start w:val="13"/>
    </w:lvl>
  </w:abstractNum>
  <w:abstractNum w:abstractNumId="6">
    <w:nsid w:val="6B68079A"/>
    <w:multiLevelType w:val="hybridMultilevel"/>
    <w:lvl w:ilvl="0">
      <w:lvlJc w:val="left"/>
      <w:lvlText w:val="%1"/>
      <w:numFmt w:val="decimal"/>
      <w:start w:val="23"/>
    </w:lvl>
  </w:abstractNum>
  <w:abstractNum w:abstractNumId="7">
    <w:nsid w:val="4E6AFB66"/>
    <w:multiLevelType w:val="hybridMultilevel"/>
    <w:lvl w:ilvl="0">
      <w:lvlJc w:val="left"/>
      <w:lvlText w:val="%1"/>
      <w:numFmt w:val="decimal"/>
      <w:start w:val="27"/>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800"/>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2020-10-05T19:26:56Z</dcterms:created>
  <dcterms:modified xsi:type="dcterms:W3CDTF">2020-10-05T19:26:56Z</dcterms:modified>
</cp:coreProperties>
</file>