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8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color w:val="auto"/>
        </w:rPr>
        <w:t>FORM 8-K</w:t>
      </w:r>
    </w:p>
    <w:p>
      <w:pPr>
        <w:spacing w:after="0" w:line="2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328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9"/>
              </w:rPr>
              <w:t>May 16, 2025</w:t>
            </w:r>
          </w:p>
        </w:tc>
      </w:tr>
    </w:tbl>
    <w:p>
      <w:pPr>
        <w:spacing w:after="0" w:line="17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480" w:type="dxa"/>
            <w:vAlign w:val="bottom"/>
          </w:tcPr>
          <w:p>
            <w:pPr>
              <w:spacing w:after="0"/>
              <w:rPr>
                <w:sz w:val="20"/>
                <w:szCs w:val="20"/>
                <w:color w:val="auto"/>
              </w:rPr>
            </w:pPr>
          </w:p>
        </w:tc>
      </w:tr>
      <w:tr>
        <w:trPr>
          <w:trHeight w:val="432"/>
        </w:trPr>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24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001-04298</w:t>
            </w:r>
          </w:p>
        </w:tc>
        <w:tc>
          <w:tcPr>
            <w:tcW w:w="780" w:type="dxa"/>
            <w:vAlign w:val="bottom"/>
          </w:tcPr>
          <w:p>
            <w:pPr>
              <w:spacing w:after="0"/>
              <w:rPr>
                <w:sz w:val="24"/>
                <w:szCs w:val="24"/>
                <w:color w:val="auto"/>
              </w:rPr>
            </w:pPr>
          </w:p>
        </w:tc>
        <w:tc>
          <w:tcPr>
            <w:tcW w:w="24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95-1934119</w:t>
            </w:r>
          </w:p>
        </w:tc>
      </w:tr>
      <w:tr>
        <w:trPr>
          <w:trHeight w:val="191"/>
        </w:trPr>
        <w:tc>
          <w:tcPr>
            <w:tcW w:w="200" w:type="dxa"/>
            <w:vAlign w:val="bottom"/>
          </w:tcPr>
          <w:p>
            <w:pPr>
              <w:spacing w:after="0"/>
              <w:rPr>
                <w:sz w:val="16"/>
                <w:szCs w:val="16"/>
                <w:color w:val="auto"/>
              </w:rPr>
            </w:pPr>
          </w:p>
        </w:tc>
        <w:tc>
          <w:tcPr>
            <w:tcW w:w="2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780" w:type="dxa"/>
            <w:vAlign w:val="bottom"/>
          </w:tcPr>
          <w:p>
            <w:pPr>
              <w:spacing w:after="0"/>
              <w:rPr>
                <w:sz w:val="16"/>
                <w:szCs w:val="16"/>
                <w:color w:val="auto"/>
              </w:rPr>
            </w:pPr>
          </w:p>
        </w:tc>
        <w:tc>
          <w:tcPr>
            <w:tcW w:w="2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w:t>
            </w:r>
          </w:p>
        </w:tc>
        <w:tc>
          <w:tcPr>
            <w:tcW w:w="780" w:type="dxa"/>
            <w:vAlign w:val="bottom"/>
          </w:tcPr>
          <w:p>
            <w:pPr>
              <w:spacing w:after="0"/>
              <w:rPr>
                <w:sz w:val="16"/>
                <w:szCs w:val="16"/>
                <w:color w:val="auto"/>
              </w:rPr>
            </w:pPr>
          </w:p>
        </w:tc>
        <w:tc>
          <w:tcPr>
            <w:tcW w:w="2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80" w:type="dxa"/>
            <w:vAlign w:val="bottom"/>
          </w:tcPr>
          <w:p>
            <w:pPr>
              <w:spacing w:after="0"/>
              <w:rPr>
                <w:sz w:val="20"/>
                <w:szCs w:val="20"/>
                <w:color w:val="auto"/>
              </w:rPr>
            </w:pPr>
          </w:p>
        </w:tc>
        <w:tc>
          <w:tcPr>
            <w:tcW w:w="324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File Number)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12367 Crosthwaite Circle, Poway,</w:t>
            </w:r>
          </w:p>
        </w:tc>
        <w:tc>
          <w:tcPr>
            <w:tcW w:w="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8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92064</w:t>
            </w:r>
          </w:p>
        </w:tc>
      </w:tr>
      <w:tr>
        <w:trPr>
          <w:trHeight w:val="234"/>
        </w:trPr>
        <w:tc>
          <w:tcPr>
            <w:tcW w:w="2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7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r>
      <w:tr>
        <w:trPr>
          <w:trHeight w:val="191"/>
        </w:trPr>
        <w:tc>
          <w:tcPr>
            <w:tcW w:w="200" w:type="dxa"/>
            <w:vAlign w:val="bottom"/>
          </w:tcPr>
          <w:p>
            <w:pPr>
              <w:spacing w:after="0"/>
              <w:rPr>
                <w:sz w:val="16"/>
                <w:szCs w:val="16"/>
                <w:color w:val="auto"/>
              </w:rPr>
            </w:pPr>
          </w:p>
        </w:tc>
        <w:tc>
          <w:tcPr>
            <w:tcW w:w="2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(Address of principal executive</w:t>
            </w:r>
          </w:p>
        </w:tc>
        <w:tc>
          <w:tcPr>
            <w:tcW w:w="7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20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offices)</w:t>
            </w:r>
          </w:p>
        </w:tc>
        <w:tc>
          <w:tcPr>
            <w:tcW w:w="7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32"/>
        </w:trPr>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4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858-848-8100</w:t>
            </w:r>
          </w:p>
        </w:tc>
      </w:tr>
      <w:tr>
        <w:trPr>
          <w:trHeight w:val="432"/>
        </w:trPr>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4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Not Applicable</w:t>
            </w:r>
          </w:p>
        </w:tc>
        <w:tc>
          <w:tcPr>
            <w:tcW w:w="24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445" w:right="499" w:bottom="1440" w:gutter="0" w:footer="0" w:header="0"/>
        </w:sectPr>
      </w:pPr>
    </w:p>
    <w:p>
      <w:pPr>
        <w:spacing w:after="0" w:line="225"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240" w:space="720"/>
            <w:col w:w="2000" w:space="720"/>
            <w:col w:w="3400"/>
          </w:cols>
          <w:pgMar w:left="320" w:top="445" w:right="499" w:bottom="1440" w:gutter="0" w:footer="0" w:header="0"/>
          <w:type w:val="continuous"/>
        </w:sectPr>
      </w:pPr>
    </w:p>
    <w:p>
      <w:pPr>
        <w:spacing w:after="0" w:line="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5"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held its 2025 Annual Meeting of Stockholders on May 16, 2025. At the Annual Meeting, the Company’s stockholders cast their votes on three proposals, as set forth below. The Company had 46,495,087 shares outstanding on March 21, 2025, the record date, and 43,292,934 (93.1%) were represented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nominees for election as Class 3 directors to serve until the 2028 Annual Meeting of Stockholders, were elected based upon the following votes: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218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0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Steven J. Bilodeau</w:t>
            </w:r>
          </w:p>
        </w:tc>
        <w:tc>
          <w:tcPr>
            <w:tcW w:w="218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38,747,100</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1,518,537</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62,165</w:t>
            </w:r>
          </w:p>
        </w:tc>
        <w:tc>
          <w:tcPr>
            <w:tcW w:w="300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2,965,132</w:t>
            </w:r>
          </w:p>
        </w:tc>
      </w:tr>
      <w:tr>
        <w:trPr>
          <w:trHeight w:val="216"/>
        </w:trPr>
        <w:tc>
          <w:tcPr>
            <w:tcW w:w="2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James A. Donahue</w:t>
            </w:r>
          </w:p>
        </w:tc>
        <w:tc>
          <w:tcPr>
            <w:tcW w:w="218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37,860,160</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2,373,640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94,002</w:t>
            </w:r>
          </w:p>
        </w:tc>
        <w:tc>
          <w:tcPr>
            <w:tcW w:w="300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2,965,132</w:t>
            </w:r>
          </w:p>
        </w:tc>
      </w:tr>
      <w:tr>
        <w:trPr>
          <w:trHeight w:val="216"/>
        </w:trPr>
        <w:tc>
          <w:tcPr>
            <w:tcW w:w="2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Andreas W. Mattes</w:t>
            </w:r>
          </w:p>
        </w:tc>
        <w:tc>
          <w:tcPr>
            <w:tcW w:w="218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39,973,447</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291,873</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62,482</w:t>
            </w:r>
          </w:p>
        </w:tc>
        <w:tc>
          <w:tcPr>
            <w:tcW w:w="300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2,965,132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-685165</wp:posOffset>
            </wp:positionV>
            <wp:extent cx="565785"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 cy="13716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-410845</wp:posOffset>
            </wp:positionV>
            <wp:extent cx="56578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 cy="13716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-136525</wp:posOffset>
            </wp:positionV>
            <wp:extent cx="56578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directors whose terms continue until 2026 are William E. Bendush, Karen M. Rapp and Nina L. Richardson, and until 2027 are Andrew 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Caggia, Yon Y. Jorden and Luis A. Müller.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advisory vote on executive compensation of Named Executive Officers, as disclosed in the Proxy Statement, was approved. The results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0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4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39,375,330</w:t>
            </w:r>
          </w:p>
        </w:tc>
        <w:tc>
          <w:tcPr>
            <w:tcW w:w="17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752,488</w:t>
            </w:r>
          </w:p>
        </w:tc>
        <w:tc>
          <w:tcPr>
            <w:tcW w:w="17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199,984</w:t>
            </w:r>
          </w:p>
        </w:tc>
        <w:tc>
          <w:tcPr>
            <w:tcW w:w="302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2,965,132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-136525</wp:posOffset>
            </wp:positionV>
            <wp:extent cx="56578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ratification of the appointment of Ernst &amp; Young LLP as the Company’s independent registered public accounting firm for fiscal year 2025 was approved. The results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4760" w:type="dxa"/>
            <w:vAlign w:val="bottom"/>
          </w:tcPr>
          <w:p>
            <w:pPr>
              <w:jc w:val="center"/>
              <w:ind w:right="293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16"/>
        </w:trPr>
        <w:tc>
          <w:tcPr>
            <w:tcW w:w="4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41,487,927</w:t>
            </w:r>
          </w:p>
        </w:tc>
        <w:tc>
          <w:tcPr>
            <w:tcW w:w="18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1,753,414</w:t>
            </w:r>
          </w:p>
        </w:tc>
        <w:tc>
          <w:tcPr>
            <w:tcW w:w="4760" w:type="dxa"/>
            <w:vAlign w:val="bottom"/>
            <w:shd w:val="clear" w:color="auto" w:fill="CCEEFF"/>
          </w:tcPr>
          <w:p>
            <w:pPr>
              <w:jc w:val="right"/>
              <w:ind w:right="3550"/>
              <w:spacing w:after="0"/>
              <w:rPr>
                <w:sz w:val="20"/>
                <w:szCs w:val="20"/>
                <w:color w:val="auto"/>
              </w:rPr>
            </w:pPr>
            <w:r>
              <w:rPr>
                <w:rFonts w:ascii="Times New Roman" w:cs="Times New Roman" w:eastAsia="Times New Roman" w:hAnsi="Times New Roman"/>
                <w:sz w:val="18"/>
                <w:szCs w:val="18"/>
                <w:color w:val="auto"/>
              </w:rPr>
              <w:t>51,593</w:t>
            </w:r>
          </w:p>
        </w:tc>
      </w:tr>
      <w:tr>
        <w:trPr>
          <w:trHeight w:val="574"/>
        </w:trPr>
        <w:tc>
          <w:tcPr>
            <w:tcW w:w="46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-513715</wp:posOffset>
            </wp:positionV>
            <wp:extent cx="56578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 cy="13716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41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Cohu, Inc.</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May 19, 2025</w:t>
            </w:r>
          </w:p>
        </w:tc>
        <w:tc>
          <w:tcPr>
            <w:tcW w:w="4100" w:type="dxa"/>
            <w:vAlign w:val="bottom"/>
          </w:tcPr>
          <w:p>
            <w:pPr>
              <w:ind w:left="2220"/>
              <w:spacing w:after="0"/>
              <w:rPr>
                <w:sz w:val="20"/>
                <w:szCs w:val="20"/>
                <w:color w:val="auto"/>
              </w:rPr>
            </w:pPr>
            <w:r>
              <w:rPr>
                <w:rFonts w:ascii="Times New Roman" w:cs="Times New Roman" w:eastAsia="Times New Roman" w:hAnsi="Times New Roman"/>
                <w:sz w:val="18"/>
                <w:szCs w:val="18"/>
                <w:i w:val="1"/>
                <w:iCs w:val="1"/>
                <w:color w:val="auto"/>
              </w:rPr>
              <w:t>By:    /s/ Jeffrey D. Jones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0</wp:posOffset>
            </wp:positionV>
            <wp:extent cx="3334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i w:val="1"/>
          <w:iCs w:val="1"/>
          <w:color w:val="auto"/>
        </w:rPr>
        <w:t>Name: Jeffrey D. Jones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Title: Senior VP Finance and Chief Financial Officer</w:t>
      </w: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2025-05-19T05:17:13Z</dcterms:created>
  <dcterms:modified xsi:type="dcterms:W3CDTF">2025-05-19T05:17:13Z</dcterms:modified>
</cp:coreProperties>
</file>