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280" w:type="dxa"/>
            <w:vAlign w:val="bottom"/>
          </w:tcPr>
          <w:p>
            <w:pPr>
              <w:ind w:left="2280"/>
              <w:spacing w:after="0"/>
              <w:rPr>
                <w:sz w:val="20"/>
                <w:szCs w:val="20"/>
                <w:color w:val="auto"/>
              </w:rPr>
            </w:pPr>
            <w:r>
              <w:rPr>
                <w:rFonts w:ascii="Times New Roman" w:cs="Times New Roman" w:eastAsia="Times New Roman" w:hAnsi="Times New Roman"/>
                <w:sz w:val="18"/>
                <w:szCs w:val="18"/>
                <w:color w:val="auto"/>
                <w:w w:val="97"/>
              </w:rPr>
              <w:t>May 16, 2022</w:t>
            </w:r>
          </w:p>
        </w:tc>
      </w:tr>
    </w:tbl>
    <w:p>
      <w:pPr>
        <w:spacing w:after="0" w:line="1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620" w:type="dxa"/>
            <w:vAlign w:val="bottom"/>
          </w:tcPr>
          <w:p>
            <w:pPr>
              <w:spacing w:after="0"/>
              <w:rPr>
                <w:sz w:val="20"/>
                <w:szCs w:val="20"/>
                <w:color w:val="auto"/>
              </w:rPr>
            </w:pPr>
          </w:p>
        </w:tc>
      </w:tr>
      <w:tr>
        <w:trPr>
          <w:trHeight w:val="414"/>
        </w:trPr>
        <w:tc>
          <w:tcPr>
            <w:tcW w:w="2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Delaware</w:t>
            </w:r>
          </w:p>
        </w:tc>
        <w:tc>
          <w:tcPr>
            <w:tcW w:w="4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001-04298</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95-1934119</w:t>
            </w:r>
          </w:p>
        </w:tc>
      </w:tr>
      <w:tr>
        <w:trPr>
          <w:trHeight w:val="216"/>
        </w:trPr>
        <w:tc>
          <w:tcPr>
            <w:tcW w:w="2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(Commission</w:t>
            </w:r>
          </w:p>
        </w:tc>
        <w:tc>
          <w:tcPr>
            <w:tcW w:w="1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File Number)</w:t>
            </w: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12367 Crosthwaite Circle,</w:t>
            </w:r>
          </w:p>
        </w:tc>
        <w:tc>
          <w:tcPr>
            <w:tcW w:w="4040" w:type="dxa"/>
            <w:vAlign w:val="bottom"/>
          </w:tcPr>
          <w:p>
            <w:pPr>
              <w:spacing w:after="0"/>
              <w:rPr>
                <w:sz w:val="24"/>
                <w:szCs w:val="24"/>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92064</w:t>
            </w:r>
          </w:p>
        </w:tc>
      </w:tr>
      <w:tr>
        <w:trPr>
          <w:trHeight w:val="216"/>
        </w:trPr>
        <w:tc>
          <w:tcPr>
            <w:tcW w:w="2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Poway, California</w:t>
            </w:r>
          </w:p>
        </w:tc>
        <w:tc>
          <w:tcPr>
            <w:tcW w:w="40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4040" w:type="dxa"/>
            <w:vAlign w:val="bottom"/>
          </w:tcPr>
          <w:p>
            <w:pPr>
              <w:spacing w:after="0"/>
              <w:rPr>
                <w:sz w:val="18"/>
                <w:szCs w:val="18"/>
                <w:color w:val="auto"/>
              </w:rPr>
            </w:pPr>
          </w:p>
        </w:tc>
        <w:tc>
          <w:tcPr>
            <w:tcW w:w="1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offices)</w:t>
            </w:r>
          </w:p>
        </w:tc>
        <w:tc>
          <w:tcPr>
            <w:tcW w:w="40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858-848-8100</w:t>
            </w:r>
          </w:p>
        </w:tc>
      </w:tr>
      <w:tr>
        <w:trPr>
          <w:trHeight w:val="432"/>
        </w:trPr>
        <w:tc>
          <w:tcPr>
            <w:tcW w:w="2780" w:type="dxa"/>
            <w:vAlign w:val="bottom"/>
          </w:tcPr>
          <w:p>
            <w:pPr>
              <w:spacing w:after="0"/>
              <w:rPr>
                <w:sz w:val="24"/>
                <w:szCs w:val="24"/>
                <w:color w:val="auto"/>
              </w:rPr>
            </w:pPr>
          </w:p>
        </w:tc>
        <w:tc>
          <w:tcPr>
            <w:tcW w:w="4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6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445" w:right="49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400"/>
          </w:cols>
          <w:pgMar w:left="320" w:top="445" w:right="499" w:bottom="1440" w:gutter="0" w:footer="0" w:header="0"/>
          <w:type w:val="continuous"/>
        </w:sectPr>
      </w:pPr>
    </w:p>
    <w:p>
      <w:pPr>
        <w:spacing w:after="0" w:line="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Cohu, Inc. (“Cohu”) a global leader in back-end semiconductor equipment and services, is hosting a Virtual Analyst and Investor Conference on Monday, May 16, 2022, at 10:00 a.m. Pacific Time/1:00 p.m. Eastern Time.</w:t>
      </w:r>
    </w:p>
    <w:p>
      <w:pPr>
        <w:spacing w:after="0" w:line="133" w:lineRule="exact"/>
        <w:rPr>
          <w:sz w:val="20"/>
          <w:szCs w:val="20"/>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The investor presentation and Q&amp;A session will be led by Luis A.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 Chief Executive Officer and Jeffrey D. Jones, Chief Financial Officer, with additional comments from the Company’s management team. The event will last approximately 90 minutes and interested investors can access the event and accompanying presentation on the investor relations section of the Company’s website, www.cohu.com.</w:t>
      </w:r>
    </w:p>
    <w:p>
      <w:pPr>
        <w:spacing w:after="0" w:line="19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furnished herewith, will not be deemed “filed” for purposes of Section 18 of the Securities Exchange Act of 1934, as amended (the “Exchange Act”), nor will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furnished herewith, contains “forward-looking statements” within the meaning of the safe harbor provisions of the federal securities laws. They should be read in conjunction with the “Cautionary Statement Regarding Forward-Looking Statements” disclosure contained in the Virtual Analyst and Investor Conference Presentation, the risk factors included in the Company’s periodic reports filed with the SEC, and the other public announcements that the Company may make, by press release or otherwise,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 Exhibit</w:t>
            </w:r>
          </w:p>
        </w:tc>
        <w:tc>
          <w:tcPr>
            <w:tcW w:w="538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May 16, 2022, Cohu Virtual Analyst and Investor Conference Presentation</w:t>
            </w:r>
          </w:p>
        </w:tc>
      </w:tr>
      <w:tr>
        <w:trPr>
          <w:trHeight w:val="20"/>
        </w:trPr>
        <w:tc>
          <w:tcPr>
            <w:tcW w:w="2260" w:type="dxa"/>
            <w:vAlign w:val="bottom"/>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70"/>
        </w:trPr>
        <w:tc>
          <w:tcPr>
            <w:tcW w:w="2260" w:type="dxa"/>
            <w:vAlign w:val="bottom"/>
            <w:tcBorders>
              <w:bottom w:val="single" w:sz="8" w:color="auto"/>
            </w:tcBorders>
          </w:tcPr>
          <w:p>
            <w:pPr>
              <w:spacing w:after="0"/>
              <w:rPr>
                <w:sz w:val="23"/>
                <w:szCs w:val="23"/>
                <w:color w:val="auto"/>
              </w:rPr>
            </w:pPr>
          </w:p>
        </w:tc>
        <w:tc>
          <w:tcPr>
            <w:tcW w:w="538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r>
      <w:tr>
        <w:trPr>
          <w:trHeight w:val="621"/>
        </w:trPr>
        <w:tc>
          <w:tcPr>
            <w:tcW w:w="22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4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Cohu,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May 16, 2022</w:t>
            </w:r>
          </w:p>
        </w:tc>
        <w:tc>
          <w:tcPr>
            <w:tcW w:w="2500" w:type="dxa"/>
            <w:vAlign w:val="bottom"/>
          </w:tcPr>
          <w:p>
            <w:pPr>
              <w:ind w:left="2200"/>
              <w:spacing w:after="0"/>
              <w:rPr>
                <w:sz w:val="20"/>
                <w:szCs w:val="20"/>
                <w:color w:val="auto"/>
              </w:rPr>
            </w:pPr>
            <w:r>
              <w:rPr>
                <w:rFonts w:ascii="Times New Roman" w:cs="Times New Roman" w:eastAsia="Times New Roman" w:hAnsi="Times New Roman"/>
                <w:sz w:val="18"/>
                <w:szCs w:val="18"/>
                <w:i w:val="1"/>
                <w:iCs w:val="1"/>
                <w:color w:val="auto"/>
              </w:rPr>
              <w:t>By:</w:t>
            </w:r>
          </w:p>
        </w:tc>
        <w:tc>
          <w:tcPr>
            <w:tcW w:w="40" w:type="dxa"/>
            <w:vAlign w:val="bottom"/>
          </w:tcPr>
          <w:p>
            <w:pPr>
              <w:spacing w:after="0"/>
              <w:rPr>
                <w:sz w:val="24"/>
                <w:szCs w:val="24"/>
                <w:color w:val="auto"/>
              </w:rPr>
            </w:pPr>
          </w:p>
        </w:tc>
        <w:tc>
          <w:tcPr>
            <w:tcW w:w="5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/s/ Jeffrey D. Jones</w:t>
            </w:r>
          </w:p>
        </w:tc>
      </w:tr>
      <w:tr>
        <w:trPr>
          <w:trHeight w:val="189"/>
        </w:trPr>
        <w:tc>
          <w:tcPr>
            <w:tcW w:w="3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Name: Jeffrey D. Jones</w:t>
            </w:r>
          </w:p>
        </w:tc>
      </w:tr>
      <w:tr>
        <w:trPr>
          <w:trHeight w:val="236"/>
        </w:trPr>
        <w:tc>
          <w:tcPr>
            <w:tcW w:w="3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tc>
      </w:tr>
    </w:tbl>
    <w:p>
      <w:pPr>
        <w:sectPr>
          <w:pgSz w:w="11900" w:h="16838" w:orient="portrait"/>
          <w:cols w:equalWidth="0" w:num="1">
            <w:col w:w="11240"/>
          </w:cols>
          <w:pgMar w:left="320" w:top="576" w:right="33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4999355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473075</wp:posOffset>
            </wp:positionV>
            <wp:extent cx="6643370" cy="373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373761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4340860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4340860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2022-05-16T08:06:41Z</dcterms:created>
  <dcterms:modified xsi:type="dcterms:W3CDTF">2022-05-16T08:06:41Z</dcterms:modified>
</cp:coreProperties>
</file>