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0 )*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Cohu Inc</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192576106</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2012</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192576106</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5" w:lineRule="exact"/>
        <w:rPr>
          <w:rFonts w:ascii="Arial" w:cs="Arial" w:eastAsia="Arial" w:hAnsi="Arial"/>
          <w:sz w:val="18"/>
          <w:szCs w:val="18"/>
          <w:color w:val="auto"/>
        </w:rPr>
      </w:pPr>
    </w:p>
    <w:p>
      <w:pPr>
        <w:ind w:left="1940" w:hanging="522"/>
        <w:spacing w:after="0"/>
        <w:tabs>
          <w:tab w:leader="none" w:pos="1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10"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35,140</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1,326,784</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33,440</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1,360,224</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5.55%</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Cohu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12367 CROSTHWAITE CIRCLE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POWAY, CALIFORNIA 92064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192576106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1,360,224</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35,140</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1,326,784 (iv) shared power to dispose or to direct the disposition of: 33,440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02/07/13</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-10160</wp:posOffset>
            </wp:positionV>
            <wp:extent cx="127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5080"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January 29, 2010, see File Number 005-81485,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621030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80"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33,440 shares or .13% of the Common Stock outstanding of the Company as a result of its serving as investment manager of collective trust accounts.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1,700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on January 29, 2010, see File Number 005-81485, Incorporated by Reference</w:t>
      </w:r>
    </w:p>
    <w:sectPr>
      <w:pgSz w:w="11900" w:h="16838" w:orient="portrait"/>
      <w:cols w:equalWidth="0" w:num="1">
        <w:col w:w="11300"/>
      </w:cols>
      <w:pgMar w:left="240" w:top="10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2019-12-05T08:25:10Z</dcterms:created>
  <dcterms:modified xsi:type="dcterms:W3CDTF">2019-12-05T08:25:10Z</dcterms:modified>
</cp:coreProperties>
</file>