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 C. 20549</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0"/>
          <w:szCs w:val="20"/>
          <w:color w:val="auto"/>
        </w:rPr>
      </w:pPr>
    </w:p>
    <w:p>
      <w:pPr>
        <w:ind w:left="580" w:right="2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26, 2005</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19" w:lineRule="exact"/>
        <w:rPr>
          <w:sz w:val="20"/>
          <w:szCs w:val="20"/>
          <w:color w:val="auto"/>
        </w:rPr>
      </w:pPr>
    </w:p>
    <w:p>
      <w:pPr>
        <w:ind w:left="580" w:right="220" w:hanging="572"/>
        <w:spacing w:after="0" w:line="25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COHU, INC.</w:t>
      </w: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8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15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March 26, 2005 the Registrant had 21,644,634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26, 2005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 Number</w:t>
            </w:r>
          </w:p>
        </w:tc>
        <w:tc>
          <w:tcPr>
            <w:tcW w:w="0" w:type="dxa"/>
            <w:vAlign w:val="bottom"/>
          </w:tcPr>
          <w:p>
            <w:pPr>
              <w:spacing w:after="0"/>
              <w:rPr>
                <w:sz w:val="1"/>
                <w:szCs w:val="1"/>
                <w:color w:val="auto"/>
              </w:rPr>
            </w:pPr>
          </w:p>
        </w:tc>
      </w:tr>
      <w:tr>
        <w:trPr>
          <w:trHeight w:val="210"/>
        </w:trPr>
        <w:tc>
          <w:tcPr>
            <w:tcW w:w="10480" w:type="dxa"/>
            <w:vAlign w:val="bottom"/>
            <w:gridSpan w:val="6"/>
            <w:vMerge w:val="continue"/>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1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w:t>
              </w:r>
            </w:hyperlink>
          </w:p>
        </w:tc>
        <w:tc>
          <w:tcPr>
            <w:tcW w:w="83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67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March 26, 2005 (unaudited) and December 31, 2004</w:t>
              </w:r>
            </w:hyperlink>
          </w:p>
        </w:tc>
        <w:tc>
          <w:tcPr>
            <w:tcW w:w="350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260" w:type="dxa"/>
            <w:vAlign w:val="bottom"/>
            <w:gridSpan w:val="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(unaudited) Three Months Ended March 26, 2005 and March 31, 2004</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5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26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Three Months Ended March 26, 2005 and March 31, 2004</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8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122"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080" w:type="dxa"/>
            <w:vAlign w:val="bottom"/>
            <w:gridSpan w:val="2"/>
          </w:tcPr>
          <w:p>
            <w:pPr>
              <w:spacing w:after="0"/>
              <w:rPr>
                <w:sz w:val="17"/>
                <w:szCs w:val="17"/>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Item 2.</w:t>
              </w:r>
            </w:hyperlink>
          </w:p>
        </w:tc>
        <w:tc>
          <w:tcPr>
            <w:tcW w:w="8540" w:type="dxa"/>
            <w:vAlign w:val="bottom"/>
            <w:gridSpan w:val="9"/>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3.</w:t>
              </w:r>
            </w:hyperlink>
          </w:p>
        </w:tc>
        <w:tc>
          <w:tcPr>
            <w:tcW w:w="4340" w:type="dxa"/>
            <w:vAlign w:val="bottom"/>
            <w:tcBorders>
              <w:top w:val="single" w:sz="8" w:color="0000EE"/>
              <w:bottom w:val="single" w:sz="8" w:color="0000EE"/>
            </w:tcBorders>
            <w:gridSpan w:val="6"/>
          </w:tcPr>
          <w:p>
            <w:pPr>
              <w:ind w:left="20"/>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060" w:type="dxa"/>
            <w:vAlign w:val="bottom"/>
          </w:tcPr>
          <w:p>
            <w:pPr>
              <w:spacing w:after="0"/>
              <w:rPr>
                <w:sz w:val="24"/>
                <w:szCs w:val="24"/>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4.</w:t>
              </w:r>
            </w:hyperlink>
          </w:p>
        </w:tc>
        <w:tc>
          <w:tcPr>
            <w:tcW w:w="1800" w:type="dxa"/>
            <w:vAlign w:val="bottom"/>
            <w:tcBorders>
              <w:bottom w:val="single" w:sz="8" w:color="0000EE"/>
            </w:tcBorders>
            <w:gridSpan w:val="5"/>
          </w:tcPr>
          <w:p>
            <w:pPr>
              <w:ind w:left="20"/>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6740" w:type="dxa"/>
            <w:vAlign w:val="bottom"/>
            <w:gridSpan w:val="4"/>
          </w:tcPr>
          <w:p>
            <w:pPr>
              <w:spacing w:after="0"/>
              <w:rPr>
                <w:sz w:val="24"/>
                <w:szCs w:val="24"/>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412"/>
        </w:trPr>
        <w:tc>
          <w:tcPr>
            <w:tcW w:w="9080" w:type="dxa"/>
            <w:vAlign w:val="bottom"/>
            <w:gridSpan w:val="1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2340" w:type="dxa"/>
            <w:vAlign w:val="bottom"/>
          </w:tcPr>
          <w:p>
            <w:pPr>
              <w:spacing w:after="0"/>
              <w:rPr>
                <w:sz w:val="24"/>
                <w:szCs w:val="24"/>
                <w:color w:val="auto"/>
              </w:rPr>
            </w:pP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6.</w:t>
              </w:r>
            </w:hyperlink>
          </w:p>
        </w:tc>
        <w:tc>
          <w:tcPr>
            <w:tcW w:w="1480" w:type="dxa"/>
            <w:vAlign w:val="bottom"/>
            <w:tcBorders>
              <w:top w:val="single" w:sz="8" w:color="0000EE"/>
            </w:tcBorders>
            <w:gridSpan w:val="4"/>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060" w:type="dxa"/>
            <w:vAlign w:val="bottom"/>
            <w:gridSpan w:val="5"/>
          </w:tcPr>
          <w:p>
            <w:pPr>
              <w:spacing w:after="0"/>
              <w:rPr>
                <w:sz w:val="24"/>
                <w:szCs w:val="24"/>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412"/>
        </w:trPr>
        <w:tc>
          <w:tcPr>
            <w:tcW w:w="1160" w:type="dxa"/>
            <w:vAlign w:val="bottom"/>
            <w:tcBorders>
              <w:top w:val="single" w:sz="8" w:color="0000EE"/>
            </w:tcBorders>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7920" w:type="dxa"/>
            <w:vAlign w:val="bottom"/>
            <w:gridSpan w:val="6"/>
          </w:tcPr>
          <w:p>
            <w:pPr>
              <w:spacing w:after="0"/>
              <w:rPr>
                <w:sz w:val="24"/>
                <w:szCs w:val="24"/>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20" w:type="dxa"/>
            <w:vAlign w:val="bottom"/>
            <w:gridSpan w:val="11"/>
          </w:tcPr>
          <w:p>
            <w:pPr>
              <w:spacing w:after="0" w:line="196" w:lineRule="exact"/>
              <w:rPr>
                <w:sz w:val="20"/>
                <w:szCs w:val="20"/>
                <w:color w:val="auto"/>
              </w:rPr>
            </w:pPr>
            <w:r>
              <w:rPr>
                <w:rFonts w:ascii="Arial" w:cs="Arial" w:eastAsia="Arial" w:hAnsi="Arial"/>
                <w:sz w:val="18"/>
                <w:szCs w:val="18"/>
                <w:color w:val="0000EE"/>
              </w:rPr>
              <w:t>EXHIBIT 31.1</w:t>
            </w:r>
          </w:p>
        </w:tc>
        <w:tc>
          <w:tcPr>
            <w:tcW w:w="23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20" w:type="dxa"/>
            <w:vAlign w:val="bottom"/>
            <w:gridSpan w:val="11"/>
          </w:tcPr>
          <w:p>
            <w:pPr>
              <w:spacing w:after="0" w:line="196" w:lineRule="exact"/>
              <w:rPr>
                <w:sz w:val="20"/>
                <w:szCs w:val="20"/>
                <w:color w:val="auto"/>
              </w:rPr>
            </w:pPr>
            <w:r>
              <w:rPr>
                <w:rFonts w:ascii="Arial" w:cs="Arial" w:eastAsia="Arial" w:hAnsi="Arial"/>
                <w:sz w:val="18"/>
                <w:szCs w:val="18"/>
                <w:color w:val="0000EE"/>
              </w:rPr>
              <w:t>EXHIBIT 31.2</w:t>
            </w:r>
          </w:p>
        </w:tc>
        <w:tc>
          <w:tcPr>
            <w:tcW w:w="23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20" w:type="dxa"/>
            <w:vAlign w:val="bottom"/>
            <w:gridSpan w:val="11"/>
          </w:tcPr>
          <w:p>
            <w:pPr>
              <w:spacing w:after="0" w:line="196" w:lineRule="exact"/>
              <w:rPr>
                <w:sz w:val="20"/>
                <w:szCs w:val="20"/>
                <w:color w:val="auto"/>
              </w:rPr>
            </w:pPr>
            <w:r>
              <w:rPr>
                <w:rFonts w:ascii="Arial" w:cs="Arial" w:eastAsia="Arial" w:hAnsi="Arial"/>
                <w:sz w:val="18"/>
                <w:szCs w:val="18"/>
                <w:color w:val="0000EE"/>
              </w:rPr>
              <w:t>EXHIBIT 32.1</w:t>
            </w:r>
          </w:p>
        </w:tc>
        <w:tc>
          <w:tcPr>
            <w:tcW w:w="23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20" w:type="dxa"/>
            <w:vAlign w:val="bottom"/>
            <w:gridSpan w:val="11"/>
          </w:tcPr>
          <w:p>
            <w:pPr>
              <w:spacing w:after="0" w:line="196" w:lineRule="exact"/>
              <w:rPr>
                <w:sz w:val="20"/>
                <w:szCs w:val="20"/>
                <w:color w:val="auto"/>
              </w:rPr>
            </w:pPr>
            <w:r>
              <w:rPr>
                <w:rFonts w:ascii="Arial" w:cs="Arial" w:eastAsia="Arial" w:hAnsi="Arial"/>
                <w:sz w:val="18"/>
                <w:szCs w:val="18"/>
                <w:color w:val="0000EE"/>
              </w:rPr>
              <w:t>EXHIBIT 32.2</w:t>
            </w:r>
          </w:p>
        </w:tc>
        <w:tc>
          <w:tcPr>
            <w:tcW w:w="2340" w:type="dxa"/>
            <w:vAlign w:val="bottom"/>
          </w:tcPr>
          <w:p>
            <w:pPr>
              <w:spacing w:after="0"/>
              <w:rPr>
                <w:sz w:val="17"/>
                <w:szCs w:val="17"/>
                <w:color w:val="auto"/>
              </w:rPr>
            </w:pPr>
          </w:p>
        </w:tc>
      </w:tr>
      <w:tr>
        <w:trPr>
          <w:trHeight w:val="639"/>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340" w:type="dxa"/>
            <w:vAlign w:val="bottom"/>
            <w:tcBorders>
              <w:top w:val="single" w:sz="8" w:color="0000EE"/>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9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COHU, INC.</w:t>
      </w:r>
    </w:p>
    <w:p>
      <w:pPr>
        <w:spacing w:after="0" w:line="18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March 26, 2005</w:t>
            </w:r>
          </w:p>
        </w:tc>
        <w:tc>
          <w:tcPr>
            <w:tcW w:w="156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2004 *</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0"/>
              <w:spacing w:after="0" w:line="142" w:lineRule="exact"/>
              <w:rPr>
                <w:sz w:val="20"/>
                <w:szCs w:val="20"/>
                <w:color w:val="auto"/>
              </w:rPr>
            </w:pPr>
            <w:r>
              <w:rPr>
                <w:rFonts w:ascii="Arial" w:cs="Arial" w:eastAsia="Arial" w:hAnsi="Arial"/>
                <w:sz w:val="14"/>
                <w:szCs w:val="14"/>
                <w:color w:val="auto"/>
                <w:w w:val="95"/>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59,233</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59,591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61,863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56,920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receivable, less allowance for doubtful accounts of $889 in 2005 and $936 in 2004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29,576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32,744</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Raw materials and purchased parts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21,014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26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12,346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6,968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15,048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Refundable income taxes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2,805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4,088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8520" w:type="dxa"/>
            <w:vAlign w:val="bottom"/>
            <w:gridSpan w:val="2"/>
          </w:tcPr>
          <w:p>
            <w:pPr>
              <w:ind w:left="2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212,941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Land and land improvements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7,978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Buildings and building improvements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25,447</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28,659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27,544</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62,084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60,827</w:t>
            </w: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(30,765)</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(29,706)</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property, plant and equipment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31,319</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31,121</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8,340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8,340</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intangible assets, net of accumulated amortization of $1,330 in 2005 and $1,192 in 2004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253,088</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250,768</w:t>
            </w: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6,463</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7,808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Accrued warranty</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4,091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Customer advances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Deferred profit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9,662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9,651</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3,051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32,717</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36,183</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Accrued retiree medical benefits</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5,090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432"/>
        </w:trPr>
        <w:tc>
          <w:tcPr>
            <w:tcW w:w="86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Preferred stock, $1 par value; 1,000 shares authorized, none issued</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60" w:type="dxa"/>
            <w:vAlign w:val="bottom"/>
            <w:shd w:val="clear" w:color="auto" w:fill="CCEEFF"/>
          </w:tcPr>
          <w:p>
            <w:pPr>
              <w:spacing w:after="0"/>
              <w:rPr>
                <w:sz w:val="17"/>
                <w:szCs w:val="17"/>
                <w:color w:val="auto"/>
              </w:rPr>
            </w:pPr>
          </w:p>
        </w:tc>
        <w:tc>
          <w:tcPr>
            <w:tcW w:w="85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2"/>
              </w:rPr>
              <w:t>Common stock, $1 par value; 60,000 shares authorized, 21,645 shares issued and outstanding in 2005 and 21,611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8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shares in 2004</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21,645</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Paid in capital</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25,956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25,572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166,538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161,089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213,859</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208,112</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8520" w:type="dxa"/>
            <w:vAlign w:val="bottom"/>
            <w:gridSpan w:val="2"/>
          </w:tcPr>
          <w:p>
            <w:pPr>
              <w:ind w:left="300"/>
              <w:spacing w:after="0"/>
              <w:rPr>
                <w:sz w:val="20"/>
                <w:szCs w:val="20"/>
                <w:color w:val="auto"/>
              </w:rPr>
            </w:pPr>
            <w:r>
              <w:rPr>
                <w:rFonts w:ascii="Arial" w:cs="Arial" w:eastAsia="Arial" w:hAnsi="Arial"/>
                <w:sz w:val="18"/>
                <w:szCs w:val="18"/>
                <w:color w:val="auto"/>
              </w:rPr>
              <w:t>Derived from December 31, 2004 audited financial statements.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80" w:type="dxa"/>
            <w:vAlign w:val="bottom"/>
            <w:gridSpan w:val="3"/>
          </w:tcPr>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908"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08"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March 26,</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44,396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and expenses:</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26,468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6,680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40,455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34,061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income</w:t>
            </w:r>
          </w:p>
        </w:tc>
        <w:tc>
          <w:tcPr>
            <w:tcW w:w="4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Income per share:</w:t>
            </w: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per share:</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Basic</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21,633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22,108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8"/>
              </w:rPr>
              <w:t>The accompanying notes are an integral part of these statements.</w:t>
            </w: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8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320" w:type="dxa"/>
            <w:vAlign w:val="bottom"/>
          </w:tcPr>
          <w:p>
            <w:pPr>
              <w:jc w:val="right"/>
              <w:ind w:right="36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March 26,</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6,531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from operating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accrued retiree medical benefits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600"/>
              <w:spacing w:after="0"/>
              <w:rPr>
                <w:sz w:val="20"/>
                <w:szCs w:val="20"/>
                <w:color w:val="auto"/>
              </w:rPr>
            </w:pPr>
            <w:r>
              <w:rPr>
                <w:rFonts w:ascii="Arial" w:cs="Arial" w:eastAsia="Arial" w:hAnsi="Arial"/>
                <w:sz w:val="18"/>
                <w:szCs w:val="18"/>
                <w:color w:val="auto"/>
              </w:rPr>
              <w:t>Changes in current assets and liabilities: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Refundable income taxes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00"/>
              <w:spacing w:after="0"/>
              <w:rPr>
                <w:sz w:val="20"/>
                <w:szCs w:val="20"/>
                <w:color w:val="auto"/>
              </w:rPr>
            </w:pPr>
            <w:r>
              <w:rPr>
                <w:rFonts w:ascii="Arial" w:cs="Arial" w:eastAsia="Arial" w:hAnsi="Arial"/>
                <w:sz w:val="18"/>
                <w:szCs w:val="18"/>
                <w:color w:val="auto"/>
              </w:rPr>
              <w:t>Other current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00"/>
              <w:spacing w:after="0"/>
              <w:rPr>
                <w:sz w:val="20"/>
                <w:szCs w:val="20"/>
                <w:color w:val="auto"/>
              </w:rPr>
            </w:pPr>
            <w:r>
              <w:rPr>
                <w:rFonts w:ascii="Arial" w:cs="Arial" w:eastAsia="Arial" w:hAnsi="Arial"/>
                <w:sz w:val="18"/>
                <w:szCs w:val="18"/>
                <w:color w:val="auto"/>
              </w:rPr>
              <w:t>Customer advances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Deferred profit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00"/>
              <w:spacing w:after="0"/>
              <w:rPr>
                <w:sz w:val="20"/>
                <w:szCs w:val="20"/>
                <w:color w:val="auto"/>
              </w:rPr>
            </w:pPr>
            <w:r>
              <w:rPr>
                <w:rFonts w:ascii="Arial" w:cs="Arial" w:eastAsia="Arial" w:hAnsi="Arial"/>
                <w:sz w:val="18"/>
                <w:szCs w:val="18"/>
                <w:color w:val="auto"/>
              </w:rPr>
              <w:t>Income taxes payable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compensation, warranty and other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800"/>
              <w:spacing w:after="0"/>
              <w:rPr>
                <w:sz w:val="20"/>
                <w:szCs w:val="20"/>
                <w:color w:val="auto"/>
              </w:rPr>
            </w:pPr>
            <w:r>
              <w:rPr>
                <w:rFonts w:ascii="Arial" w:cs="Arial" w:eastAsia="Arial" w:hAnsi="Arial"/>
                <w:sz w:val="18"/>
                <w:szCs w:val="18"/>
                <w:color w:val="auto"/>
              </w:rPr>
              <w:t>Net cash provided from operating activities</w:t>
            </w:r>
          </w:p>
        </w:tc>
        <w:tc>
          <w:tcPr>
            <w:tcW w:w="1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(24,485)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note receivable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from (used for) investing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stock, net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financing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Cash paid (received) during the period for:</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 net of refunds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Inventory capitalized as capital assets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26, 2005</w:t>
      </w:r>
    </w:p>
    <w:p>
      <w:pPr>
        <w:spacing w:after="0" w:line="20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240"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interim condensed consolidated financial statements of Cohu, Inc. as of March 26, 2005, and for the three-month periods ended March 26, 2005 and March 31, 2004, are unaudited, but, in the opinion of management, include all adjustments (consisting only of normal adjustments) necessary for a fair presentation of the financial results for the interim periods. Our results of operations for the three-month period ended March 26, 2005 are not necessarily indicative of the results to be expected for the year ending December 31, 2005. These interim statements should be read in conjunction with the audited financial statements and notes thereto included in our Annual Report on Form 10-K for the year ended December 31, 2004. In the following notes to our interim condensed consolidated financial statements, Cohu, Inc. is referred to as “Cohu”, “we”, “our” and “us”.</w:t>
      </w:r>
    </w:p>
    <w:p>
      <w:pPr>
        <w:spacing w:after="0" w:line="160"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Change in Fiscal Year</w:t>
      </w:r>
    </w:p>
    <w:p>
      <w:pPr>
        <w:spacing w:after="0" w:line="229" w:lineRule="exact"/>
        <w:rPr>
          <w:rFonts w:ascii="Arial" w:cs="Arial" w:eastAsia="Arial" w:hAnsi="Arial"/>
          <w:sz w:val="18"/>
          <w:szCs w:val="18"/>
          <w:b w:val="1"/>
          <w:bCs w:val="1"/>
          <w:color w:val="auto"/>
        </w:rPr>
      </w:pPr>
    </w:p>
    <w:p>
      <w:pPr>
        <w:ind w:left="24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February 1, 2005, our Board of Directors approved a change in our fiscal year from December 31, to a 52-53 week fiscal year ending on the last Saturday of December. This change is effective for our 2005 fiscal year. As a result of the change, our current fiscal year will contain 52 weeks. The first fiscal quarter of 2005 contained 12 weeks, whereas the first fiscal quarter of 2004 contained 13 weeks.</w:t>
      </w:r>
    </w:p>
    <w:p>
      <w:pPr>
        <w:spacing w:after="0" w:line="17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revenue recognition policy is disclosed in Note 1 of the Notes to Consolidated Financial Statements included in our Annual Report on Form 10-K for the year ended December 31, 2004. As more fully described in that policy, revenue from products that have not previously satisfied customer acceptance is recognized upon customer acceptance. The gross profit on sales that are not recognized is generally recorded as deferred profit and reflected as a current liability in the consolidated balance sheet.</w:t>
      </w:r>
    </w:p>
    <w:p>
      <w:pPr>
        <w:spacing w:after="0" w:line="186" w:lineRule="exact"/>
        <w:rPr>
          <w:rFonts w:ascii="Arial" w:cs="Arial" w:eastAsia="Arial" w:hAnsi="Arial"/>
          <w:sz w:val="18"/>
          <w:szCs w:val="18"/>
          <w:b w:val="1"/>
          <w:bCs w:val="1"/>
          <w:color w:val="auto"/>
        </w:rPr>
      </w:pPr>
    </w:p>
    <w:p>
      <w:pPr>
        <w:ind w:left="2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have an $8.5 million contract to provide microwave communications equipment for a border security command center and infrastructure system in the United Arab Emirates. The contract, which utilizes our most advanced microwave communications technology that has not been previously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we will recognize revenue and related costs under this contract in the period the system is accepted by the customer. Through March 26, 2005, we have deferred approximately $8.1 million of revenue under this contract.</w:t>
      </w:r>
    </w:p>
    <w:p>
      <w:pPr>
        <w:spacing w:after="0" w:line="193" w:lineRule="exact"/>
        <w:rPr>
          <w:rFonts w:ascii="Arial" w:cs="Arial" w:eastAsia="Arial" w:hAnsi="Arial"/>
          <w:sz w:val="18"/>
          <w:szCs w:val="18"/>
          <w:b w:val="1"/>
          <w:bCs w:val="1"/>
          <w:color w:val="auto"/>
        </w:rPr>
      </w:pPr>
    </w:p>
    <w:p>
      <w:pPr>
        <w:ind w:left="2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March 26, 2005, we had total deferred revenue of approximately $22.9 million and deferred profit of $9.7 million. At December 31, 2004, we had total deferred revenue of approximately $22.5 million and deferred profit of $9.7 million.</w:t>
      </w:r>
    </w:p>
    <w:p>
      <w:pPr>
        <w:spacing w:after="0" w:line="16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2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We have several stock-based compensation plans that are described more fully in Note 11 to the Consolidated Financial Statements included in our Annual Report on Form 10-K for the year ended December 31, 2004. We account for those plans under the recognition and measurement principles of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until required otherwise by Financial Accounting Standards Board (“FASB”) Statement No. 123 (Revised 2004),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Under the intrinsic value method, no stock-based employee compensation cost is reflected in the consolidated statements of income, as all options granted under those plans had an exercise price equal to the market value of the underlying common stock on the date of grant. The proforma information presented in the following table illustrates the effect on net income and net income per share if we had applied the fair value recognition provisions of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as amended by FASB Statement No. 148, </w:t>
      </w:r>
      <w:r>
        <w:rPr>
          <w:rFonts w:ascii="Arial" w:cs="Arial" w:eastAsia="Arial" w:hAnsi="Arial"/>
          <w:sz w:val="16"/>
          <w:szCs w:val="16"/>
          <w:i w:val="1"/>
          <w:iCs w:val="1"/>
          <w:color w:val="auto"/>
        </w:rPr>
        <w:t>Accounting for Stock-Based Compensation – Transition and Disclosure</w:t>
      </w:r>
      <w:r>
        <w:rPr>
          <w:rFonts w:ascii="Arial" w:cs="Arial" w:eastAsia="Arial" w:hAnsi="Arial"/>
          <w:sz w:val="16"/>
          <w:szCs w:val="16"/>
          <w:color w:val="auto"/>
        </w:rPr>
        <w:t>, to stock-based employee compensation.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26, 2005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4"/>
              </w:rPr>
              <w:t>Three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20" w:type="dxa"/>
            <w:vAlign w:val="bottom"/>
            <w:gridSpan w:val="2"/>
            <w:vMerge w:val="continue"/>
          </w:tcPr>
          <w:p>
            <w:pPr>
              <w:spacing w:after="0"/>
              <w:rPr>
                <w:sz w:val="12"/>
                <w:szCs w:val="12"/>
                <w:color w:val="auto"/>
              </w:rPr>
            </w:pP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March 26, 2005</w:t>
            </w:r>
          </w:p>
        </w:tc>
        <w:tc>
          <w:tcPr>
            <w:tcW w:w="1100" w:type="dxa"/>
            <w:vAlign w:val="bottom"/>
            <w:gridSpan w:val="2"/>
          </w:tcPr>
          <w:p>
            <w:pPr>
              <w:ind w:left="180"/>
              <w:spacing w:after="0" w:line="142" w:lineRule="exact"/>
              <w:rPr>
                <w:sz w:val="20"/>
                <w:szCs w:val="20"/>
                <w:color w:val="auto"/>
              </w:rPr>
            </w:pPr>
            <w:r>
              <w:rPr>
                <w:rFonts w:ascii="Arial" w:cs="Arial" w:eastAsia="Arial" w:hAnsi="Arial"/>
                <w:sz w:val="14"/>
                <w:szCs w:val="14"/>
                <w:color w:val="auto"/>
                <w:w w:val="92"/>
              </w:rPr>
              <w:t>March 31,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6,531</w:t>
            </w:r>
          </w:p>
        </w:tc>
        <w:tc>
          <w:tcPr>
            <w:tcW w:w="6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spacing w:after="0" w:line="201" w:lineRule="exact"/>
              <w:rPr>
                <w:sz w:val="20"/>
                <w:szCs w:val="20"/>
                <w:color w:val="auto"/>
              </w:rPr>
            </w:pPr>
            <w:r>
              <w:rPr>
                <w:rFonts w:ascii="Arial" w:cs="Arial" w:eastAsia="Arial" w:hAnsi="Arial"/>
                <w:sz w:val="18"/>
                <w:szCs w:val="18"/>
                <w:color w:val="auto"/>
                <w:w w:val="94"/>
              </w:rPr>
              <w:t>Less: Total stock-based employee compensation expense determined under fair value based method for all awards, net</w:t>
            </w:r>
          </w:p>
        </w:tc>
        <w:tc>
          <w:tcPr>
            <w:tcW w:w="300" w:type="dxa"/>
            <w:vAlign w:val="bottom"/>
          </w:tcPr>
          <w:p>
            <w:pPr>
              <w:spacing w:after="0"/>
              <w:rPr>
                <w:sz w:val="17"/>
                <w:szCs w:val="17"/>
                <w:color w:val="auto"/>
              </w:rPr>
            </w:pPr>
          </w:p>
        </w:tc>
        <w:tc>
          <w:tcPr>
            <w:tcW w:w="90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(1,030)</w:t>
            </w: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of related tax effect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5,501</w:t>
            </w:r>
          </w:p>
        </w:tc>
        <w:tc>
          <w:tcPr>
            <w:tcW w:w="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1,132</w:t>
            </w:r>
          </w:p>
        </w:tc>
        <w:tc>
          <w:tcPr>
            <w:tcW w:w="0" w:type="dxa"/>
            <w:vAlign w:val="bottom"/>
          </w:tcPr>
          <w:p>
            <w:pPr>
              <w:spacing w:after="0"/>
              <w:rPr>
                <w:sz w:val="1"/>
                <w:szCs w:val="1"/>
                <w:color w:val="auto"/>
              </w:rPr>
            </w:pPr>
          </w:p>
        </w:tc>
      </w:tr>
      <w:tr>
        <w:trPr>
          <w:trHeight w:val="439"/>
        </w:trPr>
        <w:tc>
          <w:tcPr>
            <w:tcW w:w="902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Basic-as reported</w:t>
            </w: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0.30</w:t>
            </w: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Basic-pro forma</w:t>
            </w:r>
          </w:p>
        </w:tc>
        <w:tc>
          <w:tcPr>
            <w:tcW w:w="30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rPr>
              <w:t>0.25</w:t>
            </w: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Diluted-as reported</w:t>
            </w: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0.30</w:t>
            </w: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Diluted-pro forma</w:t>
            </w:r>
          </w:p>
        </w:tc>
        <w:tc>
          <w:tcPr>
            <w:tcW w:w="30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rPr>
              <w:t>0.25</w:t>
            </w: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Retiree Medical Benefits</w:t>
      </w:r>
    </w:p>
    <w:p>
      <w:pPr>
        <w:spacing w:after="0" w:line="229"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color w:val="auto"/>
        </w:rPr>
        <w:t>We provide post-retirement health benefits to certain executives and directors under a noncontributory plan. The net periodic benefit cost during the first fiscal quarters of 2005 and 2004 was not significant.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40" w:right="40"/>
        <w:spacing w:after="0" w:line="272" w:lineRule="auto"/>
        <w:rPr>
          <w:sz w:val="20"/>
          <w:szCs w:val="20"/>
          <w:color w:val="auto"/>
        </w:rPr>
      </w:pPr>
      <w:r>
        <w:rPr>
          <w:rFonts w:ascii="Arial" w:cs="Arial" w:eastAsia="Arial" w:hAnsi="Arial"/>
          <w:sz w:val="17"/>
          <w:szCs w:val="17"/>
          <w:color w:val="auto"/>
        </w:rPr>
        <w:t xml:space="preserve">In December 2004, the FASB issued Statement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(“Statement No. 123R”). Statement No. 123R addresses all forms of share-based payment awards, including shares issued under employee stock purchase plans, stock options, restricted stock and stock appreciation rights. Statement No. 123R will require that we expense share-based payment awards with compensation cost for share-based payment transactions measured at fair value. Statement No. 123R requires us to adopt the new accounting provisions beginning in our third quarter of 2005. However, on April 14, 2005, the Securities and Exchange Commission announced the adoption of a new rule that amends the compliance date of Statement No. 123R until the beginning of the next fiscal year that begins on or after June 15, 2005. The adoption of this statement is expected to have a material impact on our consolidated results of operations and earnings per share.</w:t>
      </w:r>
    </w:p>
    <w:p>
      <w:pPr>
        <w:spacing w:after="0" w:line="178" w:lineRule="exact"/>
        <w:rPr>
          <w:sz w:val="20"/>
          <w:szCs w:val="20"/>
          <w:color w:val="auto"/>
        </w:rPr>
      </w:pPr>
    </w:p>
    <w:p>
      <w:pPr>
        <w:ind w:left="240" w:right="60"/>
        <w:spacing w:after="0" w:line="297" w:lineRule="auto"/>
        <w:rPr>
          <w:sz w:val="20"/>
          <w:szCs w:val="20"/>
          <w:color w:val="auto"/>
        </w:rPr>
      </w:pPr>
      <w:r>
        <w:rPr>
          <w:rFonts w:ascii="Arial" w:cs="Arial" w:eastAsia="Arial" w:hAnsi="Arial"/>
          <w:sz w:val="16"/>
          <w:szCs w:val="16"/>
          <w:color w:val="auto"/>
        </w:rPr>
        <w:t xml:space="preserve">In November 2004, the FASB issued Statement No. 151, </w:t>
      </w:r>
      <w:r>
        <w:rPr>
          <w:rFonts w:ascii="Arial" w:cs="Arial" w:eastAsia="Arial" w:hAnsi="Arial"/>
          <w:sz w:val="16"/>
          <w:szCs w:val="16"/>
          <w:i w:val="1"/>
          <w:iCs w:val="1"/>
          <w:color w:val="auto"/>
        </w:rPr>
        <w:t>Inventory Costs</w:t>
      </w:r>
      <w:r>
        <w:rPr>
          <w:rFonts w:ascii="Arial" w:cs="Arial" w:eastAsia="Arial" w:hAnsi="Arial"/>
          <w:sz w:val="16"/>
          <w:szCs w:val="16"/>
          <w:color w:val="auto"/>
        </w:rPr>
        <w:t>, an amendment of ARB No. 43, which is the result of its efforts to converge U.S. accounting standards for inventories with International Accounting Standards. Statement No. 151 requires idle facility expenses, freight, handling costs, and wasted material (spoilage) costs to be recognized as current-period charges. It also requires that the allocation of fixed production overheads to the costs of conversion be based on the normal capacity of the production facilities. Statement No. 151 will be effective for inventory costs incurred during fiscal years beginning after June 15, 2005. We are currently evaluating the impact of Statement No. 151 on our consolidated financial statements.</w:t>
      </w:r>
    </w:p>
    <w:p>
      <w:pPr>
        <w:spacing w:after="0" w:line="154"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Results of Operations</w:t>
      </w:r>
    </w:p>
    <w:p>
      <w:pPr>
        <w:spacing w:after="0" w:line="229" w:lineRule="exact"/>
        <w:rPr>
          <w:rFonts w:ascii="Arial" w:cs="Arial" w:eastAsia="Arial" w:hAnsi="Arial"/>
          <w:sz w:val="18"/>
          <w:szCs w:val="18"/>
          <w:b w:val="1"/>
          <w:bCs w:val="1"/>
          <w:color w:val="auto"/>
        </w:rPr>
      </w:pPr>
    </w:p>
    <w:p>
      <w:pPr>
        <w:ind w:left="24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February 2004, we amended a Product Representation Agreement with a foreign sales representative that was originally entered into on April 1, 2003. The amendment reduced the commissions to be paid to the sales representative on certain previously recorded and future sales. In the first fiscal quarter of 2004, we reduced commission expense by $129,000 and $103,000, for commissions previously expensed in 2003 and 2004, respectively. Accordingly, selling, general and administrative expense in the accompanying statement of income for the three months ended March 31, 2004 was reduced by $232,000 as a result of this amendment.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26, 2005</w:t>
      </w:r>
    </w:p>
    <w:p>
      <w:pPr>
        <w:spacing w:after="0" w:line="211" w:lineRule="exact"/>
        <w:rPr>
          <w:sz w:val="20"/>
          <w:szCs w:val="20"/>
          <w:color w:val="auto"/>
        </w:rPr>
      </w:pPr>
    </w:p>
    <w:p>
      <w:pPr>
        <w:jc w:val="both"/>
        <w:ind w:left="240" w:right="100"/>
        <w:spacing w:after="0" w:line="286" w:lineRule="auto"/>
        <w:rPr>
          <w:sz w:val="20"/>
          <w:szCs w:val="20"/>
          <w:color w:val="auto"/>
        </w:rPr>
      </w:pPr>
      <w:r>
        <w:rPr>
          <w:rFonts w:ascii="Arial" w:cs="Arial" w:eastAsia="Arial" w:hAnsi="Arial"/>
          <w:sz w:val="17"/>
          <w:szCs w:val="17"/>
          <w:color w:val="auto"/>
        </w:rPr>
        <w:t>In 2003, we recorded a charge to cost of sales of approximately $1.7 million as a result of inventory market valuation writedowns. Subsequently, we sold certain of the written down inventory and, as a result, our cost of sales and the related gross profit was favorably impacted by approximately $700,000 for the first fiscal quarter of 2004. There were no sales of the previously written down inventory during the first quarter of 2005.</w:t>
      </w:r>
    </w:p>
    <w:p>
      <w:pPr>
        <w:spacing w:after="0" w:line="162"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Per Share</w:t>
      </w:r>
    </w:p>
    <w:p>
      <w:pPr>
        <w:spacing w:after="0" w:line="229" w:lineRule="exact"/>
        <w:rPr>
          <w:rFonts w:ascii="Arial" w:cs="Arial" w:eastAsia="Arial" w:hAnsi="Arial"/>
          <w:sz w:val="18"/>
          <w:szCs w:val="18"/>
          <w:b w:val="1"/>
          <w:bCs w:val="1"/>
          <w:color w:val="auto"/>
        </w:rPr>
      </w:pPr>
    </w:p>
    <w:p>
      <w:pPr>
        <w:ind w:left="2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Income per share is computed in accordance with FASB Statement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income per share is computed using the weighted average number of common shares outstanding during each period. Diluted income per share includes the dilutive effect of common shares potentially issuable upon the exercise of stock options. For purposes of computing diluted income per share, stock options with exercise prices that exceed the average fair market value of our common stock for the period are excluded. For the three months ended March 26, 2005, options to purchase approximately 793,000 shares of common stock were excluded from the computation. For the three months ended March 31, 2004, options to purchase approximately 65,000 shares of common stock were excluded from the computation. The following table reconciles the denominators used in computing basic and diluted income per share: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400" w:type="dxa"/>
            <w:vAlign w:val="bottom"/>
            <w:gridSpan w:val="5"/>
          </w:tcPr>
          <w:p>
            <w:pPr>
              <w:ind w:left="5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9020" w:type="dxa"/>
            <w:vAlign w:val="bottom"/>
            <w:gridSpan w:val="2"/>
            <w:vMerge w:val="continue"/>
          </w:tcPr>
          <w:p>
            <w:pPr>
              <w:spacing w:after="0"/>
              <w:rPr>
                <w:sz w:val="12"/>
                <w:szCs w:val="12"/>
                <w:color w:val="auto"/>
              </w:rPr>
            </w:pPr>
          </w:p>
        </w:tc>
        <w:tc>
          <w:tcPr>
            <w:tcW w:w="11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March 26, 2005</w:t>
            </w: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March 31,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1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21,633</w:t>
            </w:r>
          </w:p>
        </w:tc>
        <w:tc>
          <w:tcPr>
            <w:tcW w:w="122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22,108</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2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income tax provision (benefit) included in the statements of income for the three months ended March 26, 2005 and March 31, 2004, is based on the estimated annual effective tax rate for the entire year. These estimated effective tax rates are subject to adjustment in subsequent quarterly periods as our estimates of pretax income or loss for the year are increased or decreased. The effective tax rate for the three months ended March 26, 2005 is less than the U.S. federal statutory rate due to research and development tax credits, export sales benefits and the recently enacted domestic manufacturing activities deduction.</w:t>
      </w:r>
    </w:p>
    <w:p>
      <w:pPr>
        <w:spacing w:after="0" w:line="188" w:lineRule="exact"/>
        <w:rPr>
          <w:rFonts w:ascii="Arial" w:cs="Arial" w:eastAsia="Arial" w:hAnsi="Arial"/>
          <w:sz w:val="18"/>
          <w:szCs w:val="18"/>
          <w:b w:val="1"/>
          <w:bCs w:val="1"/>
          <w:color w:val="auto"/>
        </w:rPr>
      </w:pPr>
    </w:p>
    <w:p>
      <w:pPr>
        <w:ind w:left="240" w:right="4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March 2005, the Internal Revenue Service completed a routine examination of our consolidated tax returns for the period 2000 through 2002. The examination resulted in no assessment related to our tax returns as filed. Consequently, approximately $3.0 million of accrued taxes related to the examined years were reversed with a corresponding credit to income tax expense in the quarter ended March 26, 2005.</w:t>
      </w:r>
    </w:p>
    <w:p>
      <w:pPr>
        <w:spacing w:after="0" w:line="165" w:lineRule="exact"/>
        <w:rPr>
          <w:rFonts w:ascii="Arial" w:cs="Arial" w:eastAsia="Arial" w:hAnsi="Arial"/>
          <w:sz w:val="18"/>
          <w:szCs w:val="18"/>
          <w:b w:val="1"/>
          <w:bCs w:val="1"/>
          <w:color w:val="auto"/>
        </w:rPr>
      </w:pPr>
    </w:p>
    <w:p>
      <w:pPr>
        <w:ind w:left="24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net deferred tax assets are reduced by a valuation allowance if, based on all the available evidence, it is more likely than not that some or all of the deferred tax assets will not be realized. A valuation allowance of $6,873,000 and $11,704,000 was provided on deferred tax assets at December 31, 2004 and 2003, respectively. The amount of deferred tax assets considered realizable was determined based on (i) taxable income in prior carryback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193"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color w:val="auto"/>
        </w:rPr>
        <w:t>In evaluating future taxable income for valuation allowance purposes at December 31, 2004 and March 26, 2005, we concluded that it was only appropriate to consider income expected to be generated in 2005. While Cohu has had a long history of profitability, we incurred losses in each of the three years prior to 2004 and were in a three-year cumulative loss position entering 2004. Business conditions in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26, 2005</w:t>
      </w:r>
    </w:p>
    <w:p>
      <w:pPr>
        <w:spacing w:after="0" w:line="211" w:lineRule="exact"/>
        <w:rPr>
          <w:sz w:val="20"/>
          <w:szCs w:val="20"/>
          <w:color w:val="auto"/>
        </w:rPr>
      </w:pPr>
    </w:p>
    <w:p>
      <w:pPr>
        <w:ind w:left="240" w:right="140"/>
        <w:spacing w:after="0" w:line="254" w:lineRule="auto"/>
        <w:rPr>
          <w:sz w:val="20"/>
          <w:szCs w:val="20"/>
          <w:color w:val="auto"/>
        </w:rPr>
      </w:pPr>
      <w:r>
        <w:rPr>
          <w:rFonts w:ascii="Arial" w:cs="Arial" w:eastAsia="Arial" w:hAnsi="Arial"/>
          <w:sz w:val="18"/>
          <w:szCs w:val="18"/>
          <w:color w:val="auto"/>
        </w:rPr>
        <w:t>semiconductor equipment industry improved during the first half of 2004 and our operating results benefited from these improved conditions. However, the industry weakened considerably in the last six months of 2004 and the near-term outlook is uncertain. Anticipating income for Cohu beyond 2005 involves substantial risk and a reliable forecast of such income was not possible and, as a result, we believe such income could not be relied upon to support deferred tax assets under the more likely than not realization requirement in SFAS No. 109. In 2005, we will continue to assess the assumptions used to calculate the valuation allowance at December 31, 2004. We may be required to adjust the allowance, if, based on estimates of future income, we conclude that all or a portion of the valuation allowance is no longer warranted. A reduction in the valuation allowance would result in a corresponding credit to income tax expense in the period the allowance is reduced. Conversely, an increase in the valuation allowance would increase income tax expense.</w:t>
      </w:r>
    </w:p>
    <w:p>
      <w:pPr>
        <w:spacing w:after="0" w:line="188"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Investments and Other Intangible Assets</w:t>
      </w:r>
    </w:p>
    <w:p>
      <w:pPr>
        <w:spacing w:after="0" w:line="229" w:lineRule="exact"/>
        <w:rPr>
          <w:rFonts w:ascii="Arial" w:cs="Arial" w:eastAsia="Arial" w:hAnsi="Arial"/>
          <w:sz w:val="18"/>
          <w:szCs w:val="18"/>
          <w:b w:val="1"/>
          <w:bCs w:val="1"/>
          <w:color w:val="auto"/>
        </w:rPr>
      </w:pPr>
    </w:p>
    <w:p>
      <w:pPr>
        <w:ind w:left="2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June 2001, the FASB issued Statement No. 142</w:t>
      </w:r>
      <w:r>
        <w:rPr>
          <w:rFonts w:ascii="Arial" w:cs="Arial" w:eastAsia="Arial" w:hAnsi="Arial"/>
          <w:sz w:val="18"/>
          <w:szCs w:val="18"/>
          <w:i w:val="1"/>
          <w:iCs w:val="1"/>
          <w:color w:val="auto"/>
        </w:rPr>
        <w:t>, Goodwill and Other Intangible Assets</w:t>
      </w:r>
      <w:r>
        <w:rPr>
          <w:rFonts w:ascii="Arial" w:cs="Arial" w:eastAsia="Arial" w:hAnsi="Arial"/>
          <w:sz w:val="18"/>
          <w:szCs w:val="18"/>
          <w:color w:val="auto"/>
        </w:rPr>
        <w:t>. Under Statement No. 142, goodwill and other intangible assets with indefinite useful lives are not amortized, but are reviewed annually for impairment or more frequently if impairment indicators arise. Separable intangible assets that have finite lives are amortized over their useful lives. Under Statement No. 142, goodwill and other intangible assets with indefinite useful lives resulting from acquisitions completed after June 30, 2001 are not amortized. At March 26, 2005, we had goodwill of $8.3 million that resulted from an acquisition completed in July 2001.</w:t>
      </w:r>
    </w:p>
    <w:p>
      <w:pPr>
        <w:spacing w:after="0" w:line="188" w:lineRule="exact"/>
        <w:rPr>
          <w:rFonts w:ascii="Arial" w:cs="Arial" w:eastAsia="Arial" w:hAnsi="Arial"/>
          <w:sz w:val="18"/>
          <w:szCs w:val="18"/>
          <w:b w:val="1"/>
          <w:bCs w:val="1"/>
          <w:color w:val="auto"/>
        </w:rPr>
      </w:pPr>
    </w:p>
    <w:p>
      <w:pPr>
        <w:ind w:lef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performed the required annual goodwill impairment test as of October 1, 2004. We did not recognize any goodwill impairment as a result of performing this annual test. A future decline in the fair value of our semiconductor equipment business may indicate goodwill impairment that could result in a charge to our future operating results.</w:t>
      </w:r>
    </w:p>
    <w:p>
      <w:pPr>
        <w:spacing w:after="0" w:line="181" w:lineRule="exact"/>
        <w:rPr>
          <w:rFonts w:ascii="Arial" w:cs="Arial" w:eastAsia="Arial" w:hAnsi="Arial"/>
          <w:sz w:val="18"/>
          <w:szCs w:val="18"/>
          <w:b w:val="1"/>
          <w:bCs w:val="1"/>
          <w:color w:val="auto"/>
        </w:rPr>
      </w:pPr>
    </w:p>
    <w:p>
      <w:pPr>
        <w:ind w:left="24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the fourth quarter of 2002, we entered into a $1.7 million license agreement for certain intellectual property and know-how from LiveTools Technology SA. We are amortizing the licensed intangible assets to expense over the three-year exclusive license period. Accumulated amortization at March 26, 2005 and December 31, 2004, was approximately $1.3 million and $1.2 million, respectively. Amortization expense was $138,000 in the three-month periods ended March 26, 2005 and March 31, 2004. The estimated remaining amortization expense in 2005 is $320,000.</w:t>
      </w:r>
    </w:p>
    <w:p>
      <w:pPr>
        <w:spacing w:after="0" w:line="150" w:lineRule="exact"/>
        <w:rPr>
          <w:rFonts w:ascii="Arial" w:cs="Arial" w:eastAsia="Arial" w:hAnsi="Arial"/>
          <w:sz w:val="18"/>
          <w:szCs w:val="18"/>
          <w:b w:val="1"/>
          <w:bCs w:val="1"/>
          <w:color w:val="auto"/>
        </w:rPr>
      </w:pPr>
    </w:p>
    <w:p>
      <w:pPr>
        <w:ind w:left="240" w:hanging="232"/>
        <w:spacing w:after="0"/>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229" w:lineRule="exact"/>
        <w:rPr>
          <w:rFonts w:ascii="Arial" w:cs="Arial" w:eastAsia="Arial" w:hAnsi="Arial"/>
          <w:sz w:val="18"/>
          <w:szCs w:val="18"/>
          <w:b w:val="1"/>
          <w:bCs w:val="1"/>
          <w:color w:val="auto"/>
        </w:rPr>
      </w:pPr>
    </w:p>
    <w:p>
      <w:pPr>
        <w:ind w:left="24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April 10, 2003 we announced that our Delta Design, Inc. subsidiary was relocating its Littleton, Massachusetts operation to its headquarters facility in Poway, California. The consolidation, which resulted in approximately 50 of the 65 employees being terminated, was substantially completed in March 2004. In the quarter ended March 31, 2004 we recorded charges to operations totaling $188,000 for severance and one-time termination benefits. These charges are included in cost of sales ($57,000), research and development ($58,000) and selling, general and administrative expense ($73,000). There were no additional charges to operations recorded during the first quarter of 2005. Cumulative charges to operations for severance and other exit costs for the period April 10, 2003 to March 26, 2005, were $1,062,000.</w:t>
      </w:r>
    </w:p>
    <w:p>
      <w:pPr>
        <w:spacing w:after="0" w:line="178"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color w:val="auto"/>
        </w:rPr>
        <w:t>We are currently attempting to sell our Littleton manufacturing facility which we believe has a current fair value in excess of the $3.4 million carrying value at March 26, 2005.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26, 2005</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reconciles amounts accrued and paid under the consolidation plan.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 26, 2005</w:t>
            </w:r>
          </w:p>
        </w:tc>
        <w:tc>
          <w:tcPr>
            <w:tcW w:w="1340" w:type="dxa"/>
            <w:vAlign w:val="bottom"/>
            <w:gridSpan w:val="6"/>
          </w:tcPr>
          <w:p>
            <w:pPr>
              <w:spacing w:after="0"/>
              <w:rPr>
                <w:sz w:val="20"/>
                <w:szCs w:val="20"/>
                <w:color w:val="auto"/>
              </w:rPr>
            </w:pPr>
            <w:r>
              <w:rPr>
                <w:rFonts w:ascii="Arial" w:cs="Arial" w:eastAsia="Arial" w:hAnsi="Arial"/>
                <w:sz w:val="14"/>
                <w:szCs w:val="14"/>
                <w:b w:val="1"/>
                <w:bCs w:val="1"/>
                <w:color w:val="auto"/>
              </w:rPr>
              <w:t>Severance and</w:t>
            </w: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Other exit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gridSpan w:val="6"/>
          </w:tcPr>
          <w:p>
            <w:pPr>
              <w:ind w:left="40"/>
              <w:spacing w:after="0"/>
              <w:rPr>
                <w:sz w:val="20"/>
                <w:szCs w:val="20"/>
                <w:color w:val="auto"/>
              </w:rPr>
            </w:pPr>
            <w:r>
              <w:rPr>
                <w:rFonts w:ascii="Arial" w:cs="Arial" w:eastAsia="Arial" w:hAnsi="Arial"/>
                <w:sz w:val="14"/>
                <w:szCs w:val="14"/>
                <w:b w:val="1"/>
                <w:bCs w:val="1"/>
                <w:color w:val="auto"/>
              </w:rPr>
              <w:t>other payroll</w:t>
            </w:r>
          </w:p>
        </w:tc>
        <w:tc>
          <w:tcPr>
            <w:tcW w:w="140" w:type="dxa"/>
            <w:vAlign w:val="bottom"/>
          </w:tcPr>
          <w:p>
            <w:pPr>
              <w:spacing w:after="0"/>
              <w:rPr>
                <w:sz w:val="15"/>
                <w:szCs w:val="15"/>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1"/>
              </w:rPr>
              <w:t>costs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January 1, 2005</w:t>
            </w:r>
          </w:p>
        </w:tc>
        <w:tc>
          <w:tcPr>
            <w:tcW w:w="3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285</w:t>
            </w: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Costs accrued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Liability at March 26, 2005</w:t>
            </w:r>
          </w:p>
        </w:tc>
        <w:tc>
          <w:tcPr>
            <w:tcW w:w="3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180" w:type="dxa"/>
            <w:vAlign w:val="bottom"/>
            <w:gridSpan w:val="2"/>
          </w:tcPr>
          <w:p>
            <w:pPr>
              <w:spacing w:after="0"/>
              <w:rPr>
                <w:sz w:val="20"/>
                <w:szCs w:val="20"/>
                <w:color w:val="auto"/>
              </w:rPr>
            </w:pPr>
            <w:r>
              <w:rPr>
                <w:rFonts w:ascii="Arial" w:cs="Arial" w:eastAsia="Arial" w:hAnsi="Arial"/>
                <w:sz w:val="14"/>
                <w:szCs w:val="14"/>
                <w:color w:val="auto"/>
              </w:rPr>
              <w:t>Three months ended March 31, 2004</w:t>
            </w:r>
          </w:p>
        </w:tc>
        <w:tc>
          <w:tcPr>
            <w:tcW w:w="60" w:type="dxa"/>
            <w:vAlign w:val="bottom"/>
          </w:tcPr>
          <w:p>
            <w:pPr>
              <w:spacing w:after="0"/>
              <w:rPr>
                <w:sz w:val="24"/>
                <w:szCs w:val="24"/>
                <w:color w:val="auto"/>
              </w:rPr>
            </w:pPr>
          </w:p>
        </w:tc>
        <w:tc>
          <w:tcPr>
            <w:tcW w:w="1280" w:type="dxa"/>
            <w:vAlign w:val="bottom"/>
            <w:gridSpan w:val="5"/>
          </w:tcPr>
          <w:p>
            <w:pPr>
              <w:spacing w:after="0"/>
              <w:rPr>
                <w:sz w:val="20"/>
                <w:szCs w:val="20"/>
                <w:color w:val="auto"/>
              </w:rPr>
            </w:pPr>
            <w:r>
              <w:rPr>
                <w:rFonts w:ascii="Arial" w:cs="Arial" w:eastAsia="Arial" w:hAnsi="Arial"/>
                <w:sz w:val="14"/>
                <w:szCs w:val="14"/>
                <w:color w:val="auto"/>
              </w:rPr>
              <w:t>Severance and</w:t>
            </w:r>
          </w:p>
        </w:tc>
        <w:tc>
          <w:tcPr>
            <w:tcW w:w="900" w:type="dxa"/>
            <w:vAlign w:val="bottom"/>
            <w:gridSpan w:val="3"/>
          </w:tcPr>
          <w:p>
            <w:pPr>
              <w:jc w:val="center"/>
              <w:ind w:right="240"/>
              <w:spacing w:after="0"/>
              <w:rPr>
                <w:sz w:val="20"/>
                <w:szCs w:val="20"/>
                <w:color w:val="auto"/>
              </w:rPr>
            </w:pPr>
            <w:r>
              <w:rPr>
                <w:rFonts w:ascii="Arial" w:cs="Arial" w:eastAsia="Arial" w:hAnsi="Arial"/>
                <w:sz w:val="14"/>
                <w:szCs w:val="14"/>
                <w:color w:val="auto"/>
                <w:w w:val="95"/>
              </w:rPr>
              <w:t>Other exit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4"/>
          </w:tcPr>
          <w:p>
            <w:pPr>
              <w:jc w:val="right"/>
              <w:ind w:right="500"/>
              <w:spacing w:after="0"/>
              <w:rPr>
                <w:sz w:val="20"/>
                <w:szCs w:val="20"/>
                <w:color w:val="auto"/>
              </w:rPr>
            </w:pPr>
            <w:r>
              <w:rPr>
                <w:rFonts w:ascii="Arial" w:cs="Arial" w:eastAsia="Arial" w:hAnsi="Arial"/>
                <w:sz w:val="14"/>
                <w:szCs w:val="14"/>
                <w:color w:val="auto"/>
                <w:w w:val="96"/>
              </w:rPr>
              <w:t>other payroll</w:t>
            </w:r>
          </w:p>
        </w:tc>
        <w:tc>
          <w:tcPr>
            <w:tcW w:w="140" w:type="dxa"/>
            <w:vAlign w:val="bottom"/>
          </w:tcPr>
          <w:p>
            <w:pPr>
              <w:spacing w:after="0"/>
              <w:rPr>
                <w:sz w:val="15"/>
                <w:szCs w:val="15"/>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costs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January 1, 2004</w:t>
            </w:r>
          </w:p>
        </w:tc>
        <w:tc>
          <w:tcPr>
            <w:tcW w:w="36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Costs accrued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Liability at March 31, 2004</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229" w:lineRule="exact"/>
        <w:rPr>
          <w:rFonts w:ascii="Arial" w:cs="Arial" w:eastAsia="Arial" w:hAnsi="Arial"/>
          <w:sz w:val="18"/>
          <w:szCs w:val="18"/>
          <w:b w:val="1"/>
          <w:bCs w:val="1"/>
          <w:color w:val="auto"/>
        </w:rPr>
      </w:pPr>
    </w:p>
    <w:p>
      <w:pPr>
        <w:ind w:left="24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January 13, 2003, we extended the term of a $9.2 million promissory note with TC Kearny Villa, L.P. (“TC”). The 8% non-recourse note was secured by a deed of trust on land and buildings in San Diego, California sold by Cohu to TC in April 2001. In February 2004, we entered into an agreement with TC whereby we released our beneficial interest in the property securing the note receivable in exchange for full payment of the note and $272,000 of accrued interest. We received net cash proceeds from TC totaling $9,250,000 on February 19, 2004. The interest received was recorded as income in the first fiscal quarter of 2004.</w:t>
      </w:r>
    </w:p>
    <w:p>
      <w:pPr>
        <w:spacing w:after="0" w:line="184" w:lineRule="exact"/>
        <w:rPr>
          <w:rFonts w:ascii="Arial" w:cs="Arial" w:eastAsia="Arial" w:hAnsi="Arial"/>
          <w:sz w:val="18"/>
          <w:szCs w:val="18"/>
          <w:b w:val="1"/>
          <w:bCs w:val="1"/>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29"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6"/>
          <w:szCs w:val="16"/>
          <w:color w:val="auto"/>
        </w:rPr>
        <w:t>Comprehensive income represents all non-owner changes in stockholders’ equity and consists of, on an after-tax basis where applicable, the following:</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4"/>
          </w:tcPr>
          <w:p>
            <w:pPr>
              <w:ind w:left="200"/>
              <w:spacing w:after="0"/>
              <w:rPr>
                <w:sz w:val="20"/>
                <w:szCs w:val="20"/>
                <w:color w:val="auto"/>
              </w:rPr>
            </w:pPr>
            <w:r>
              <w:rPr>
                <w:rFonts w:ascii="Arial" w:cs="Arial" w:eastAsia="Arial" w:hAnsi="Arial"/>
                <w:sz w:val="14"/>
                <w:szCs w:val="14"/>
                <w:b w:val="1"/>
                <w:bCs w:val="1"/>
                <w:color w:val="auto"/>
                <w:w w:val="94"/>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9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March 26, 2005</w:t>
            </w:r>
          </w:p>
        </w:tc>
        <w:tc>
          <w:tcPr>
            <w:tcW w:w="1200" w:type="dxa"/>
            <w:vAlign w:val="bottom"/>
            <w:gridSpan w:val="4"/>
          </w:tcPr>
          <w:p>
            <w:pPr>
              <w:ind w:left="180"/>
              <w:spacing w:after="0"/>
              <w:rPr>
                <w:sz w:val="20"/>
                <w:szCs w:val="20"/>
                <w:color w:val="auto"/>
              </w:rPr>
            </w:pPr>
            <w:r>
              <w:rPr>
                <w:rFonts w:ascii="Arial" w:cs="Arial" w:eastAsia="Arial" w:hAnsi="Arial"/>
                <w:sz w:val="14"/>
                <w:szCs w:val="14"/>
                <w:color w:val="auto"/>
              </w:rPr>
              <w:t>March 31, 2004</w:t>
            </w:r>
          </w:p>
        </w:tc>
      </w:tr>
      <w:tr>
        <w:trPr>
          <w:trHeight w:val="216"/>
        </w:trPr>
        <w:tc>
          <w:tcPr>
            <w:tcW w:w="20" w:type="dxa"/>
            <w:vAlign w:val="bottom"/>
          </w:tcPr>
          <w:p>
            <w:pPr>
              <w:spacing w:after="0"/>
              <w:rPr>
                <w:sz w:val="18"/>
                <w:szCs w:val="18"/>
                <w:color w:val="auto"/>
              </w:rPr>
            </w:pPr>
          </w:p>
        </w:tc>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6,531</w:t>
            </w:r>
          </w:p>
        </w:tc>
        <w:tc>
          <w:tcPr>
            <w:tcW w:w="64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2,098</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Change in unrealized gain (loss) on investments</w:t>
            </w:r>
          </w:p>
        </w:tc>
        <w:tc>
          <w:tcPr>
            <w:tcW w:w="3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40" w:right="60"/>
        <w:spacing w:after="0" w:line="277" w:lineRule="auto"/>
        <w:rPr>
          <w:sz w:val="20"/>
          <w:szCs w:val="20"/>
          <w:color w:val="auto"/>
        </w:rPr>
      </w:pPr>
      <w:r>
        <w:rPr>
          <w:rFonts w:ascii="Arial" w:cs="Arial" w:eastAsia="Arial" w:hAnsi="Arial"/>
          <w:sz w:val="18"/>
          <w:szCs w:val="18"/>
          <w:color w:val="auto"/>
        </w:rPr>
        <w:t>Accumulated other comprehensive loss totaled $280,000 and $160,000 at March 26, 2005 and December 31, 2004, respectively, and was attributed to after-tax unrealized losses and gains on investments.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26, 2005</w:t>
      </w:r>
    </w:p>
    <w:p>
      <w:pPr>
        <w:spacing w:after="0" w:line="207"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rFonts w:ascii="Arial" w:cs="Arial" w:eastAsia="Arial" w:hAnsi="Arial"/>
          <w:sz w:val="18"/>
          <w:szCs w:val="18"/>
          <w:b w:val="1"/>
          <w:bCs w:val="1"/>
          <w:color w:val="auto"/>
        </w:rPr>
      </w:pPr>
    </w:p>
    <w:p>
      <w:pPr>
        <w:ind w:left="24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summary of our significant accounts and balances by segment, reconciled to consolidated totals. Intersegment sales were not significant in any period.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9"/>
          </w:tcPr>
          <w:p>
            <w:pPr>
              <w:jc w:val="right"/>
              <w:ind w:right="660"/>
              <w:spacing w:after="0"/>
              <w:rPr>
                <w:sz w:val="20"/>
                <w:szCs w:val="20"/>
                <w:color w:val="auto"/>
              </w:rPr>
            </w:pPr>
            <w:r>
              <w:rPr>
                <w:rFonts w:ascii="Arial" w:cs="Arial" w:eastAsia="Arial" w:hAnsi="Arial"/>
                <w:sz w:val="14"/>
                <w:szCs w:val="14"/>
                <w:color w:val="auto"/>
              </w:rPr>
              <w:t>Three months ended</w:t>
            </w:r>
          </w:p>
        </w:tc>
      </w:tr>
      <w:tr>
        <w:trPr>
          <w:trHeight w:val="178"/>
        </w:trPr>
        <w:tc>
          <w:tcPr>
            <w:tcW w:w="8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March 26, 2005</w:t>
            </w:r>
          </w:p>
        </w:tc>
        <w:tc>
          <w:tcPr>
            <w:tcW w:w="80" w:type="dxa"/>
            <w:vAlign w:val="bottom"/>
          </w:tcPr>
          <w:p>
            <w:pPr>
              <w:spacing w:after="0"/>
              <w:rPr>
                <w:sz w:val="15"/>
                <w:szCs w:val="15"/>
                <w:color w:val="auto"/>
              </w:rPr>
            </w:pPr>
          </w:p>
        </w:tc>
        <w:tc>
          <w:tcPr>
            <w:tcW w:w="1240" w:type="dxa"/>
            <w:vAlign w:val="bottom"/>
            <w:gridSpan w:val="4"/>
          </w:tcPr>
          <w:p>
            <w:pPr>
              <w:ind w:left="220"/>
              <w:spacing w:after="0"/>
              <w:rPr>
                <w:sz w:val="20"/>
                <w:szCs w:val="20"/>
                <w:color w:val="auto"/>
              </w:rPr>
            </w:pPr>
            <w:r>
              <w:rPr>
                <w:rFonts w:ascii="Arial" w:cs="Arial" w:eastAsia="Arial" w:hAnsi="Arial"/>
                <w:sz w:val="14"/>
                <w:szCs w:val="14"/>
                <w:color w:val="auto"/>
              </w:rPr>
              <w:t>March 31, 2004</w:t>
            </w:r>
          </w:p>
        </w:tc>
      </w:tr>
      <w:tr>
        <w:trPr>
          <w:trHeight w:val="216"/>
        </w:trPr>
        <w:tc>
          <w:tcPr>
            <w:tcW w:w="20" w:type="dxa"/>
            <w:vAlign w:val="bottom"/>
          </w:tcPr>
          <w:p>
            <w:pPr>
              <w:spacing w:after="0"/>
              <w:rPr>
                <w:sz w:val="18"/>
                <w:szCs w:val="18"/>
                <w:color w:val="auto"/>
              </w:rPr>
            </w:pPr>
          </w:p>
        </w:tc>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340" w:type="dxa"/>
            <w:vAlign w:val="bottom"/>
            <w:gridSpan w:val="2"/>
          </w:tcPr>
          <w:p>
            <w:pPr>
              <w:ind w:left="22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37,250</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28,701</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4,602</w:t>
            </w: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Metal detection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1,933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consolidated net sales and net sales for reportable segments</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44,396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profit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5,885</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3,486</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Metal detection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(851)</w:t>
            </w: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Profit (loss) for reportable segments</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4,697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(756)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4,631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r>
      <w:tr>
        <w:trPr>
          <w:trHeight w:val="20"/>
        </w:trPr>
        <w:tc>
          <w:tcPr>
            <w:tcW w:w="8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6"/>
        </w:trPr>
        <w:tc>
          <w:tcPr>
            <w:tcW w:w="8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gridSpan w:val="6"/>
          </w:tcPr>
          <w:p>
            <w:pPr>
              <w:spacing w:after="0"/>
              <w:rPr>
                <w:sz w:val="20"/>
                <w:szCs w:val="20"/>
                <w:color w:val="auto"/>
              </w:rPr>
            </w:pPr>
            <w:r>
              <w:rPr>
                <w:rFonts w:ascii="Arial" w:cs="Arial" w:eastAsia="Arial" w:hAnsi="Arial"/>
                <w:sz w:val="14"/>
                <w:szCs w:val="14"/>
                <w:b w:val="1"/>
                <w:bCs w:val="1"/>
                <w:color w:val="auto"/>
              </w:rPr>
              <w:t>March 26, 2005</w:t>
            </w:r>
          </w:p>
        </w:tc>
        <w:tc>
          <w:tcPr>
            <w:tcW w:w="8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31, 2004</w:t>
            </w:r>
          </w:p>
        </w:tc>
      </w:tr>
      <w:tr>
        <w:trPr>
          <w:trHeight w:val="216"/>
        </w:trPr>
        <w:tc>
          <w:tcPr>
            <w:tcW w:w="20" w:type="dxa"/>
            <w:vAlign w:val="bottom"/>
          </w:tcPr>
          <w:p>
            <w:pPr>
              <w:spacing w:after="0"/>
              <w:rPr>
                <w:sz w:val="18"/>
                <w:szCs w:val="18"/>
                <w:color w:val="auto"/>
              </w:rPr>
            </w:pPr>
          </w:p>
        </w:tc>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90,551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93,489</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10,417</w:t>
            </w: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Metal detection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4,447</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9,199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10,039</w:t>
            </w:r>
          </w:p>
        </w:tc>
      </w:tr>
      <w:tr>
        <w:trPr>
          <w:trHeight w:val="223"/>
        </w:trPr>
        <w:tc>
          <w:tcPr>
            <w:tcW w:w="20" w:type="dxa"/>
            <w:vAlign w:val="bottom"/>
          </w:tcPr>
          <w:p>
            <w:pPr>
              <w:spacing w:after="0"/>
              <w:rPr>
                <w:sz w:val="19"/>
                <w:szCs w:val="19"/>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Total assets for reportable segments</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114,112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principally cash and investments and deferred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138,976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132,376</w:t>
            </w: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Total consolidated assets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253,088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rFonts w:ascii="Arial" w:cs="Arial" w:eastAsia="Arial" w:hAnsi="Arial"/>
          <w:sz w:val="18"/>
          <w:szCs w:val="18"/>
          <w:b w:val="1"/>
          <w:bCs w:val="1"/>
          <w:color w:val="auto"/>
        </w:rPr>
      </w:pPr>
    </w:p>
    <w:p>
      <w:pPr>
        <w:ind w:left="34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in various legal proceedings, lawsuits and claims that have arisen in the ordinary course of our businesses. Although the outcome of these legal proceedings and claims cannot be predicted with certainty, we do not believe any of these matters will have a material adverse effect on our financial position or results of our operations.</w:t>
      </w:r>
    </w:p>
    <w:p>
      <w:pPr>
        <w:spacing w:after="0" w:line="177" w:lineRule="exact"/>
        <w:rPr>
          <w:rFonts w:ascii="Arial" w:cs="Arial" w:eastAsia="Arial" w:hAnsi="Arial"/>
          <w:sz w:val="18"/>
          <w:szCs w:val="18"/>
          <w:b w:val="1"/>
          <w:bCs w:val="1"/>
          <w:color w:val="auto"/>
        </w:rPr>
      </w:pPr>
    </w:p>
    <w:p>
      <w:pPr>
        <w:ind w:left="320" w:hanging="312"/>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left="320" w:right="160"/>
        <w:spacing w:after="0" w:line="277" w:lineRule="auto"/>
        <w:rPr>
          <w:sz w:val="20"/>
          <w:szCs w:val="20"/>
          <w:color w:val="auto"/>
        </w:rPr>
      </w:pPr>
      <w:r>
        <w:rPr>
          <w:rFonts w:ascii="Arial" w:cs="Arial" w:eastAsia="Arial" w:hAnsi="Arial"/>
          <w:sz w:val="18"/>
          <w:szCs w:val="18"/>
          <w:color w:val="auto"/>
        </w:rPr>
        <w:t>Our products are generally sold with a 12-month to 24-month warranty period following sale or installation. Parts and labor are covered under the terms of the warranty agreement. The warranty provision is based on historical experience by product and configuration.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26, 2005</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Changes in accrued warranty during the first fiscal quarter of 2005 and 2004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10"/>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4,209</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w:t>
            </w:r>
          </w:p>
        </w:tc>
      </w:tr>
      <w:tr>
        <w:trPr>
          <w:trHeight w:val="216"/>
        </w:trPr>
        <w:tc>
          <w:tcPr>
            <w:tcW w:w="9500" w:type="dxa"/>
            <w:vAlign w:val="bottom"/>
          </w:tcPr>
          <w:p>
            <w:pPr>
              <w:ind w:left="220"/>
              <w:spacing w:after="0"/>
              <w:rPr>
                <w:sz w:val="20"/>
                <w:szCs w:val="20"/>
                <w:color w:val="auto"/>
              </w:rPr>
            </w:pPr>
            <w:r>
              <w:rPr>
                <w:rFonts w:ascii="Arial" w:cs="Arial" w:eastAsia="Arial" w:hAnsi="Arial"/>
                <w:sz w:val="18"/>
                <w:szCs w:val="18"/>
                <w:color w:val="auto"/>
              </w:rPr>
              <w:t>Warranty expense accruals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r>
      <w:tr>
        <w:trPr>
          <w:trHeight w:val="216"/>
        </w:trPr>
        <w:tc>
          <w:tcPr>
            <w:tcW w:w="9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Warranty payments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(1,255)</w:t>
            </w:r>
          </w:p>
        </w:tc>
      </w:tr>
      <w:tr>
        <w:trPr>
          <w:trHeight w:val="223"/>
        </w:trPr>
        <w:tc>
          <w:tcPr>
            <w:tcW w:w="95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r>
      <w:tr>
        <w:trPr>
          <w:trHeight w:val="20"/>
        </w:trPr>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40" w:right="40"/>
        <w:spacing w:after="0" w:line="257" w:lineRule="auto"/>
        <w:rPr>
          <w:sz w:val="20"/>
          <w:szCs w:val="20"/>
          <w:color w:val="auto"/>
        </w:rPr>
      </w:pPr>
      <w:r>
        <w:rPr>
          <w:rFonts w:ascii="Arial" w:cs="Arial" w:eastAsia="Arial" w:hAnsi="Arial"/>
          <w:sz w:val="18"/>
          <w:szCs w:val="18"/>
          <w:color w:val="auto"/>
        </w:rPr>
        <w:t>During the ordinary course of business, from time-to-time we provide standby letters of credit to certain parties. As of March 26, 2005, the maximum potential amount of future payments that Cohu could be required to make under these standby letters of credit is approximately $2.5 million. We have not recorded any liability in connection with these guarantee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8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rFonts w:ascii="Arial" w:cs="Arial" w:eastAsia="Arial" w:hAnsi="Arial"/>
          <w:sz w:val="18"/>
          <w:szCs w:val="18"/>
          <w:b w:val="1"/>
          <w:bCs w:val="1"/>
          <w:color w:val="auto"/>
        </w:rPr>
      </w:pPr>
    </w:p>
    <w:p>
      <w:pPr>
        <w:ind w:left="3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April 15, 2005, Delta Design, Inc. entered into an asset purchase agreement and agreed to purchase certain assets including inventory, intellectual property, customer orders and contracts. The purchase price for these assets is approximately $4.0 million. Consummation of the transaction is subject to approval by the seller’s stockholders.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26, 2005</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industries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below under the caption “Trends, Risks and Uncertainties” beginning on page 20.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Quarterly Report.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business activity involves the development, manufacture, marketing, sale and servicing of test handling equipment for the global semiconductor industry. The sales of our products and services are dependent, to a large degree, on customers in industries which are subject to cyclical trends in the demand for their products. Shifts in the semiconductor market, electronics and computer industries and telecommunications markets, as well as rapidly shifting global economic conditions, have had and will have significant impacts on our businesses. During the three-year period ended December 31, 2003, the semiconductor equipment industry experienced a severe business downturn. Our net sales during this period declined more than 50% from our record year in 2000. This decrease in revenue was generally comparable to most other companies in the semiconductor equipment industry, particularly the “back-end” semiconductor equipment companies that would be considered the closest to us in terms of business cycles.</w:t>
      </w:r>
    </w:p>
    <w:p>
      <w:pPr>
        <w:spacing w:after="0" w:line="12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the first six months of 2004, Cohu’s semiconductor equipment business, as well as the semiconductor equipment industry generally, saw significantly improved order bookings and backlog, an indication that the severe three-year industry downturn had possibly ended. Additionally, our operating results improved during the period in part due to improved sales product mix resulting in a higher gross margin. However, our orders declined in the second half of 2004 and business conditions in the semiconductor equipment industry appear to have weakened. In the three months ended March 26, 2005, our semiconductor equipment business saw a steady level of order bookings and our sales in the first three months of 2005 increased from the fourth quarter of 2004. Our operating results also improved during the first quarter of 2005 in part due to continued favorable product mix.</w:t>
      </w:r>
    </w:p>
    <w:p>
      <w:pPr>
        <w:spacing w:after="0" w:line="12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operating results in the last three years have been negatively impacted by charges to cost of sales related to excess, obsolete and lower of cost or market inventory issues. These charges totaled approximately $14.4 million during the three-year period ended December 31, 2004 (approximately $5.8 million for the year ended December 31, 2004) and were primarily the result of decreases in customer forecasts, competitive conditions in the test handler industry and, to a lesser extent, changes in our sales product mix as a result of new product introductions. Exposures related to inventories are common in the semiconductor equipment industry due to the narrow customer base, the custom nature of the products and inventory and the shortened product life cycles caused by rapid changes in semiconductor manufacturing technology. Increased competition, particularly in recent years, has also negatively impacted our gross margins on certain products, and we believe it is likely these conditions will continue for the foreseeable future.</w:t>
      </w:r>
    </w:p>
    <w:p>
      <w:pPr>
        <w:spacing w:after="0" w:line="14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other operating costs consist of research and development (“R&amp;D”) and selling, general and administrative expenses (“SG&amp;A”). Both R&amp;D and SG&amp;A expense increased in 2004, due to increased business volume and investment in development programs.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26, 2005</w:t>
      </w:r>
    </w:p>
    <w:p>
      <w:pPr>
        <w:spacing w:after="0" w:line="18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non-semiconductor equipment businesses, in total, have comprised approximately 20% of our revenues during the last three years. During 2004, we saw improved results in our television camera and metal detection businesses. The results of our microwave communications business were negatively impacted by revenue deferrals associated with a contract with the United Arab Emirates.</w:t>
      </w:r>
    </w:p>
    <w:p>
      <w:pPr>
        <w:spacing w:after="0" w:line="14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financial condition is very strong with significant cash and short-term investments and no long-term debt. During the three-year period ended December 31, 2004, we generated $19.6 million of net cash from operating activities and total cash and investments have increased from $93.5 million at March 31, 2002 to $121.1 million at March 26, 2005.</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Management uses several performance metrics to manage our various businesses. These metrics, which tend to focus on near-term forecasts due to limited order backlog in our businesses, include:</w:t>
      </w:r>
    </w:p>
    <w:p>
      <w:pPr>
        <w:spacing w:after="0" w:line="170"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order bookings and backlog for the most recently completed quarter and our forecast for the next quarter;</w:t>
      </w:r>
    </w:p>
    <w:p>
      <w:pPr>
        <w:spacing w:after="0" w:line="225" w:lineRule="exact"/>
        <w:rPr>
          <w:rFonts w:ascii="Arial" w:cs="Arial" w:eastAsia="Arial" w:hAnsi="Arial"/>
          <w:sz w:val="18"/>
          <w:szCs w:val="18"/>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inventory levels and related excess exposures typically based on the next twelve month’s forecast;</w:t>
      </w:r>
    </w:p>
    <w:p>
      <w:pPr>
        <w:spacing w:after="0" w:line="225" w:lineRule="exact"/>
        <w:rPr>
          <w:rFonts w:ascii="Arial" w:cs="Arial" w:eastAsia="Arial" w:hAnsi="Arial"/>
          <w:sz w:val="18"/>
          <w:szCs w:val="18"/>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margin and other operating expense trends; and</w:t>
      </w:r>
    </w:p>
    <w:p>
      <w:pPr>
        <w:spacing w:after="0" w:line="225" w:lineRule="exact"/>
        <w:rPr>
          <w:rFonts w:ascii="Arial" w:cs="Arial" w:eastAsia="Arial" w:hAnsi="Arial"/>
          <w:sz w:val="18"/>
          <w:szCs w:val="18"/>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data and trends noted in various publicly released sources.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Due to the short-term nature of our order backlog, historically representing about three months of business, and the inherent volatility of the semiconductor equipment business, our past performance is frequently not indicative of future operating results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bad debts, inventories, intangible assets, income taxes, warranty obligations and contingencies and litigation. We base our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We believe the following critical accounting policies, that are more fully described in our Consolidated Financial Statements included in our Annual Report on Form 10-K for the year ended December 31, 2004 filed with the Securities and Exchange Commission, affect the significant judgments and estimates used in the preparation of our consolidated financial statements.</w:t>
      </w:r>
    </w:p>
    <w:p>
      <w:pPr>
        <w:spacing w:after="0" w:line="12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We generally recognize revenue upon shipment and title passage for established products (i.e., those that have previously satisfied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Revenue is recorded net of estimated prompt payment discounts, which are recognized as a reduction of revenue at the time of sale.</w:t>
      </w:r>
    </w:p>
    <w:p>
      <w:pPr>
        <w:spacing w:after="0" w:line="14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 resulting in an impairment of their ability to make payments, additional allowances may be required.</w:t>
      </w:r>
    </w:p>
    <w:p>
      <w:pPr>
        <w:spacing w:after="0" w:line="14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provide for the estimated costs of product warranties in the period sales are recognized. Our warranty obligation estimates are affected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product shipment levels, product performance and material and labor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26, 2005</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costs incurred in correcting product performance problems. Should product performance, material usage or labor repair costs differ from our estimates, revisions to the estimated warranty liability would be required.</w:t>
      </w:r>
    </w:p>
    <w:p>
      <w:pPr>
        <w:spacing w:after="0" w:line="130"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We record valuation reserves on our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or more favorable than those projected by management or if continued modifications to products are required to meet specifications or other customer requirements, changes to inventory reserves may be required.</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estimate income taxes based on the various jurisdictions where we conduct business. This requires us to estimate our current tax exposure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a valuation allowance or increasing this allowance in an accounting period results in tax expense in the statement of operations. We must make significant judgments to determine the provision for income taxes, deferred tax assets and liabilities and any valuation allowance to be recorded against net deferred tax assets. Our gross deferred tax asset balance as of December 31, 2004 was $22.4 million, net of a valuation allowance of $6.9 million. We recorded the valuation allowance in the fourth quarters of 2002 and 2003 as a result of our recent losses and to reflect uncertainties concerning our ability to generate future taxable income and our corresponding ability to utilize our deferred tax assets. The deferred tax assets consist primarily of deductible temporary differences, tax credit and net operating loss carryforwards. In 2005, we will continue to assess the assumptions used to calculate the valuation allowance at December 31, 2004. The Company may be required to adjust the allowance, if, based on estimates of future income, the Company concludes that all or a portion of the valuation allowance is no longer warranted.</w:t>
      </w:r>
    </w:p>
    <w:p>
      <w:pPr>
        <w:spacing w:after="0" w:line="15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 xml:space="preserve">Intangible Assets: </w:t>
      </w:r>
      <w:r>
        <w:rPr>
          <w:rFonts w:ascii="Arial" w:cs="Arial" w:eastAsia="Arial" w:hAnsi="Arial"/>
          <w:sz w:val="17"/>
          <w:szCs w:val="17"/>
          <w:color w:val="auto"/>
        </w:rPr>
        <w:t>At March 26, 2005, intangible assets other than goodwill were evaluated for impairment using undiscounted cash flows expected to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the use of the assets as required by FASB Statement No. 144 and we concluded there was no impairment loss. We are required to assess goodwill impairment using the methodology prescribed by FASB Statement No. 142. Statement No. 142 requires that goodwill be tested for impairment on an annual basis and more frequently in certain circumstances. The required annual goodwill impairment test is performed as of October 1 of each year. We did not recognize any goodwill impairment as a result of performing this annual test in 2004.</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we assess the likelihood that future events will confirm the existence of a loss or an impairment of an asset. If a loss or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is probable, as defined in Statement No. 5 and the amount of the loss or impairment is reasonably estimable, we accrue a charge to operations in the period such conditions become known.</w:t>
      </w:r>
    </w:p>
    <w:p>
      <w:pPr>
        <w:spacing w:after="0" w:line="1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In December 2004, the FASB issued Statement No. 123 (Revised 2004)</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Share-Based Payment</w:t>
      </w:r>
      <w:r>
        <w:rPr>
          <w:rFonts w:ascii="Arial" w:cs="Arial" w:eastAsia="Arial" w:hAnsi="Arial"/>
          <w:sz w:val="18"/>
          <w:szCs w:val="18"/>
          <w:color w:val="auto"/>
        </w:rPr>
        <w:t>. Statement No. 123R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addresses all forms of share-based payment awards, including shares issued under employee stock purchase plans, stock options, restricted stock and stock appreciation rights. Statement No. 123R will require that we expense share-based payment awards with compensation cost for share-based payment transactions measured at fair value. Statement No. 123R requires us to adopt the new accounting provisions beginning in our third quarter of 2005. However, on April 14, 2005, the Securities and Exchange Commission announced the adoption of a new rule that amends the compliance date of Statement No. 123R until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26, 2005</w:t>
      </w:r>
    </w:p>
    <w:p>
      <w:pPr>
        <w:spacing w:after="0" w:line="1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beginning of the next fiscal year that begins on or after June 15, 2005. The adoption of this statement is expected to have a material impact on our consolidated results of operations and earnings per share.</w:t>
      </w:r>
    </w:p>
    <w:p>
      <w:pPr>
        <w:spacing w:after="0" w:line="13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In November 2004, the FASB issued Statement No. 151, </w:t>
      </w:r>
      <w:r>
        <w:rPr>
          <w:rFonts w:ascii="Arial" w:cs="Arial" w:eastAsia="Arial" w:hAnsi="Arial"/>
          <w:sz w:val="16"/>
          <w:szCs w:val="16"/>
          <w:i w:val="1"/>
          <w:iCs w:val="1"/>
          <w:color w:val="auto"/>
        </w:rPr>
        <w:t>Inventory Costs</w:t>
      </w:r>
      <w:r>
        <w:rPr>
          <w:rFonts w:ascii="Arial" w:cs="Arial" w:eastAsia="Arial" w:hAnsi="Arial"/>
          <w:sz w:val="16"/>
          <w:szCs w:val="16"/>
          <w:color w:val="auto"/>
        </w:rPr>
        <w:t>, an amendment of ARB No. 43, which is the result of its efforts to converge U.S. accounting standards for inventories with International Accounting Standards. Statement No. 151 requires idle facility expenses, freight, handling costs, and wasted material (spoilage) costs to be recognized as current-period charges. It also requires that the allocation of fixed production overheads to the costs of conversion be based on the normal capacity of the production facilities. Statement No. 151 will be effective for inventory costs incurred during fiscal years beginning after June 15, 2005. We are currently evaluating the impact of Statement No. 151 on our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operating data as a percentage of net sales for the three-month periods ended March 26, 2005 and March 31, 2004.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4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112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2005</w:t>
            </w:r>
          </w:p>
        </w:tc>
        <w:tc>
          <w:tcPr>
            <w:tcW w:w="9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2004</w:t>
            </w: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Cost of sales</w:t>
            </w: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(59.6)</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(58.5)</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20" w:type="dxa"/>
            <w:vAlign w:val="bottom"/>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40.4</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41.5</w:t>
            </w: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120" w:type="dxa"/>
            <w:vAlign w:val="bottom"/>
          </w:tcPr>
          <w:p>
            <w:pPr>
              <w:jc w:val="right"/>
              <w:ind w:right="294"/>
              <w:spacing w:after="0"/>
              <w:rPr>
                <w:sz w:val="20"/>
                <w:szCs w:val="20"/>
                <w:color w:val="auto"/>
              </w:rPr>
            </w:pPr>
            <w:r>
              <w:rPr>
                <w:rFonts w:ascii="Arial" w:cs="Arial" w:eastAsia="Arial" w:hAnsi="Arial"/>
                <w:sz w:val="18"/>
                <w:szCs w:val="18"/>
                <w:b w:val="1"/>
                <w:bCs w:val="1"/>
                <w:color w:val="auto"/>
              </w:rPr>
              <w:t>(15.0)</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12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b w:val="1"/>
                <w:bCs w:val="1"/>
                <w:color w:val="auto"/>
              </w:rPr>
              <w:t>(16.5)</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r>
      <w:tr>
        <w:trPr>
          <w:trHeight w:val="223"/>
        </w:trPr>
        <w:tc>
          <w:tcPr>
            <w:tcW w:w="93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8.9%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2005 Compared to First Quarter 2004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February 1, 2005, our Board of Directors approved a change in our fiscal year from December 31, to a 52-53 week fiscal year ending on the last Saturday of December. As a result, the first fiscal quarter of 2005 contained 12 weeks, whereas the first fiscal quarter of 2004 contained 13 weeks.</w:t>
      </w:r>
    </w:p>
    <w:p>
      <w:pPr>
        <w:spacing w:after="0" w:line="10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net sales increased 23.5% to $44.4 million in 2005, compared to net sales of $35.9 million in 2004. In 2005, sales of semiconductor test handling equipment increased 29.8% from the 2004 period and accounted for 83.9% of consolidated net sales, versus 79.9% in 2004. Sales of television cameras and other equipment accounted for 8.5% of net sales in 2005 and decreased 17.7% when compared to 2004, while the combined sales of metal detection and microwave equipment accounted for 7.6% of net sales in 2005 and increased 27.5% compared to 2004.</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primary reason for the increase in sales of our semiconductor equipment was strong customer demand for our thermal semiconductor test handlers during the first three months of 2005. The decrease in sales experienced by our television camera business was primarily attributable a decline in customer demand for our closed circuit cameras during the first three months of 2005. The increase in sales of our metal detection business was primarily attributable to sales of our recently introduced portable metal detection equipment.</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March 26, 2005, we had total deferred revenue of approximately $22.9 million and deferred profit of $9.7 million. At December 31, 2004, we had total deferred revenue of approximately $22.5 million and deferred profit of $9.7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26,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8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Gross margin as a percentage of net sales decreased to 40.4% in 2005 from 41.5% in 2004. While decreasing slightly from the comparable prior period, margins remained relatively high during the first quarter of 2005 as a result of continued favorable product mix in our semiconductor equipment business. In 2003, we recorded a charge to cost of sales of approximately $1.7 million as a result of inventory market valuation writedowns. In the quarter ended March 31, 2004, we sold certain of this inventory and our gross margin was favorably impacted by approximately $700,000. There were no sales of this inventory during the first quarter of 2005 which is a primary cause of the higher gross margin during the first three months of 2004.</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compute the majority of our excess and obsolete inventory reserve requirements using a one-year inventory usage forecast. During the first fiscal quarter of 2005 and 2004, we recorded charges to cost of sales of approximately $1.2 million and $1.3 million, respectively, for excess and obsolete inventory. While we believe our reserves for excess and obsolete inventory are adequate to cover our exposures at March 26, 2005, reductions in customer forecasts or continued modifications to products, including our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handler, may require additional charges to operations that could negatively impact our gross margin in future periods. Conversely, if our actual inventory usage is greater than our forecasted usage, our gross margin may be favorably impacted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R&amp;D expense as a percentage of net sales decreased to 15.0% in 2005, from 17.2% in 2004, increasing in absolute dollars from $6.2 million in 2004 to</w:t>
      </w:r>
    </w:p>
    <w:p>
      <w:pPr>
        <w:spacing w:after="0" w:line="35"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$6.7 million in 2005. The increase in R&amp;D was primarily the result of higher R&amp;D labor and material costs for product development in the semiconductor equipment and microwave communications businesses, offset by decreases in expenses in the television camera and metal detection businesses.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SG&amp;A expense as a percentage of net sales decreased to 16.5% in 2005, from 19.1% in 2004, increasing in absolute dollars from $6.9 million in 2004 to $7.3 million in 2005. The increase in SG&amp;A expense was primarily related to an overall increase in business volume.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income was $0.7 million and $0.6 million in 2005 and 2004, respectively. The increase in interest income resulted from an increase in our average investment balance and an increase in interest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income tax provision (benefit) included in the statements of income for the three months ended March 26, 2005 and March 31, 2004, is based on the estimated annual effective tax rate for the entire year. These estimated effective tax rates are subject to adjustment in subsequent quarterly periods as the Company’s estimates of pretax income or loss for the year are increased or decreased. The effective tax rate for the three months ended March 26, 2005 is less than the U.S. federal statutory rate due to research and development tax credits, export sales benefits and the recently enacted domestic manufacturing activities deduction. In March 2005, the Internal Revenue Service completed a routine examination of Cohu’s consolidated tax returns for the period 2000 through 2002. The examination resulted in no assessment related to the Company’s tax returns as filed. Consequently, approximately $3.0 million of accrued taxes related to the examined years were reversed with a corresponding credit to income tax expense in the quarter ended March 26, 2005.</w:t>
      </w:r>
    </w:p>
    <w:p>
      <w:pPr>
        <w:spacing w:after="0" w:line="12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In accordance with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net deferred tax assets are reduced by a valuation allowance if, based on all the available evidence, it is more likely than not that some or all of the deferred tax assets will not be realized. A valuation allowance of $6,873,000 and $11,704,000 was provided on deferred tax assets at December 31, 2004 and 2003, respectively. The amount of deferred tax assets considered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26, 2005</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realizable was determined based on (i) taxable income in prior carryback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14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evaluating future taxable income for valuation allowance purposes at December 31, 2004 and March 26, 2005, the Company concluded that it was only appropriate to consider income expected to be generated in 2005. While Cohu has had a long history of profitability, we incurred losses in each of the three years prior to 2004 and were in a three-year cumulative loss position entering 2004. Business conditions in the semiconductor equipment industry improved during the first half of 2004 and our operating results benefited from these improved conditions. However, the industry weakened considerably in the last six months of 2004 and the near-term outlook is uncertain. Anticipating income for Cohu beyond 2005 involves substantial risk and a reliable forecast of such income was not possible and, as a result, the Company believed such income could not be relied upon to support deferred tax assets under the more likely than not realization requirement in SFAS No. 109. In 2005, we will continue to assess the assumptions used to calculate the valuation allowance at December 31, 2004. The Company may be required to adjust the allowance, if, based on estimates of future income, the Company concludes that all or a portion of the valuation allowance is no longer warranted. A reduction in the valuation allowance would result in a corresponding credit to income tax expense in the period the allowance is reduced. Conversely, an increase in the valuation allowance would increase income tax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 2003, our Broadcast Microwave Services (BMS) subsidiary was awarded an $8.5 million contract from the United Arab Emirates (UAE) Armed Services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provide microwave communications equipment for a command center and infrastructure system for border security. The contract, which utilizes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advanced microwave communications technology that has not previously been installed in an application of this size and complexity, requires that 40%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contract price be paid after the system has been fully accepted by the customer. As a result of these factors and the inability to make reasonably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dependable estimates of progress toward completion and acceptance, we will recognize revenue and related costs under this contract in the period the system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accepted by the customer. Through March 26, 2005, we had shipped inventory with a sales value of $8.1 million and deferred costs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$5.8 million resulting in deferred profit of approximately $2.3 million under the contract. In addition, at March 26, 2005, we had inventory to be delivered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the contract of approximately $0.3 million and accounts receivable of approximately $3.3 million. We have also provided the customer with a standby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letter of credit totaling approximately $2.5 million at March 26, 2005, that may be drawn upon if BMS does not fulfill the terms of the contract. If BMS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unable to successfully complete the installation of the equipment and obtain customer acceptance of the system, the related inventory and receivables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need to be written off, the customer might seek a refund of the $4.8 million in payments made to BMS under the contract and our business, results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financial condition would be materially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income was $6.5 million in 2005, compared to net income of $2.1 million in 2004.</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26,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primary historical source of liquidity and capital resources is cash flow generated by our operations. While we maintain a credit facility, we have not used this as a source of cash. We use cash to fund growth in our operating assets, including accounts receivable and inventory, and to fund new products and product enhancements primarily through research and development.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investments and working capital:</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020" w:type="dxa"/>
            <w:vAlign w:val="bottom"/>
          </w:tcPr>
          <w:p>
            <w:pPr>
              <w:jc w:val="right"/>
              <w:ind w:right="179"/>
              <w:spacing w:after="0"/>
              <w:rPr>
                <w:sz w:val="20"/>
                <w:szCs w:val="20"/>
                <w:color w:val="auto"/>
              </w:rPr>
            </w:pPr>
            <w:r>
              <w:rPr>
                <w:rFonts w:ascii="Arial" w:cs="Arial" w:eastAsia="Arial" w:hAnsi="Arial"/>
                <w:sz w:val="14"/>
                <w:szCs w:val="14"/>
                <w:b w:val="1"/>
                <w:bCs w:val="1"/>
                <w:color w:val="auto"/>
              </w:rPr>
              <w:t>March 26,</w:t>
            </w:r>
          </w:p>
        </w:tc>
        <w:tc>
          <w:tcPr>
            <w:tcW w:w="1260" w:type="dxa"/>
            <w:vAlign w:val="bottom"/>
          </w:tcPr>
          <w:p>
            <w:pPr>
              <w:jc w:val="right"/>
              <w:ind w:right="139"/>
              <w:spacing w:after="0"/>
              <w:rPr>
                <w:sz w:val="20"/>
                <w:szCs w:val="20"/>
                <w:color w:val="auto"/>
              </w:rPr>
            </w:pPr>
            <w:r>
              <w:rPr>
                <w:rFonts w:ascii="Arial" w:cs="Arial" w:eastAsia="Arial" w:hAnsi="Arial"/>
                <w:sz w:val="14"/>
                <w:szCs w:val="14"/>
                <w:color w:val="auto"/>
              </w:rPr>
              <w:t>December 31,</w:t>
            </w:r>
          </w:p>
        </w:tc>
        <w:tc>
          <w:tcPr>
            <w:tcW w:w="1140" w:type="dxa"/>
            <w:vAlign w:val="bottom"/>
          </w:tcPr>
          <w:p>
            <w:pPr>
              <w:spacing w:after="0"/>
              <w:rPr>
                <w:sz w:val="14"/>
                <w:szCs w:val="14"/>
                <w:color w:val="auto"/>
              </w:rPr>
            </w:pPr>
          </w:p>
        </w:tc>
        <w:tc>
          <w:tcPr>
            <w:tcW w:w="1040" w:type="dxa"/>
            <w:vAlign w:val="bottom"/>
          </w:tcPr>
          <w:p>
            <w:pPr>
              <w:jc w:val="right"/>
              <w:ind w:right="99"/>
              <w:spacing w:after="0"/>
              <w:rPr>
                <w:sz w:val="20"/>
                <w:szCs w:val="20"/>
                <w:color w:val="auto"/>
              </w:rPr>
            </w:pPr>
            <w:r>
              <w:rPr>
                <w:rFonts w:ascii="Arial" w:cs="Arial" w:eastAsia="Arial" w:hAnsi="Arial"/>
                <w:sz w:val="14"/>
                <w:szCs w:val="14"/>
                <w:color w:val="auto"/>
              </w:rPr>
              <w:t>Percentage</w:t>
            </w:r>
          </w:p>
        </w:tc>
      </w:tr>
      <w:tr>
        <w:trPr>
          <w:trHeight w:val="171"/>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3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2005</w:t>
            </w: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2004</w:t>
            </w: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Increase</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Change</w:t>
            </w:r>
          </w:p>
        </w:tc>
      </w:tr>
      <w:tr>
        <w:trPr>
          <w:trHeight w:val="205"/>
        </w:trPr>
        <w:tc>
          <w:tcPr>
            <w:tcW w:w="4960" w:type="dxa"/>
            <w:vAlign w:val="bottom"/>
          </w:tcPr>
          <w:p>
            <w:pPr>
              <w:spacing w:after="0" w:line="205" w:lineRule="exact"/>
              <w:rPr>
                <w:sz w:val="20"/>
                <w:szCs w:val="20"/>
                <w:color w:val="auto"/>
              </w:rPr>
            </w:pPr>
            <w:r>
              <w:rPr>
                <w:rFonts w:ascii="Arial" w:cs="Arial" w:eastAsia="Arial" w:hAnsi="Arial"/>
                <w:sz w:val="18"/>
                <w:szCs w:val="18"/>
                <w:color w:val="auto"/>
              </w:rPr>
              <w:t>Cash, cash equivalents and investments</w:t>
            </w:r>
          </w:p>
        </w:tc>
        <w:tc>
          <w:tcPr>
            <w:tcW w:w="3020" w:type="dxa"/>
            <w:vAlign w:val="bottom"/>
          </w:tcPr>
          <w:p>
            <w:pPr>
              <w:jc w:val="right"/>
              <w:ind w:right="139"/>
              <w:spacing w:after="0" w:line="205" w:lineRule="exact"/>
              <w:rPr>
                <w:sz w:val="20"/>
                <w:szCs w:val="20"/>
                <w:color w:val="auto"/>
              </w:rPr>
            </w:pPr>
            <w:r>
              <w:rPr>
                <w:rFonts w:ascii="Arial" w:cs="Arial" w:eastAsia="Arial" w:hAnsi="Arial"/>
                <w:sz w:val="18"/>
                <w:szCs w:val="18"/>
                <w:b w:val="1"/>
                <w:bCs w:val="1"/>
                <w:color w:val="auto"/>
              </w:rPr>
              <w:t>$ 121,096</w:t>
            </w:r>
          </w:p>
        </w:tc>
        <w:tc>
          <w:tcPr>
            <w:tcW w:w="1260" w:type="dxa"/>
            <w:vAlign w:val="bottom"/>
          </w:tcPr>
          <w:p>
            <w:pPr>
              <w:jc w:val="right"/>
              <w:ind w:right="139"/>
              <w:spacing w:after="0" w:line="205" w:lineRule="exact"/>
              <w:rPr>
                <w:sz w:val="20"/>
                <w:szCs w:val="20"/>
                <w:color w:val="auto"/>
              </w:rPr>
            </w:pPr>
            <w:r>
              <w:rPr>
                <w:rFonts w:ascii="Arial" w:cs="Arial" w:eastAsia="Arial" w:hAnsi="Arial"/>
                <w:sz w:val="18"/>
                <w:szCs w:val="18"/>
                <w:color w:val="auto"/>
              </w:rPr>
              <w:t>$  116,511</w:t>
            </w:r>
          </w:p>
        </w:tc>
        <w:tc>
          <w:tcPr>
            <w:tcW w:w="1140" w:type="dxa"/>
            <w:vAlign w:val="bottom"/>
          </w:tcPr>
          <w:p>
            <w:pPr>
              <w:jc w:val="right"/>
              <w:ind w:right="156"/>
              <w:spacing w:after="0" w:line="205" w:lineRule="exact"/>
              <w:rPr>
                <w:sz w:val="20"/>
                <w:szCs w:val="20"/>
                <w:color w:val="auto"/>
              </w:rPr>
            </w:pPr>
            <w:r>
              <w:rPr>
                <w:rFonts w:ascii="Arial" w:cs="Arial" w:eastAsia="Arial" w:hAnsi="Arial"/>
                <w:sz w:val="18"/>
                <w:szCs w:val="18"/>
                <w:color w:val="auto"/>
              </w:rPr>
              <w:t>$  4,585</w:t>
            </w:r>
          </w:p>
        </w:tc>
        <w:tc>
          <w:tcPr>
            <w:tcW w:w="1040" w:type="dxa"/>
            <w:vAlign w:val="bottom"/>
          </w:tcPr>
          <w:p>
            <w:pPr>
              <w:jc w:val="right"/>
              <w:spacing w:after="0" w:line="205" w:lineRule="exact"/>
              <w:rPr>
                <w:sz w:val="20"/>
                <w:szCs w:val="20"/>
                <w:color w:val="auto"/>
              </w:rPr>
            </w:pPr>
            <w:r>
              <w:rPr>
                <w:rFonts w:ascii="Arial" w:cs="Arial" w:eastAsia="Arial" w:hAnsi="Arial"/>
                <w:sz w:val="18"/>
                <w:szCs w:val="18"/>
                <w:color w:val="auto"/>
              </w:rPr>
              <w:t>3.9%</w:t>
            </w:r>
          </w:p>
        </w:tc>
      </w:tr>
      <w:tr>
        <w:trPr>
          <w:trHeight w:val="234"/>
        </w:trPr>
        <w:tc>
          <w:tcPr>
            <w:tcW w:w="4960" w:type="dxa"/>
            <w:vAlign w:val="bottom"/>
          </w:tcPr>
          <w:p>
            <w:pPr>
              <w:spacing w:after="0"/>
              <w:rPr>
                <w:sz w:val="20"/>
                <w:szCs w:val="20"/>
                <w:color w:val="auto"/>
              </w:rPr>
            </w:pPr>
            <w:r>
              <w:rPr>
                <w:rFonts w:ascii="Arial" w:cs="Arial" w:eastAsia="Arial" w:hAnsi="Arial"/>
                <w:sz w:val="18"/>
                <w:szCs w:val="18"/>
                <w:color w:val="auto"/>
              </w:rPr>
              <w:t>Working capital</w:t>
            </w:r>
          </w:p>
        </w:tc>
        <w:tc>
          <w:tcPr>
            <w:tcW w:w="3020" w:type="dxa"/>
            <w:vAlign w:val="bottom"/>
          </w:tcPr>
          <w:p>
            <w:pPr>
              <w:jc w:val="right"/>
              <w:ind w:right="139"/>
              <w:spacing w:after="0"/>
              <w:rPr>
                <w:sz w:val="20"/>
                <w:szCs w:val="20"/>
                <w:color w:val="auto"/>
              </w:rPr>
            </w:pPr>
            <w:r>
              <w:rPr>
                <w:rFonts w:ascii="Arial" w:cs="Arial" w:eastAsia="Arial" w:hAnsi="Arial"/>
                <w:sz w:val="18"/>
                <w:szCs w:val="18"/>
                <w:b w:val="1"/>
                <w:bCs w:val="1"/>
                <w:color w:val="auto"/>
              </w:rPr>
              <w:t>180,224</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174,493</w:t>
            </w: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5,731</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Our net cash flows provided from operating activities in the first quarter of 2005 totaled $6.3 million. The major components of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flows provided by operating activities were net income of $6.5 million, offset by the net change in current assets and liabilities and depreciation and amortization of $1.2 million. The net change in current assets and liabilities included decreases in accounts receivable and inventories of $3.2 million and $0.8 million, respectively. The decrease in accounts receivable was primarily attributable to the timing of cash collections.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Our net cash used for investing activities included $5.2 million from purchases of short-term investments, less sales and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short-term investments, and purchases of property, plant and equipment and other assets of $0.8 million. The purchases of property, plant and equipment were primarily made to support activities in the semiconductor equipment business and consisted primarily of software and equipment used in engineering, manufacturing and other related functions.</w:t>
      </w:r>
    </w:p>
    <w:p>
      <w:pPr>
        <w:spacing w:after="0" w:line="1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Our net cash used for financing activities included $0.4 million received from the issuance of stock upon the exercise of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$1.1 million for the payment of dividends.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maintain a $5,000,000 unsecured bank line of credit bearing interest at the bank’s prime rate. The line of credit will expire in July, 2005 and requires us to maintain specified minimum levels of net worth, limits the amount of capital expenditures and to meet certain other financial covenants. We are currently in compliance with these covenants. No borrowings were outstanding at March 26, 2005, however, $2,535,000 of the credit facility was allocated to standby letters of credit at March 26, 2005, leaving the balance of $2,465,000 available for future borrowings.</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Our significant contractual obligations consist of operating leases and have not changed materially from those disclosed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Report on Form 10-K for the year ended December 31, 2004.</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 xml:space="preserve">Purchase Commitments: </w:t>
      </w:r>
      <w:r>
        <w:rPr>
          <w:rFonts w:ascii="Arial" w:cs="Arial" w:eastAsia="Arial" w:hAnsi="Arial"/>
          <w:sz w:val="18"/>
          <w:szCs w:val="18"/>
          <w:color w:val="auto"/>
        </w:rPr>
        <w:t>From time to time, we enter into commitments with our vendors to purchase inventory at fixed prices or in guaranteed quantities.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not able to determine the aggregate amount of such purchase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26, 2005</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orders that represent contractual obligations, as purchase orders may represent authorizations to purchase rather than 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three months.</w:t>
      </w:r>
    </w:p>
    <w:p>
      <w:pPr>
        <w:spacing w:after="0" w:line="10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March 26, 2005, the maximum potential amount of future payments that we could be required to make under these standby letters of credit was approximately $2.5 million. No liability has been recorded in connection with these arrangements beyond those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such as those experienced in 1996, 1998 and late 2000, continuing throughout 2001, 2002, 2003 and during the third and fourth quarters of 2004, continuing into 2005.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the years ended December 31, 2004, 2003, and 2002, we recorded pretax inventory-related charges of approximately $5.8 million, $4.6 million and $4.1 million, respectively, primarily as a result of changes in customer forecasts.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9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relatively small number of customers historically have been responsible for a significant portion of our net sales. In the year ended December 31, 2004, two customers of the semiconductor equipment segment accounted for 53% (57% in 2003, and 53% in 2002) of our net sales. During the past five years, the percentage of our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26,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4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our recently introduced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handler, may adversely impact sales and/or margins of existing products. In addition, the introduction of new products by us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31, 2004. Future inventory write-offs and increased inventory reserve requirements could have a material adverse impact on our results of operations and financial condition.</w:t>
      </w:r>
    </w:p>
    <w:p>
      <w:pPr>
        <w:spacing w:after="0" w:line="15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design, development, commercial introduction and manufacture of new semiconductor test handling equipment is an inherently complex process that involves a number of risks and uncertainties. These risks include potential problems in meeting customer acceptance and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new integrated circuit test handling equipment is extremely difficult and subject to a great deal of risk. In addition, not all integrated circuit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26,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semiconductor test handler products may have a material adverse impact on our operations, financial condition and results of operations.</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as is common with semiconductor equipment,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r>
        <w:rPr>
          <w:rFonts w:ascii="Arial" w:cs="Arial" w:eastAsia="Arial" w:hAnsi="Arial"/>
          <w:sz w:val="18"/>
          <w:szCs w:val="18"/>
          <w:i w:val="1"/>
          <w:iCs w:val="1"/>
          <w:color w:val="auto"/>
        </w:rPr>
        <w:t>.</w:t>
      </w:r>
    </w:p>
    <w:p>
      <w:pPr>
        <w:spacing w:after="0" w:line="19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Acquisitions and investments involve numerous risks, including, but not limited to:</w:t>
      </w:r>
    </w:p>
    <w:p>
      <w:pPr>
        <w:spacing w:after="0" w:line="170" w:lineRule="exact"/>
        <w:rPr>
          <w:sz w:val="20"/>
          <w:szCs w:val="20"/>
          <w:color w:val="auto"/>
        </w:rPr>
      </w:pPr>
    </w:p>
    <w:p>
      <w:pPr>
        <w:ind w:left="680" w:hanging="334"/>
        <w:spacing w:after="0"/>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236" w:lineRule="exact"/>
        <w:rPr>
          <w:rFonts w:ascii="Arial" w:cs="Arial" w:eastAsia="Arial" w:hAnsi="Arial"/>
          <w:sz w:val="17"/>
          <w:szCs w:val="17"/>
          <w:color w:val="auto"/>
        </w:rPr>
      </w:pPr>
    </w:p>
    <w:p>
      <w:pPr>
        <w:ind w:left="680" w:hanging="334"/>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loss of key employees of acquired businesses;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commercialize purchased technology; and</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Additionally, such acquisitions or investments may result in immediate charges to operating results. Mergers, acquisitions and investments are inherently risky and the inability to effectively manage these risks could materially and adversely affect our business,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taken remedial measures to address previous slowdowns in the semiconductor equipment industry that may affect our ability to be competitive.</w:t>
      </w:r>
    </w:p>
    <w:p>
      <w:pPr>
        <w:spacing w:after="0" w:line="2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past, we have taken remedial measures to address the slowdown in the market for our products. In particular, we reduced our workforce, delayed salary increases, reduced senior executives’ pay, implemented furloughs, reduced expense budgets and announced facility consolidations including Delta Design’s Columbus, Ohio and Littleton, Massachusetts operations into our Poway, California facility. Each of these measures could have long-term effects on our business by reducing our pool of technical talent, decreasing or slowing improvements in our products and making it more difficult for us to respond to customers needs.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our backlog at March 26, 2005, may not be a reliable indicator of revenues in future periods due to delayed delivery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26, 2005</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dates or customer requested changes to delivery schedules, order cancellations and delays in recognizing revenue due to accounting requirements.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19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Workforce reductions continued in the third and fourth quarter of 2002, January and March, 2003. We also consolidated Delta Design’s Columbus, Ohio and Littleton, Massachusetts operations into our Poway, California facility. In 2004 we increased our workforce, particularly in manufacturing, to meet increased demand. However, our orders declined significantly in the third quarter of 2004 and business conditions in the semiconductor equipment industry have weakened and as a result workforce reductions may be required.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Sales of gravity-feed test handlers used in DRAM testing represented a significant percentage of our total semiconductor equipment related revenue during the period 1994 through 1998. Due to changes in semiconductor package technology, gravity-feed handlers are no longer suitable for handling many types of DRAMs. As a result, we have seen a significant decline in sales of our gravity-feed test handler products. Pick-and-place handlers used in DRAM applications account for a significant portion of the worldwide test handler market and Cohu’s market share in the DRAM segment is negligible. Our share of the gravity-feed handler market for the last five years has also been negligible, and with the announced closure of our Littleton, Massachusetts operations, we no longer plan to sell gravity-feed test handlers. Such handlers are used in numerous non DRAM applications and continue to represent a significant portion of the worldwide test handler market. Because we do not participate in the DRAM and/or gravity-feed market segments, our total available sales market is limited and, as a result, our business and results of operations may be negatively impacted.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 global corporation with offices and subsidiaries around the world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181" w:lineRule="exact"/>
        <w:rPr>
          <w:sz w:val="20"/>
          <w:szCs w:val="20"/>
          <w:color w:val="auto"/>
        </w:rPr>
      </w:pPr>
    </w:p>
    <w:p>
      <w:pPr>
        <w:ind w:left="680" w:hanging="334"/>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26, 2005</w:t>
      </w:r>
    </w:p>
    <w:p>
      <w:pPr>
        <w:spacing w:after="0" w:line="211" w:lineRule="exact"/>
        <w:rPr>
          <w:sz w:val="20"/>
          <w:szCs w:val="20"/>
          <w:color w:val="auto"/>
        </w:rPr>
      </w:pPr>
    </w:p>
    <w:p>
      <w:pPr>
        <w:ind w:left="680" w:hanging="334"/>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political and economic conditions;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 which can affect demand and increase our costs.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provide assurance that we will continue to declare dividends at all or in any particular amounts.</w:t>
      </w:r>
    </w:p>
    <w:p>
      <w:pPr>
        <w:spacing w:after="0" w:line="19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intend to continue to pay quarterly dividends subject to capital availability and periodic determinations that cash dividends are in the best interest of the stockholders. Our dividend policy may be affected by, among other items, our views on potential future capital requirements, including those related to research and development, creation and expansion of sales distribution channels, investments and acquisitions, legal risks and stock repurchases.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rely on patent, copyright, trademark and trade secret laws to establish and maintain proprietary rights in our technology and products. Any of our proprietary rights may expire due to patent life, or be challenged, invalidated or circumvented, and these rights may cease to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3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During the year ended December 31, 2004, 72% of our total net sales were exported to foreign countries, including 83% of the sales in the semiconductor equipment segment. 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26,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 products that may compete favorably against our own products. We have seen a significant decline in the operating results of these businesses over the last several years with increasing losses and the future prospects for certain of these businesses remain uncertain. We may not be able to continue to compete successfully in these businesses.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will impact our future operating results.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change in accounting standards or a change in existing taxation rules can have a significant effect on our reported results. New accounting pronouncements and taxation rules and varying interpretations of accounting pronouncements have occurred and may occur in the future. These new accounting pronouncements and taxation rules may adversely affect our reported financial results or the way we conduct our business.</w:t>
      </w:r>
    </w:p>
    <w:p>
      <w:pPr>
        <w:spacing w:after="0" w:line="139"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For example, under the newly-issued Statement No. 123R we will be required to account for equity under our stock plans as a compensation expense and our net income and net income per share will be significantly reduced. Currently, we calculate compensation expense and disclose the impact on net income and net income per share, as well as the impact of all stock-based compensation expense in a footnote to the consolidated financial statements. Statement</w:t>
      </w:r>
    </w:p>
    <w:p>
      <w:pPr>
        <w:ind w:right="240"/>
        <w:spacing w:after="0" w:line="261" w:lineRule="auto"/>
        <w:rPr>
          <w:sz w:val="20"/>
          <w:szCs w:val="20"/>
          <w:color w:val="auto"/>
        </w:rPr>
      </w:pPr>
      <w:r>
        <w:rPr>
          <w:rFonts w:ascii="Arial" w:cs="Arial" w:eastAsia="Arial" w:hAnsi="Arial"/>
          <w:sz w:val="18"/>
          <w:szCs w:val="18"/>
          <w:color w:val="auto"/>
        </w:rPr>
        <w:t>No. 123R will require that we expense share based payment awards given to employees, including shares issued under employee stock purchase plans and stock options, as compensation cost.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do not currently provide estimates of our revenues or results of operations for future periods. Our operating results may fluctuate from quarter to quarter due to a variety of factors including, but not limited to:</w:t>
      </w:r>
    </w:p>
    <w:p>
      <w:pPr>
        <w:spacing w:after="0" w:line="170" w:lineRule="exact"/>
        <w:rPr>
          <w:sz w:val="20"/>
          <w:szCs w:val="20"/>
          <w:color w:val="auto"/>
        </w:rPr>
      </w:pPr>
    </w:p>
    <w:p>
      <w:pPr>
        <w:ind w:left="680" w:hanging="334"/>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orders from customers and shipments to customers;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foreign currency exchange rates on the price of our products in international locations;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inventory writedowns; and</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Due to these factors or other unanticipated events, quarter-to-quarter comparisons of our operating results may not be reliable indicators of our future performance. In addition, from time to time our quarterly financial results may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26, 2005</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fall below the expectations of the securities and industry analysts who publish reports on our company or of investors generally. This could cause the market price of our securities to decline, perhaps significantly.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$29.70 to $9.99. The price of our stock may be more volatile than other companies due to, among other factors, the unpredictable and cyclical nature of the semiconductor industry, our significant customer concentration, intense competition in the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future changes in securities laws and regulations are likely to increase our costs.</w:t>
      </w:r>
    </w:p>
    <w:p>
      <w:pPr>
        <w:spacing w:after="0" w:line="1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new SEC regulations and NASDAQ National Market rules, are creating challenges for all publicly-held companies. We are committed to maintaining high standards of corporate governance and public disclosure. As a result, 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efforts to comply with Section 404 of the Sarbanes-Oxley Act of 2002 and the related regulations regarding our required assessment of our internal controls over financial reporting and our external auditors’ audit of that assessment has required the commitment of significant financial and managerial resources. We expect these efforts to require the continued commitment of significant resources. Further, our board members, chief executive officer and chief financial officer could face an increased risk of personal liability in connection with the performance of their duties. As a result, we may have difficulty attracting and retaining qualified board members and executive officers, which could harm our business.</w:t>
      </w:r>
    </w:p>
    <w:p>
      <w:pPr>
        <w:spacing w:after="0" w:line="12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occurrence of natural disasters in Asia and geopolitical instability caused by terrorist attacks and threats may adversely impact our operations and sales.</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Asian sales and service headquarters is located in Singapore and the majority of our sales are made to destinations in Asia. In addition, we have a location in the Philippines which fabricates certain component parts used in our semiconductor test handlers.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 Furthermore, BMS is currently involved in a significant contract with the United Arab Emirates. Continued terrorist attacks or threats in this region may cause geopolitical instability that may have an adverse effect on our ability to successfully satisfy customer acceptance requirements under the agreement, which would materially impact our business, results of operations and financial condition.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At March 26, 2005 our investment portfolio includes fixed-income securities with a fair value of approximately $61.9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our foreign operations are not significant. The effect of an immediate ten percent change in foreign exchange rates would not have a material impact on our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16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15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last fiscal quarter, there have been no changes in the Company’s internal control over financial reporting that have materially affected, or are reasonably likely to materially affect, the Company’s internal control over financial reporting.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5"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0040" w:type="dxa"/>
            <w:vAlign w:val="bottom"/>
          </w:tcPr>
          <w:p>
            <w:pPr>
              <w:ind w:left="60"/>
              <w:spacing w:after="0"/>
              <w:rPr>
                <w:sz w:val="20"/>
                <w:szCs w:val="20"/>
                <w:color w:val="auto"/>
              </w:rPr>
            </w:pPr>
            <w:r>
              <w:rPr>
                <w:rFonts w:ascii="Arial" w:cs="Arial" w:eastAsia="Arial" w:hAnsi="Arial"/>
                <w:sz w:val="18"/>
                <w:szCs w:val="18"/>
                <w:color w:val="auto"/>
                <w:w w:val="92"/>
              </w:rPr>
              <w:t>-  Amended and Restated Certificate of Incorporation of Cohu, Inc. incorporated herein by reference to Exhibit 3.1(a) from the Cohu, Inc.</w:t>
            </w:r>
          </w:p>
        </w:tc>
      </w:tr>
      <w:tr>
        <w:trPr>
          <w:trHeight w:val="230"/>
        </w:trPr>
        <w:tc>
          <w:tcPr>
            <w:tcW w:w="560" w:type="dxa"/>
            <w:vAlign w:val="bottom"/>
          </w:tcPr>
          <w:p>
            <w:pPr>
              <w:spacing w:after="0"/>
              <w:rPr>
                <w:sz w:val="20"/>
                <w:szCs w:val="20"/>
                <w:color w:val="auto"/>
              </w:rPr>
            </w:pPr>
          </w:p>
        </w:tc>
        <w:tc>
          <w:tcPr>
            <w:tcW w:w="10040" w:type="dxa"/>
            <w:vAlign w:val="bottom"/>
          </w:tcPr>
          <w:p>
            <w:pPr>
              <w:ind w:left="280"/>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560" w:type="dxa"/>
            <w:vAlign w:val="bottom"/>
          </w:tcPr>
          <w:p>
            <w:pPr>
              <w:jc w:val="right"/>
              <w:spacing w:after="0"/>
              <w:rPr>
                <w:sz w:val="20"/>
                <w:szCs w:val="20"/>
                <w:color w:val="auto"/>
              </w:rPr>
            </w:pPr>
            <w:r>
              <w:rPr>
                <w:rFonts w:ascii="Arial" w:cs="Arial" w:eastAsia="Arial" w:hAnsi="Arial"/>
                <w:sz w:val="18"/>
                <w:szCs w:val="18"/>
                <w:color w:val="auto"/>
              </w:rPr>
              <w:t>3.1(a)</w:t>
            </w:r>
          </w:p>
        </w:tc>
        <w:tc>
          <w:tcPr>
            <w:tcW w:w="10040" w:type="dxa"/>
            <w:vAlign w:val="bottom"/>
          </w:tcPr>
          <w:p>
            <w:pPr>
              <w:ind w:left="60"/>
              <w:spacing w:after="0"/>
              <w:rPr>
                <w:sz w:val="20"/>
                <w:szCs w:val="20"/>
                <w:color w:val="auto"/>
              </w:rPr>
            </w:pPr>
            <w:r>
              <w:rPr>
                <w:rFonts w:ascii="Arial" w:cs="Arial" w:eastAsia="Arial" w:hAnsi="Arial"/>
                <w:sz w:val="18"/>
                <w:szCs w:val="18"/>
                <w:color w:val="auto"/>
                <w:w w:val="93"/>
              </w:rPr>
              <w:t>-  Certificate of Amendment of Amended and Restated Certificate of Incorporation of Cohu, Inc. incorporated herein by reference from</w:t>
            </w:r>
          </w:p>
        </w:tc>
      </w:tr>
      <w:tr>
        <w:trPr>
          <w:trHeight w:val="230"/>
        </w:trPr>
        <w:tc>
          <w:tcPr>
            <w:tcW w:w="560" w:type="dxa"/>
            <w:vAlign w:val="bottom"/>
          </w:tcPr>
          <w:p>
            <w:pPr>
              <w:spacing w:after="0"/>
              <w:rPr>
                <w:sz w:val="20"/>
                <w:szCs w:val="20"/>
                <w:color w:val="auto"/>
              </w:rPr>
            </w:pPr>
          </w:p>
        </w:tc>
        <w:tc>
          <w:tcPr>
            <w:tcW w:w="10040" w:type="dxa"/>
            <w:vAlign w:val="bottom"/>
          </w:tcPr>
          <w:p>
            <w:pPr>
              <w:ind w:left="280"/>
              <w:spacing w:after="0"/>
              <w:rPr>
                <w:sz w:val="20"/>
                <w:szCs w:val="20"/>
                <w:color w:val="auto"/>
              </w:rPr>
            </w:pPr>
            <w:r>
              <w:rPr>
                <w:rFonts w:ascii="Arial" w:cs="Arial" w:eastAsia="Arial" w:hAnsi="Arial"/>
                <w:sz w:val="18"/>
                <w:szCs w:val="18"/>
                <w:color w:val="auto"/>
              </w:rPr>
              <w:t>the Cohu, Inc. Form S-8 filed June 30, 2000, Exhibit 4.1(a)</w:t>
            </w:r>
          </w:p>
        </w:tc>
      </w:tr>
      <w:tr>
        <w:trPr>
          <w:trHeight w:val="418"/>
        </w:trPr>
        <w:tc>
          <w:tcPr>
            <w:tcW w:w="56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0040" w:type="dxa"/>
            <w:vAlign w:val="bottom"/>
          </w:tcPr>
          <w:p>
            <w:pPr>
              <w:ind w:left="60"/>
              <w:spacing w:after="0"/>
              <w:rPr>
                <w:sz w:val="20"/>
                <w:szCs w:val="20"/>
                <w:color w:val="auto"/>
              </w:rPr>
            </w:pPr>
            <w:r>
              <w:rPr>
                <w:rFonts w:ascii="Arial" w:cs="Arial" w:eastAsia="Arial" w:hAnsi="Arial"/>
                <w:sz w:val="18"/>
                <w:szCs w:val="18"/>
                <w:color w:val="auto"/>
                <w:w w:val="93"/>
              </w:rPr>
              <w:t>-  Amended and Restated Bylaws of Cohu, Inc. incorporated herein by reference to Exhibit 3.2 from the Cohu, Inc. Report on Form 8-K</w:t>
            </w:r>
          </w:p>
        </w:tc>
      </w:tr>
      <w:tr>
        <w:trPr>
          <w:trHeight w:val="230"/>
        </w:trPr>
        <w:tc>
          <w:tcPr>
            <w:tcW w:w="560" w:type="dxa"/>
            <w:vAlign w:val="bottom"/>
          </w:tcPr>
          <w:p>
            <w:pPr>
              <w:spacing w:after="0"/>
              <w:rPr>
                <w:sz w:val="20"/>
                <w:szCs w:val="20"/>
                <w:color w:val="auto"/>
              </w:rPr>
            </w:pPr>
          </w:p>
        </w:tc>
        <w:tc>
          <w:tcPr>
            <w:tcW w:w="10040" w:type="dxa"/>
            <w:vAlign w:val="bottom"/>
          </w:tcPr>
          <w:p>
            <w:pPr>
              <w:ind w:left="280"/>
              <w:spacing w:after="0"/>
              <w:rPr>
                <w:sz w:val="20"/>
                <w:szCs w:val="20"/>
                <w:color w:val="auto"/>
              </w:rPr>
            </w:pPr>
            <w:r>
              <w:rPr>
                <w:rFonts w:ascii="Arial" w:cs="Arial" w:eastAsia="Arial" w:hAnsi="Arial"/>
                <w:sz w:val="18"/>
                <w:szCs w:val="18"/>
                <w:color w:val="auto"/>
              </w:rPr>
              <w:t>filed with the Securities and Exchange Commission on December 12, 1996</w:t>
            </w:r>
          </w:p>
        </w:tc>
      </w:tr>
      <w:tr>
        <w:trPr>
          <w:trHeight w:val="418"/>
        </w:trPr>
        <w:tc>
          <w:tcPr>
            <w:tcW w:w="56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10040" w:type="dxa"/>
            <w:vAlign w:val="bottom"/>
          </w:tcPr>
          <w:p>
            <w:pPr>
              <w:ind w:left="60"/>
              <w:spacing w:after="0"/>
              <w:rPr>
                <w:sz w:val="20"/>
                <w:szCs w:val="20"/>
                <w:color w:val="auto"/>
              </w:rPr>
            </w:pPr>
            <w:r>
              <w:rPr>
                <w:rFonts w:ascii="Arial" w:cs="Arial" w:eastAsia="Arial" w:hAnsi="Arial"/>
                <w:sz w:val="18"/>
                <w:szCs w:val="18"/>
                <w:color w:val="auto"/>
                <w:w w:val="91"/>
              </w:rPr>
              <w:t>-  Rights Agreement dated November 15, 1996, between Cohu, Inc. and ChaseMellon Shareholder Services, L.L.C., incorporated herein</w:t>
            </w:r>
          </w:p>
        </w:tc>
      </w:tr>
      <w:tr>
        <w:trPr>
          <w:trHeight w:val="230"/>
        </w:trPr>
        <w:tc>
          <w:tcPr>
            <w:tcW w:w="560" w:type="dxa"/>
            <w:vAlign w:val="bottom"/>
          </w:tcPr>
          <w:p>
            <w:pPr>
              <w:spacing w:after="0"/>
              <w:rPr>
                <w:sz w:val="20"/>
                <w:szCs w:val="20"/>
                <w:color w:val="auto"/>
              </w:rPr>
            </w:pPr>
          </w:p>
        </w:tc>
        <w:tc>
          <w:tcPr>
            <w:tcW w:w="10040" w:type="dxa"/>
            <w:vAlign w:val="bottom"/>
          </w:tcPr>
          <w:p>
            <w:pPr>
              <w:ind w:left="280"/>
              <w:spacing w:after="0"/>
              <w:rPr>
                <w:sz w:val="20"/>
                <w:szCs w:val="20"/>
                <w:color w:val="auto"/>
              </w:rPr>
            </w:pPr>
            <w:r>
              <w:rPr>
                <w:rFonts w:ascii="Arial" w:cs="Arial" w:eastAsia="Arial" w:hAnsi="Arial"/>
                <w:sz w:val="18"/>
                <w:szCs w:val="18"/>
                <w:color w:val="auto"/>
              </w:rPr>
              <w:t>by reference from the Cohu, Inc. Report on Form 8-K filed December 12, 1996, Exhibit 4.1</w:t>
            </w:r>
          </w:p>
        </w:tc>
      </w:tr>
      <w:tr>
        <w:trPr>
          <w:trHeight w:val="43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31.1</w:t>
            </w:r>
          </w:p>
        </w:tc>
        <w:tc>
          <w:tcPr>
            <w:tcW w:w="10040" w:type="dxa"/>
            <w:vAlign w:val="bottom"/>
          </w:tcPr>
          <w:p>
            <w:pPr>
              <w:ind w:left="60"/>
              <w:spacing w:after="0"/>
              <w:rPr>
                <w:sz w:val="20"/>
                <w:szCs w:val="20"/>
                <w:color w:val="auto"/>
              </w:rPr>
            </w:pPr>
            <w:r>
              <w:rPr>
                <w:rFonts w:ascii="Arial" w:cs="Arial" w:eastAsia="Arial" w:hAnsi="Arial"/>
                <w:sz w:val="18"/>
                <w:szCs w:val="18"/>
                <w:color w:val="auto"/>
              </w:rPr>
              <w:t>-  Certification pursuant to Section 302(a) of the Sarbanes-Oxley Act of 2002</w:t>
            </w:r>
          </w:p>
        </w:tc>
      </w:tr>
      <w:tr>
        <w:trPr>
          <w:trHeight w:val="43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31.2</w:t>
            </w:r>
          </w:p>
        </w:tc>
        <w:tc>
          <w:tcPr>
            <w:tcW w:w="10040" w:type="dxa"/>
            <w:vAlign w:val="bottom"/>
          </w:tcPr>
          <w:p>
            <w:pPr>
              <w:ind w:left="60"/>
              <w:spacing w:after="0"/>
              <w:rPr>
                <w:sz w:val="20"/>
                <w:szCs w:val="20"/>
                <w:color w:val="auto"/>
              </w:rPr>
            </w:pPr>
            <w:r>
              <w:rPr>
                <w:rFonts w:ascii="Arial" w:cs="Arial" w:eastAsia="Arial" w:hAnsi="Arial"/>
                <w:sz w:val="18"/>
                <w:szCs w:val="18"/>
                <w:color w:val="auto"/>
              </w:rPr>
              <w:t>-  Certification pursuant to Section 302(a) of the Sarbanes-Oxley Act of 2002</w:t>
            </w:r>
          </w:p>
        </w:tc>
      </w:tr>
      <w:tr>
        <w:trPr>
          <w:trHeight w:val="43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32.1</w:t>
            </w:r>
          </w:p>
        </w:tc>
        <w:tc>
          <w:tcPr>
            <w:tcW w:w="10040" w:type="dxa"/>
            <w:vAlign w:val="bottom"/>
          </w:tcPr>
          <w:p>
            <w:pPr>
              <w:ind w:left="60"/>
              <w:spacing w:after="0"/>
              <w:rPr>
                <w:sz w:val="20"/>
                <w:szCs w:val="20"/>
                <w:color w:val="auto"/>
              </w:rPr>
            </w:pPr>
            <w:r>
              <w:rPr>
                <w:rFonts w:ascii="Arial" w:cs="Arial" w:eastAsia="Arial" w:hAnsi="Arial"/>
                <w:sz w:val="18"/>
                <w:szCs w:val="18"/>
                <w:color w:val="auto"/>
              </w:rPr>
              <w:t>-  Certification of Chief Executive Officer pursuant to Section 906 of the Sarbanes-Oxley Act of 2002</w:t>
            </w:r>
          </w:p>
        </w:tc>
      </w:tr>
      <w:tr>
        <w:trPr>
          <w:trHeight w:val="432"/>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32.2</w:t>
            </w:r>
          </w:p>
        </w:tc>
        <w:tc>
          <w:tcPr>
            <w:tcW w:w="10040" w:type="dxa"/>
            <w:vAlign w:val="bottom"/>
          </w:tcPr>
          <w:p>
            <w:pPr>
              <w:ind w:left="60"/>
              <w:spacing w:after="0"/>
              <w:rPr>
                <w:sz w:val="20"/>
                <w:szCs w:val="20"/>
                <w:color w:val="auto"/>
              </w:rPr>
            </w:pPr>
            <w:r>
              <w:rPr>
                <w:rFonts w:ascii="Arial" w:cs="Arial" w:eastAsia="Arial" w:hAnsi="Arial"/>
                <w:sz w:val="18"/>
                <w:szCs w:val="18"/>
                <w:color w:val="auto"/>
              </w:rPr>
              <w:t>-  Certification of Chief Financial Officer pursuant to Section 906 of the Sarbanes-Oxley Act of 2002</w:t>
            </w:r>
          </w:p>
        </w:tc>
      </w:tr>
      <w:tr>
        <w:trPr>
          <w:trHeight w:val="392"/>
        </w:trPr>
        <w:tc>
          <w:tcPr>
            <w:tcW w:w="560" w:type="dxa"/>
            <w:vAlign w:val="bottom"/>
          </w:tcPr>
          <w:p>
            <w:pPr>
              <w:spacing w:after="0"/>
              <w:rPr>
                <w:sz w:val="24"/>
                <w:szCs w:val="24"/>
                <w:color w:val="auto"/>
              </w:rPr>
            </w:pPr>
          </w:p>
        </w:tc>
        <w:tc>
          <w:tcPr>
            <w:tcW w:w="10040" w:type="dxa"/>
            <w:vAlign w:val="bottom"/>
          </w:tcPr>
          <w:p>
            <w:pPr>
              <w:ind w:left="3860"/>
              <w:spacing w:after="0"/>
              <w:rPr>
                <w:sz w:val="20"/>
                <w:szCs w:val="20"/>
                <w:color w:val="auto"/>
              </w:rPr>
            </w:pPr>
            <w:r>
              <w:rPr>
                <w:rFonts w:ascii="Arial" w:cs="Arial" w:eastAsia="Arial" w:hAnsi="Arial"/>
                <w:sz w:val="18"/>
                <w:szCs w:val="18"/>
                <w:b w:val="1"/>
                <w:bCs w:val="1"/>
                <w:color w:val="auto"/>
              </w:rPr>
              <w:t>SIGNATURES</w:t>
            </w:r>
          </w:p>
        </w:tc>
      </w:tr>
    </w:tbl>
    <w:p>
      <w:pPr>
        <w:spacing w:after="0" w:line="175"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Date: April 27, 2005</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color w:val="auto"/>
        </w:rPr>
        <w:t>Date: April 27, 2005</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Vice President, Finance &amp; Chief Financial Officer</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40" w:type="dxa"/>
            <w:vAlign w:val="bottom"/>
          </w:tcPr>
          <w:p>
            <w:pPr>
              <w:ind w:left="374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Pr>
          <w:p>
            <w:pPr>
              <w:spacing w:after="0"/>
              <w:rPr>
                <w:sz w:val="24"/>
                <w:szCs w:val="24"/>
                <w:color w:val="auto"/>
              </w:rPr>
            </w:pPr>
          </w:p>
        </w:tc>
        <w:tc>
          <w:tcPr>
            <w:tcW w:w="1014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560" w:type="dxa"/>
            <w:vAlign w:val="bottom"/>
          </w:tcPr>
          <w:p>
            <w:pPr>
              <w:spacing w:after="0"/>
              <w:rPr>
                <w:sz w:val="16"/>
                <w:szCs w:val="16"/>
                <w:color w:val="auto"/>
              </w:rPr>
            </w:pPr>
          </w:p>
        </w:tc>
        <w:tc>
          <w:tcPr>
            <w:tcW w:w="10140" w:type="dxa"/>
            <w:vAlign w:val="bottom"/>
          </w:tcPr>
          <w:p>
            <w:pPr>
              <w:spacing w:after="0" w:line="195" w:lineRule="exact"/>
              <w:rPr>
                <w:sz w:val="20"/>
                <w:szCs w:val="20"/>
                <w:color w:val="auto"/>
              </w:rPr>
            </w:pPr>
            <w:r>
              <w:rPr>
                <w:rFonts w:ascii="Arial" w:cs="Arial" w:eastAsia="Arial" w:hAnsi="Arial"/>
                <w:sz w:val="18"/>
                <w:szCs w:val="18"/>
                <w:color w:val="auto"/>
                <w:w w:val="94"/>
              </w:rPr>
              <w:t>Amended and Restated Certificate of Incorporation of Cohu, Inc. incorporated herein by reference to Exhibit 3.1(a) from the Cohu, Inc.</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3.1(a)</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Certificate of Amendment of Amended and Restated Certificate of Incorporation of Cohu, Inc. incorporated herein by reference from the</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Cohu, Inc. Form S-8 filed June 30, 2000, Exhibit 4.1(a)</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Amended and Restated Bylaws of Cohu, Inc. incorporated herein by reference to Exhibit 3.2 from the Cohu, Inc. Report on Form 8-K filed</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Rights Agreement dated November 15, 1996, between Cohu, Inc. and ChaseMellon Shareholder Services, L.L.C., incorporated herein by</w:t>
            </w:r>
          </w:p>
        </w:tc>
      </w:t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reference from the Cohu, Inc. Report on Form 8-K filed December 12, 1996, Exhibit 4.1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ectPr>
          <w:pgSz w:w="11900" w:h="16838" w:orient="portrait"/>
          <w:cols w:equalWidth="0" w:num="1">
            <w:col w:w="11420"/>
          </w:cols>
          <w:pgMar w:left="240" w:top="419" w:right="239" w:bottom="1440" w:gutter="0" w:footer="0" w:header="0"/>
        </w:sectPr>
      </w:pPr>
    </w:p>
    <w:bookmarkStart w:id="30" w:name="page31"/>
    <w:bookmarkEnd w:id="30"/>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A. Donahue, certify that:</w:t>
      </w:r>
    </w:p>
    <w:p>
      <w:pPr>
        <w:spacing w:after="0" w:line="201" w:lineRule="exact"/>
        <w:rPr>
          <w:sz w:val="20"/>
          <w:szCs w:val="20"/>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10-Q of Cohu, Inc.;</w:t>
      </w:r>
    </w:p>
    <w:p>
      <w:pPr>
        <w:spacing w:after="0" w:line="206"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060" w:right="1779" w:hanging="525"/>
        <w:spacing w:after="0" w:line="268" w:lineRule="auto"/>
        <w:tabs>
          <w:tab w:leader="none" w:pos="10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 for the registrant and have:</w:t>
      </w:r>
    </w:p>
    <w:p>
      <w:pPr>
        <w:spacing w:after="0" w:line="207" w:lineRule="exact"/>
        <w:rPr>
          <w:rFonts w:ascii="Courier New" w:cs="Courier New" w:eastAsia="Courier New" w:hAnsi="Courier New"/>
          <w:sz w:val="16"/>
          <w:szCs w:val="16"/>
          <w:color w:val="auto"/>
        </w:rPr>
      </w:pPr>
    </w:p>
    <w:p>
      <w:pPr>
        <w:ind w:left="1580" w:right="1879" w:firstLine="8"/>
        <w:spacing w:after="0" w:line="272" w:lineRule="auto"/>
        <w:tabs>
          <w:tab w:leader="none" w:pos="200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1580" w:right="1999" w:firstLine="8"/>
        <w:spacing w:after="0" w:line="272" w:lineRule="auto"/>
        <w:tabs>
          <w:tab w:leader="none" w:pos="200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Courier New" w:cs="Courier New" w:eastAsia="Courier New" w:hAnsi="Courier New"/>
          <w:sz w:val="16"/>
          <w:szCs w:val="16"/>
          <w:color w:val="auto"/>
        </w:rPr>
      </w:pPr>
    </w:p>
    <w:p>
      <w:pPr>
        <w:ind w:left="1580" w:right="2099" w:firstLine="8"/>
        <w:spacing w:after="0" w:line="237" w:lineRule="auto"/>
        <w:tabs>
          <w:tab w:leader="none" w:pos="200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580" w:right="1999" w:firstLine="8"/>
        <w:spacing w:after="0" w:line="237" w:lineRule="auto"/>
        <w:tabs>
          <w:tab w:leader="none" w:pos="200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879" w:firstLine="8"/>
        <w:spacing w:after="0" w:line="237" w:lineRule="auto"/>
        <w:tabs>
          <w:tab w:leader="none" w:pos="200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580" w:right="1879" w:firstLine="8"/>
        <w:spacing w:after="0" w:line="236" w:lineRule="auto"/>
        <w:tabs>
          <w:tab w:leader="none" w:pos="200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27,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Donahue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1" w:right="1440" w:bottom="0" w:gutter="0" w:footer="0" w:header="0"/>
        </w:sectPr>
      </w:pPr>
    </w:p>
    <w:bookmarkStart w:id="31" w:name="page32"/>
    <w:bookmarkEnd w:id="31"/>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John H. Allen, certify that:</w:t>
      </w:r>
    </w:p>
    <w:p>
      <w:pPr>
        <w:spacing w:after="0" w:line="201" w:lineRule="exact"/>
        <w:rPr>
          <w:sz w:val="20"/>
          <w:szCs w:val="20"/>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10-Q of Cohu, Inc.;</w:t>
      </w:r>
    </w:p>
    <w:p>
      <w:pPr>
        <w:spacing w:after="0" w:line="206"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060" w:right="1779" w:hanging="525"/>
        <w:spacing w:after="0" w:line="268" w:lineRule="auto"/>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 for the registrant and have:</w:t>
      </w:r>
    </w:p>
    <w:p>
      <w:pPr>
        <w:spacing w:after="0" w:line="207" w:lineRule="exact"/>
        <w:rPr>
          <w:rFonts w:ascii="Courier New" w:cs="Courier New" w:eastAsia="Courier New" w:hAnsi="Courier New"/>
          <w:sz w:val="16"/>
          <w:szCs w:val="16"/>
          <w:color w:val="auto"/>
        </w:rPr>
      </w:pPr>
    </w:p>
    <w:p>
      <w:pPr>
        <w:ind w:left="1580" w:right="1879" w:firstLine="8"/>
        <w:spacing w:after="0" w:line="272" w:lineRule="auto"/>
        <w:tabs>
          <w:tab w:leader="none" w:pos="200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1580" w:right="1999" w:firstLine="8"/>
        <w:spacing w:after="0" w:line="272" w:lineRule="auto"/>
        <w:tabs>
          <w:tab w:leader="none" w:pos="200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Courier New" w:cs="Courier New" w:eastAsia="Courier New" w:hAnsi="Courier New"/>
          <w:sz w:val="16"/>
          <w:szCs w:val="16"/>
          <w:color w:val="auto"/>
        </w:rPr>
      </w:pPr>
    </w:p>
    <w:p>
      <w:pPr>
        <w:ind w:left="1580" w:right="2099" w:firstLine="8"/>
        <w:spacing w:after="0" w:line="237" w:lineRule="auto"/>
        <w:tabs>
          <w:tab w:leader="none" w:pos="200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580" w:right="1999" w:firstLine="8"/>
        <w:spacing w:after="0" w:line="237" w:lineRule="auto"/>
        <w:tabs>
          <w:tab w:leader="none" w:pos="200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879" w:firstLine="8"/>
        <w:spacing w:after="0" w:line="237" w:lineRule="auto"/>
        <w:tabs>
          <w:tab w:leader="none" w:pos="200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580" w:right="1879" w:firstLine="8"/>
        <w:spacing w:after="0" w:line="236" w:lineRule="auto"/>
        <w:tabs>
          <w:tab w:leader="none" w:pos="200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27,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H. Allen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Finance &amp; Chief Financial Officer</w:t>
      </w:r>
    </w:p>
    <w:p>
      <w:pPr>
        <w:sectPr>
          <w:pgSz w:w="11900" w:h="16838" w:orient="portrait"/>
          <w:cols w:equalWidth="0" w:num="1">
            <w:col w:w="10219"/>
          </w:cols>
          <w:pgMar w:left="240" w:top="541" w:right="1440" w:bottom="0" w:gutter="0" w:footer="0" w:header="0"/>
        </w:sectPr>
      </w:pPr>
    </w:p>
    <w:bookmarkStart w:id="32" w:name="page33"/>
    <w:bookmarkEnd w:id="32"/>
    <w:p>
      <w:pPr>
        <w:ind w:left="7180"/>
        <w:spacing w:after="0"/>
        <w:rPr>
          <w:sz w:val="20"/>
          <w:szCs w:val="20"/>
          <w:color w:val="auto"/>
        </w:rPr>
      </w:pPr>
      <w:r>
        <w:rPr>
          <w:rFonts w:ascii="Courier New" w:cs="Courier New" w:eastAsia="Courier New" w:hAnsi="Courier New"/>
          <w:sz w:val="16"/>
          <w:szCs w:val="16"/>
          <w:color w:val="auto"/>
        </w:rPr>
        <w:t>Exhibit 32.1</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SECTION 906 OF THE SARBANES-OXLEY ACT OF 2002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spacing w:after="0" w:line="207" w:lineRule="exact"/>
        <w:rPr>
          <w:sz w:val="20"/>
          <w:szCs w:val="20"/>
          <w:color w:val="auto"/>
        </w:rPr>
      </w:pPr>
    </w:p>
    <w:p>
      <w:pPr>
        <w:ind w:right="2099" w:firstLine="632"/>
        <w:spacing w:after="0" w:line="273" w:lineRule="auto"/>
        <w:rPr>
          <w:sz w:val="20"/>
          <w:szCs w:val="20"/>
          <w:color w:val="auto"/>
        </w:rPr>
      </w:pPr>
      <w:r>
        <w:rPr>
          <w:rFonts w:ascii="Courier New" w:cs="Courier New" w:eastAsia="Courier New" w:hAnsi="Courier New"/>
          <w:sz w:val="16"/>
          <w:szCs w:val="16"/>
          <w:color w:val="auto"/>
        </w:rPr>
        <w:t>In connection with the accompanying Quarterly Report of Cohu, Inc. (the "Company") on Form 10-Q for the fiscal quarter ended March 26, 2005 (the "Report"), I, James A. Donahue, President and Chief Executive Officer of the Company, certify, pursuant to 18 U.S.C. Section 1350, as adopted pursuant to Section 906 of the Sarbanes-Oxley Act of 2002, that, based on my knowledge:</w:t>
      </w:r>
    </w:p>
    <w:p>
      <w:pPr>
        <w:spacing w:after="0" w:line="185" w:lineRule="exact"/>
        <w:rPr>
          <w:sz w:val="20"/>
          <w:szCs w:val="20"/>
          <w:color w:val="auto"/>
        </w:rPr>
      </w:pPr>
    </w:p>
    <w:p>
      <w:pPr>
        <w:ind w:right="1779" w:firstLine="8"/>
        <w:spacing w:after="0" w:line="235"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199" w:firstLine="8"/>
        <w:spacing w:after="0" w:line="290"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27,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Donahue,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7" w:right="1440" w:bottom="1440" w:gutter="0" w:footer="0" w:header="0"/>
        </w:sectPr>
      </w:pPr>
    </w:p>
    <w:bookmarkStart w:id="33" w:name="page34"/>
    <w:bookmarkEnd w:id="33"/>
    <w:p>
      <w:pPr>
        <w:ind w:left="7180"/>
        <w:spacing w:after="0"/>
        <w:rPr>
          <w:sz w:val="20"/>
          <w:szCs w:val="20"/>
          <w:color w:val="auto"/>
        </w:rPr>
      </w:pPr>
      <w:r>
        <w:rPr>
          <w:rFonts w:ascii="Courier New" w:cs="Courier New" w:eastAsia="Courier New" w:hAnsi="Courier New"/>
          <w:sz w:val="16"/>
          <w:szCs w:val="16"/>
          <w:color w:val="auto"/>
        </w:rPr>
        <w:t>Exhibit 32.2</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SECTION 906 OF THE SARBANES-OXLEY ACT OF 2002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In connection with the accompanying Quarterly Report of Cohu, Inc. (the "Company") on Form 10-Q for the fiscal quarter ended March 26, 2005 (the "Report"), I, John H. Allen, Vice President Finance &amp; Chief Financial Officer of the Company, certify, pursuant to 18 U.S.C. Section 1350, as adopted pursuant to Section 906 of the Sarbanes-Oxley Act of 2002, that, based on my knowledge:</w:t>
      </w:r>
    </w:p>
    <w:p>
      <w:pPr>
        <w:spacing w:after="0" w:line="185" w:lineRule="exact"/>
        <w:rPr>
          <w:sz w:val="20"/>
          <w:szCs w:val="20"/>
          <w:color w:val="auto"/>
        </w:rPr>
      </w:pPr>
    </w:p>
    <w:p>
      <w:pPr>
        <w:ind w:right="1779" w:firstLine="8"/>
        <w:spacing w:after="0" w:line="235"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199" w:firstLine="8"/>
        <w:spacing w:after="0" w:line="290"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27,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H. Allen,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Finance &amp; Chief Financial Officer</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1."/>
      <w:numFmt w:val="decimal"/>
      <w:start w:val="9"/>
    </w:lvl>
  </w:abstractNum>
  <w:abstractNum w:abstractNumId="9">
    <w:nsid w:val="25E45D32"/>
    <w:multiLevelType w:val="hybridMultilevel"/>
    <w:lvl w:ilvl="0">
      <w:lvlJc w:val="left"/>
      <w:lvlText w:val="%1."/>
      <w:numFmt w:val="decimal"/>
      <w:start w:val="10"/>
    </w:lvl>
  </w:abstractNum>
  <w:abstractNum w:abstractNumId="10">
    <w:nsid w:val="519B500D"/>
    <w:multiLevelType w:val="hybridMultilevel"/>
    <w:lvl w:ilvl="0">
      <w:lvlJc w:val="left"/>
      <w:lvlText w:val="%1."/>
      <w:numFmt w:val="decimal"/>
      <w:start w:val="12"/>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lvl w:ilvl="1">
      <w:lvlJc w:val="left"/>
      <w:lvlText w:val="(%2)"/>
      <w:numFmt w:val="lowerLetter"/>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2019-12-12T09:04:54Z</dcterms:created>
  <dcterms:modified xsi:type="dcterms:W3CDTF">2019-12-12T09:04:54Z</dcterms:modified>
</cp:coreProperties>
</file>