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Richardson Nina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21,761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RSUs vest on the earlier to occur of (i) the one-year anniversary of the May 5, 2021 grant date or (ii) the 2022 Cohu, Inc. Annual Meeting of Stockholders (assuming continued service to the Board of Directors).</w:t>
      </w:r>
    </w:p>
    <w:p>
      <w:pPr>
        <w:spacing w:after="0" w:line="15"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7,846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053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2021-05-07T20:49:27Z</dcterms:created>
  <dcterms:modified xsi:type="dcterms:W3CDTF">2021-05-07T20:49:27Z</dcterms:modified>
</cp:coreProperties>
</file>