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0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of report (Date of earliest event reported): April 21, 2004</w:t>
      </w:r>
    </w:p>
    <w:p>
      <w:pPr>
        <w:spacing w:after="0" w:line="200" w:lineRule="exact"/>
        <w:rPr>
          <w:sz w:val="20"/>
          <w:szCs w:val="20"/>
          <w:color w:val="auto"/>
        </w:rPr>
      </w:pPr>
    </w:p>
    <w:p>
      <w:pPr>
        <w:spacing w:after="0" w:line="212" w:lineRule="exact"/>
        <w:rPr>
          <w:sz w:val="20"/>
          <w:szCs w:val="20"/>
          <w:color w:val="auto"/>
        </w:rPr>
      </w:pPr>
    </w:p>
    <w:p>
      <w:pPr>
        <w:ind w:left="4740"/>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6040" w:type="dxa"/>
            <w:vAlign w:val="bottom"/>
          </w:tcPr>
          <w:p>
            <w:pPr>
              <w:jc w:val="center"/>
              <w:ind w:left="790"/>
              <w:spacing w:after="0"/>
              <w:rPr>
                <w:sz w:val="20"/>
                <w:szCs w:val="20"/>
                <w:color w:val="auto"/>
              </w:rPr>
            </w:pPr>
            <w:r>
              <w:rPr>
                <w:rFonts w:ascii="Arial" w:cs="Arial" w:eastAsia="Arial" w:hAnsi="Arial"/>
                <w:sz w:val="18"/>
                <w:szCs w:val="18"/>
                <w:i w:val="1"/>
                <w:iCs w:val="1"/>
                <w:color w:val="auto"/>
                <w:w w:val="91"/>
              </w:rPr>
              <w:t>(Exact Name of Registrant as Specified in Charter)</w:t>
            </w:r>
          </w:p>
        </w:tc>
        <w:tc>
          <w:tcPr>
            <w:tcW w:w="2080" w:type="dxa"/>
            <w:vAlign w:val="bottom"/>
          </w:tcPr>
          <w:p>
            <w:pPr>
              <w:spacing w:after="0"/>
              <w:rPr>
                <w:sz w:val="20"/>
                <w:szCs w:val="20"/>
                <w:color w:val="auto"/>
              </w:rPr>
            </w:pPr>
          </w:p>
        </w:tc>
      </w:tr>
      <w:tr>
        <w:trPr>
          <w:trHeight w:val="418"/>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1-4298</w:t>
            </w:r>
          </w:p>
        </w:tc>
        <w:tc>
          <w:tcPr>
            <w:tcW w:w="2080" w:type="dxa"/>
            <w:vAlign w:val="bottom"/>
          </w:tcPr>
          <w:p>
            <w:pPr>
              <w:jc w:val="right"/>
              <w:ind w:right="150"/>
              <w:spacing w:after="0"/>
              <w:rPr>
                <w:sz w:val="20"/>
                <w:szCs w:val="20"/>
                <w:color w:val="auto"/>
              </w:rPr>
            </w:pPr>
            <w:r>
              <w:rPr>
                <w:rFonts w:ascii="Arial" w:cs="Arial" w:eastAsia="Arial" w:hAnsi="Arial"/>
                <w:sz w:val="18"/>
                <w:szCs w:val="18"/>
                <w:b w:val="1"/>
                <w:bCs w:val="1"/>
                <w:color w:val="auto"/>
              </w:rPr>
              <w:t>95-1934119</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0"/>
              </w:rPr>
              <w:t>(State or Other</w:t>
            </w:r>
          </w:p>
        </w:tc>
        <w:tc>
          <w:tcPr>
            <w:tcW w:w="6040" w:type="dxa"/>
            <w:vAlign w:val="bottom"/>
          </w:tcPr>
          <w:p>
            <w:pPr>
              <w:jc w:val="center"/>
              <w:ind w:left="810"/>
              <w:spacing w:after="0"/>
              <w:rPr>
                <w:sz w:val="20"/>
                <w:szCs w:val="20"/>
                <w:color w:val="auto"/>
              </w:rPr>
            </w:pPr>
            <w:r>
              <w:rPr>
                <w:rFonts w:ascii="Arial" w:cs="Arial" w:eastAsia="Arial" w:hAnsi="Arial"/>
                <w:sz w:val="18"/>
                <w:szCs w:val="18"/>
                <w:i w:val="1"/>
                <w:iCs w:val="1"/>
                <w:color w:val="auto"/>
                <w:w w:val="89"/>
              </w:rPr>
              <w:t>(Commission</w:t>
            </w:r>
          </w:p>
        </w:tc>
        <w:tc>
          <w:tcPr>
            <w:tcW w:w="2080" w:type="dxa"/>
            <w:vAlign w:val="bottom"/>
          </w:tcPr>
          <w:p>
            <w:pPr>
              <w:jc w:val="center"/>
              <w:ind w:left="650"/>
              <w:spacing w:after="0"/>
              <w:rPr>
                <w:sz w:val="20"/>
                <w:szCs w:val="20"/>
                <w:color w:val="auto"/>
              </w:rPr>
            </w:pPr>
            <w:r>
              <w:rPr>
                <w:rFonts w:ascii="Arial" w:cs="Arial" w:eastAsia="Arial" w:hAnsi="Arial"/>
                <w:sz w:val="18"/>
                <w:szCs w:val="18"/>
                <w:i w:val="1"/>
                <w:iCs w:val="1"/>
                <w:color w:val="auto"/>
                <w:w w:val="90"/>
              </w:rPr>
              <w:t>(IRS Employer</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4"/>
              </w:rPr>
              <w:t>Jurisdiction of</w:t>
            </w:r>
          </w:p>
        </w:tc>
        <w:tc>
          <w:tcPr>
            <w:tcW w:w="6040" w:type="dxa"/>
            <w:vAlign w:val="bottom"/>
          </w:tcPr>
          <w:p>
            <w:pPr>
              <w:jc w:val="center"/>
              <w:ind w:left="810"/>
              <w:spacing w:after="0"/>
              <w:rPr>
                <w:sz w:val="20"/>
                <w:szCs w:val="20"/>
                <w:color w:val="auto"/>
              </w:rPr>
            </w:pPr>
            <w:r>
              <w:rPr>
                <w:rFonts w:ascii="Arial" w:cs="Arial" w:eastAsia="Arial" w:hAnsi="Arial"/>
                <w:sz w:val="18"/>
                <w:szCs w:val="18"/>
                <w:i w:val="1"/>
                <w:iCs w:val="1"/>
                <w:color w:val="auto"/>
                <w:w w:val="94"/>
              </w:rPr>
              <w:t>File Number)</w:t>
            </w:r>
          </w:p>
        </w:tc>
        <w:tc>
          <w:tcPr>
            <w:tcW w:w="2080" w:type="dxa"/>
            <w:vAlign w:val="bottom"/>
          </w:tcPr>
          <w:p>
            <w:pPr>
              <w:jc w:val="center"/>
              <w:ind w:left="650"/>
              <w:spacing w:after="0"/>
              <w:rPr>
                <w:sz w:val="20"/>
                <w:szCs w:val="20"/>
                <w:color w:val="auto"/>
              </w:rPr>
            </w:pPr>
            <w:r>
              <w:rPr>
                <w:rFonts w:ascii="Arial" w:cs="Arial" w:eastAsia="Arial" w:hAnsi="Arial"/>
                <w:sz w:val="18"/>
                <w:szCs w:val="18"/>
                <w:i w:val="1"/>
                <w:iCs w:val="1"/>
                <w:color w:val="auto"/>
                <w:w w:val="95"/>
              </w:rPr>
              <w:t>Identification No.)</w:t>
            </w: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7"/>
              </w:rPr>
              <w:t>Incorporation)</w:t>
            </w:r>
          </w:p>
        </w:tc>
        <w:tc>
          <w:tcPr>
            <w:tcW w:w="60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7120" w:type="dxa"/>
            <w:vAlign w:val="bottom"/>
            <w:gridSpan w:val="2"/>
          </w:tcPr>
          <w:p>
            <w:pPr>
              <w:jc w:val="center"/>
              <w:ind w:right="195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92064</w:t>
            </w:r>
          </w:p>
        </w:tc>
      </w:tr>
      <w:tr>
        <w:trPr>
          <w:trHeight w:val="230"/>
        </w:trPr>
        <w:tc>
          <w:tcPr>
            <w:tcW w:w="1080" w:type="dxa"/>
            <w:vAlign w:val="bottom"/>
          </w:tcPr>
          <w:p>
            <w:pPr>
              <w:spacing w:after="0"/>
              <w:rPr>
                <w:sz w:val="20"/>
                <w:szCs w:val="20"/>
                <w:color w:val="auto"/>
              </w:rPr>
            </w:pPr>
          </w:p>
        </w:tc>
        <w:tc>
          <w:tcPr>
            <w:tcW w:w="6040" w:type="dxa"/>
            <w:vAlign w:val="bottom"/>
          </w:tcPr>
          <w:p>
            <w:pPr>
              <w:jc w:val="center"/>
              <w:ind w:right="30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080" w:type="dxa"/>
            <w:vAlign w:val="bottom"/>
          </w:tcPr>
          <w:p>
            <w:pPr>
              <w:jc w:val="center"/>
              <w:ind w:left="650"/>
              <w:spacing w:after="0"/>
              <w:rPr>
                <w:sz w:val="20"/>
                <w:szCs w:val="20"/>
                <w:color w:val="auto"/>
              </w:rPr>
            </w:pPr>
            <w:r>
              <w:rPr>
                <w:rFonts w:ascii="Arial" w:cs="Arial" w:eastAsia="Arial" w:hAnsi="Arial"/>
                <w:sz w:val="18"/>
                <w:szCs w:val="18"/>
                <w:i w:val="1"/>
                <w:iCs w:val="1"/>
                <w:color w:val="auto"/>
                <w:w w:val="91"/>
              </w:rPr>
              <w:t>(Zip Code)</w:t>
            </w:r>
          </w:p>
        </w:tc>
      </w:tr>
    </w:tbl>
    <w:p>
      <w:pPr>
        <w:spacing w:after="0" w:line="157"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128905</wp:posOffset>
            </wp:positionV>
            <wp:extent cx="3644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9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22" w:right="127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16"/>
                <w:szCs w:val="16"/>
                <w:color w:val="auto"/>
              </w:rPr>
            </w:pPr>
          </w:p>
        </w:tc>
        <w:tc>
          <w:tcPr>
            <w:tcW w:w="7420" w:type="dxa"/>
            <w:vAlign w:val="bottom"/>
          </w:tcPr>
          <w:p>
            <w:pPr>
              <w:ind w:left="3360"/>
              <w:spacing w:after="0"/>
              <w:rPr>
                <w:sz w:val="20"/>
                <w:szCs w:val="20"/>
                <w:color w:val="auto"/>
              </w:rPr>
            </w:pPr>
            <w:r>
              <w:rPr>
                <w:rFonts w:ascii="Arial" w:cs="Arial" w:eastAsia="Arial" w:hAnsi="Arial"/>
                <w:sz w:val="14"/>
                <w:szCs w:val="14"/>
                <w:b w:val="1"/>
                <w:bCs w:val="1"/>
                <w:color w:val="auto"/>
              </w:rPr>
              <w:t>Description</w:t>
            </w:r>
          </w:p>
        </w:tc>
      </w:tr>
      <w:tr>
        <w:trPr>
          <w:trHeight w:val="66"/>
        </w:trPr>
        <w:tc>
          <w:tcPr>
            <w:tcW w:w="72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7420" w:type="dxa"/>
            <w:vAlign w:val="bottom"/>
            <w:tcBorders>
              <w:bottom w:val="single" w:sz="8" w:color="808080"/>
            </w:tcBorders>
          </w:tcPr>
          <w:p>
            <w:pPr>
              <w:spacing w:after="0"/>
              <w:rPr>
                <w:sz w:val="5"/>
                <w:szCs w:val="5"/>
                <w:color w:val="auto"/>
              </w:rPr>
            </w:pPr>
          </w:p>
        </w:tc>
      </w:tr>
      <w:tr>
        <w:trPr>
          <w:trHeight w:val="277"/>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First Quarter 2004 Earnings Release, dated April 21, 2004, of Cohu, Inc.</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18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April 21, 2004, Cohu, Inc. (the “Company”) issued a press release regarding its financial results for the quarter ended March 31, 2004. The Company’s press release is attached as Exhibit 99.1 to this Current Report on Form 8-K and incorporated by reference herein.</w:t>
      </w:r>
    </w:p>
    <w:p>
      <w:pPr>
        <w:spacing w:after="0" w:line="130"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60" w:type="dxa"/>
            <w:vAlign w:val="bottom"/>
            <w:gridSpan w:val="3"/>
          </w:tcPr>
          <w:p>
            <w:pPr>
              <w:ind w:left="3140"/>
              <w:spacing w:after="0"/>
              <w:rPr>
                <w:sz w:val="20"/>
                <w:szCs w:val="20"/>
                <w:color w:val="auto"/>
              </w:rPr>
            </w:pPr>
            <w:r>
              <w:rPr>
                <w:rFonts w:ascii="Arial" w:cs="Arial" w:eastAsia="Arial" w:hAnsi="Arial"/>
                <w:sz w:val="18"/>
                <w:szCs w:val="18"/>
                <w:color w:val="auto"/>
              </w:rPr>
              <w:t>COHU, INC.</w:t>
            </w:r>
          </w:p>
        </w:tc>
      </w:tr>
      <w:tr>
        <w:trPr>
          <w:trHeight w:val="439"/>
        </w:trPr>
        <w:tc>
          <w:tcPr>
            <w:tcW w:w="2160" w:type="dxa"/>
            <w:vAlign w:val="bottom"/>
            <w:gridSpan w:val="2"/>
          </w:tcPr>
          <w:p>
            <w:pPr>
              <w:spacing w:after="0"/>
              <w:rPr>
                <w:sz w:val="20"/>
                <w:szCs w:val="20"/>
                <w:color w:val="auto"/>
              </w:rPr>
            </w:pPr>
            <w:r>
              <w:rPr>
                <w:rFonts w:ascii="Arial" w:cs="Arial" w:eastAsia="Arial" w:hAnsi="Arial"/>
                <w:sz w:val="18"/>
                <w:szCs w:val="18"/>
                <w:color w:val="auto"/>
              </w:rPr>
              <w:t>Dated: April 21, 2004</w:t>
            </w:r>
          </w:p>
        </w:tc>
        <w:tc>
          <w:tcPr>
            <w:tcW w:w="400" w:type="dxa"/>
            <w:vAlign w:val="bottom"/>
          </w:tcPr>
          <w:p>
            <w:pPr>
              <w:spacing w:after="0"/>
              <w:rPr>
                <w:sz w:val="24"/>
                <w:szCs w:val="24"/>
                <w:color w:val="auto"/>
              </w:rPr>
            </w:pPr>
          </w:p>
        </w:tc>
        <w:tc>
          <w:tcPr>
            <w:tcW w:w="8860" w:type="dxa"/>
            <w:vAlign w:val="bottom"/>
            <w:gridSpan w:val="3"/>
          </w:tcPr>
          <w:p>
            <w:pPr>
              <w:ind w:left="3140"/>
              <w:spacing w:after="0"/>
              <w:rPr>
                <w:sz w:val="20"/>
                <w:szCs w:val="20"/>
                <w:color w:val="auto"/>
              </w:rPr>
            </w:pPr>
            <w:r>
              <w:rPr>
                <w:rFonts w:ascii="Arial" w:cs="Arial" w:eastAsia="Arial" w:hAnsi="Arial"/>
                <w:sz w:val="18"/>
                <w:szCs w:val="18"/>
                <w:color w:val="auto"/>
              </w:rPr>
              <w:t>By:   /s/ John H. Allen</w:t>
            </w:r>
          </w:p>
        </w:tc>
      </w:tr>
      <w:tr>
        <w:trPr>
          <w:trHeight w:val="215"/>
        </w:trPr>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240" w:type="dxa"/>
            <w:vAlign w:val="bottom"/>
            <w:tcBorders>
              <w:top w:val="single" w:sz="8" w:color="808080"/>
            </w:tcBorders>
            <w:gridSpan w:val="2"/>
          </w:tcPr>
          <w:p>
            <w:pPr>
              <w:spacing w:after="0"/>
              <w:rPr>
                <w:sz w:val="20"/>
                <w:szCs w:val="20"/>
                <w:color w:val="auto"/>
              </w:rPr>
            </w:pPr>
            <w:r>
              <w:rPr>
                <w:rFonts w:ascii="Arial" w:cs="Arial" w:eastAsia="Arial" w:hAnsi="Arial"/>
                <w:sz w:val="18"/>
                <w:szCs w:val="18"/>
                <w:color w:val="auto"/>
              </w:rPr>
              <w:t>John H. Allen</w:t>
            </w:r>
          </w:p>
        </w:tc>
      </w:tr>
      <w:tr>
        <w:trPr>
          <w:trHeight w:val="230"/>
        </w:trPr>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405"/>
        </w:trPr>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60" w:type="dxa"/>
            <w:vAlign w:val="bottom"/>
            <w:gridSpan w:val="3"/>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555"/>
        </w:trPr>
        <w:tc>
          <w:tcPr>
            <w:tcW w:w="14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24"/>
                <w:szCs w:val="24"/>
                <w:color w:val="auto"/>
              </w:rPr>
            </w:pPr>
          </w:p>
        </w:tc>
        <w:tc>
          <w:tcPr>
            <w:tcW w:w="8860" w:type="dxa"/>
            <w:vAlign w:val="bottom"/>
            <w:gridSpan w:val="3"/>
          </w:tcPr>
          <w:p>
            <w:pPr>
              <w:ind w:left="336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4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7420" w:type="dxa"/>
            <w:vAlign w:val="bottom"/>
            <w:tcBorders>
              <w:bottom w:val="single" w:sz="8" w:color="808080"/>
            </w:tcBorders>
            <w:gridSpan w:val="2"/>
          </w:tcPr>
          <w:p>
            <w:pPr>
              <w:spacing w:after="0"/>
              <w:rPr>
                <w:sz w:val="4"/>
                <w:szCs w:val="4"/>
                <w:color w:val="auto"/>
              </w:rPr>
            </w:pPr>
          </w:p>
        </w:tc>
        <w:tc>
          <w:tcPr>
            <w:tcW w:w="1440" w:type="dxa"/>
            <w:vAlign w:val="bottom"/>
          </w:tcPr>
          <w:p>
            <w:pPr>
              <w:spacing w:after="0"/>
              <w:rPr>
                <w:sz w:val="4"/>
                <w:szCs w:val="4"/>
                <w:color w:val="auto"/>
              </w:rPr>
            </w:pPr>
          </w:p>
        </w:tc>
      </w:tr>
      <w:tr>
        <w:trPr>
          <w:trHeight w:val="291"/>
        </w:trPr>
        <w:tc>
          <w:tcPr>
            <w:tcW w:w="2160" w:type="dxa"/>
            <w:vAlign w:val="bottom"/>
            <w:gridSpan w:val="2"/>
          </w:tcPr>
          <w:p>
            <w:pPr>
              <w:jc w:val="right"/>
              <w:ind w:right="128"/>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First Quarter 2004 Earnings Release, dated April 21, 2004, of Cohu, Inc.</w:t>
            </w:r>
          </w:p>
        </w:tc>
      </w:tr>
    </w:tbl>
    <w:p>
      <w:pPr>
        <w:sectPr>
          <w:pgSz w:w="11900" w:h="16838" w:orient="portrait"/>
          <w:cols w:equalWidth="0" w:num="1">
            <w:col w:w="11420"/>
          </w:cols>
          <w:pgMar w:left="240" w:top="419" w:right="239"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COHU REPORTS FIRST QUARTER 2004 OPERATING RESULTS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POWAY, Calif., April 21, 2004 -- Cohu, Inc. (NASDAQ:COHU) today announced that sales were $35.9 million for the first quarter ended March 31, 2004 compared to $31.1 million for the first quarter of 2003 and $40.9 million for the fourth quarter of 2003. During the fourth quarter of 2003, Cohu obtained customer acceptance and was able to recognize most of the revenue associated with shipments of our newest IC test handler, the Delta EDGE, resulting in increased sales in the fourth quarter. Net income for the first quarter of 2004 was $2.1 million, or $0.10 per share compared to a net loss of $1.4 million or $0.07 per share for the first quarter of 2003 and a net loss of $2.2 million or $0.10 per share for the fourth quarter of 2003. The net loss in the fourth quarter of 2003 resulted from a non-cash charge for a deferred tax asset valuation allowance recorded pursuant to accounting requirements.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Orders for the first quarter of 2004 were $58.2 million compared to $35.5 million for the fourth quarter of 2003. Backlog was $59.8 million at March 31, 2004 compared to $37.5 million at December 31, 2003. First quarter 2004 sales of semiconductor test handling equipment accounted for 80% of total sales. Sales of television cameras and related equipment were 13% of sales and metal detection and microwave communications equipment contributed 7% of sales.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James A. Donahue, President and Chief Executive Officer, stated, "Cohu is pleased to return to profitability and report solid results for the first quarter of 2004. Our improved performance was led by Delta Design, Cohu's semiconductor test handling equipment business. Delta's orders were $50 million, an increase of 77% over Q4 2003 and the highest level in fourteen quarters. Order momentum accelerated as the quarter progressed, across an expanding number of customers. Handler unit orders increased 68% during the quarter, following a 53% increase in the preceding quarter."</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"Cohu's results are consistent with increasing evidence that a recovery from the sharp downturn in the semiconductor industry is underway. We are seeing strong and steady demand for our proprietary thermal handling systems, as well as an increase in orders for general purpose pick and place test handling equipment. Customers, who have been extremely cautious with capital spending for the last several years, are increasingly making decisions to add production capacity."</w:t>
      </w:r>
    </w:p>
    <w:p>
      <w:pPr>
        <w:spacing w:after="0" w:line="186"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Donahue concluded, "Cohu's balance sheet remains strong, with a record $116.8 million in cash and no debt. We are well positioned to benefit from continued improvement in business conditions."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matters discussed in this release including statements concerning Cohu's expectations of industry conditions and 2004 operations are forward-looking statements that are subject to risks and uncertainties that could cause actual results to differ materially from those projected or forecasted. Such risks and uncertainties include, but are not limited to, the concentration of our revenues in a limited number of customers; intense competition in the semiconductor test handler industry; inventory write-offs; failure to obtain customer acceptance and recognize revenue; the cyclical and unpredictable nature of capital expenditures by semiconductor manufacturers; Cohu's ability to convert new products under development into production on a timely basis, support product development and meet customer delivery and acceptance requirements for next generation equipment;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38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Cohu is a leading supplier of test handling solutions used by the global semiconductor industry as well as a supplier of closed circuit television, metal detection and microwave communications equipment.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will be conducting their conference call on Wednesday, April 21, 2004 at</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2:00 p.m. Pacific Time. The call will be webcast at www.cohu.com. Replays of the call can be accessed at www.cohu.com.</w:t>
      </w:r>
    </w:p>
    <w:p>
      <w:pPr>
        <w:sectPr>
          <w:pgSz w:w="11900" w:h="16838" w:orient="portrait"/>
          <w:cols w:equalWidth="0" w:num="1">
            <w:col w:w="10219"/>
          </w:cols>
          <w:pgMar w:left="240" w:top="3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rPr>
          <w:sz w:val="20"/>
          <w:szCs w:val="20"/>
          <w:color w:val="auto"/>
        </w:rPr>
      </w:pPr>
      <w:r>
        <w:rPr>
          <w:rFonts w:ascii="Courier New" w:cs="Courier New" w:eastAsia="Courier New" w:hAnsi="Courier New"/>
          <w:sz w:val="18"/>
          <w:szCs w:val="18"/>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4"/>
          </w:tcPr>
          <w:p>
            <w:pPr>
              <w:ind w:left="280"/>
              <w:spacing w:after="0"/>
              <w:rPr>
                <w:sz w:val="20"/>
                <w:szCs w:val="20"/>
                <w:color w:val="auto"/>
              </w:rPr>
            </w:pPr>
            <w:r>
              <w:rPr>
                <w:rFonts w:ascii="Courier New" w:cs="Courier New" w:eastAsia="Courier New" w:hAnsi="Courier New"/>
                <w:sz w:val="18"/>
                <w:szCs w:val="18"/>
                <w:color w:val="auto"/>
              </w:rPr>
              <w:t>QUARTERS ENDED MARCH 31,</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w w:val="81"/>
              </w:rPr>
              <w:t>Net sales ........................................................</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35,939</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31,079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80"/>
              </w:rPr>
              <w:t>Cost of sales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21,017</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20,696</w:t>
            </w:r>
          </w:p>
        </w:tc>
      </w:tr>
      <w:tr>
        <w:trPr>
          <w:trHeight w:val="203"/>
        </w:trPr>
        <w:tc>
          <w:tcPr>
            <w:tcW w:w="5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80"/>
              </w:rPr>
              <w:t>Research and development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6,184</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6,938</w:t>
            </w:r>
          </w:p>
        </w:tc>
      </w:tr>
      <w:tr>
        <w:trPr>
          <w:trHeight w:val="203"/>
        </w:trPr>
        <w:tc>
          <w:tcPr>
            <w:tcW w:w="5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80"/>
              </w:rPr>
              <w:t>Selling, general and administrative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6,860</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5,915</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34,061</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33,549</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Income (loss) from operations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1,878</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(2,470)</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Interest income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620</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Income (loss) before income taxes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2,498</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Income tax provision (benefit)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Net income (loss)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2,098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(1,370)</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per share: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0"/>
              </w:rPr>
              <w:t>Basic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0"/>
              </w:rPr>
              <w:t>Diluted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405"/>
        </w:trPr>
        <w:tc>
          <w:tcPr>
            <w:tcW w:w="7020" w:type="dxa"/>
            <w:vAlign w:val="bottom"/>
            <w:gridSpan w:val="3"/>
          </w:tcPr>
          <w:p>
            <w:pPr>
              <w:spacing w:after="0"/>
              <w:rPr>
                <w:sz w:val="20"/>
                <w:szCs w:val="20"/>
                <w:color w:val="auto"/>
              </w:rPr>
            </w:pPr>
            <w:r>
              <w:rPr>
                <w:rFonts w:ascii="Courier New" w:cs="Courier New" w:eastAsia="Courier New" w:hAnsi="Courier New"/>
                <w:sz w:val="18"/>
                <w:szCs w:val="18"/>
                <w:color w:val="auto"/>
                <w:w w:val="98"/>
              </w:rPr>
              <w:t>Weighted average shares used in computing income (loss) per share: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0"/>
              </w:rPr>
              <w:t>Basic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21,419</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20,912</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0"/>
              </w:rPr>
              <w:t>Diluted ........................................................</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22,075</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20,912</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0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(unaudited)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013"/>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MARCH 31,</w:t>
            </w:r>
          </w:p>
        </w:tc>
        <w:tc>
          <w:tcPr>
            <w:tcW w:w="1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December 31,</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300" w:type="dxa"/>
            <w:vAlign w:val="bottom"/>
          </w:tcPr>
          <w:p>
            <w:pPr>
              <w:spacing w:after="0"/>
              <w:rPr>
                <w:sz w:val="17"/>
                <w:szCs w:val="17"/>
                <w:color w:val="auto"/>
              </w:rPr>
            </w:pPr>
          </w:p>
        </w:tc>
        <w:tc>
          <w:tcPr>
            <w:tcW w:w="154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investments .........................</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116,799</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107,620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32,062</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25,578</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33,254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31,636</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taxes and other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6,766</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6,704</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188,881</w:t>
            </w:r>
          </w:p>
        </w:tc>
        <w:tc>
          <w:tcPr>
            <w:tcW w:w="300" w:type="dxa"/>
            <w:vAlign w:val="bottom"/>
          </w:tcPr>
          <w:p>
            <w:pPr>
              <w:spacing w:after="0"/>
              <w:rPr>
                <w:sz w:val="17"/>
                <w:szCs w:val="17"/>
                <w:color w:val="auto"/>
              </w:rPr>
            </w:pPr>
          </w:p>
        </w:tc>
        <w:tc>
          <w:tcPr>
            <w:tcW w:w="15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171,538</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receivable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8,978</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&amp; equipment, net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30,603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30,683</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8,340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1,082</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1,191</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 ..............................</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228,906</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220,730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&amp; Stockholders' Equity:</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profit ..............................</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6,929</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4,132</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26,188</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22,685</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33,117</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26,817</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and other noncurrent liabilities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1,678</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1,683</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194,111</w:t>
            </w:r>
          </w:p>
        </w:tc>
        <w:tc>
          <w:tcPr>
            <w:tcW w:w="300" w:type="dxa"/>
            <w:vAlign w:val="bottom"/>
          </w:tcPr>
          <w:p>
            <w:pPr>
              <w:spacing w:after="0"/>
              <w:rPr>
                <w:sz w:val="17"/>
                <w:szCs w:val="17"/>
                <w:color w:val="auto"/>
              </w:rPr>
            </w:pPr>
          </w:p>
        </w:tc>
        <w:tc>
          <w:tcPr>
            <w:tcW w:w="15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192,230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&amp; equity ................</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228,906</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220,730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80"/>
        <w:spacing w:after="0" w:line="235" w:lineRule="auto"/>
        <w:rPr>
          <w:sz w:val="20"/>
          <w:szCs w:val="20"/>
          <w:color w:val="auto"/>
        </w:rPr>
      </w:pPr>
      <w:r>
        <w:rPr>
          <w:rFonts w:ascii="Courier New" w:cs="Courier New" w:eastAsia="Courier New" w:hAnsi="Courier New"/>
          <w:sz w:val="18"/>
          <w:szCs w:val="18"/>
          <w:color w:val="auto"/>
        </w:rPr>
        <w:t>For press releases and other information of interest to investors, please visit Cohu's website at www.cohu.com</w:t>
      </w:r>
    </w:p>
    <w:p>
      <w:pPr>
        <w:sectPr>
          <w:pgSz w:w="11900" w:h="16838" w:orient="portrait"/>
          <w:cols w:equalWidth="0" w:num="1">
            <w:col w:w="10220"/>
          </w:cols>
          <w:pgMar w:left="240" w:top="514" w:right="1439"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Contact: John Allen - Investor Relations (858) 848-8106</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2019-12-12T22:42:11Z</dcterms:created>
  <dcterms:modified xsi:type="dcterms:W3CDTF">2019-12-12T22:42:11Z</dcterms:modified>
</cp:coreProperties>
</file>