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July 28, 2022</w:t>
            </w:r>
          </w:p>
        </w:tc>
      </w:tr>
      <w:tr>
        <w:trPr>
          <w:trHeight w:val="73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3"/>
          </w:tcPr>
          <w:p>
            <w:pPr>
              <w:jc w:val="center"/>
              <w:ind w:right="620"/>
              <w:spacing w:after="0"/>
              <w:rPr>
                <w:sz w:val="20"/>
                <w:szCs w:val="20"/>
                <w:color w:val="auto"/>
              </w:rPr>
            </w:pPr>
            <w:r>
              <w:rPr>
                <w:rFonts w:ascii="Times New Roman" w:cs="Times New Roman" w:eastAsia="Times New Roman" w:hAnsi="Times New Roman"/>
                <w:sz w:val="43"/>
                <w:szCs w:val="43"/>
                <w:color w:val="auto"/>
                <w:w w:val="99"/>
              </w:rPr>
              <w:t>Cohu, Inc.</w:t>
            </w:r>
          </w:p>
        </w:tc>
        <w:tc>
          <w:tcPr>
            <w:tcW w:w="3600" w:type="dxa"/>
            <w:vAlign w:val="bottom"/>
          </w:tcPr>
          <w:p>
            <w:pPr>
              <w:spacing w:after="0"/>
              <w:rPr>
                <w:sz w:val="24"/>
                <w:szCs w:val="24"/>
                <w:color w:val="auto"/>
              </w:rPr>
            </w:pPr>
          </w:p>
        </w:tc>
      </w:tr>
      <w:tr>
        <w:trPr>
          <w:trHeight w:val="246"/>
        </w:trPr>
        <w:tc>
          <w:tcPr>
            <w:tcW w:w="3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479"/>
        </w:trPr>
        <w:tc>
          <w:tcPr>
            <w:tcW w:w="3620" w:type="dxa"/>
            <w:vAlign w:val="bottom"/>
          </w:tcPr>
          <w:p>
            <w:pPr>
              <w:spacing w:after="0"/>
              <w:rPr>
                <w:sz w:val="24"/>
                <w:szCs w:val="24"/>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4"/>
                <w:szCs w:val="24"/>
                <w:color w:val="auto"/>
              </w:rPr>
            </w:pPr>
          </w:p>
        </w:tc>
      </w:tr>
      <w:tr>
        <w:trPr>
          <w:trHeight w:val="4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40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001-04298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95-1934119</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12367 Crosthwaite Circle, Poway, California</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92064</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858-848-8100</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code:</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51435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200" w:type="dxa"/>
            <w:vAlign w:val="bottom"/>
          </w:tcPr>
          <w:p>
            <w:pPr>
              <w:spacing w:after="0"/>
              <w:rPr>
                <w:sz w:val="24"/>
                <w:szCs w:val="24"/>
                <w:color w:val="auto"/>
              </w:rPr>
            </w:pPr>
          </w:p>
        </w:tc>
        <w:tc>
          <w:tcPr>
            <w:tcW w:w="334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42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0"/>
        </w:trPr>
        <w:tc>
          <w:tcPr>
            <w:tcW w:w="1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54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400" w:type="dxa"/>
            <w:vAlign w:val="bottom"/>
          </w:tcPr>
          <w:p>
            <w:pPr>
              <w:spacing w:after="0"/>
              <w:rPr>
                <w:sz w:val="20"/>
                <w:szCs w:val="20"/>
                <w:color w:val="auto"/>
              </w:rPr>
            </w:pPr>
          </w:p>
        </w:tc>
        <w:tc>
          <w:tcPr>
            <w:tcW w:w="302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rPr>
              <w:t>COHU</w:t>
            </w:r>
          </w:p>
        </w:tc>
        <w:tc>
          <w:tcPr>
            <w:tcW w:w="2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July 28, 2022, Cohu, Inc. (the “Company”) issued a press release regarding its financial results for the second quarter ended June 25, 2022. The Company’s press release is attached as Exhibit 99.1 to this Current Report on Form 8-K and incorporated by reference herein.</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Included within this current report are non-GAAP financial measures, including non-GAAP Gross Margin/Profit, Income and Income (adjusted earnings) per share, Operating Income, Operating Expense, effective tax rate, free cash flow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gain on sale of business, employer payroll taxes related to accelerated vesting share-based awards, depreciation of purchase accounting adjustments to property, plant and equipment, amortization of cloud-based software implementation costs (Adjusted EBITDA only) and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current report may be considered forward-looking statements within the meaning of the U.S. Private Securities Litigation Reform Act of 1995, including statements regarding tester design wins and growth, backlog expected to ship over multiple quarters, estimated test cell utilization, increasing demand for our products, opportunities for our Diamondx tester, expansion in contactor/interface products, ongoing qualifications for DI-Core, diversifying the tester business, on pace to achieve our mid-term financial targets (mid-term means a 3-5 year time horizon), progressing to increase gross margins, insourcing contactor manufacturing, a balanced and resilient business model, Cohu’s FY2022 outlook, % of incremental revenue expected to fall to operating income, estimated systems versus recurring sales, Cohu’s third quarter 2022 sales forecast, guidance, sales mix, non-GAAP operating expenses, gross margin, operating income, adjusted EBITDA, effective tax rate, free cash flow, cap ex, cash and shares outstanding, estimated minimum cash needed, estimated EBITDA breakeven point,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political and economic instability and adverse worldwide impacts resulting from the military incursion into Ukraine by Russia, including potential energy shortages in Europe; the ongoing global COVID-19 pandemic and its impact on our operations and the operations of our key suppliers, customers and other business partners; we are making investments in new products and product enhancements, which may adversely affect our operating results and these investments may not be commercially successful; we have manufacturing operations in Asia and any failure to effectively manage multiple manufacturing sites and to secure raw materials meeting our quality, cost and other requirements, or failures by our suppliers to perform, could harm our sales, service levels and reputation; any failure to perform or unexpected downtime experienced by our sole contract manufacturer for certain semiconductor automated test equipment; any failure of critical suppliers to deliver sufficient quantities of parts in a timely and cost-effective manner, including ongoing shortages of semiconductor devices used in our system products; continued high inflation; we may not be able to increase prices to fully offset inflationary pressures on costs, such as raw and packaging materials, components and subassemblies, labor and distribution costs; the semiconductor industry we serve is seasonal, cyclical,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inherent uncertainty of backlog wherein customers may delay shipments or cancel orders; majority of our revenues are generated from exports to foreign countries, primarily in Asia, that are subject to economic and political instability and we compete against a number of Asia-based test contactor, test handler and automated test equipment suppliers; we are exposed to the risks of operating in certain foreign locations from where Cohu manufactures certain products, and supports our sales and services to the global semiconductor industry; increasingly restrictive trade and export regulations may materially harm or limit Cohu’s business and ability to sell its products; the remaining indebtedness in connection with our financing of the Xcerra acquisition may have an adverse impact on Cohu’s liquidity, access to capital and business flexibility; we are exposed to other risks associated with additional potential acquisitions, investments and divestitures such as integration difficulties, disruption to our core business, dilution of stockholder value, and diversion of management attention; our financial and operating results may vary and fall below analysts’ estimates, or credit rating agencies may change their ratings on Cohu, any of which may cause the price of our common stock to decline or make it difficult to obtain other financing; we have experienced significant volatility in our stock price; there may be changes in, and uncertainty with respect to, legislation, regulation and governmental policy in the United States; and impacts in the event of a cybersecurity breach.</w:t>
      </w:r>
    </w:p>
    <w:p>
      <w:pPr>
        <w:spacing w:after="0" w:line="2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p>
      <w:pPr>
        <w:ind w:right="9920" w:firstLine="8"/>
        <w:spacing w:after="0" w:line="50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 No. - 99.1</w:t>
      </w:r>
    </w:p>
    <w:p>
      <w:pPr>
        <w:spacing w:after="0" w:line="1" w:lineRule="exact"/>
        <w:rPr>
          <w:rFonts w:ascii="Times New Roman" w:cs="Times New Roman" w:eastAsia="Times New Roman" w:hAnsi="Times New Roman"/>
          <w:sz w:val="18"/>
          <w:szCs w:val="18"/>
          <w:color w:val="auto"/>
        </w:rPr>
      </w:pPr>
    </w:p>
    <w:p>
      <w:pPr>
        <w:ind w:right="58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Second Quarter 2022 Earnings Release, dated July 28, 2022, of Cohu, Inc. </w:t>
      </w:r>
      <w:r>
        <w:rPr>
          <w:rFonts w:ascii="Times New Roman" w:cs="Times New Roman" w:eastAsia="Times New Roman" w:hAnsi="Times New Roman"/>
          <w:sz w:val="18"/>
          <w:szCs w:val="18"/>
          <w:color w:val="000000"/>
        </w:rPr>
        <w:t>Exhibit No. - 104</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Cohu, Inc.</w:t>
      </w:r>
    </w:p>
    <w:p>
      <w:pPr>
        <w:spacing w:after="0" w:line="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July 28, 2022</w:t>
      </w:r>
      <w:r>
        <w:rPr>
          <w:sz w:val="20"/>
          <w:szCs w:val="20"/>
          <w:color w:val="auto"/>
        </w:rPr>
        <w:tab/>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 xml:space="preserv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Title: Senior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32"/>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Second Quarter 2022 Earnings Release, dated July 28, 2022, of Cohu, Inc.</w:t>
            </w: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240"/>
          </w:cols>
          <w:pgMar w:left="320" w:top="58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156845</wp:posOffset>
            </wp:positionV>
            <wp:extent cx="3162935" cy="1586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6293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COHU, INC.</w:t>
      </w:r>
    </w:p>
    <w:p>
      <w:pPr>
        <w:spacing w:after="0" w:line="2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12367 CROSTHWAITE CIRCLE</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POWAY, CA 92064</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FAX (858) 848-8185</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PHONE (858) 858-8100</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www.cohu.com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Reports Second Quarter 2022 Results</w:t>
      </w:r>
    </w:p>
    <w:p>
      <w:pPr>
        <w:spacing w:after="0" w:line="227" w:lineRule="exact"/>
        <w:rPr>
          <w:sz w:val="20"/>
          <w:szCs w:val="20"/>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 quarter revenue $217.2 million, up 9.8% quarter-over-quarter</w:t>
      </w:r>
    </w:p>
    <w:p>
      <w:pPr>
        <w:spacing w:after="0" w:line="22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 of 46.5%; non-GAAP gross margin of 46.5%</w:t>
      </w:r>
    </w:p>
    <w:p>
      <w:pPr>
        <w:spacing w:after="0" w:line="9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Leading U.S. semiconductor manufacturer selected Diamond</w:t>
      </w:r>
      <w:r>
        <w:rPr>
          <w:rFonts w:ascii="Times New Roman" w:cs="Times New Roman" w:eastAsia="Times New Roman" w:hAnsi="Times New Roman"/>
          <w:sz w:val="29"/>
          <w:szCs w:val="29"/>
          <w:i w:val="1"/>
          <w:iCs w:val="1"/>
          <w:color w:val="auto"/>
          <w:vertAlign w:val="subscript"/>
        </w:rPr>
        <w:t>x</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POWAY, Calif., July 28, 2022 -- Cohu, Inc. (NASDAQ: COHU), a global leader in back-end semiconductor equipment and services, today reported fiscal 2022 second quarter net sales of $217.2 million and GAAP income of $28.8 million or $0.59 per share. Net sales for the first six months of 2022 were $415.0 million and GAAP income was $50.3 million or $1.02 per share.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Cohu also reported non-GAAP results, with second quarter 2022 income of $39.7 million or $0.81 per share and income of $72.3 million or $1.47 per share for the first six months of 2022.</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66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Q2 FY</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Q1 FY</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Q2 FY</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6 Months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6 Months</w:t>
            </w:r>
          </w:p>
        </w:tc>
        <w:tc>
          <w:tcPr>
            <w:tcW w:w="0" w:type="dxa"/>
            <w:vAlign w:val="bottom"/>
          </w:tcPr>
          <w:p>
            <w:pPr>
              <w:spacing w:after="0"/>
              <w:rPr>
                <w:sz w:val="1"/>
                <w:szCs w:val="1"/>
                <w:color w:val="auto"/>
              </w:rPr>
            </w:pPr>
          </w:p>
        </w:tc>
      </w:tr>
      <w:tr>
        <w:trPr>
          <w:trHeight w:val="238"/>
        </w:trPr>
        <w:tc>
          <w:tcPr>
            <w:tcW w:w="36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lef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217.2</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470.3</w:t>
            </w:r>
          </w:p>
        </w:tc>
        <w:tc>
          <w:tcPr>
            <w:tcW w:w="0" w:type="dxa"/>
            <w:vAlign w:val="bottom"/>
          </w:tcPr>
          <w:p>
            <w:pPr>
              <w:spacing w:after="0"/>
              <w:rPr>
                <w:sz w:val="1"/>
                <w:szCs w:val="1"/>
                <w:color w:val="auto"/>
              </w:rPr>
            </w:pPr>
          </w:p>
        </w:tc>
      </w:tr>
      <w:tr>
        <w:trPr>
          <w:trHeight w:val="216"/>
        </w:trPr>
        <w:tc>
          <w:tcPr>
            <w:tcW w:w="3660" w:type="dxa"/>
            <w:vAlign w:val="bottom"/>
            <w:tcBorders>
              <w:lef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16"/>
        </w:trPr>
        <w:tc>
          <w:tcPr>
            <w:tcW w:w="3660" w:type="dxa"/>
            <w:vAlign w:val="bottom"/>
            <w:tcBorders>
              <w:lef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per share</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3"/>
        </w:trPr>
        <w:tc>
          <w:tcPr>
            <w:tcW w:w="366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Non-GAAP Results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6 Months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6 Months</w:t>
            </w:r>
          </w:p>
        </w:tc>
        <w:tc>
          <w:tcPr>
            <w:tcW w:w="0" w:type="dxa"/>
            <w:vAlign w:val="bottom"/>
          </w:tcPr>
          <w:p>
            <w:pPr>
              <w:spacing w:after="0"/>
              <w:rPr>
                <w:sz w:val="1"/>
                <w:szCs w:val="1"/>
                <w:color w:val="auto"/>
              </w:rPr>
            </w:pPr>
          </w:p>
        </w:tc>
      </w:tr>
      <w:tr>
        <w:trPr>
          <w:trHeight w:val="168"/>
        </w:trPr>
        <w:tc>
          <w:tcPr>
            <w:tcW w:w="3660" w:type="dxa"/>
            <w:vAlign w:val="bottom"/>
            <w:tcBorders>
              <w:lef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6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740" w:type="dxa"/>
            <w:vAlign w:val="bottom"/>
          </w:tcPr>
          <w:p>
            <w:pPr>
              <w:spacing w:after="0"/>
              <w:rPr>
                <w:sz w:val="20"/>
                <w:szCs w:val="20"/>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Q2 FY 2022</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Q1 FY 2022</w:t>
            </w:r>
          </w:p>
        </w:tc>
        <w:tc>
          <w:tcPr>
            <w:tcW w:w="100" w:type="dxa"/>
            <w:vAlign w:val="bottom"/>
          </w:tcPr>
          <w:p>
            <w:pPr>
              <w:spacing w:after="0"/>
              <w:rPr>
                <w:sz w:val="20"/>
                <w:szCs w:val="20"/>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Q2 FY 2021</w:t>
            </w:r>
          </w:p>
        </w:tc>
        <w:tc>
          <w:tcPr>
            <w:tcW w:w="14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6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lef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4"/>
        </w:trPr>
        <w:tc>
          <w:tcPr>
            <w:tcW w:w="3660" w:type="dxa"/>
            <w:vAlign w:val="bottom"/>
            <w:tcBorders>
              <w:lef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Net income per share</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94"/>
        </w:trPr>
        <w:tc>
          <w:tcPr>
            <w:tcW w:w="366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-1561465</wp:posOffset>
            </wp:positionV>
            <wp:extent cx="675513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-1287145</wp:posOffset>
            </wp:positionV>
            <wp:extent cx="675513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-284480</wp:posOffset>
            </wp:positionV>
            <wp:extent cx="675513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5130" cy="137160"/>
                    </a:xfrm>
                    <a:prstGeom prst="rect">
                      <a:avLst/>
                    </a:prstGeom>
                    <a:noFill/>
                  </pic:spPr>
                </pic:pic>
              </a:graphicData>
            </a:graphic>
          </wp:anchor>
        </w:drawing>
      </w:r>
    </w:p>
    <w:p>
      <w:pPr>
        <w:spacing w:after="0" w:line="174" w:lineRule="exact"/>
        <w:rPr>
          <w:sz w:val="20"/>
          <w:szCs w:val="20"/>
          <w:color w:val="auto"/>
        </w:rPr>
      </w:pPr>
    </w:p>
    <w:p>
      <w:pPr>
        <w:jc w:val="both"/>
        <w:ind w:right="660"/>
        <w:spacing w:after="0" w:line="282" w:lineRule="auto"/>
        <w:rPr>
          <w:sz w:val="20"/>
          <w:szCs w:val="20"/>
          <w:color w:val="auto"/>
        </w:rPr>
      </w:pPr>
      <w:r>
        <w:rPr>
          <w:rFonts w:ascii="Times New Roman" w:cs="Times New Roman" w:eastAsia="Times New Roman" w:hAnsi="Times New Roman"/>
          <w:sz w:val="18"/>
          <w:szCs w:val="18"/>
          <w:color w:val="auto"/>
        </w:rPr>
        <w:t>Total cash and investments at the end of second quarter 2022 were $368.1 million and our Term Loan B principal amount was $79.3 million. Cohu repurchased 504,102 shares of its common stock in the second quarter for an aggregate amount of $14.0 million.</w:t>
      </w:r>
    </w:p>
    <w:p>
      <w:pPr>
        <w:spacing w:after="0" w:line="162" w:lineRule="exact"/>
        <w:rPr>
          <w:sz w:val="20"/>
          <w:szCs w:val="20"/>
          <w:color w:val="auto"/>
        </w:rPr>
      </w:pPr>
    </w:p>
    <w:p>
      <w:pPr>
        <w:ind w:right="100"/>
        <w:spacing w:after="0" w:line="222" w:lineRule="exact"/>
        <w:rPr>
          <w:sz w:val="20"/>
          <w:szCs w:val="20"/>
          <w:color w:val="auto"/>
        </w:rPr>
      </w:pPr>
      <w:r>
        <w:rPr>
          <w:rFonts w:ascii="Times New Roman" w:cs="Times New Roman" w:eastAsia="Times New Roman" w:hAnsi="Times New Roman"/>
          <w:sz w:val="18"/>
          <w:szCs w:val="18"/>
          <w:color w:val="auto"/>
        </w:rPr>
        <w:t>“We reported another outstanding quarter with gross margin progressing toward our mid-term target financial model and benefiting from growth of our semiconductor test business and increased insourcing of contactor manufacturing. With test cell utilization estimated at approximately 84% and our recurring revenue at 39% of second quarter revenue, Cohu continues to build a well-balanced and resilient business model,” said Cohu President and CEO Luis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 “We continue to capture new customers and diversify our tester business with increased penetration of Diamond</w:t>
      </w: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8"/>
          <w:szCs w:val="18"/>
          <w:color w:val="auto"/>
        </w:rPr>
        <w:t xml:space="preserve"> across mid-range mixed signal customers.”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expects third quarter 2022 sales to be between $198 million and $212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The Company will host a live conference call and webcast with slides to discuss second quarter 2022 results at 1:25 p.m. Pacific Time/4:25 p.m. Eastern Time on July 28, 2022. Interested parties may listen live via webcast on Cohu’s investor relations website at </w:t>
      </w:r>
      <w:r>
        <w:rPr>
          <w:rFonts w:ascii="Times New Roman" w:cs="Times New Roman" w:eastAsia="Times New Roman" w:hAnsi="Times New Roman"/>
          <w:sz w:val="18"/>
          <w:szCs w:val="18"/>
          <w:u w:val="single" w:color="auto"/>
          <w:color w:val="auto"/>
        </w:rPr>
        <w:t>https://cohu.gcs-web.com/news-events/event-calendar</w:t>
      </w:r>
      <w:r>
        <w:rPr>
          <w:rFonts w:ascii="Times New Roman" w:cs="Times New Roman" w:eastAsia="Times New Roman" w:hAnsi="Times New Roman"/>
          <w:sz w:val="18"/>
          <w:szCs w:val="18"/>
          <w:color w:val="auto"/>
        </w:rPr>
        <w:t>. To participate via telephone and join the call live, please register in advance</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https://register.vevent.com/register/BI0bf4c05ab99f4800b14c0560949325e1</w:t>
      </w:r>
      <w:r>
        <w:rPr>
          <w:rFonts w:ascii="Times New Roman" w:cs="Times New Roman" w:eastAsia="Times New Roman" w:hAnsi="Times New Roman"/>
          <w:sz w:val="18"/>
          <w:szCs w:val="18"/>
          <w:color w:val="auto"/>
        </w:rPr>
        <w:t xml:space="preserve"> to receive the dial-in number along with a unique PIN number that can be used to access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Cohu (NASDAQ: COHU) is a global leader in back-end semiconductor equipment and services, delivering leading-edge solutions for the manufacturing of semiconductors.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Included within this press release and accompanying materials are non-GAAP financial measures, including non-GAAP Gross Margin/Profit, Income and Income (adjusted earnings) per share, Operating Income, Operating Expense, effective tax rate, free cash flow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gain on sale of business, employer payroll taxes related to accelerated vesting share-based awards, depreciation of purchase accounting adjustments to property, plant and equipment, amortization of cloud-based software implementation costs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and loss on extinguishment of debt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release and accompanying materials may be considered forward-looking statements within the meaning of the U.S. Private Securities Litigation Reform Act of 1995, including statements regarding tester design wins and growth, backlog expected to ship over multiple quarters, estimated test cell utilization, increasing demand for our products, opportunities for our Diamondx tester, expansion in contactor/interface products, ongoing qualifications for DI-Core, diversifying the tester business, on pace to achieve our mid-term financial targets (mid-term means a 3-5 year time horizon), progressing to increase gross margins, insourcing contactor manufacturing, a balanced and resilient business model, Cohu’s FY2022 outlook, % of incremental revenue expected to fall to operating income, estimated systems versus recurring sales, Cohu’s third quarter 2022 sales forecast, guidance, sales mix, non-GAAP operating expenses, gross margin, operating income, adjusted EBITDA, effective tax rate, free cash flow, cap ex, cash and shares outstanding, estimated minimum cash needed, estimated EBITDA breakeven point,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political and economic instability and adverse worldwide impacts resulting from the military incursion into Ukraine by Russia, including potential energy shortages in Europe; the ongoing global COVID-19 pandemic and its impact on our operations and the operations of our key suppliers, customers and other business partners; we are making investments in new products and product enhancements, which may adversely affect our operating results and these investments may not be commercially successful; we have manufacturing operations in Asia and any failure to effectively manage multiple manufacturing sites and to secure raw materials meeting our quality, cost and other requirements, or failures by our suppliers to perform, could harm our sales, service levels and reputation; any failure to perform or unexpected downtime experienced by our sole contract manufacturer for certain semiconductor automated test equipment; any failure of critical suppliers to deliver sufficient quantities of parts in a timely and cost-effective manner, including ongoing shortages of semiconductor devices used in our system products; continued high inflation; we may not be able to increase prices to fully offset inflationary pressures on costs, such as raw and packaging materials, components and subassemblies, labor and distribution costs; the semiconductor industry we serve is seasonal, cyclical,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inherent uncertainty of backlog wherein customers may delay shipments or cancel orders; majority of our revenues are generated from exports to foreign countries, primarily in Asia, that are subject to economic and political instability and we compete against a number of Asia-based test contactor, test handler and automated test equipment suppliers; we are exposed to the risks of operating in certain foreign locations from where Cohu manufactures certain products, and supports our sales and services to the global semiconductor industry; increasingly restrictive trade and export regulations may materially harm or limit Cohu’s business and ability to sell its products; the remaining indebtedness in connection with our financing of the Xcerra acquisition may have an adverse impact on Cohu’s liquidity, access to capital and business flexibility; we are exposed to other risks associated with additional potential acquisitions, investments and divestitures such as integration difficulties, disruption to our core business, dilution of stockholder value, and diversion of management attention; our financial and operating results may vary and fall below analysts’ estimates, or credit rating agencies may change their ratings on Cohu, any of which may cause the price of our common stock to decline or make it difficult to obtain other financing; we have experienced significant volatility in our stock price; there may be changes in, and uncertainty with respect to, legislation, regulation and governmental policy in the United States; and impacts in the event of a cybersecurity breach.</w:t>
      </w:r>
    </w:p>
    <w:p>
      <w:pPr>
        <w:spacing w:after="0" w:line="2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press releases and other information of interest to investors, please visit Cohu’s website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ectPr>
          <w:pgSz w:w="11900" w:h="16838" w:orient="portrait"/>
          <w:cols w:equalWidth="0" w:num="1">
            <w:col w:w="11240"/>
          </w:cols>
          <w:pgMar w:left="320" w:top="576" w:right="3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 xml:space="preserve">Three Months Ended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4"/>
                <w:szCs w:val="24"/>
                <w:color w:val="auto"/>
              </w:rPr>
            </w:pPr>
          </w:p>
        </w:tc>
        <w:tc>
          <w:tcPr>
            <w:tcW w:w="24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 xml:space="preserve">Six Months Ended </w:t>
            </w:r>
            <w:r>
              <w:rPr>
                <w:rFonts w:ascii="Times New Roman" w:cs="Times New Roman" w:eastAsia="Times New Roman" w:hAnsi="Times New Roman"/>
                <w:sz w:val="29"/>
                <w:szCs w:val="29"/>
                <w:color w:val="auto"/>
                <w:vertAlign w:val="superscript"/>
              </w:rPr>
              <w:t>(1)</w:t>
            </w:r>
          </w:p>
        </w:tc>
      </w:tr>
      <w:tr>
        <w:trPr>
          <w:trHeight w:val="229"/>
        </w:trPr>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25,</w:t>
            </w: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June 26,</w:t>
            </w:r>
          </w:p>
        </w:tc>
        <w:tc>
          <w:tcPr>
            <w:tcW w:w="16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June 26,</w:t>
            </w:r>
          </w:p>
        </w:tc>
      </w:tr>
      <w:tr>
        <w:trPr>
          <w:trHeight w:val="238"/>
        </w:trPr>
        <w:tc>
          <w:tcPr>
            <w:tcW w:w="5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r>
      <w:tr>
        <w:trPr>
          <w:trHeight w:val="210"/>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217,226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244,803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414,983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470,291</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(excluding amortization)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140,146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222,874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263,429</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23,423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46,266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46,575</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63,777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65,458</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9,045</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16,876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18,289</w:t>
            </w:r>
          </w:p>
        </w:tc>
      </w:tr>
      <w:tr>
        <w:trPr>
          <w:trHeight w:val="216"/>
        </w:trPr>
        <w:tc>
          <w:tcPr>
            <w:tcW w:w="59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Gain on sale of PCB Test business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(75,779)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(75,664)</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1,957</w:t>
            </w:r>
          </w:p>
        </w:tc>
      </w:tr>
      <w:tr>
        <w:trPr>
          <w:trHeight w:val="20"/>
        </w:trPr>
        <w:tc>
          <w:tcPr>
            <w:tcW w:w="5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180,312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350,376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320,044</w:t>
            </w:r>
          </w:p>
        </w:tc>
      </w:tr>
      <w:tr>
        <w:trPr>
          <w:trHeight w:val="20"/>
        </w:trPr>
        <w:tc>
          <w:tcPr>
            <w:tcW w:w="59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64,607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150,247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(919)</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(1,831)</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(4,406)</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59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(1,761)</w:t>
            </w:r>
          </w:p>
        </w:tc>
      </w:tr>
      <w:tr>
        <w:trPr>
          <w:trHeight w:val="20"/>
        </w:trPr>
        <w:tc>
          <w:tcPr>
            <w:tcW w:w="59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 before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65,529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143,937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15,192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21,234</w:t>
            </w:r>
          </w:p>
        </w:tc>
      </w:tr>
      <w:tr>
        <w:trPr>
          <w:trHeight w:val="20"/>
        </w:trPr>
        <w:tc>
          <w:tcPr>
            <w:tcW w:w="59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28,768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50,337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122,703</w:t>
            </w:r>
          </w:p>
        </w:tc>
      </w:tr>
      <w:tr>
        <w:trPr>
          <w:trHeight w:val="20"/>
        </w:trPr>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per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0.59</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1.02</w:t>
            </w:r>
          </w:p>
        </w:tc>
        <w:tc>
          <w:tcPr>
            <w:tcW w:w="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2.58</w:t>
            </w:r>
          </w:p>
        </w:tc>
      </w:tr>
      <w:tr>
        <w:trPr>
          <w:trHeight w:val="20"/>
        </w:trPr>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in computing income per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48,475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48,626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46,155</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48,928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49,474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49,248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47,478</w:t>
            </w:r>
          </w:p>
        </w:tc>
      </w:tr>
      <w:tr>
        <w:trPr>
          <w:trHeight w:val="20"/>
        </w:trPr>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ind w:left="420" w:hanging="331"/>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six-month periods ended June 25, 2022 and June 26, 2021 were both comprised of 13 weeks and 26 weeks, respectively.</w:t>
      </w:r>
    </w:p>
    <w:p>
      <w:pPr>
        <w:spacing w:after="0" w:line="27" w:lineRule="exact"/>
        <w:rPr>
          <w:rFonts w:ascii="Times New Roman" w:cs="Times New Roman" w:eastAsia="Times New Roman" w:hAnsi="Times New Roman"/>
          <w:sz w:val="18"/>
          <w:szCs w:val="18"/>
          <w:color w:val="auto"/>
        </w:rPr>
      </w:pPr>
    </w:p>
    <w:p>
      <w:pPr>
        <w:ind w:left="420" w:right="20" w:hanging="331"/>
        <w:spacing w:after="0" w:line="250"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24, 2021 the Company completed the divestment of its PCB Test business. The divestment of this business did not qualify for presentation as discontinued operations and the results of the PCB Test business are included in continuing operations for all periods presented.</w:t>
      </w:r>
    </w:p>
    <w:p>
      <w:pPr>
        <w:ind w:left="420" w:right="180" w:hanging="331"/>
        <w:spacing w:after="0" w:line="260"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outstanding term loan B resulted in a loss from the extinguishment of debt. Loss on extinguishment of debt is the net result after any cash gain is offset by the required reduction in our capitalized debt issuance costs and original issuance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25,</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investments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368,081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379,905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212,905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192,873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162,666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23,644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767,296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750,793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63,957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211,534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219,791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155,797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177,320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19,111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1,239,404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1,259,044</w:t>
            </w:r>
          </w:p>
        </w:tc>
      </w:tr>
      <w:tr>
        <w:trPr>
          <w:trHeight w:val="197"/>
        </w:trPr>
        <w:tc>
          <w:tcPr>
            <w:tcW w:w="8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w:t>
            </w:r>
          </w:p>
        </w:tc>
      </w:tr>
      <w:tr>
        <w:trPr>
          <w:trHeight w:val="216"/>
        </w:trPr>
        <w:tc>
          <w:tcPr>
            <w:tcW w:w="80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Current installments of long-term debt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profit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167,684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164,854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194,268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192,459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103,393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58,650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Cohu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894,452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1,239,404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1,259,044</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left="500" w:right="140" w:hanging="317"/>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June 25, 2022, the Company prepaid $10 million of its Term Loan B debt facility. As a result of this occurring during the third fiscal quarter of 2022, the amount has been classified as current installments of long-term debt as of June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June 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March 26,</w:t>
            </w:r>
          </w:p>
        </w:tc>
        <w:tc>
          <w:tcPr>
            <w:tcW w:w="2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June 26,</w:t>
            </w:r>
          </w:p>
        </w:tc>
        <w:tc>
          <w:tcPr>
            <w:tcW w:w="0" w:type="dxa"/>
            <w:vAlign w:val="bottom"/>
          </w:tcPr>
          <w:p>
            <w:pPr>
              <w:spacing w:after="0"/>
              <w:rPr>
                <w:sz w:val="1"/>
                <w:szCs w:val="1"/>
                <w:color w:val="auto"/>
              </w:rPr>
            </w:pPr>
          </w:p>
        </w:tc>
      </w:tr>
      <w:tr>
        <w:trPr>
          <w:trHeight w:val="234"/>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 GAAP basis (a)</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36,914</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27,693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114,517</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8,535</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PCB Test business (e)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(75,779)</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PP&amp;E step-up included in SG&amp;A (f)</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8"/>
        </w:trPr>
        <w:tc>
          <w:tcPr>
            <w:tcW w:w="62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Payroll taxes related to accelerated vesting of share-based awards included in</w:t>
            </w:r>
          </w:p>
        </w:tc>
        <w:tc>
          <w:tcPr>
            <w:tcW w:w="26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SG&amp;A (g)</w:t>
            </w:r>
          </w:p>
        </w:tc>
        <w:tc>
          <w:tcPr>
            <w:tcW w:w="26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 - non-GAAP basis (h)</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49,009</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40,183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51,788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 - GAAP basis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28,768</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21,569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95,096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(62,729)</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 of non-GAAP adjustments (i)</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(1,483)</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 non-GAAP basis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39,729</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32,576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44,220</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 from operations per share - diluted</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0.59</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from operations per share - diluted (j)</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0.81</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The impact from the sale of the PCB Test business has been excluded as the amount is infrequent and is unrelated to the operational performance of Cohu.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PP&amp;E step-up costs have been excluded by management as they are unrelated to the core operating activities of the Company.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93" w:lineRule="exact"/>
        <w:rPr>
          <w:sz w:val="20"/>
          <w:szCs w:val="20"/>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 14.0% and 46.8% of net sales, respectively.</w:t>
      </w:r>
    </w:p>
    <w:p>
      <w:pPr>
        <w:spacing w:after="0" w:line="2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the integration of Xcerra and the Company’s German operations.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impact of the sale of the PCB Test business.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accelerated depreciation from the property, plant &amp; equipment step-up related to the acquisition of Xcerra.</w:t>
      </w:r>
    </w:p>
    <w:p>
      <w:pPr>
        <w:spacing w:after="0" w:line="9" w:lineRule="exact"/>
        <w:rPr>
          <w:rFonts w:ascii="Times New Roman" w:cs="Times New Roman" w:eastAsia="Times New Roman" w:hAnsi="Times New Roman"/>
          <w:sz w:val="18"/>
          <w:szCs w:val="18"/>
          <w:color w:val="auto"/>
        </w:rPr>
      </w:pPr>
    </w:p>
    <w:p>
      <w:pPr>
        <w:ind w:left="420" w:right="640" w:hanging="331"/>
        <w:spacing w:after="0" w:line="250"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impact of employer payroll taxes associated with the acceleration of Pascal Rondé share-based awards under the terms of his separation agreement.</w:t>
      </w: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 20.3% and 21.2% of net sales, respectively.</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16"/>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June 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June 26,</w:t>
            </w:r>
          </w:p>
        </w:tc>
      </w:tr>
      <w:tr>
        <w:trPr>
          <w:trHeight w:val="234"/>
        </w:trPr>
        <w:tc>
          <w:tcPr>
            <w:tcW w:w="7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r>
      <w:tr>
        <w:trPr>
          <w:trHeight w:val="209"/>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 GAAP basis (a)</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64,607</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150,247</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Cost of sales (COS)</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7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5,032</w:t>
            </w:r>
          </w:p>
        </w:tc>
      </w:tr>
      <w:tr>
        <w:trPr>
          <w:trHeight w:val="20"/>
        </w:trPr>
        <w:tc>
          <w:tcPr>
            <w:tcW w:w="7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7,029</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18,289</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charges (d)</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1,957</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PCB Test business (e)</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(75,664)</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PP&amp;E step-up included in SG&amp;A (f)</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Payroll taxes related to accelerated vesting of share-based awards included in SG&amp;A (g)</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9"/>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 non-GAAP basis (h)</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89,192</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102,585</w:t>
            </w:r>
          </w:p>
        </w:tc>
      </w:tr>
      <w:tr>
        <w:trPr>
          <w:trHeight w:val="197"/>
        </w:trPr>
        <w:tc>
          <w:tcPr>
            <w:tcW w:w="78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 GAAP basis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50,337</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122,703</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(47,662)</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 of non-GAAP adjustments (i)</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9,808</w:t>
            </w:r>
          </w:p>
        </w:tc>
      </w:tr>
      <w:tr>
        <w:trPr>
          <w:trHeight w:val="20"/>
        </w:trPr>
        <w:tc>
          <w:tcPr>
            <w:tcW w:w="7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 non-GAAP basis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72,305</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84,849</w:t>
            </w:r>
          </w:p>
        </w:tc>
      </w:tr>
      <w:tr>
        <w:trPr>
          <w:trHeight w:val="20"/>
        </w:trPr>
        <w:tc>
          <w:tcPr>
            <w:tcW w:w="7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GAAP income per share from continuing operations - diluted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7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Non-GAAP income per share - diluted (j)</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The impact from the sale of the PCB Test business has been excluded as the amount is infrequent and is unrelated to the operational performance of Cohu.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PP&amp;E step-up costs have been excluded by management as they are unrelated to the core operating activities of the Company.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93" w:lineRule="exact"/>
        <w:rPr>
          <w:sz w:val="20"/>
          <w:szCs w:val="20"/>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and 31.9% of net sales, respectively.</w:t>
      </w:r>
    </w:p>
    <w:p>
      <w:pPr>
        <w:spacing w:after="0" w:line="2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the integration of Xcerra and the Company’s German operations.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gains generated from the sale of the PCB Test business.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property, plant &amp; equipment step-up depreciation accelerated related to the acquisition of Xcerra.</w:t>
      </w:r>
    </w:p>
    <w:p>
      <w:pPr>
        <w:spacing w:after="0" w:line="9" w:lineRule="exact"/>
        <w:rPr>
          <w:rFonts w:ascii="Times New Roman" w:cs="Times New Roman" w:eastAsia="Times New Roman" w:hAnsi="Times New Roman"/>
          <w:sz w:val="18"/>
          <w:szCs w:val="18"/>
          <w:color w:val="auto"/>
        </w:rPr>
      </w:pPr>
    </w:p>
    <w:p>
      <w:pPr>
        <w:ind w:left="420" w:right="640" w:hanging="331"/>
        <w:spacing w:after="0" w:line="250"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impact of employer payroll taxes associated with the acceleration of Pascal Rondé share-based awards under the terms of his separation agreement.</w:t>
      </w: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 and 21.8% of net sales, respectively.</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June 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March 26,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June 26,</w:t>
            </w:r>
          </w:p>
        </w:tc>
      </w:tr>
      <w:tr>
        <w:trPr>
          <w:trHeight w:val="234"/>
        </w:trPr>
        <w:tc>
          <w:tcPr>
            <w:tcW w:w="6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r>
      <w:tr>
        <w:trPr>
          <w:trHeight w:val="209"/>
        </w:trPr>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100,953</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91,156</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104,657</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61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100,939</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91,126</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104,585</w:t>
            </w:r>
          </w:p>
        </w:tc>
        <w:tc>
          <w:tcPr>
            <w:tcW w:w="160" w:type="dxa"/>
            <w:vAlign w:val="bottom"/>
            <w:tcBorders>
              <w:top w:val="single" w:sz="8" w:color="CCEEFF"/>
            </w:tcBorders>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0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2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6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 GAAP Basis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28,768</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21,569</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95,096</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6,294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17,659</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1,831</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8,341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8,535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9,045</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3,385</w:t>
            </w:r>
          </w:p>
        </w:tc>
      </w:tr>
      <w:tr>
        <w:trPr>
          <w:trHeight w:val="216"/>
        </w:trPr>
        <w:tc>
          <w:tcPr>
            <w:tcW w:w="61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(71,919)</w:t>
            </w:r>
          </w:p>
        </w:tc>
      </w:tr>
      <w:tr>
        <w:trPr>
          <w:trHeight w:val="209"/>
        </w:trPr>
        <w:tc>
          <w:tcPr>
            <w:tcW w:w="61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54,169</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44,937</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55,381</w:t>
            </w:r>
          </w:p>
        </w:tc>
        <w:tc>
          <w:tcPr>
            <w:tcW w:w="160" w:type="dxa"/>
            <w:vAlign w:val="bottom"/>
            <w:tcBorders>
              <w:top w:val="single" w:sz="8" w:color="CCEEFF"/>
            </w:tcBorders>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0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 GAAP Basis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6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64,039</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63,463</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65,919</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2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(12,520)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(13,122)</w:t>
            </w: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51,930</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50,943</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52,797</w:t>
            </w:r>
          </w:p>
        </w:tc>
        <w:tc>
          <w:tcPr>
            <w:tcW w:w="16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6" w:lineRule="exact"/>
        <w:rPr>
          <w:sz w:val="20"/>
          <w:szCs w:val="20"/>
          <w:color w:val="auto"/>
        </w:rPr>
      </w:pPr>
    </w:p>
    <w:p>
      <w:pPr>
        <w:ind w:left="500" w:hanging="273"/>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$6,544, $6,696 and $7,043 for the three months ending June 25, 2022, March 26, 2022 and June 26, 2021, respectively.</w:t>
      </w:r>
    </w:p>
    <w:p>
      <w:pPr>
        <w:spacing w:after="0" w:line="36" w:lineRule="exact"/>
        <w:rPr>
          <w:rFonts w:ascii="Times New Roman" w:cs="Times New Roman" w:eastAsia="Times New Roman" w:hAnsi="Times New Roman"/>
          <w:sz w:val="18"/>
          <w:szCs w:val="18"/>
          <w:color w:val="auto"/>
        </w:rPr>
      </w:pPr>
    </w:p>
    <w:p>
      <w:pPr>
        <w:ind w:left="500" w:hanging="273"/>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16"/>
        </w:trPr>
        <w:tc>
          <w:tcPr>
            <w:tcW w:w="7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June 25,</w:t>
            </w:r>
          </w:p>
        </w:tc>
        <w:tc>
          <w:tcPr>
            <w:tcW w:w="2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June 26,</w:t>
            </w:r>
          </w:p>
        </w:tc>
      </w:tr>
      <w:tr>
        <w:trPr>
          <w:trHeight w:val="234"/>
        </w:trPr>
        <w:tc>
          <w:tcPr>
            <w:tcW w:w="7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192,109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206,862</w:t>
            </w:r>
          </w:p>
        </w:tc>
      </w:tr>
      <w:tr>
        <w:trPr>
          <w:trHeight w:val="216"/>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w:t>
            </w:r>
          </w:p>
        </w:tc>
      </w:tr>
      <w:tr>
        <w:trPr>
          <w:trHeight w:val="20"/>
        </w:trPr>
        <w:tc>
          <w:tcPr>
            <w:tcW w:w="79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192,065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207,452</w:t>
            </w:r>
          </w:p>
        </w:tc>
      </w:tr>
      <w:tr>
        <w:trPr>
          <w:trHeight w:val="20"/>
        </w:trPr>
        <w:tc>
          <w:tcPr>
            <w:tcW w:w="7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9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right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09"/>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7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 GAAP Basis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50,337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122,703</w:t>
            </w: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15,192</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21,234</w:t>
            </w:r>
          </w:p>
        </w:tc>
      </w:tr>
      <w:tr>
        <w:trPr>
          <w:trHeight w:val="216"/>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4,406</w:t>
            </w: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16,876</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18,289</w:t>
            </w: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6,323</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6,708</w:t>
            </w:r>
          </w:p>
        </w:tc>
      </w:tr>
      <w:tr>
        <w:trPr>
          <w:trHeight w:val="216"/>
        </w:trPr>
        <w:tc>
          <w:tcPr>
            <w:tcW w:w="79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956</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1,761</w:t>
            </w:r>
          </w:p>
        </w:tc>
      </w:tr>
      <w:tr>
        <w:trPr>
          <w:trHeight w:val="216"/>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7,709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(66,241)</w:t>
            </w:r>
          </w:p>
        </w:tc>
      </w:tr>
      <w:tr>
        <w:trPr>
          <w:trHeight w:val="20"/>
        </w:trPr>
        <w:tc>
          <w:tcPr>
            <w:tcW w:w="79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99,106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109,464</w:t>
            </w:r>
          </w:p>
        </w:tc>
      </w:tr>
      <w:tr>
        <w:trPr>
          <w:trHeight w:val="20"/>
        </w:trPr>
        <w:tc>
          <w:tcPr>
            <w:tcW w:w="7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9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right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09"/>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 GAAP Basis</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7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127,502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132,279</w:t>
            </w: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(24,629)</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(27,412)</w:t>
            </w:r>
          </w:p>
        </w:tc>
      </w:tr>
      <w:tr>
        <w:trPr>
          <w:trHeight w:val="20"/>
        </w:trPr>
        <w:tc>
          <w:tcPr>
            <w:tcW w:w="7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102,873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104,867</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p>
      <w:pPr>
        <w:ind w:left="500" w:hanging="273"/>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$13,240 and $14,144 for the six months ending June 25, 2022 and June 26, 2021, respectively.</w:t>
      </w:r>
    </w:p>
    <w:p>
      <w:pPr>
        <w:spacing w:after="0" w:line="36" w:lineRule="exact"/>
        <w:rPr>
          <w:rFonts w:ascii="Times New Roman" w:cs="Times New Roman" w:eastAsia="Times New Roman" w:hAnsi="Times New Roman"/>
          <w:sz w:val="18"/>
          <w:szCs w:val="18"/>
          <w:color w:val="auto"/>
        </w:rPr>
      </w:pPr>
    </w:p>
    <w:p>
      <w:pPr>
        <w:ind w:left="500" w:hanging="273"/>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SG&amp;A.</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2022-07-28T15:14:33Z</dcterms:created>
  <dcterms:modified xsi:type="dcterms:W3CDTF">2022-07-28T15:14:33Z</dcterms:modified>
</cp:coreProperties>
</file>