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As filed with the Securities and Exchange Commission on August 1, 2001</w:t>
      </w:r>
    </w:p>
    <w:p>
      <w:pPr>
        <w:spacing w:after="0" w:line="225" w:lineRule="exact"/>
        <w:rPr>
          <w:sz w:val="24"/>
          <w:szCs w:val="24"/>
          <w:color w:val="auto"/>
        </w:rPr>
      </w:pPr>
    </w:p>
    <w:p>
      <w:pPr>
        <w:ind w:left="9360"/>
        <w:spacing w:after="0"/>
        <w:rPr>
          <w:sz w:val="20"/>
          <w:szCs w:val="20"/>
          <w:color w:val="auto"/>
        </w:rPr>
      </w:pPr>
      <w:r>
        <w:rPr>
          <w:rFonts w:ascii="Arial" w:cs="Arial" w:eastAsia="Arial" w:hAnsi="Arial"/>
          <w:sz w:val="16"/>
          <w:szCs w:val="16"/>
          <w:color w:val="auto"/>
        </w:rPr>
        <w:t>Registration No. 333-______</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UNITED STATES</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199"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S-8</w:t>
      </w:r>
    </w:p>
    <w:p>
      <w:pPr>
        <w:spacing w:after="0" w:line="24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REGISTRATION STATEMENT UNDER THE SECURITIES ACT OF 1933</w:t>
      </w:r>
    </w:p>
    <w:p>
      <w:pPr>
        <w:spacing w:after="0" w:line="200" w:lineRule="exact"/>
        <w:rPr>
          <w:sz w:val="24"/>
          <w:szCs w:val="24"/>
          <w:color w:val="auto"/>
        </w:rPr>
      </w:pPr>
    </w:p>
    <w:p>
      <w:pPr>
        <w:spacing w:after="0" w:line="24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Cohu,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2475230</wp:posOffset>
            </wp:positionH>
            <wp:positionV relativeFrom="paragraph">
              <wp:posOffset>91440</wp:posOffset>
            </wp:positionV>
            <wp:extent cx="23069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23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6" w:lineRule="exact"/>
        <w:rPr>
          <w:sz w:val="24"/>
          <w:szCs w:val="24"/>
          <w:color w:val="auto"/>
        </w:rPr>
      </w:pPr>
    </w:p>
    <w:tbl>
      <w:tblPr>
        <w:tblLayout w:type="fixed"/>
        <w:tblInd w:w="1440" w:type="dxa"/>
        <w:tblCellMar>
          <w:top w:w="0" w:type="dxa"/>
          <w:left w:w="0" w:type="dxa"/>
          <w:bottom w:w="0" w:type="dxa"/>
          <w:right w:w="0" w:type="dxa"/>
        </w:tblCellMar>
      </w:tblPr>
      <w:tr>
        <w:trPr>
          <w:trHeight w:val="228"/>
        </w:trPr>
        <w:tc>
          <w:tcPr>
            <w:tcW w:w="2100" w:type="dxa"/>
            <w:vAlign w:val="bottom"/>
          </w:tcPr>
          <w:p>
            <w:pPr>
              <w:jc w:val="center"/>
              <w:ind w:left="112"/>
              <w:spacing w:after="0"/>
              <w:rPr>
                <w:sz w:val="20"/>
                <w:szCs w:val="20"/>
                <w:color w:val="auto"/>
              </w:rPr>
            </w:pPr>
            <w:r>
              <w:rPr>
                <w:rFonts w:ascii="Arial" w:cs="Arial" w:eastAsia="Arial" w:hAnsi="Arial"/>
                <w:sz w:val="18"/>
                <w:szCs w:val="18"/>
                <w:b w:val="1"/>
                <w:bCs w:val="1"/>
                <w:color w:val="auto"/>
                <w:w w:val="88"/>
              </w:rPr>
              <w:t>Delaware</w:t>
            </w:r>
          </w:p>
        </w:tc>
        <w:tc>
          <w:tcPr>
            <w:tcW w:w="6440" w:type="dxa"/>
            <w:vAlign w:val="bottom"/>
            <w:gridSpan w:val="10"/>
          </w:tcPr>
          <w:p>
            <w:pPr>
              <w:jc w:val="right"/>
              <w:ind w:right="820"/>
              <w:spacing w:after="0"/>
              <w:rPr>
                <w:sz w:val="20"/>
                <w:szCs w:val="20"/>
                <w:color w:val="auto"/>
              </w:rPr>
            </w:pPr>
            <w:r>
              <w:rPr>
                <w:rFonts w:ascii="Arial" w:cs="Arial" w:eastAsia="Arial" w:hAnsi="Arial"/>
                <w:sz w:val="18"/>
                <w:szCs w:val="18"/>
                <w:b w:val="1"/>
                <w:bCs w:val="1"/>
                <w:color w:val="auto"/>
              </w:rPr>
              <w:t>95-1934119</w:t>
            </w:r>
          </w:p>
        </w:tc>
      </w:tr>
      <w:tr>
        <w:trPr>
          <w:trHeight w:val="104"/>
        </w:trPr>
        <w:tc>
          <w:tcPr>
            <w:tcW w:w="21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2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100" w:type="dxa"/>
            <w:vAlign w:val="bottom"/>
            <w:tcBorders>
              <w:bottom w:val="single" w:sz="8" w:color="808080"/>
            </w:tcBorders>
          </w:tcPr>
          <w:p>
            <w:pPr>
              <w:spacing w:after="0"/>
              <w:rPr>
                <w:sz w:val="9"/>
                <w:szCs w:val="9"/>
                <w:color w:val="auto"/>
              </w:rPr>
            </w:pPr>
          </w:p>
        </w:tc>
      </w:tr>
      <w:tr>
        <w:trPr>
          <w:trHeight w:val="316"/>
        </w:trPr>
        <w:tc>
          <w:tcPr>
            <w:tcW w:w="2100" w:type="dxa"/>
            <w:vAlign w:val="bottom"/>
          </w:tcPr>
          <w:p>
            <w:pPr>
              <w:jc w:val="center"/>
              <w:ind w:left="132"/>
              <w:spacing w:after="0"/>
              <w:rPr>
                <w:sz w:val="20"/>
                <w:szCs w:val="20"/>
                <w:color w:val="auto"/>
              </w:rPr>
            </w:pPr>
            <w:r>
              <w:rPr>
                <w:rFonts w:ascii="Arial" w:cs="Arial" w:eastAsia="Arial" w:hAnsi="Arial"/>
                <w:sz w:val="18"/>
                <w:szCs w:val="18"/>
                <w:color w:val="auto"/>
                <w:w w:val="89"/>
              </w:rPr>
              <w:t>(State or other jurisdiction</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480" w:type="dxa"/>
            <w:vAlign w:val="bottom"/>
            <w:gridSpan w:val="5"/>
          </w:tcPr>
          <w:p>
            <w:pPr>
              <w:jc w:val="center"/>
              <w:spacing w:after="0"/>
              <w:rPr>
                <w:sz w:val="20"/>
                <w:szCs w:val="20"/>
                <w:color w:val="auto"/>
              </w:rPr>
            </w:pPr>
            <w:r>
              <w:rPr>
                <w:rFonts w:ascii="Arial" w:cs="Arial" w:eastAsia="Arial" w:hAnsi="Arial"/>
                <w:sz w:val="18"/>
                <w:szCs w:val="18"/>
                <w:color w:val="auto"/>
                <w:w w:val="90"/>
              </w:rPr>
              <w:t>(I.R.S. employer identification no.)</w:t>
            </w:r>
          </w:p>
        </w:tc>
      </w:tr>
      <w:tr>
        <w:trPr>
          <w:trHeight w:val="222"/>
        </w:trPr>
        <w:tc>
          <w:tcPr>
            <w:tcW w:w="8540" w:type="dxa"/>
            <w:vAlign w:val="bottom"/>
            <w:gridSpan w:val="11"/>
          </w:tcPr>
          <w:p>
            <w:pPr>
              <w:jc w:val="center"/>
              <w:ind w:right="6240"/>
              <w:spacing w:after="0"/>
              <w:rPr>
                <w:sz w:val="20"/>
                <w:szCs w:val="20"/>
                <w:color w:val="auto"/>
              </w:rPr>
            </w:pPr>
            <w:r>
              <w:rPr>
                <w:rFonts w:ascii="Arial" w:cs="Arial" w:eastAsia="Arial" w:hAnsi="Arial"/>
                <w:sz w:val="18"/>
                <w:szCs w:val="18"/>
                <w:color w:val="auto"/>
                <w:w w:val="90"/>
              </w:rPr>
              <w:t>of incorporation or organization)</w:t>
            </w:r>
          </w:p>
        </w:tc>
      </w:tr>
      <w:tr>
        <w:trPr>
          <w:trHeight w:val="459"/>
        </w:trPr>
        <w:tc>
          <w:tcPr>
            <w:tcW w:w="2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180" w:type="dxa"/>
            <w:vAlign w:val="bottom"/>
            <w:gridSpan w:val="7"/>
          </w:tcPr>
          <w:p>
            <w:pPr>
              <w:jc w:val="center"/>
              <w:ind w:right="2360"/>
              <w:spacing w:after="0"/>
              <w:rPr>
                <w:sz w:val="20"/>
                <w:szCs w:val="20"/>
                <w:color w:val="auto"/>
              </w:rPr>
            </w:pPr>
            <w:r>
              <w:rPr>
                <w:rFonts w:ascii="Arial" w:cs="Arial" w:eastAsia="Arial" w:hAnsi="Arial"/>
                <w:sz w:val="18"/>
                <w:szCs w:val="18"/>
                <w:b w:val="1"/>
                <w:bCs w:val="1"/>
                <w:color w:val="auto"/>
                <w:w w:val="89"/>
              </w:rPr>
              <w:t>12367 Crosthwaite Circle, Poway, California 92064</w:t>
            </w:r>
          </w:p>
        </w:tc>
      </w:tr>
      <w:tr>
        <w:trPr>
          <w:trHeight w:val="110"/>
        </w:trPr>
        <w:tc>
          <w:tcPr>
            <w:tcW w:w="2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660" w:type="dxa"/>
            <w:vAlign w:val="bottom"/>
            <w:tcBorders>
              <w:bottom w:val="single" w:sz="8" w:color="808080"/>
            </w:tcBorders>
            <w:gridSpan w:val="2"/>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100" w:type="dxa"/>
            <w:vAlign w:val="bottom"/>
          </w:tcPr>
          <w:p>
            <w:pPr>
              <w:spacing w:after="0"/>
              <w:rPr>
                <w:sz w:val="9"/>
                <w:szCs w:val="9"/>
                <w:color w:val="auto"/>
              </w:rPr>
            </w:pPr>
          </w:p>
        </w:tc>
      </w:tr>
      <w:tr>
        <w:trPr>
          <w:trHeight w:val="316"/>
        </w:trPr>
        <w:tc>
          <w:tcPr>
            <w:tcW w:w="2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100" w:type="dxa"/>
            <w:vAlign w:val="bottom"/>
            <w:gridSpan w:val="6"/>
          </w:tcPr>
          <w:p>
            <w:pPr>
              <w:jc w:val="center"/>
              <w:ind w:right="2420"/>
              <w:spacing w:after="0"/>
              <w:rPr>
                <w:sz w:val="20"/>
                <w:szCs w:val="20"/>
                <w:color w:val="auto"/>
              </w:rPr>
            </w:pPr>
            <w:r>
              <w:rPr>
                <w:rFonts w:ascii="Arial" w:cs="Arial" w:eastAsia="Arial" w:hAnsi="Arial"/>
                <w:sz w:val="18"/>
                <w:szCs w:val="18"/>
                <w:color w:val="auto"/>
                <w:w w:val="90"/>
              </w:rPr>
              <w:t>(Address of principal executive offices) (Zip code)</w:t>
            </w:r>
          </w:p>
        </w:tc>
      </w:tr>
      <w:tr>
        <w:trPr>
          <w:trHeight w:val="459"/>
        </w:trPr>
        <w:tc>
          <w:tcPr>
            <w:tcW w:w="2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100" w:type="dxa"/>
            <w:vAlign w:val="bottom"/>
            <w:gridSpan w:val="6"/>
          </w:tcPr>
          <w:p>
            <w:pPr>
              <w:jc w:val="center"/>
              <w:ind w:right="2440"/>
              <w:spacing w:after="0"/>
              <w:rPr>
                <w:sz w:val="20"/>
                <w:szCs w:val="20"/>
                <w:color w:val="auto"/>
              </w:rPr>
            </w:pPr>
            <w:r>
              <w:rPr>
                <w:rFonts w:ascii="Arial" w:cs="Arial" w:eastAsia="Arial" w:hAnsi="Arial"/>
                <w:sz w:val="18"/>
                <w:szCs w:val="18"/>
                <w:b w:val="1"/>
                <w:bCs w:val="1"/>
                <w:color w:val="auto"/>
                <w:w w:val="87"/>
              </w:rPr>
              <w:t>Cohu, Inc. 1997 Employee Stock Purchase Plan</w:t>
            </w:r>
          </w:p>
        </w:tc>
      </w:tr>
      <w:tr>
        <w:trPr>
          <w:trHeight w:val="110"/>
        </w:trPr>
        <w:tc>
          <w:tcPr>
            <w:tcW w:w="2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808080"/>
            </w:tcBorders>
            <w:gridSpan w:val="3"/>
          </w:tcPr>
          <w:p>
            <w:pPr>
              <w:spacing w:after="0"/>
              <w:rPr>
                <w:sz w:val="9"/>
                <w:szCs w:val="9"/>
                <w:color w:val="auto"/>
              </w:rPr>
            </w:pPr>
          </w:p>
        </w:tc>
        <w:tc>
          <w:tcPr>
            <w:tcW w:w="3660" w:type="dxa"/>
            <w:vAlign w:val="bottom"/>
            <w:tcBorders>
              <w:bottom w:val="single" w:sz="8" w:color="808080"/>
            </w:tcBorders>
            <w:gridSpan w:val="2"/>
          </w:tcPr>
          <w:p>
            <w:pPr>
              <w:spacing w:after="0"/>
              <w:rPr>
                <w:sz w:val="9"/>
                <w:szCs w:val="9"/>
                <w:color w:val="auto"/>
              </w:rPr>
            </w:pPr>
          </w:p>
        </w:tc>
        <w:tc>
          <w:tcPr>
            <w:tcW w:w="160" w:type="dxa"/>
            <w:vAlign w:val="bottom"/>
            <w:tcBorders>
              <w:bottom w:val="single" w:sz="8" w:color="808080"/>
            </w:tcBorders>
            <w:gridSpan w:val="2"/>
          </w:tcPr>
          <w:p>
            <w:pPr>
              <w:spacing w:after="0"/>
              <w:rPr>
                <w:sz w:val="9"/>
                <w:szCs w:val="9"/>
                <w:color w:val="auto"/>
              </w:rPr>
            </w:pPr>
          </w:p>
        </w:tc>
        <w:tc>
          <w:tcPr>
            <w:tcW w:w="180" w:type="dxa"/>
            <w:vAlign w:val="bottom"/>
          </w:tcPr>
          <w:p>
            <w:pPr>
              <w:spacing w:after="0"/>
              <w:rPr>
                <w:sz w:val="9"/>
                <w:szCs w:val="9"/>
                <w:color w:val="auto"/>
              </w:rPr>
            </w:pPr>
          </w:p>
        </w:tc>
        <w:tc>
          <w:tcPr>
            <w:tcW w:w="2100" w:type="dxa"/>
            <w:vAlign w:val="bottom"/>
          </w:tcPr>
          <w:p>
            <w:pPr>
              <w:spacing w:after="0"/>
              <w:rPr>
                <w:sz w:val="9"/>
                <w:szCs w:val="9"/>
                <w:color w:val="auto"/>
              </w:rPr>
            </w:pPr>
          </w:p>
        </w:tc>
      </w:tr>
      <w:tr>
        <w:trPr>
          <w:trHeight w:val="316"/>
        </w:trPr>
        <w:tc>
          <w:tcPr>
            <w:tcW w:w="2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60" w:type="dxa"/>
            <w:vAlign w:val="bottom"/>
            <w:gridSpan w:val="9"/>
          </w:tcPr>
          <w:p>
            <w:pPr>
              <w:jc w:val="center"/>
              <w:ind w:right="2280"/>
              <w:spacing w:after="0"/>
              <w:rPr>
                <w:sz w:val="20"/>
                <w:szCs w:val="20"/>
                <w:color w:val="auto"/>
              </w:rPr>
            </w:pPr>
            <w:r>
              <w:rPr>
                <w:rFonts w:ascii="Arial" w:cs="Arial" w:eastAsia="Arial" w:hAnsi="Arial"/>
                <w:sz w:val="18"/>
                <w:szCs w:val="18"/>
                <w:b w:val="1"/>
                <w:bCs w:val="1"/>
                <w:color w:val="auto"/>
                <w:w w:val="88"/>
              </w:rPr>
              <w:t>Cohu, Inc. 1996 Outside Directors Stock Option Plan</w:t>
            </w:r>
          </w:p>
        </w:tc>
      </w:tr>
      <w:tr>
        <w:trPr>
          <w:trHeight w:val="110"/>
        </w:trPr>
        <w:tc>
          <w:tcPr>
            <w:tcW w:w="2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660" w:type="dxa"/>
            <w:vAlign w:val="bottom"/>
            <w:tcBorders>
              <w:bottom w:val="single" w:sz="8" w:color="808080"/>
            </w:tcBorders>
            <w:gridSpan w:val="2"/>
          </w:tcPr>
          <w:p>
            <w:pPr>
              <w:spacing w:after="0"/>
              <w:rPr>
                <w:sz w:val="9"/>
                <w:szCs w:val="9"/>
                <w:color w:val="auto"/>
              </w:rPr>
            </w:pPr>
          </w:p>
        </w:tc>
        <w:tc>
          <w:tcPr>
            <w:tcW w:w="160" w:type="dxa"/>
            <w:vAlign w:val="bottom"/>
            <w:tcBorders>
              <w:bottom w:val="single" w:sz="8" w:color="808080"/>
            </w:tcBorders>
            <w:gridSpan w:val="2"/>
          </w:tcPr>
          <w:p>
            <w:pPr>
              <w:spacing w:after="0"/>
              <w:rPr>
                <w:sz w:val="9"/>
                <w:szCs w:val="9"/>
                <w:color w:val="auto"/>
              </w:rPr>
            </w:pPr>
          </w:p>
        </w:tc>
        <w:tc>
          <w:tcPr>
            <w:tcW w:w="180" w:type="dxa"/>
            <w:vAlign w:val="bottom"/>
          </w:tcPr>
          <w:p>
            <w:pPr>
              <w:spacing w:after="0"/>
              <w:rPr>
                <w:sz w:val="9"/>
                <w:szCs w:val="9"/>
                <w:color w:val="auto"/>
              </w:rPr>
            </w:pPr>
          </w:p>
        </w:tc>
        <w:tc>
          <w:tcPr>
            <w:tcW w:w="2100" w:type="dxa"/>
            <w:vAlign w:val="bottom"/>
          </w:tcPr>
          <w:p>
            <w:pPr>
              <w:spacing w:after="0"/>
              <w:rPr>
                <w:sz w:val="9"/>
                <w:szCs w:val="9"/>
                <w:color w:val="auto"/>
              </w:rPr>
            </w:pPr>
          </w:p>
        </w:tc>
      </w:tr>
      <w:tr>
        <w:trPr>
          <w:trHeight w:val="316"/>
        </w:trPr>
        <w:tc>
          <w:tcPr>
            <w:tcW w:w="2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100" w:type="dxa"/>
            <w:vAlign w:val="bottom"/>
            <w:gridSpan w:val="6"/>
          </w:tcPr>
          <w:p>
            <w:pPr>
              <w:jc w:val="center"/>
              <w:ind w:right="2420"/>
              <w:spacing w:after="0"/>
              <w:rPr>
                <w:sz w:val="20"/>
                <w:szCs w:val="20"/>
                <w:color w:val="auto"/>
              </w:rPr>
            </w:pPr>
            <w:r>
              <w:rPr>
                <w:rFonts w:ascii="Arial" w:cs="Arial" w:eastAsia="Arial" w:hAnsi="Arial"/>
                <w:sz w:val="18"/>
                <w:szCs w:val="18"/>
                <w:color w:val="auto"/>
                <w:w w:val="93"/>
              </w:rPr>
              <w:t>(Full title of the plan)</w:t>
            </w:r>
          </w:p>
        </w:tc>
      </w:tr>
      <w:tr>
        <w:trPr>
          <w:trHeight w:val="453"/>
        </w:trPr>
        <w:tc>
          <w:tcPr>
            <w:tcW w:w="2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100" w:type="dxa"/>
            <w:vAlign w:val="bottom"/>
            <w:gridSpan w:val="6"/>
          </w:tcPr>
          <w:p>
            <w:pPr>
              <w:jc w:val="center"/>
              <w:ind w:right="2460"/>
              <w:spacing w:after="0"/>
              <w:rPr>
                <w:sz w:val="20"/>
                <w:szCs w:val="20"/>
                <w:color w:val="auto"/>
              </w:rPr>
            </w:pPr>
            <w:r>
              <w:rPr>
                <w:rFonts w:ascii="Arial" w:cs="Arial" w:eastAsia="Arial" w:hAnsi="Arial"/>
                <w:sz w:val="18"/>
                <w:szCs w:val="18"/>
                <w:b w:val="1"/>
                <w:bCs w:val="1"/>
                <w:color w:val="auto"/>
                <w:w w:val="90"/>
              </w:rPr>
              <w:t>John H. Allen</w:t>
            </w:r>
          </w:p>
        </w:tc>
      </w:tr>
      <w:tr>
        <w:trPr>
          <w:trHeight w:val="216"/>
        </w:trPr>
        <w:tc>
          <w:tcPr>
            <w:tcW w:w="2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100" w:type="dxa"/>
            <w:vAlign w:val="bottom"/>
            <w:gridSpan w:val="6"/>
          </w:tcPr>
          <w:p>
            <w:pPr>
              <w:jc w:val="center"/>
              <w:ind w:right="2460"/>
              <w:spacing w:after="0"/>
              <w:rPr>
                <w:sz w:val="20"/>
                <w:szCs w:val="20"/>
                <w:color w:val="auto"/>
              </w:rPr>
            </w:pPr>
            <w:r>
              <w:rPr>
                <w:rFonts w:ascii="Arial" w:cs="Arial" w:eastAsia="Arial" w:hAnsi="Arial"/>
                <w:sz w:val="18"/>
                <w:szCs w:val="18"/>
                <w:color w:val="auto"/>
                <w:w w:val="89"/>
              </w:rPr>
              <w:t>Vice President, Finance and Chief Financial Officer</w:t>
            </w:r>
          </w:p>
        </w:tc>
      </w:tr>
      <w:tr>
        <w:trPr>
          <w:trHeight w:val="216"/>
        </w:trPr>
        <w:tc>
          <w:tcPr>
            <w:tcW w:w="2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100" w:type="dxa"/>
            <w:vAlign w:val="bottom"/>
            <w:gridSpan w:val="6"/>
          </w:tcPr>
          <w:p>
            <w:pPr>
              <w:jc w:val="center"/>
              <w:ind w:right="2440"/>
              <w:spacing w:after="0"/>
              <w:rPr>
                <w:sz w:val="20"/>
                <w:szCs w:val="20"/>
                <w:color w:val="auto"/>
              </w:rPr>
            </w:pPr>
            <w:r>
              <w:rPr>
                <w:rFonts w:ascii="Arial" w:cs="Arial" w:eastAsia="Arial" w:hAnsi="Arial"/>
                <w:sz w:val="18"/>
                <w:szCs w:val="18"/>
                <w:color w:val="auto"/>
                <w:w w:val="90"/>
              </w:rPr>
              <w:t>Cohu, Inc.</w:t>
            </w:r>
          </w:p>
        </w:tc>
      </w:tr>
      <w:tr>
        <w:trPr>
          <w:trHeight w:val="222"/>
        </w:trPr>
        <w:tc>
          <w:tcPr>
            <w:tcW w:w="2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100" w:type="dxa"/>
            <w:vAlign w:val="bottom"/>
            <w:gridSpan w:val="6"/>
          </w:tcPr>
          <w:p>
            <w:pPr>
              <w:jc w:val="center"/>
              <w:ind w:right="2460"/>
              <w:spacing w:after="0"/>
              <w:rPr>
                <w:sz w:val="20"/>
                <w:szCs w:val="20"/>
                <w:color w:val="auto"/>
              </w:rPr>
            </w:pPr>
            <w:r>
              <w:rPr>
                <w:rFonts w:ascii="Arial" w:cs="Arial" w:eastAsia="Arial" w:hAnsi="Arial"/>
                <w:sz w:val="18"/>
                <w:szCs w:val="18"/>
                <w:color w:val="auto"/>
                <w:w w:val="89"/>
              </w:rPr>
              <w:t>12367 Crosthwaite Circle, Poway, California 92064</w:t>
            </w:r>
          </w:p>
        </w:tc>
      </w:tr>
      <w:tr>
        <w:trPr>
          <w:trHeight w:val="110"/>
        </w:trPr>
        <w:tc>
          <w:tcPr>
            <w:tcW w:w="2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60" w:type="dxa"/>
            <w:vAlign w:val="bottom"/>
            <w:tcBorders>
              <w:bottom w:val="single" w:sz="8" w:color="808080"/>
            </w:tcBorders>
            <w:gridSpan w:val="2"/>
          </w:tcPr>
          <w:p>
            <w:pPr>
              <w:spacing w:after="0"/>
              <w:rPr>
                <w:sz w:val="9"/>
                <w:szCs w:val="9"/>
                <w:color w:val="auto"/>
              </w:rPr>
            </w:pPr>
          </w:p>
        </w:tc>
        <w:tc>
          <w:tcPr>
            <w:tcW w:w="340" w:type="dxa"/>
            <w:vAlign w:val="bottom"/>
            <w:gridSpan w:val="3"/>
          </w:tcPr>
          <w:p>
            <w:pPr>
              <w:spacing w:after="0"/>
              <w:rPr>
                <w:sz w:val="9"/>
                <w:szCs w:val="9"/>
                <w:color w:val="auto"/>
              </w:rPr>
            </w:pPr>
          </w:p>
        </w:tc>
        <w:tc>
          <w:tcPr>
            <w:tcW w:w="2100" w:type="dxa"/>
            <w:vAlign w:val="bottom"/>
          </w:tcPr>
          <w:p>
            <w:pPr>
              <w:spacing w:after="0"/>
              <w:rPr>
                <w:sz w:val="9"/>
                <w:szCs w:val="9"/>
                <w:color w:val="auto"/>
              </w:rPr>
            </w:pPr>
          </w:p>
        </w:tc>
      </w:tr>
      <w:tr>
        <w:trPr>
          <w:trHeight w:val="316"/>
        </w:trPr>
        <w:tc>
          <w:tcPr>
            <w:tcW w:w="2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100" w:type="dxa"/>
            <w:vAlign w:val="bottom"/>
            <w:gridSpan w:val="6"/>
          </w:tcPr>
          <w:p>
            <w:pPr>
              <w:jc w:val="center"/>
              <w:ind w:right="2440"/>
              <w:spacing w:after="0"/>
              <w:rPr>
                <w:sz w:val="20"/>
                <w:szCs w:val="20"/>
                <w:color w:val="auto"/>
              </w:rPr>
            </w:pPr>
            <w:r>
              <w:rPr>
                <w:rFonts w:ascii="Arial" w:cs="Arial" w:eastAsia="Arial" w:hAnsi="Arial"/>
                <w:sz w:val="18"/>
                <w:szCs w:val="18"/>
                <w:color w:val="auto"/>
                <w:w w:val="87"/>
              </w:rPr>
              <w:t>(Name and address of agent for service)</w:t>
            </w:r>
          </w:p>
        </w:tc>
      </w:tr>
      <w:tr>
        <w:trPr>
          <w:trHeight w:val="459"/>
        </w:trPr>
        <w:tc>
          <w:tcPr>
            <w:tcW w:w="2100" w:type="dxa"/>
            <w:vAlign w:val="bottom"/>
          </w:tcPr>
          <w:p>
            <w:pPr>
              <w:spacing w:after="0"/>
              <w:rPr>
                <w:sz w:val="24"/>
                <w:szCs w:val="24"/>
                <w:color w:val="auto"/>
              </w:rPr>
            </w:pPr>
          </w:p>
        </w:tc>
        <w:tc>
          <w:tcPr>
            <w:tcW w:w="3960" w:type="dxa"/>
            <w:vAlign w:val="bottom"/>
            <w:gridSpan w:val="5"/>
          </w:tcPr>
          <w:p>
            <w:pPr>
              <w:jc w:val="center"/>
              <w:ind w:left="292"/>
              <w:spacing w:after="0"/>
              <w:rPr>
                <w:sz w:val="20"/>
                <w:szCs w:val="20"/>
                <w:color w:val="auto"/>
              </w:rPr>
            </w:pPr>
            <w:r>
              <w:rPr>
                <w:rFonts w:ascii="Arial" w:cs="Arial" w:eastAsia="Arial" w:hAnsi="Arial"/>
                <w:sz w:val="18"/>
                <w:szCs w:val="18"/>
                <w:b w:val="1"/>
                <w:bCs w:val="1"/>
                <w:color w:val="auto"/>
                <w:w w:val="89"/>
              </w:rPr>
              <w:t>(858) 848-8100</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110"/>
        </w:trPr>
        <w:tc>
          <w:tcPr>
            <w:tcW w:w="2100" w:type="dxa"/>
            <w:vAlign w:val="bottom"/>
          </w:tcPr>
          <w:p>
            <w:pPr>
              <w:spacing w:after="0"/>
              <w:rPr>
                <w:sz w:val="9"/>
                <w:szCs w:val="9"/>
                <w:color w:val="auto"/>
              </w:rPr>
            </w:pPr>
          </w:p>
        </w:tc>
        <w:tc>
          <w:tcPr>
            <w:tcW w:w="4340" w:type="dxa"/>
            <w:vAlign w:val="bottom"/>
            <w:tcBorders>
              <w:bottom w:val="single" w:sz="8" w:color="808080"/>
            </w:tcBorders>
            <w:gridSpan w:val="9"/>
          </w:tcPr>
          <w:p>
            <w:pPr>
              <w:spacing w:after="0"/>
              <w:rPr>
                <w:sz w:val="9"/>
                <w:szCs w:val="9"/>
                <w:color w:val="auto"/>
              </w:rPr>
            </w:pPr>
          </w:p>
        </w:tc>
        <w:tc>
          <w:tcPr>
            <w:tcW w:w="2100" w:type="dxa"/>
            <w:vAlign w:val="bottom"/>
          </w:tcPr>
          <w:p>
            <w:pPr>
              <w:spacing w:after="0"/>
              <w:rPr>
                <w:sz w:val="9"/>
                <w:szCs w:val="9"/>
                <w:color w:val="auto"/>
              </w:rPr>
            </w:pPr>
          </w:p>
        </w:tc>
      </w:tr>
      <w:tr>
        <w:trPr>
          <w:trHeight w:val="316"/>
        </w:trPr>
        <w:tc>
          <w:tcPr>
            <w:tcW w:w="2100" w:type="dxa"/>
            <w:vAlign w:val="bottom"/>
          </w:tcPr>
          <w:p>
            <w:pPr>
              <w:spacing w:after="0"/>
              <w:rPr>
                <w:sz w:val="24"/>
                <w:szCs w:val="24"/>
                <w:color w:val="auto"/>
              </w:rPr>
            </w:pPr>
          </w:p>
        </w:tc>
        <w:tc>
          <w:tcPr>
            <w:tcW w:w="6440" w:type="dxa"/>
            <w:vAlign w:val="bottom"/>
            <w:gridSpan w:val="10"/>
          </w:tcPr>
          <w:p>
            <w:pPr>
              <w:jc w:val="center"/>
              <w:ind w:right="2100"/>
              <w:spacing w:after="0"/>
              <w:rPr>
                <w:sz w:val="20"/>
                <w:szCs w:val="20"/>
                <w:color w:val="auto"/>
              </w:rPr>
            </w:pPr>
            <w:r>
              <w:rPr>
                <w:rFonts w:ascii="Arial" w:cs="Arial" w:eastAsia="Arial" w:hAnsi="Arial"/>
                <w:sz w:val="18"/>
                <w:szCs w:val="18"/>
                <w:color w:val="auto"/>
                <w:w w:val="88"/>
              </w:rPr>
              <w:t>(Telephone number, including area code, of agent for service)</w:t>
            </w:r>
          </w:p>
        </w:tc>
      </w:tr>
      <w:tr>
        <w:trPr>
          <w:trHeight w:val="432"/>
        </w:trPr>
        <w:tc>
          <w:tcPr>
            <w:tcW w:w="2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100" w:type="dxa"/>
            <w:vAlign w:val="bottom"/>
            <w:gridSpan w:val="6"/>
          </w:tcPr>
          <w:p>
            <w:pPr>
              <w:jc w:val="center"/>
              <w:ind w:right="2420"/>
              <w:spacing w:after="0"/>
              <w:rPr>
                <w:sz w:val="20"/>
                <w:szCs w:val="20"/>
                <w:color w:val="auto"/>
              </w:rPr>
            </w:pPr>
            <w:r>
              <w:rPr>
                <w:rFonts w:ascii="Arial" w:cs="Arial" w:eastAsia="Arial" w:hAnsi="Arial"/>
                <w:sz w:val="18"/>
                <w:szCs w:val="18"/>
                <w:color w:val="auto"/>
                <w:w w:val="94"/>
              </w:rPr>
              <w:t>CALCULATION OF REGISTRATION FEE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361315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20" w:type="dxa"/>
            <w:vAlign w:val="bottom"/>
          </w:tcPr>
          <w:p>
            <w:pPr>
              <w:jc w:val="center"/>
              <w:ind w:right="4"/>
              <w:spacing w:after="0"/>
              <w:rPr>
                <w:sz w:val="20"/>
                <w:szCs w:val="20"/>
                <w:color w:val="auto"/>
              </w:rPr>
            </w:pPr>
            <w:r>
              <w:rPr>
                <w:rFonts w:ascii="Arial" w:cs="Arial" w:eastAsia="Arial" w:hAnsi="Arial"/>
                <w:sz w:val="14"/>
                <w:szCs w:val="14"/>
                <w:color w:val="auto"/>
                <w:w w:val="86"/>
              </w:rPr>
              <w:t>Proposed maximum</w:t>
            </w:r>
          </w:p>
        </w:tc>
        <w:tc>
          <w:tcPr>
            <w:tcW w:w="1900" w:type="dxa"/>
            <w:vAlign w:val="bottom"/>
            <w:gridSpan w:val="3"/>
          </w:tcPr>
          <w:p>
            <w:pPr>
              <w:jc w:val="center"/>
              <w:ind w:right="140"/>
              <w:spacing w:after="0"/>
              <w:rPr>
                <w:sz w:val="20"/>
                <w:szCs w:val="20"/>
                <w:color w:val="auto"/>
              </w:rPr>
            </w:pPr>
            <w:r>
              <w:rPr>
                <w:rFonts w:ascii="Arial" w:cs="Arial" w:eastAsia="Arial" w:hAnsi="Arial"/>
                <w:sz w:val="14"/>
                <w:szCs w:val="14"/>
                <w:color w:val="auto"/>
                <w:w w:val="86"/>
              </w:rPr>
              <w:t>Proposed maximum</w:t>
            </w: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80" w:type="dxa"/>
            <w:vAlign w:val="bottom"/>
          </w:tcPr>
          <w:p>
            <w:pPr>
              <w:ind w:left="1780"/>
              <w:spacing w:after="0" w:line="149" w:lineRule="exact"/>
              <w:rPr>
                <w:sz w:val="20"/>
                <w:szCs w:val="20"/>
                <w:color w:val="auto"/>
              </w:rPr>
            </w:pPr>
            <w:r>
              <w:rPr>
                <w:rFonts w:ascii="Arial" w:cs="Arial" w:eastAsia="Arial" w:hAnsi="Arial"/>
                <w:sz w:val="14"/>
                <w:szCs w:val="14"/>
                <w:color w:val="auto"/>
              </w:rPr>
              <w:t>Title of securities</w:t>
            </w:r>
          </w:p>
        </w:tc>
        <w:tc>
          <w:tcPr>
            <w:tcW w:w="2040" w:type="dxa"/>
            <w:vAlign w:val="bottom"/>
            <w:gridSpan w:val="3"/>
          </w:tcPr>
          <w:p>
            <w:pPr>
              <w:jc w:val="center"/>
              <w:ind w:left="660"/>
              <w:spacing w:after="0" w:line="149" w:lineRule="exact"/>
              <w:rPr>
                <w:sz w:val="20"/>
                <w:szCs w:val="20"/>
                <w:color w:val="auto"/>
              </w:rPr>
            </w:pPr>
            <w:r>
              <w:rPr>
                <w:rFonts w:ascii="Arial" w:cs="Arial" w:eastAsia="Arial" w:hAnsi="Arial"/>
                <w:sz w:val="14"/>
                <w:szCs w:val="14"/>
                <w:color w:val="auto"/>
                <w:w w:val="88"/>
              </w:rPr>
              <w:t>Amount to be</w:t>
            </w:r>
          </w:p>
        </w:tc>
        <w:tc>
          <w:tcPr>
            <w:tcW w:w="1720" w:type="dxa"/>
            <w:vAlign w:val="bottom"/>
          </w:tcPr>
          <w:p>
            <w:pPr>
              <w:jc w:val="center"/>
              <w:spacing w:after="0" w:line="149" w:lineRule="exact"/>
              <w:rPr>
                <w:sz w:val="20"/>
                <w:szCs w:val="20"/>
                <w:color w:val="auto"/>
              </w:rPr>
            </w:pPr>
            <w:r>
              <w:rPr>
                <w:rFonts w:ascii="Arial" w:cs="Arial" w:eastAsia="Arial" w:hAnsi="Arial"/>
                <w:sz w:val="14"/>
                <w:szCs w:val="14"/>
                <w:color w:val="auto"/>
                <w:w w:val="89"/>
              </w:rPr>
              <w:t>offering price per</w:t>
            </w:r>
          </w:p>
        </w:tc>
        <w:tc>
          <w:tcPr>
            <w:tcW w:w="1900" w:type="dxa"/>
            <w:vAlign w:val="bottom"/>
            <w:gridSpan w:val="3"/>
          </w:tcPr>
          <w:p>
            <w:pPr>
              <w:ind w:left="380"/>
              <w:spacing w:after="0" w:line="149" w:lineRule="exact"/>
              <w:rPr>
                <w:sz w:val="20"/>
                <w:szCs w:val="20"/>
                <w:color w:val="auto"/>
              </w:rPr>
            </w:pPr>
            <w:r>
              <w:rPr>
                <w:rFonts w:ascii="Arial" w:cs="Arial" w:eastAsia="Arial" w:hAnsi="Arial"/>
                <w:sz w:val="14"/>
                <w:szCs w:val="14"/>
                <w:color w:val="auto"/>
              </w:rPr>
              <w:t>aggregate offering</w:t>
            </w:r>
          </w:p>
        </w:tc>
        <w:tc>
          <w:tcPr>
            <w:tcW w:w="600" w:type="dxa"/>
            <w:vAlign w:val="bottom"/>
          </w:tcPr>
          <w:p>
            <w:pPr>
              <w:spacing w:after="0"/>
              <w:rPr>
                <w:sz w:val="12"/>
                <w:szCs w:val="12"/>
                <w:color w:val="auto"/>
              </w:rPr>
            </w:pPr>
          </w:p>
        </w:tc>
        <w:tc>
          <w:tcPr>
            <w:tcW w:w="118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3"/>
              </w:rPr>
              <w:t>Amount of</w:t>
            </w:r>
          </w:p>
        </w:tc>
        <w:tc>
          <w:tcPr>
            <w:tcW w:w="0" w:type="dxa"/>
            <w:vAlign w:val="bottom"/>
          </w:tcPr>
          <w:p>
            <w:pPr>
              <w:spacing w:after="0"/>
              <w:rPr>
                <w:sz w:val="1"/>
                <w:szCs w:val="1"/>
                <w:color w:val="auto"/>
              </w:rPr>
            </w:pPr>
          </w:p>
        </w:tc>
      </w:tr>
      <w:tr>
        <w:trPr>
          <w:trHeight w:val="172"/>
        </w:trPr>
        <w:tc>
          <w:tcPr>
            <w:tcW w:w="3980" w:type="dxa"/>
            <w:vAlign w:val="bottom"/>
          </w:tcPr>
          <w:p>
            <w:pPr>
              <w:ind w:left="1820"/>
              <w:spacing w:after="0"/>
              <w:rPr>
                <w:sz w:val="20"/>
                <w:szCs w:val="20"/>
                <w:color w:val="auto"/>
              </w:rPr>
            </w:pPr>
            <w:r>
              <w:rPr>
                <w:rFonts w:ascii="Arial" w:cs="Arial" w:eastAsia="Arial" w:hAnsi="Arial"/>
                <w:sz w:val="14"/>
                <w:szCs w:val="14"/>
                <w:color w:val="auto"/>
              </w:rPr>
              <w:t>to be registered</w:t>
            </w:r>
          </w:p>
        </w:tc>
        <w:tc>
          <w:tcPr>
            <w:tcW w:w="2040" w:type="dxa"/>
            <w:vAlign w:val="bottom"/>
            <w:gridSpan w:val="3"/>
          </w:tcPr>
          <w:p>
            <w:pPr>
              <w:jc w:val="center"/>
              <w:ind w:left="640"/>
              <w:spacing w:after="0"/>
              <w:rPr>
                <w:sz w:val="20"/>
                <w:szCs w:val="20"/>
                <w:color w:val="auto"/>
              </w:rPr>
            </w:pPr>
            <w:r>
              <w:rPr>
                <w:rFonts w:ascii="Arial" w:cs="Arial" w:eastAsia="Arial" w:hAnsi="Arial"/>
                <w:sz w:val="14"/>
                <w:szCs w:val="14"/>
                <w:color w:val="auto"/>
                <w:w w:val="85"/>
              </w:rPr>
              <w:t>registered(1)</w:t>
            </w:r>
          </w:p>
        </w:tc>
        <w:tc>
          <w:tcPr>
            <w:tcW w:w="1720" w:type="dxa"/>
            <w:vAlign w:val="bottom"/>
          </w:tcPr>
          <w:p>
            <w:pPr>
              <w:jc w:val="center"/>
              <w:ind w:right="4"/>
              <w:spacing w:after="0"/>
              <w:rPr>
                <w:sz w:val="20"/>
                <w:szCs w:val="20"/>
                <w:color w:val="auto"/>
              </w:rPr>
            </w:pPr>
            <w:r>
              <w:rPr>
                <w:rFonts w:ascii="Arial" w:cs="Arial" w:eastAsia="Arial" w:hAnsi="Arial"/>
                <w:sz w:val="14"/>
                <w:szCs w:val="14"/>
                <w:color w:val="auto"/>
                <w:w w:val="84"/>
              </w:rPr>
              <w:t>share(2)</w:t>
            </w:r>
          </w:p>
        </w:tc>
        <w:tc>
          <w:tcPr>
            <w:tcW w:w="480" w:type="dxa"/>
            <w:vAlign w:val="bottom"/>
          </w:tcPr>
          <w:p>
            <w:pPr>
              <w:spacing w:after="0"/>
              <w:rPr>
                <w:sz w:val="14"/>
                <w:szCs w:val="14"/>
                <w:color w:val="auto"/>
              </w:rPr>
            </w:pPr>
          </w:p>
        </w:tc>
        <w:tc>
          <w:tcPr>
            <w:tcW w:w="1420" w:type="dxa"/>
            <w:vAlign w:val="bottom"/>
            <w:gridSpan w:val="2"/>
          </w:tcPr>
          <w:p>
            <w:pPr>
              <w:jc w:val="center"/>
              <w:ind w:right="600"/>
              <w:spacing w:after="0"/>
              <w:rPr>
                <w:sz w:val="20"/>
                <w:szCs w:val="20"/>
                <w:color w:val="auto"/>
              </w:rPr>
            </w:pPr>
            <w:r>
              <w:rPr>
                <w:rFonts w:ascii="Arial" w:cs="Arial" w:eastAsia="Arial" w:hAnsi="Arial"/>
                <w:sz w:val="14"/>
                <w:szCs w:val="14"/>
                <w:color w:val="auto"/>
                <w:w w:val="88"/>
              </w:rPr>
              <w:t>price(2)</w:t>
            </w:r>
          </w:p>
        </w:tc>
        <w:tc>
          <w:tcPr>
            <w:tcW w:w="1780" w:type="dxa"/>
            <w:vAlign w:val="bottom"/>
            <w:gridSpan w:val="3"/>
          </w:tcPr>
          <w:p>
            <w:pPr>
              <w:jc w:val="center"/>
              <w:ind w:left="97"/>
              <w:spacing w:after="0"/>
              <w:rPr>
                <w:sz w:val="20"/>
                <w:szCs w:val="20"/>
                <w:color w:val="auto"/>
              </w:rPr>
            </w:pPr>
            <w:r>
              <w:rPr>
                <w:rFonts w:ascii="Arial" w:cs="Arial" w:eastAsia="Arial" w:hAnsi="Arial"/>
                <w:sz w:val="14"/>
                <w:szCs w:val="14"/>
                <w:color w:val="auto"/>
                <w:w w:val="87"/>
              </w:rPr>
              <w:t>registration fee(3)</w:t>
            </w:r>
          </w:p>
        </w:tc>
        <w:tc>
          <w:tcPr>
            <w:tcW w:w="0" w:type="dxa"/>
            <w:vAlign w:val="bottom"/>
          </w:tcPr>
          <w:p>
            <w:pPr>
              <w:spacing w:after="0"/>
              <w:rPr>
                <w:sz w:val="1"/>
                <w:szCs w:val="1"/>
                <w:color w:val="auto"/>
              </w:rPr>
            </w:pPr>
          </w:p>
        </w:tc>
      </w:tr>
      <w:tr>
        <w:trPr>
          <w:trHeight w:val="95"/>
        </w:trPr>
        <w:tc>
          <w:tcPr>
            <w:tcW w:w="398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17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3980" w:type="dxa"/>
            <w:vAlign w:val="bottom"/>
          </w:tcPr>
          <w:p>
            <w:pPr>
              <w:spacing w:after="0"/>
              <w:rPr>
                <w:sz w:val="20"/>
                <w:szCs w:val="20"/>
                <w:color w:val="auto"/>
              </w:rPr>
            </w:pPr>
            <w:r>
              <w:rPr>
                <w:rFonts w:ascii="Arial" w:cs="Arial" w:eastAsia="Arial" w:hAnsi="Arial"/>
                <w:sz w:val="18"/>
                <w:szCs w:val="18"/>
                <w:color w:val="auto"/>
              </w:rPr>
              <w:t>1996 Outside Directors Stock Option Plan</w:t>
            </w: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260"/>
              <w:spacing w:after="0"/>
              <w:rPr>
                <w:sz w:val="20"/>
                <w:szCs w:val="20"/>
                <w:color w:val="auto"/>
              </w:rPr>
            </w:pPr>
            <w:r>
              <w:rPr>
                <w:rFonts w:ascii="Arial" w:cs="Arial" w:eastAsia="Arial" w:hAnsi="Arial"/>
                <w:sz w:val="18"/>
                <w:szCs w:val="18"/>
                <w:color w:val="auto"/>
              </w:rPr>
              <w:t>Common Stock,</w:t>
            </w:r>
          </w:p>
        </w:tc>
        <w:tc>
          <w:tcPr>
            <w:tcW w:w="1680" w:type="dxa"/>
            <w:vAlign w:val="bottom"/>
            <w:gridSpan w:val="2"/>
          </w:tcPr>
          <w:p>
            <w:pPr>
              <w:jc w:val="center"/>
              <w:ind w:left="1020"/>
              <w:spacing w:after="0"/>
              <w:rPr>
                <w:sz w:val="20"/>
                <w:szCs w:val="20"/>
                <w:color w:val="auto"/>
              </w:rPr>
            </w:pPr>
            <w:r>
              <w:rPr>
                <w:rFonts w:ascii="Arial" w:cs="Arial" w:eastAsia="Arial" w:hAnsi="Arial"/>
                <w:sz w:val="18"/>
                <w:szCs w:val="18"/>
                <w:color w:val="auto"/>
                <w:w w:val="89"/>
              </w:rPr>
              <w:t>100,000</w:t>
            </w:r>
          </w:p>
        </w:tc>
        <w:tc>
          <w:tcPr>
            <w:tcW w:w="360" w:type="dxa"/>
            <w:vAlign w:val="bottom"/>
          </w:tcPr>
          <w:p>
            <w:pPr>
              <w:spacing w:after="0"/>
              <w:rPr>
                <w:sz w:val="18"/>
                <w:szCs w:val="18"/>
                <w:color w:val="auto"/>
              </w:rPr>
            </w:pPr>
          </w:p>
        </w:tc>
        <w:tc>
          <w:tcPr>
            <w:tcW w:w="1720" w:type="dxa"/>
            <w:vAlign w:val="bottom"/>
          </w:tcPr>
          <w:p>
            <w:pPr>
              <w:jc w:val="right"/>
              <w:ind w:right="704"/>
              <w:spacing w:after="0"/>
              <w:rPr>
                <w:sz w:val="20"/>
                <w:szCs w:val="20"/>
                <w:color w:val="auto"/>
              </w:rPr>
            </w:pPr>
            <w:r>
              <w:rPr>
                <w:rFonts w:ascii="Arial" w:cs="Arial" w:eastAsia="Arial" w:hAnsi="Arial"/>
                <w:sz w:val="18"/>
                <w:szCs w:val="18"/>
                <w:color w:val="auto"/>
              </w:rPr>
              <w:t>$19.04</w:t>
            </w:r>
          </w:p>
        </w:tc>
        <w:tc>
          <w:tcPr>
            <w:tcW w:w="1180" w:type="dxa"/>
            <w:vAlign w:val="bottom"/>
            <w:gridSpan w:val="2"/>
          </w:tcPr>
          <w:p>
            <w:pPr>
              <w:ind w:left="400"/>
              <w:spacing w:after="0"/>
              <w:rPr>
                <w:sz w:val="20"/>
                <w:szCs w:val="20"/>
                <w:color w:val="auto"/>
              </w:rPr>
            </w:pPr>
            <w:r>
              <w:rPr>
                <w:rFonts w:ascii="Arial" w:cs="Arial" w:eastAsia="Arial" w:hAnsi="Arial"/>
                <w:sz w:val="18"/>
                <w:szCs w:val="18"/>
                <w:color w:val="auto"/>
                <w:w w:val="84"/>
              </w:rPr>
              <w:t>$1,904,000</w:t>
            </w:r>
          </w:p>
        </w:tc>
        <w:tc>
          <w:tcPr>
            <w:tcW w:w="7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476.00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260"/>
              <w:spacing w:after="0"/>
              <w:rPr>
                <w:sz w:val="20"/>
                <w:szCs w:val="20"/>
                <w:color w:val="auto"/>
              </w:rPr>
            </w:pPr>
            <w:r>
              <w:rPr>
                <w:rFonts w:ascii="Arial" w:cs="Arial" w:eastAsia="Arial" w:hAnsi="Arial"/>
                <w:sz w:val="18"/>
                <w:szCs w:val="18"/>
                <w:color w:val="auto"/>
              </w:rPr>
              <w:t>par value $1.00</w:t>
            </w: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1997 Employee Stock Purchase Plan</w:t>
            </w: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260"/>
              <w:spacing w:after="0"/>
              <w:rPr>
                <w:sz w:val="20"/>
                <w:szCs w:val="20"/>
                <w:color w:val="auto"/>
              </w:rPr>
            </w:pPr>
            <w:r>
              <w:rPr>
                <w:rFonts w:ascii="Arial" w:cs="Arial" w:eastAsia="Arial" w:hAnsi="Arial"/>
                <w:sz w:val="18"/>
                <w:szCs w:val="18"/>
                <w:color w:val="auto"/>
              </w:rPr>
              <w:t>Common Stock,</w:t>
            </w:r>
          </w:p>
        </w:tc>
        <w:tc>
          <w:tcPr>
            <w:tcW w:w="1680" w:type="dxa"/>
            <w:vAlign w:val="bottom"/>
            <w:gridSpan w:val="2"/>
          </w:tcPr>
          <w:p>
            <w:pPr>
              <w:jc w:val="center"/>
              <w:ind w:left="1020"/>
              <w:spacing w:after="0"/>
              <w:rPr>
                <w:sz w:val="20"/>
                <w:szCs w:val="20"/>
                <w:color w:val="auto"/>
              </w:rPr>
            </w:pPr>
            <w:r>
              <w:rPr>
                <w:rFonts w:ascii="Arial" w:cs="Arial" w:eastAsia="Arial" w:hAnsi="Arial"/>
                <w:sz w:val="18"/>
                <w:szCs w:val="18"/>
                <w:color w:val="auto"/>
                <w:w w:val="89"/>
              </w:rPr>
              <w:t>400,000</w:t>
            </w:r>
          </w:p>
        </w:tc>
        <w:tc>
          <w:tcPr>
            <w:tcW w:w="360" w:type="dxa"/>
            <w:vAlign w:val="bottom"/>
          </w:tcPr>
          <w:p>
            <w:pPr>
              <w:spacing w:after="0"/>
              <w:rPr>
                <w:sz w:val="18"/>
                <w:szCs w:val="18"/>
                <w:color w:val="auto"/>
              </w:rPr>
            </w:pPr>
          </w:p>
        </w:tc>
        <w:tc>
          <w:tcPr>
            <w:tcW w:w="1720" w:type="dxa"/>
            <w:vAlign w:val="bottom"/>
          </w:tcPr>
          <w:p>
            <w:pPr>
              <w:jc w:val="right"/>
              <w:ind w:right="704"/>
              <w:spacing w:after="0"/>
              <w:rPr>
                <w:sz w:val="20"/>
                <w:szCs w:val="20"/>
                <w:color w:val="auto"/>
              </w:rPr>
            </w:pPr>
            <w:r>
              <w:rPr>
                <w:rFonts w:ascii="Arial" w:cs="Arial" w:eastAsia="Arial" w:hAnsi="Arial"/>
                <w:sz w:val="18"/>
                <w:szCs w:val="18"/>
                <w:color w:val="auto"/>
              </w:rPr>
              <w:t>$16.18</w:t>
            </w:r>
          </w:p>
        </w:tc>
        <w:tc>
          <w:tcPr>
            <w:tcW w:w="1180" w:type="dxa"/>
            <w:vAlign w:val="bottom"/>
            <w:gridSpan w:val="2"/>
          </w:tcPr>
          <w:p>
            <w:pPr>
              <w:ind w:left="400"/>
              <w:spacing w:after="0"/>
              <w:rPr>
                <w:sz w:val="20"/>
                <w:szCs w:val="20"/>
                <w:color w:val="auto"/>
              </w:rPr>
            </w:pPr>
            <w:r>
              <w:rPr>
                <w:rFonts w:ascii="Arial" w:cs="Arial" w:eastAsia="Arial" w:hAnsi="Arial"/>
                <w:sz w:val="18"/>
                <w:szCs w:val="18"/>
                <w:color w:val="auto"/>
                <w:w w:val="84"/>
              </w:rPr>
              <w:t>$6,473,600</w:t>
            </w:r>
          </w:p>
        </w:tc>
        <w:tc>
          <w:tcPr>
            <w:tcW w:w="7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5"/>
              </w:rPr>
              <w:t>1,618.40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3"/>
        </w:trPr>
        <w:tc>
          <w:tcPr>
            <w:tcW w:w="3980" w:type="dxa"/>
            <w:vAlign w:val="bottom"/>
            <w:vMerge w:val="restart"/>
          </w:tcPr>
          <w:p>
            <w:pPr>
              <w:ind w:left="260"/>
              <w:spacing w:after="0"/>
              <w:rPr>
                <w:sz w:val="20"/>
                <w:szCs w:val="20"/>
                <w:color w:val="auto"/>
              </w:rPr>
            </w:pPr>
            <w:r>
              <w:rPr>
                <w:rFonts w:ascii="Arial" w:cs="Arial" w:eastAsia="Arial" w:hAnsi="Arial"/>
                <w:sz w:val="18"/>
                <w:szCs w:val="18"/>
                <w:color w:val="auto"/>
              </w:rPr>
              <w:t>par value $1.00</w:t>
            </w:r>
          </w:p>
        </w:tc>
        <w:tc>
          <w:tcPr>
            <w:tcW w:w="110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1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3980" w:type="dxa"/>
            <w:vAlign w:val="bottom"/>
            <w:vMerge w:val="continue"/>
          </w:tcPr>
          <w:p>
            <w:pPr>
              <w:spacing w:after="0"/>
              <w:rPr>
                <w:sz w:val="8"/>
                <w:szCs w:val="8"/>
                <w:color w:val="auto"/>
              </w:rPr>
            </w:pPr>
          </w:p>
        </w:tc>
        <w:tc>
          <w:tcPr>
            <w:tcW w:w="1680" w:type="dxa"/>
            <w:vAlign w:val="bottom"/>
            <w:gridSpan w:val="2"/>
            <w:vMerge w:val="restart"/>
          </w:tcPr>
          <w:p>
            <w:pPr>
              <w:jc w:val="center"/>
              <w:ind w:left="1020"/>
              <w:spacing w:after="0"/>
              <w:rPr>
                <w:sz w:val="20"/>
                <w:szCs w:val="20"/>
                <w:color w:val="auto"/>
              </w:rPr>
            </w:pPr>
            <w:r>
              <w:rPr>
                <w:rFonts w:ascii="Arial" w:cs="Arial" w:eastAsia="Arial" w:hAnsi="Arial"/>
                <w:sz w:val="18"/>
                <w:szCs w:val="18"/>
                <w:color w:val="auto"/>
                <w:w w:val="89"/>
              </w:rPr>
              <w:t>500,000</w:t>
            </w:r>
          </w:p>
        </w:tc>
        <w:tc>
          <w:tcPr>
            <w:tcW w:w="36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180" w:type="dxa"/>
            <w:vAlign w:val="bottom"/>
            <w:gridSpan w:val="2"/>
            <w:vMerge w:val="restart"/>
          </w:tcPr>
          <w:p>
            <w:pPr>
              <w:ind w:left="400"/>
              <w:spacing w:after="0"/>
              <w:rPr>
                <w:sz w:val="20"/>
                <w:szCs w:val="20"/>
                <w:color w:val="auto"/>
              </w:rPr>
            </w:pPr>
            <w:r>
              <w:rPr>
                <w:rFonts w:ascii="Arial" w:cs="Arial" w:eastAsia="Arial" w:hAnsi="Arial"/>
                <w:sz w:val="18"/>
                <w:szCs w:val="18"/>
                <w:color w:val="auto"/>
                <w:w w:val="84"/>
              </w:rPr>
              <w:t>$8,377,600</w:t>
            </w:r>
          </w:p>
        </w:tc>
        <w:tc>
          <w:tcPr>
            <w:tcW w:w="720" w:type="dxa"/>
            <w:vAlign w:val="bottom"/>
          </w:tcPr>
          <w:p>
            <w:pPr>
              <w:spacing w:after="0"/>
              <w:rPr>
                <w:sz w:val="8"/>
                <w:szCs w:val="8"/>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w w:val="85"/>
              </w:rPr>
              <w:t>2,094.40</w:t>
            </w: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168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3208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311" w:lineRule="exact"/>
        <w:rPr>
          <w:sz w:val="24"/>
          <w:szCs w:val="24"/>
          <w:color w:val="auto"/>
        </w:rPr>
      </w:pPr>
    </w:p>
    <w:p>
      <w:pPr>
        <w:ind w:left="340" w:hanging="332"/>
        <w:spacing w:after="0"/>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Pursuant to Rule 416(a), also covers additional securities that may be offered as a result of stock splits, stock dividends or similar transactions.</w:t>
      </w:r>
    </w:p>
    <w:p>
      <w:pPr>
        <w:spacing w:after="0" w:line="38" w:lineRule="exact"/>
        <w:rPr>
          <w:rFonts w:ascii="Arial" w:cs="Arial" w:eastAsia="Arial" w:hAnsi="Arial"/>
          <w:sz w:val="16"/>
          <w:szCs w:val="16"/>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determining the registration fee.</w:t>
      </w:r>
    </w:p>
    <w:p>
      <w:pPr>
        <w:spacing w:after="0" w:line="9" w:lineRule="exact"/>
        <w:rPr>
          <w:rFonts w:ascii="Arial" w:cs="Arial" w:eastAsia="Arial" w:hAnsi="Arial"/>
          <w:sz w:val="18"/>
          <w:szCs w:val="18"/>
          <w:color w:val="auto"/>
        </w:rPr>
      </w:pPr>
    </w:p>
    <w:p>
      <w:pPr>
        <w:ind w:right="100" w:firstLine="8"/>
        <w:spacing w:after="0" w:line="302" w:lineRule="auto"/>
        <w:tabs>
          <w:tab w:leader="none" w:pos="336" w:val="left"/>
        </w:tabs>
        <w:numPr>
          <w:ilvl w:val="0"/>
          <w:numId w:val="1"/>
        </w:numPr>
        <w:rPr>
          <w:rFonts w:ascii="Arial" w:cs="Arial" w:eastAsia="Arial" w:hAnsi="Arial"/>
          <w:sz w:val="16"/>
          <w:szCs w:val="16"/>
          <w:color w:val="auto"/>
        </w:rPr>
      </w:pPr>
      <w:r>
        <w:rPr>
          <w:rFonts w:ascii="Arial" w:cs="Arial" w:eastAsia="Arial" w:hAnsi="Arial"/>
          <w:sz w:val="16"/>
          <w:szCs w:val="16"/>
          <w:color w:val="auto"/>
        </w:rPr>
        <w:t>Calculated pursuant to Rule 457(h). The maximum offering price per share is based on the average of the high and low selling prices per share of Cohu, Inc. Common Stock on July 25, 2001, as reported on the Nasdaq Stock Market. As to shares subject to the 1997 Employee Stock Purchase Plan, the price is based upon 85% of the average of the high and low selling prices of Cohu, Inc. Common Stock on July 25, 2001, as reported on the Nasdaq Stock Market.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381635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2" w:lineRule="exact"/>
        <w:rPr>
          <w:sz w:val="24"/>
          <w:szCs w:val="24"/>
          <w:color w:val="auto"/>
        </w:rPr>
      </w:pPr>
    </w:p>
    <w:p>
      <w:pPr>
        <w:ind w:left="580"/>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PART II INFORMATION REQUIRED IN THE REGISTRATION STATEMENT</w:t>
        </w:r>
      </w:hyperlink>
    </w:p>
    <w:p>
      <w:pPr>
        <w:sectPr>
          <w:pgSz w:w="11900" w:h="16838" w:orient="portrait"/>
          <w:cols w:equalWidth="0" w:num="1">
            <w:col w:w="11420"/>
          </w:cols>
          <w:pgMar w:left="240" w:top="230" w:right="239" w:bottom="0" w:gutter="0" w:footer="0" w:header="0"/>
        </w:sectPr>
      </w:pPr>
    </w:p>
    <w:bookmarkStart w:id="1" w:name="page2"/>
    <w:bookmarkEnd w:id="1"/>
    <w:p>
      <w:pPr>
        <w:ind w:left="900"/>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Item 3. Incorporation of Documents by Reference</w:t>
        </w:r>
      </w:hyperlink>
    </w:p>
    <w:p>
      <w:pPr>
        <w:ind w:left="900"/>
        <w:spacing w:after="0" w:line="238" w:lineRule="auto"/>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Item 4. Description of Securities</w:t>
        </w:r>
      </w:hyperlink>
    </w:p>
    <w:p>
      <w:pPr>
        <w:ind w:left="900"/>
        <w:spacing w:after="0" w:line="231" w:lineRule="auto"/>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Item 5. Interests of Named Experts and Counsel</w:t>
        </w:r>
      </w:hyperlink>
    </w:p>
    <w:p>
      <w:pPr>
        <w:ind w:left="900"/>
        <w:spacing w:after="0" w:line="231" w:lineRule="auto"/>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Item 6. Indemnification of Directors and Officers</w:t>
        </w:r>
      </w:hyperlink>
    </w:p>
    <w:p>
      <w:pPr>
        <w:ind w:left="900"/>
        <w:spacing w:after="0" w:line="230" w:lineRule="auto"/>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Item 7. Exemption From Registration Claimed</w:t>
        </w:r>
      </w:hyperlink>
    </w:p>
    <w:p>
      <w:pPr>
        <w:ind w:left="900"/>
        <w:spacing w:after="0" w:line="231" w:lineRule="auto"/>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Item 8. Exhibits</w:t>
        </w:r>
      </w:hyperlink>
    </w:p>
    <w:p>
      <w:pPr>
        <w:ind w:left="900"/>
        <w:spacing w:after="0" w:line="231" w:lineRule="auto"/>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Item 9. Undertakings</w:t>
        </w:r>
      </w:hyperlink>
    </w:p>
    <w:p>
      <w:pPr>
        <w:ind w:left="580"/>
        <w:spacing w:after="0" w:line="230" w:lineRule="auto"/>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SIGNATURES</w:t>
        </w:r>
      </w:hyperlink>
    </w:p>
    <w:p>
      <w:pPr>
        <w:ind w:left="580"/>
        <w:spacing w:after="0" w:line="231"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EXHIBIT INDEX</w:t>
        </w:r>
      </w:hyperlink>
    </w:p>
    <w:p>
      <w:pPr>
        <w:ind w:left="580"/>
        <w:spacing w:after="0" w:line="230" w:lineRule="auto"/>
        <w:rPr>
          <w:sz w:val="20"/>
          <w:szCs w:val="20"/>
          <w:color w:val="auto"/>
        </w:rPr>
      </w:pPr>
      <w:r>
        <w:rPr>
          <w:rFonts w:ascii="Arial" w:cs="Arial" w:eastAsia="Arial" w:hAnsi="Arial"/>
          <w:sz w:val="22"/>
          <w:szCs w:val="22"/>
          <w:u w:val="single" w:color="auto"/>
          <w:color w:val="0000EE"/>
        </w:rPr>
        <w:t>EXHIBIT 5</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22"/>
          <w:szCs w:val="22"/>
          <w:u w:val="single" w:color="auto"/>
          <w:color w:val="0000EE"/>
        </w:rPr>
        <w:t>EXHIBIT 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PART II</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INFORMATION REQUIRED IN THE REGISTRATION STATEMENT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Item 3. Incorporation of Documents by Reference</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Cohu, Inc. (the “Company”) hereby incorporates by reference in this registration statement the following documents:</w:t>
      </w:r>
    </w:p>
    <w:p>
      <w:pPr>
        <w:spacing w:after="0" w:line="225" w:lineRule="exact"/>
        <w:rPr>
          <w:sz w:val="20"/>
          <w:szCs w:val="20"/>
          <w:color w:val="auto"/>
        </w:rPr>
      </w:pPr>
    </w:p>
    <w:p>
      <w:pPr>
        <w:ind w:right="500" w:firstLine="228"/>
        <w:spacing w:after="0" w:line="268" w:lineRule="auto"/>
        <w:tabs>
          <w:tab w:leader="none" w:pos="502"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Company’s latest annual report on Form 10-K filed pursuant to Section 13(a) or 15(d) of the Securities Exchange Act of 1934, as amended (the “Exchange Act”), containing audited financial statements for the Company’s fiscal year ended December 31, 2000.</w:t>
      </w:r>
    </w:p>
    <w:p>
      <w:pPr>
        <w:spacing w:after="0" w:line="185" w:lineRule="exact"/>
        <w:rPr>
          <w:rFonts w:ascii="Arial" w:cs="Arial" w:eastAsia="Arial" w:hAnsi="Arial"/>
          <w:sz w:val="18"/>
          <w:szCs w:val="18"/>
          <w:color w:val="auto"/>
        </w:rPr>
      </w:pPr>
    </w:p>
    <w:p>
      <w:pPr>
        <w:ind w:left="520" w:hanging="292"/>
        <w:spacing w:after="0"/>
        <w:tabs>
          <w:tab w:leader="none" w:pos="520" w:val="left"/>
        </w:tabs>
        <w:numPr>
          <w:ilvl w:val="1"/>
          <w:numId w:val="2"/>
        </w:numPr>
        <w:rPr>
          <w:rFonts w:ascii="Arial" w:cs="Arial" w:eastAsia="Arial" w:hAnsi="Arial"/>
          <w:sz w:val="16"/>
          <w:szCs w:val="16"/>
          <w:color w:val="auto"/>
        </w:rPr>
      </w:pPr>
      <w:r>
        <w:rPr>
          <w:rFonts w:ascii="Arial" w:cs="Arial" w:eastAsia="Arial" w:hAnsi="Arial"/>
          <w:sz w:val="16"/>
          <w:szCs w:val="16"/>
          <w:color w:val="auto"/>
        </w:rPr>
        <w:t>All other reports filed pursuant to Section 13(a) or 15(d) of the Exchange Act since the end of the fiscal year covered by the document referred to in</w:t>
      </w:r>
    </w:p>
    <w:p>
      <w:pPr>
        <w:spacing w:after="0" w:line="38" w:lineRule="exact"/>
        <w:rPr>
          <w:rFonts w:ascii="Arial" w:cs="Arial" w:eastAsia="Arial" w:hAnsi="Arial"/>
          <w:sz w:val="16"/>
          <w:szCs w:val="16"/>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above.</w:t>
      </w:r>
    </w:p>
    <w:p>
      <w:pPr>
        <w:spacing w:after="0" w:line="218" w:lineRule="exact"/>
        <w:rPr>
          <w:rFonts w:ascii="Arial" w:cs="Arial" w:eastAsia="Arial" w:hAnsi="Arial"/>
          <w:sz w:val="18"/>
          <w:szCs w:val="18"/>
          <w:color w:val="auto"/>
        </w:rPr>
      </w:pPr>
    </w:p>
    <w:p>
      <w:pPr>
        <w:ind w:right="600" w:firstLine="228"/>
        <w:spacing w:after="0" w:line="268" w:lineRule="auto"/>
        <w:tabs>
          <w:tab w:leader="none" w:pos="502"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description of the Company’s Common Stock contained in the Company’s Registration Statement on Form 8-A filed under the Exchange Act, including any amendment or report filed for the purpose of updating such description.</w:t>
      </w:r>
    </w:p>
    <w:p>
      <w:pPr>
        <w:spacing w:after="0" w:line="186" w:lineRule="exact"/>
        <w:rPr>
          <w:sz w:val="20"/>
          <w:szCs w:val="20"/>
          <w:color w:val="auto"/>
        </w:rPr>
      </w:pPr>
    </w:p>
    <w:p>
      <w:pPr>
        <w:ind w:right="200" w:firstLine="210"/>
        <w:spacing w:after="0" w:line="306" w:lineRule="auto"/>
        <w:rPr>
          <w:sz w:val="20"/>
          <w:szCs w:val="20"/>
          <w:color w:val="auto"/>
        </w:rPr>
      </w:pPr>
      <w:r>
        <w:rPr>
          <w:rFonts w:ascii="Arial" w:cs="Arial" w:eastAsia="Arial" w:hAnsi="Arial"/>
          <w:sz w:val="16"/>
          <w:szCs w:val="16"/>
          <w:color w:val="auto"/>
        </w:rPr>
        <w:t>All documents subsequently filed by the Company pursuant to Sections 13(a), 13(c), 14 and 15(d) of the Exchange Act, prior to the filing of a post-effective amendment to this registration statement which indicates that all securities offered hereby have been sold or which deregisters all securities remaining unsold, shall be deemed to be incorporated by reference in this registration statement and to be a part hereof from the date of filing of such documents.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Item 4. Description of Securities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5. Interests of Named Experts and Counsel</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6. Indemnification of Directors and Officers</w:t>
      </w:r>
    </w:p>
    <w:p>
      <w:pPr>
        <w:spacing w:after="0" w:line="225" w:lineRule="exact"/>
        <w:rPr>
          <w:sz w:val="20"/>
          <w:szCs w:val="20"/>
          <w:color w:val="auto"/>
        </w:rPr>
      </w:pPr>
    </w:p>
    <w:p>
      <w:pPr>
        <w:ind w:firstLine="220"/>
        <w:spacing w:after="0" w:line="255" w:lineRule="auto"/>
        <w:rPr>
          <w:sz w:val="20"/>
          <w:szCs w:val="20"/>
          <w:color w:val="auto"/>
        </w:rPr>
      </w:pPr>
      <w:r>
        <w:rPr>
          <w:rFonts w:ascii="Arial" w:cs="Arial" w:eastAsia="Arial" w:hAnsi="Arial"/>
          <w:sz w:val="18"/>
          <w:szCs w:val="18"/>
          <w:color w:val="auto"/>
        </w:rPr>
        <w:t>Delaware law authorizes corporations to eliminate the personal liability of directors to corporations and their stockholders for monetary damages for breach or alleged breach of the directors’ “duty of care.” While the relevant statute does not change directors’ duty of care, it enables corporations to limit available relief to equitable remedies such as injunction or rescission. The statute has no effect on directors’ duty of loyalty, acts or omissions not in good faith or involving intentional misconduct or knowing violations of law, illegal payment of dividends and approval of any transaction from which a director derives an improper personal benefit.</w:t>
      </w:r>
    </w:p>
    <w:p>
      <w:pPr>
        <w:spacing w:after="0" w:line="197" w:lineRule="exact"/>
        <w:rPr>
          <w:sz w:val="20"/>
          <w:szCs w:val="20"/>
          <w:color w:val="auto"/>
        </w:rPr>
      </w:pPr>
    </w:p>
    <w:p>
      <w:pPr>
        <w:ind w:right="280" w:firstLine="216"/>
        <w:spacing w:after="0" w:line="298" w:lineRule="auto"/>
        <w:rPr>
          <w:sz w:val="20"/>
          <w:szCs w:val="20"/>
          <w:color w:val="auto"/>
        </w:rPr>
      </w:pPr>
      <w:r>
        <w:rPr>
          <w:rFonts w:ascii="Arial" w:cs="Arial" w:eastAsia="Arial" w:hAnsi="Arial"/>
          <w:sz w:val="16"/>
          <w:szCs w:val="16"/>
          <w:color w:val="auto"/>
        </w:rPr>
        <w:t>The Company has adopted provisions in its Certificate of Incorporation which eliminate the personal liability of its directors to the Company and its stockholders for monetary damages for breach or alleged breach of their duty of care. The bylaws of the Company provide for indemnification of its directors, officers, employees and agents to the fullest extent permitted by the General Corporation Law of the State of Delaware, the Company’s state of incorporation, including those circumstances in which indemnification would otherwise be discretionary under Delaware Law. Section 145 of the General</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Corporation Law of the State of Delaware provides for indemnification in terms sufficiently broad to indemnify such individuals, under certain circumstances, for liabilities (including reimbursement of expenses incurred) arising under the Securities Act of 1933.</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Item 7. Exemption From Registration Claimed</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8. Exhibits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See Exhibit Index.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9. Undertakings</w:t>
      </w:r>
    </w:p>
    <w:p>
      <w:pPr>
        <w:sectPr>
          <w:pgSz w:w="11900" w:h="16838" w:orient="portrait"/>
          <w:cols w:equalWidth="0" w:num="1">
            <w:col w:w="11400"/>
          </w:cols>
          <w:pgMar w:left="240" w:top="118" w:right="259" w:bottom="0" w:gutter="0" w:footer="0" w:header="0"/>
        </w:sectPr>
      </w:pPr>
    </w:p>
    <w:bookmarkStart w:id="2" w:name="page3"/>
    <w:bookmarkEnd w:id="2"/>
    <w:p>
      <w:pPr>
        <w:spacing w:after="0" w:line="13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Rule 415 Offering</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undersigned registrant hereby undertakes:</w:t>
      </w:r>
    </w:p>
    <w:p>
      <w:pPr>
        <w:spacing w:after="0" w:line="225" w:lineRule="exact"/>
        <w:rPr>
          <w:sz w:val="20"/>
          <w:szCs w:val="20"/>
          <w:color w:val="auto"/>
        </w:rPr>
      </w:pPr>
    </w:p>
    <w:p>
      <w:pPr>
        <w:ind w:left="780" w:hanging="245"/>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000" w:hanging="202"/>
        <w:spacing w:after="0"/>
        <w:tabs>
          <w:tab w:leader="none" w:pos="10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25" w:lineRule="exact"/>
        <w:rPr>
          <w:rFonts w:ascii="Arial" w:cs="Arial" w:eastAsia="Arial" w:hAnsi="Arial"/>
          <w:sz w:val="18"/>
          <w:szCs w:val="18"/>
          <w:color w:val="auto"/>
        </w:rPr>
      </w:pPr>
    </w:p>
    <w:p>
      <w:pPr>
        <w:ind w:right="560" w:firstLine="798"/>
        <w:spacing w:after="0" w:line="370" w:lineRule="auto"/>
        <w:tabs>
          <w:tab w:leader="none" w:pos="1049" w:val="left"/>
        </w:tabs>
        <w:numPr>
          <w:ilvl w:val="1"/>
          <w:numId w:val="4"/>
        </w:numPr>
        <w:rPr>
          <w:rFonts w:ascii="Arial" w:cs="Arial" w:eastAsia="Arial" w:hAnsi="Arial"/>
          <w:sz w:val="15"/>
          <w:szCs w:val="15"/>
          <w:color w:val="auto"/>
        </w:rPr>
      </w:pPr>
      <w:r>
        <w:rPr>
          <w:rFonts w:ascii="Arial" w:cs="Arial" w:eastAsia="Arial" w:hAnsi="Arial"/>
          <w:sz w:val="15"/>
          <w:szCs w:val="15"/>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w:t>
      </w:r>
    </w:p>
    <w:p>
      <w:pPr>
        <w:spacing w:after="0" w:line="116" w:lineRule="exact"/>
        <w:rPr>
          <w:rFonts w:ascii="Arial" w:cs="Arial" w:eastAsia="Arial" w:hAnsi="Arial"/>
          <w:sz w:val="15"/>
          <w:szCs w:val="15"/>
          <w:color w:val="auto"/>
        </w:rPr>
      </w:pPr>
    </w:p>
    <w:p>
      <w:pPr>
        <w:ind w:right="160" w:firstLine="798"/>
        <w:spacing w:after="0" w:line="254" w:lineRule="auto"/>
        <w:tabs>
          <w:tab w:leader="none" w:pos="1097"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w:t>
      </w:r>
    </w:p>
    <w:p>
      <w:pPr>
        <w:spacing w:after="0" w:line="19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paragraphs (a)(1)(i) and (a)(l)(ii) do not apply if the registration statement is on Form S-3 or Form S-8, and the information required to be</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in a post-effective amendment by those paragraphs is contained in periodic reports filed by the registrant pursuant to section 13 or section 15(d) of the Exchange Act that are incorporated by reference in the registration statement.</w:t>
      </w:r>
    </w:p>
    <w:p>
      <w:pPr>
        <w:spacing w:after="0" w:line="194" w:lineRule="exact"/>
        <w:rPr>
          <w:sz w:val="20"/>
          <w:szCs w:val="20"/>
          <w:color w:val="auto"/>
        </w:rPr>
      </w:pPr>
    </w:p>
    <w:p>
      <w:pPr>
        <w:jc w:val="both"/>
        <w:ind w:right="180" w:firstLine="535"/>
        <w:spacing w:after="0" w:line="259" w:lineRule="auto"/>
        <w:tabs>
          <w:tab w:leader="none" w:pos="77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94" w:lineRule="exact"/>
        <w:rPr>
          <w:rFonts w:ascii="Arial" w:cs="Arial" w:eastAsia="Arial" w:hAnsi="Arial"/>
          <w:sz w:val="18"/>
          <w:szCs w:val="18"/>
          <w:color w:val="auto"/>
        </w:rPr>
      </w:pPr>
    </w:p>
    <w:p>
      <w:pPr>
        <w:ind w:right="120" w:firstLine="535"/>
        <w:spacing w:after="0" w:line="268" w:lineRule="auto"/>
        <w:tabs>
          <w:tab w:leader="none" w:pos="775"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(b) Filings incorporating subsequent Exchange Act documents by reference</w:t>
      </w:r>
    </w:p>
    <w:p>
      <w:pPr>
        <w:spacing w:after="0" w:line="225" w:lineRule="exact"/>
        <w:rPr>
          <w:sz w:val="20"/>
          <w:szCs w:val="20"/>
          <w:color w:val="auto"/>
        </w:rPr>
      </w:pPr>
    </w:p>
    <w:p>
      <w:pPr>
        <w:ind w:firstLine="524"/>
        <w:spacing w:after="0" w:line="298" w:lineRule="auto"/>
        <w:rPr>
          <w:sz w:val="20"/>
          <w:szCs w:val="20"/>
          <w:color w:val="auto"/>
        </w:rPr>
      </w:pPr>
      <w:r>
        <w:rPr>
          <w:rFonts w:ascii="Arial" w:cs="Arial" w:eastAsia="Arial" w:hAnsi="Arial"/>
          <w:sz w:val="16"/>
          <w:szCs w:val="16"/>
          <w:color w:val="auto"/>
        </w:rPr>
        <w:t>The undersigned registrant hereby undertakes that, for purposes of determining any liability under the Securities Act of 1933,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(h) Request for acceleration of effective date or filing of registration statement on Form S-8</w:t>
      </w:r>
    </w:p>
    <w:p>
      <w:pPr>
        <w:spacing w:after="0" w:line="225" w:lineRule="exact"/>
        <w:rPr>
          <w:sz w:val="20"/>
          <w:szCs w:val="20"/>
          <w:color w:val="auto"/>
        </w:rPr>
      </w:pPr>
    </w:p>
    <w:p>
      <w:pPr>
        <w:ind w:right="100" w:firstLine="527"/>
        <w:spacing w:after="0" w:line="290" w:lineRule="auto"/>
        <w:rPr>
          <w:sz w:val="20"/>
          <w:szCs w:val="20"/>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220"/>
        <w:spacing w:after="0" w:line="259"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Poway, State of California, on July 31, 2001.</w:t>
      </w:r>
    </w:p>
    <w:p>
      <w:pPr>
        <w:spacing w:after="0" w:line="23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COHU, INC.</w:t>
      </w:r>
    </w:p>
    <w:p>
      <w:pPr>
        <w:spacing w:after="0" w:line="200" w:lineRule="exact"/>
        <w:rPr>
          <w:sz w:val="20"/>
          <w:szCs w:val="20"/>
          <w:color w:val="auto"/>
        </w:rPr>
      </w:pPr>
    </w:p>
    <w:p>
      <w:pPr>
        <w:spacing w:after="0" w:line="32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/s/ James A. Donahue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88265</wp:posOffset>
            </wp:positionV>
            <wp:extent cx="34988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p>
      <w:pPr>
        <w:spacing w:after="0" w:line="246"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James A. Donahue</w:t>
      </w:r>
    </w:p>
    <w:p>
      <w:pPr>
        <w:spacing w:after="0" w:line="1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President and Chief Executive Officer</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firstLine="216"/>
        <w:spacing w:after="0" w:line="370" w:lineRule="auto"/>
        <w:rPr>
          <w:sz w:val="20"/>
          <w:szCs w:val="20"/>
          <w:color w:val="auto"/>
        </w:rPr>
      </w:pPr>
      <w:r>
        <w:rPr>
          <w:rFonts w:ascii="Arial" w:cs="Arial" w:eastAsia="Arial" w:hAnsi="Arial"/>
          <w:sz w:val="15"/>
          <w:szCs w:val="15"/>
          <w:color w:val="auto"/>
        </w:rPr>
        <w:t>The officers and directors of Cohu, Inc. whose signatures appear below, hereby constitute and appoint James A. Donahue and John H. Allen, and each of them, their true and lawful attorneys and agents, with full power of substitution, each with power to act alone, to sign and execute on behalf of the undersigned any</w:t>
      </w:r>
    </w:p>
    <w:p>
      <w:pPr>
        <w:sectPr>
          <w:pgSz w:w="11900" w:h="16975" w:orient="portrait"/>
          <w:cols w:equalWidth="0" w:num="1">
            <w:col w:w="11400"/>
          </w:cols>
          <w:pgMar w:left="240" w:top="131" w:right="259" w:bottom="0" w:gutter="0" w:footer="0" w:header="0"/>
        </w:sectPr>
      </w:pPr>
    </w:p>
    <w:bookmarkStart w:id="3" w:name="page4"/>
    <w:bookmarkEnd w:id="3"/>
    <w:p>
      <w:pPr>
        <w:ind w:right="200"/>
        <w:spacing w:after="0" w:line="268" w:lineRule="auto"/>
        <w:rPr>
          <w:sz w:val="20"/>
          <w:szCs w:val="20"/>
          <w:color w:val="auto"/>
        </w:rPr>
      </w:pPr>
      <w:r>
        <w:rPr>
          <w:rFonts w:ascii="Arial" w:cs="Arial" w:eastAsia="Arial" w:hAnsi="Arial"/>
          <w:sz w:val="18"/>
          <w:szCs w:val="18"/>
          <w:color w:val="auto"/>
        </w:rPr>
        <w:t>amendment or amendments to this registration statement on Form S-8, and each of the undersigned does hereby ratify and confirm all that each of said attorney and agent, or their, her or his substitutes, shall do or cause to be done by virtue hereof.</w:t>
      </w:r>
    </w:p>
    <w:p>
      <w:pPr>
        <w:spacing w:after="0" w:line="186" w:lineRule="exact"/>
        <w:rPr>
          <w:sz w:val="20"/>
          <w:szCs w:val="20"/>
          <w:color w:val="auto"/>
        </w:rPr>
      </w:pPr>
    </w:p>
    <w:p>
      <w:pPr>
        <w:ind w:right="180" w:firstLine="220"/>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indicated on July 31, 2001.</w:t>
      </w:r>
    </w:p>
    <w:p>
      <w:pPr>
        <w:spacing w:after="0" w:line="200" w:lineRule="exact"/>
        <w:rPr>
          <w:sz w:val="20"/>
          <w:szCs w:val="20"/>
          <w:color w:val="auto"/>
        </w:rPr>
      </w:pPr>
    </w:p>
    <w:p>
      <w:pPr>
        <w:spacing w:after="0" w:line="225" w:lineRule="exact"/>
        <w:rPr>
          <w:sz w:val="20"/>
          <w:szCs w:val="20"/>
          <w:color w:val="auto"/>
        </w:rPr>
      </w:pPr>
    </w:p>
    <w:p>
      <w:pPr>
        <w:spacing w:after="0"/>
        <w:tabs>
          <w:tab w:leader="none" w:pos="740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100" w:type="dxa"/>
            <w:vAlign w:val="bottom"/>
          </w:tcPr>
          <w:p>
            <w:pPr>
              <w:spacing w:after="0"/>
              <w:rPr>
                <w:sz w:val="20"/>
                <w:szCs w:val="20"/>
                <w:color w:val="auto"/>
              </w:rPr>
            </w:pPr>
            <w:r>
              <w:rPr>
                <w:rFonts w:ascii="Arial" w:cs="Arial" w:eastAsia="Arial" w:hAnsi="Arial"/>
                <w:sz w:val="18"/>
                <w:szCs w:val="18"/>
                <w:color w:val="auto"/>
              </w:rPr>
              <w:t>/s/ Charles A. Schwan</w:t>
            </w:r>
          </w:p>
        </w:tc>
        <w:tc>
          <w:tcPr>
            <w:tcW w:w="8320" w:type="dxa"/>
            <w:vAlign w:val="bottom"/>
          </w:tcPr>
          <w:p>
            <w:pPr>
              <w:ind w:left="560"/>
              <w:spacing w:after="0"/>
              <w:rPr>
                <w:sz w:val="20"/>
                <w:szCs w:val="20"/>
                <w:color w:val="auto"/>
              </w:rPr>
            </w:pPr>
            <w:r>
              <w:rPr>
                <w:rFonts w:ascii="Arial" w:cs="Arial" w:eastAsia="Arial" w:hAnsi="Arial"/>
                <w:sz w:val="18"/>
                <w:szCs w:val="18"/>
                <w:color w:val="auto"/>
              </w:rPr>
              <w:t>Chairman of the Board, Director</w:t>
            </w:r>
          </w:p>
        </w:tc>
      </w:tr>
      <w:tr>
        <w:trPr>
          <w:trHeight w:val="110"/>
        </w:trPr>
        <w:tc>
          <w:tcPr>
            <w:tcW w:w="3100" w:type="dxa"/>
            <w:vAlign w:val="bottom"/>
            <w:tcBorders>
              <w:bottom w:val="single" w:sz="8" w:color="808080"/>
            </w:tcBorders>
          </w:tcPr>
          <w:p>
            <w:pPr>
              <w:spacing w:after="0"/>
              <w:rPr>
                <w:sz w:val="9"/>
                <w:szCs w:val="9"/>
                <w:color w:val="auto"/>
              </w:rPr>
            </w:pPr>
          </w:p>
        </w:tc>
        <w:tc>
          <w:tcPr>
            <w:tcW w:w="8320" w:type="dxa"/>
            <w:vAlign w:val="bottom"/>
          </w:tcPr>
          <w:p>
            <w:pPr>
              <w:spacing w:after="0"/>
              <w:rPr>
                <w:sz w:val="9"/>
                <w:szCs w:val="9"/>
                <w:color w:val="auto"/>
              </w:rPr>
            </w:pPr>
          </w:p>
        </w:tc>
      </w:tr>
      <w:tr>
        <w:trPr>
          <w:trHeight w:val="316"/>
        </w:trPr>
        <w:tc>
          <w:tcPr>
            <w:tcW w:w="3100" w:type="dxa"/>
            <w:vAlign w:val="bottom"/>
          </w:tcPr>
          <w:p>
            <w:pPr>
              <w:spacing w:after="0"/>
              <w:rPr>
                <w:sz w:val="20"/>
                <w:szCs w:val="20"/>
                <w:color w:val="auto"/>
              </w:rPr>
            </w:pPr>
            <w:r>
              <w:rPr>
                <w:rFonts w:ascii="Arial" w:cs="Arial" w:eastAsia="Arial" w:hAnsi="Arial"/>
                <w:sz w:val="18"/>
                <w:szCs w:val="18"/>
                <w:color w:val="auto"/>
              </w:rPr>
              <w:t>Charles A. Schwan</w:t>
            </w:r>
          </w:p>
        </w:tc>
        <w:tc>
          <w:tcPr>
            <w:tcW w:w="8320" w:type="dxa"/>
            <w:vAlign w:val="bottom"/>
          </w:tcPr>
          <w:p>
            <w:pPr>
              <w:spacing w:after="0"/>
              <w:rPr>
                <w:sz w:val="24"/>
                <w:szCs w:val="24"/>
                <w:color w:val="auto"/>
              </w:rPr>
            </w:pPr>
          </w:p>
        </w:tc>
      </w:tr>
      <w:tr>
        <w:trPr>
          <w:trHeight w:val="459"/>
        </w:trPr>
        <w:tc>
          <w:tcPr>
            <w:tcW w:w="3100" w:type="dxa"/>
            <w:vAlign w:val="bottom"/>
          </w:tcPr>
          <w:p>
            <w:pPr>
              <w:spacing w:after="0"/>
              <w:rPr>
                <w:sz w:val="20"/>
                <w:szCs w:val="20"/>
                <w:color w:val="auto"/>
              </w:rPr>
            </w:pPr>
            <w:r>
              <w:rPr>
                <w:rFonts w:ascii="Arial" w:cs="Arial" w:eastAsia="Arial" w:hAnsi="Arial"/>
                <w:sz w:val="18"/>
                <w:szCs w:val="18"/>
                <w:color w:val="auto"/>
              </w:rPr>
              <w:t>/s/ James A. Donahue</w:t>
            </w:r>
          </w:p>
        </w:tc>
        <w:tc>
          <w:tcPr>
            <w:tcW w:w="8320" w:type="dxa"/>
            <w:vAlign w:val="bottom"/>
          </w:tcPr>
          <w:p>
            <w:pPr>
              <w:ind w:left="560"/>
              <w:spacing w:after="0"/>
              <w:rPr>
                <w:sz w:val="20"/>
                <w:szCs w:val="20"/>
                <w:color w:val="auto"/>
              </w:rPr>
            </w:pPr>
            <w:r>
              <w:rPr>
                <w:rFonts w:ascii="Arial" w:cs="Arial" w:eastAsia="Arial" w:hAnsi="Arial"/>
                <w:sz w:val="18"/>
                <w:szCs w:val="18"/>
                <w:color w:val="auto"/>
              </w:rPr>
              <w:t>President, Chief Executive Officer and Director (Principal Executive Officer)</w:t>
            </w:r>
          </w:p>
        </w:tc>
      </w:tr>
      <w:tr>
        <w:trPr>
          <w:trHeight w:val="97"/>
        </w:trPr>
        <w:tc>
          <w:tcPr>
            <w:tcW w:w="3100" w:type="dxa"/>
            <w:vAlign w:val="bottom"/>
            <w:tcBorders>
              <w:bottom w:val="single" w:sz="8" w:color="808080"/>
            </w:tcBorders>
          </w:tcPr>
          <w:p>
            <w:pPr>
              <w:spacing w:after="0"/>
              <w:rPr>
                <w:sz w:val="8"/>
                <w:szCs w:val="8"/>
                <w:color w:val="auto"/>
              </w:rPr>
            </w:pPr>
          </w:p>
        </w:tc>
        <w:tc>
          <w:tcPr>
            <w:tcW w:w="8320" w:type="dxa"/>
            <w:vAlign w:val="bottom"/>
          </w:tcPr>
          <w:p>
            <w:pPr>
              <w:spacing w:after="0"/>
              <w:rPr>
                <w:sz w:val="8"/>
                <w:szCs w:val="8"/>
                <w:color w:val="auto"/>
              </w:rPr>
            </w:pPr>
          </w:p>
        </w:tc>
      </w:tr>
      <w:tr>
        <w:trPr>
          <w:trHeight w:val="289"/>
        </w:trPr>
        <w:tc>
          <w:tcPr>
            <w:tcW w:w="3100" w:type="dxa"/>
            <w:vAlign w:val="bottom"/>
          </w:tcPr>
          <w:p>
            <w:pPr>
              <w:spacing w:after="0"/>
              <w:rPr>
                <w:sz w:val="20"/>
                <w:szCs w:val="20"/>
                <w:color w:val="auto"/>
              </w:rPr>
            </w:pPr>
            <w:r>
              <w:rPr>
                <w:rFonts w:ascii="Arial" w:cs="Arial" w:eastAsia="Arial" w:hAnsi="Arial"/>
                <w:sz w:val="18"/>
                <w:szCs w:val="18"/>
                <w:color w:val="auto"/>
              </w:rPr>
              <w:t>James A. Donahue</w:t>
            </w:r>
          </w:p>
        </w:tc>
        <w:tc>
          <w:tcPr>
            <w:tcW w:w="8320" w:type="dxa"/>
            <w:vAlign w:val="bottom"/>
          </w:tcPr>
          <w:p>
            <w:pPr>
              <w:spacing w:after="0"/>
              <w:rPr>
                <w:sz w:val="24"/>
                <w:szCs w:val="24"/>
                <w:color w:val="auto"/>
              </w:rPr>
            </w:pPr>
          </w:p>
        </w:tc>
      </w:tr>
      <w:tr>
        <w:trPr>
          <w:trHeight w:val="459"/>
        </w:trPr>
        <w:tc>
          <w:tcPr>
            <w:tcW w:w="3100" w:type="dxa"/>
            <w:vAlign w:val="bottom"/>
          </w:tcPr>
          <w:p>
            <w:pPr>
              <w:spacing w:after="0"/>
              <w:rPr>
                <w:sz w:val="20"/>
                <w:szCs w:val="20"/>
                <w:color w:val="auto"/>
              </w:rPr>
            </w:pPr>
            <w:r>
              <w:rPr>
                <w:rFonts w:ascii="Arial" w:cs="Arial" w:eastAsia="Arial" w:hAnsi="Arial"/>
                <w:sz w:val="18"/>
                <w:szCs w:val="18"/>
                <w:color w:val="auto"/>
              </w:rPr>
              <w:t>/s/ John H. Allen</w:t>
            </w:r>
          </w:p>
        </w:tc>
        <w:tc>
          <w:tcPr>
            <w:tcW w:w="8320" w:type="dxa"/>
            <w:vAlign w:val="bottom"/>
          </w:tcPr>
          <w:p>
            <w:pPr>
              <w:ind w:left="560"/>
              <w:spacing w:after="0"/>
              <w:rPr>
                <w:sz w:val="20"/>
                <w:szCs w:val="20"/>
                <w:color w:val="auto"/>
              </w:rPr>
            </w:pPr>
            <w:r>
              <w:rPr>
                <w:rFonts w:ascii="Arial" w:cs="Arial" w:eastAsia="Arial" w:hAnsi="Arial"/>
                <w:sz w:val="18"/>
                <w:szCs w:val="18"/>
                <w:color w:val="auto"/>
                <w:w w:val="91"/>
              </w:rPr>
              <w:t>Vice President, Finance and Chief Financial Officer, Secretary (Principal Financial and Accounting Officer)</w:t>
            </w:r>
          </w:p>
        </w:tc>
      </w:tr>
      <w:tr>
        <w:trPr>
          <w:trHeight w:val="97"/>
        </w:trPr>
        <w:tc>
          <w:tcPr>
            <w:tcW w:w="3100" w:type="dxa"/>
            <w:vAlign w:val="bottom"/>
            <w:tcBorders>
              <w:bottom w:val="single" w:sz="8" w:color="808080"/>
            </w:tcBorders>
          </w:tcPr>
          <w:p>
            <w:pPr>
              <w:spacing w:after="0"/>
              <w:rPr>
                <w:sz w:val="8"/>
                <w:szCs w:val="8"/>
                <w:color w:val="auto"/>
              </w:rPr>
            </w:pPr>
          </w:p>
        </w:tc>
        <w:tc>
          <w:tcPr>
            <w:tcW w:w="8320" w:type="dxa"/>
            <w:vAlign w:val="bottom"/>
          </w:tcPr>
          <w:p>
            <w:pPr>
              <w:spacing w:after="0"/>
              <w:rPr>
                <w:sz w:val="8"/>
                <w:szCs w:val="8"/>
                <w:color w:val="auto"/>
              </w:rPr>
            </w:pPr>
          </w:p>
        </w:tc>
      </w:tr>
      <w:tr>
        <w:trPr>
          <w:trHeight w:val="289"/>
        </w:trPr>
        <w:tc>
          <w:tcPr>
            <w:tcW w:w="3100" w:type="dxa"/>
            <w:vAlign w:val="bottom"/>
          </w:tcPr>
          <w:p>
            <w:pPr>
              <w:spacing w:after="0"/>
              <w:rPr>
                <w:sz w:val="20"/>
                <w:szCs w:val="20"/>
                <w:color w:val="auto"/>
              </w:rPr>
            </w:pPr>
            <w:r>
              <w:rPr>
                <w:rFonts w:ascii="Arial" w:cs="Arial" w:eastAsia="Arial" w:hAnsi="Arial"/>
                <w:sz w:val="18"/>
                <w:szCs w:val="18"/>
                <w:color w:val="auto"/>
              </w:rPr>
              <w:t>John H. Allen</w:t>
            </w:r>
          </w:p>
        </w:tc>
        <w:tc>
          <w:tcPr>
            <w:tcW w:w="8320" w:type="dxa"/>
            <w:vAlign w:val="bottom"/>
          </w:tcPr>
          <w:p>
            <w:pPr>
              <w:spacing w:after="0"/>
              <w:rPr>
                <w:sz w:val="24"/>
                <w:szCs w:val="24"/>
                <w:color w:val="auto"/>
              </w:rPr>
            </w:pPr>
          </w:p>
        </w:tc>
      </w:tr>
      <w:tr>
        <w:trPr>
          <w:trHeight w:val="459"/>
        </w:trPr>
        <w:tc>
          <w:tcPr>
            <w:tcW w:w="3100" w:type="dxa"/>
            <w:vAlign w:val="bottom"/>
          </w:tcPr>
          <w:p>
            <w:pPr>
              <w:spacing w:after="0"/>
              <w:rPr>
                <w:sz w:val="20"/>
                <w:szCs w:val="20"/>
                <w:color w:val="auto"/>
              </w:rPr>
            </w:pPr>
            <w:r>
              <w:rPr>
                <w:rFonts w:ascii="Arial" w:cs="Arial" w:eastAsia="Arial" w:hAnsi="Arial"/>
                <w:sz w:val="18"/>
                <w:szCs w:val="18"/>
                <w:color w:val="auto"/>
              </w:rPr>
              <w:t>/s/ James W. Barnes</w:t>
            </w:r>
          </w:p>
        </w:tc>
        <w:tc>
          <w:tcPr>
            <w:tcW w:w="8320" w:type="dxa"/>
            <w:vAlign w:val="bottom"/>
          </w:tcPr>
          <w:p>
            <w:pPr>
              <w:ind w:left="560"/>
              <w:spacing w:after="0"/>
              <w:rPr>
                <w:sz w:val="20"/>
                <w:szCs w:val="20"/>
                <w:color w:val="auto"/>
              </w:rPr>
            </w:pPr>
            <w:r>
              <w:rPr>
                <w:rFonts w:ascii="Arial" w:cs="Arial" w:eastAsia="Arial" w:hAnsi="Arial"/>
                <w:sz w:val="18"/>
                <w:szCs w:val="18"/>
                <w:color w:val="auto"/>
              </w:rPr>
              <w:t>Director</w:t>
            </w:r>
          </w:p>
        </w:tc>
      </w:tr>
      <w:tr>
        <w:trPr>
          <w:trHeight w:val="97"/>
        </w:trPr>
        <w:tc>
          <w:tcPr>
            <w:tcW w:w="3100" w:type="dxa"/>
            <w:vAlign w:val="bottom"/>
            <w:tcBorders>
              <w:bottom w:val="single" w:sz="8" w:color="808080"/>
            </w:tcBorders>
          </w:tcPr>
          <w:p>
            <w:pPr>
              <w:spacing w:after="0"/>
              <w:rPr>
                <w:sz w:val="8"/>
                <w:szCs w:val="8"/>
                <w:color w:val="auto"/>
              </w:rPr>
            </w:pPr>
          </w:p>
        </w:tc>
        <w:tc>
          <w:tcPr>
            <w:tcW w:w="8320" w:type="dxa"/>
            <w:vAlign w:val="bottom"/>
          </w:tcPr>
          <w:p>
            <w:pPr>
              <w:spacing w:after="0"/>
              <w:rPr>
                <w:sz w:val="8"/>
                <w:szCs w:val="8"/>
                <w:color w:val="auto"/>
              </w:rPr>
            </w:pPr>
          </w:p>
        </w:tc>
      </w:tr>
      <w:tr>
        <w:trPr>
          <w:trHeight w:val="289"/>
        </w:trPr>
        <w:tc>
          <w:tcPr>
            <w:tcW w:w="3100" w:type="dxa"/>
            <w:vAlign w:val="bottom"/>
          </w:tcPr>
          <w:p>
            <w:pPr>
              <w:spacing w:after="0"/>
              <w:rPr>
                <w:sz w:val="20"/>
                <w:szCs w:val="20"/>
                <w:color w:val="auto"/>
              </w:rPr>
            </w:pPr>
            <w:r>
              <w:rPr>
                <w:rFonts w:ascii="Arial" w:cs="Arial" w:eastAsia="Arial" w:hAnsi="Arial"/>
                <w:sz w:val="18"/>
                <w:szCs w:val="18"/>
                <w:color w:val="auto"/>
              </w:rPr>
              <w:t>James W. Barnes</w:t>
            </w:r>
          </w:p>
        </w:tc>
        <w:tc>
          <w:tcPr>
            <w:tcW w:w="8320" w:type="dxa"/>
            <w:vAlign w:val="bottom"/>
          </w:tcPr>
          <w:p>
            <w:pPr>
              <w:spacing w:after="0"/>
              <w:rPr>
                <w:sz w:val="24"/>
                <w:szCs w:val="24"/>
                <w:color w:val="auto"/>
              </w:rPr>
            </w:pPr>
          </w:p>
        </w:tc>
      </w:tr>
      <w:tr>
        <w:trPr>
          <w:trHeight w:val="459"/>
        </w:trPr>
        <w:tc>
          <w:tcPr>
            <w:tcW w:w="3100" w:type="dxa"/>
            <w:vAlign w:val="bottom"/>
          </w:tcPr>
          <w:p>
            <w:pPr>
              <w:spacing w:after="0"/>
              <w:rPr>
                <w:sz w:val="20"/>
                <w:szCs w:val="20"/>
                <w:color w:val="auto"/>
              </w:rPr>
            </w:pPr>
            <w:r>
              <w:rPr>
                <w:rFonts w:ascii="Arial" w:cs="Arial" w:eastAsia="Arial" w:hAnsi="Arial"/>
                <w:sz w:val="18"/>
                <w:szCs w:val="18"/>
                <w:color w:val="auto"/>
              </w:rPr>
              <w:t>/s/ Harry L. Casari</w:t>
            </w:r>
          </w:p>
        </w:tc>
        <w:tc>
          <w:tcPr>
            <w:tcW w:w="8320" w:type="dxa"/>
            <w:vAlign w:val="bottom"/>
          </w:tcPr>
          <w:p>
            <w:pPr>
              <w:ind w:left="560"/>
              <w:spacing w:after="0"/>
              <w:rPr>
                <w:sz w:val="20"/>
                <w:szCs w:val="20"/>
                <w:color w:val="auto"/>
              </w:rPr>
            </w:pPr>
            <w:r>
              <w:rPr>
                <w:rFonts w:ascii="Arial" w:cs="Arial" w:eastAsia="Arial" w:hAnsi="Arial"/>
                <w:sz w:val="18"/>
                <w:szCs w:val="18"/>
                <w:color w:val="auto"/>
              </w:rPr>
              <w:t>Director</w:t>
            </w:r>
          </w:p>
        </w:tc>
      </w:tr>
      <w:tr>
        <w:trPr>
          <w:trHeight w:val="97"/>
        </w:trPr>
        <w:tc>
          <w:tcPr>
            <w:tcW w:w="3100" w:type="dxa"/>
            <w:vAlign w:val="bottom"/>
            <w:tcBorders>
              <w:bottom w:val="single" w:sz="8" w:color="808080"/>
            </w:tcBorders>
          </w:tcPr>
          <w:p>
            <w:pPr>
              <w:spacing w:after="0"/>
              <w:rPr>
                <w:sz w:val="8"/>
                <w:szCs w:val="8"/>
                <w:color w:val="auto"/>
              </w:rPr>
            </w:pPr>
          </w:p>
        </w:tc>
        <w:tc>
          <w:tcPr>
            <w:tcW w:w="8320" w:type="dxa"/>
            <w:vAlign w:val="bottom"/>
          </w:tcPr>
          <w:p>
            <w:pPr>
              <w:spacing w:after="0"/>
              <w:rPr>
                <w:sz w:val="8"/>
                <w:szCs w:val="8"/>
                <w:color w:val="auto"/>
              </w:rPr>
            </w:pPr>
          </w:p>
        </w:tc>
      </w:tr>
      <w:tr>
        <w:trPr>
          <w:trHeight w:val="289"/>
        </w:trPr>
        <w:tc>
          <w:tcPr>
            <w:tcW w:w="3100" w:type="dxa"/>
            <w:vAlign w:val="bottom"/>
          </w:tcPr>
          <w:p>
            <w:pPr>
              <w:spacing w:after="0"/>
              <w:rPr>
                <w:sz w:val="20"/>
                <w:szCs w:val="20"/>
                <w:color w:val="auto"/>
              </w:rPr>
            </w:pPr>
            <w:r>
              <w:rPr>
                <w:rFonts w:ascii="Arial" w:cs="Arial" w:eastAsia="Arial" w:hAnsi="Arial"/>
                <w:sz w:val="18"/>
                <w:szCs w:val="18"/>
                <w:color w:val="auto"/>
              </w:rPr>
              <w:t>Harry L. Casari</w:t>
            </w:r>
          </w:p>
        </w:tc>
        <w:tc>
          <w:tcPr>
            <w:tcW w:w="8320" w:type="dxa"/>
            <w:vAlign w:val="bottom"/>
          </w:tcPr>
          <w:p>
            <w:pPr>
              <w:spacing w:after="0"/>
              <w:rPr>
                <w:sz w:val="24"/>
                <w:szCs w:val="24"/>
                <w:color w:val="auto"/>
              </w:rPr>
            </w:pPr>
          </w:p>
        </w:tc>
      </w:tr>
      <w:tr>
        <w:trPr>
          <w:trHeight w:val="459"/>
        </w:trPr>
        <w:tc>
          <w:tcPr>
            <w:tcW w:w="3100" w:type="dxa"/>
            <w:vAlign w:val="bottom"/>
          </w:tcPr>
          <w:p>
            <w:pPr>
              <w:spacing w:after="0"/>
              <w:rPr>
                <w:sz w:val="20"/>
                <w:szCs w:val="20"/>
                <w:color w:val="auto"/>
              </w:rPr>
            </w:pPr>
            <w:r>
              <w:rPr>
                <w:rFonts w:ascii="Arial" w:cs="Arial" w:eastAsia="Arial" w:hAnsi="Arial"/>
                <w:sz w:val="18"/>
                <w:szCs w:val="18"/>
                <w:color w:val="auto"/>
              </w:rPr>
              <w:t>/s/ Harold Harrigian</w:t>
            </w:r>
          </w:p>
        </w:tc>
        <w:tc>
          <w:tcPr>
            <w:tcW w:w="8320" w:type="dxa"/>
            <w:vAlign w:val="bottom"/>
          </w:tcPr>
          <w:p>
            <w:pPr>
              <w:ind w:left="560"/>
              <w:spacing w:after="0"/>
              <w:rPr>
                <w:sz w:val="20"/>
                <w:szCs w:val="20"/>
                <w:color w:val="auto"/>
              </w:rPr>
            </w:pPr>
            <w:r>
              <w:rPr>
                <w:rFonts w:ascii="Arial" w:cs="Arial" w:eastAsia="Arial" w:hAnsi="Arial"/>
                <w:sz w:val="18"/>
                <w:szCs w:val="18"/>
                <w:color w:val="auto"/>
              </w:rPr>
              <w:t>Director</w:t>
            </w:r>
          </w:p>
        </w:tc>
      </w:tr>
      <w:tr>
        <w:trPr>
          <w:trHeight w:val="97"/>
        </w:trPr>
        <w:tc>
          <w:tcPr>
            <w:tcW w:w="3100" w:type="dxa"/>
            <w:vAlign w:val="bottom"/>
            <w:tcBorders>
              <w:bottom w:val="single" w:sz="8" w:color="808080"/>
            </w:tcBorders>
          </w:tcPr>
          <w:p>
            <w:pPr>
              <w:spacing w:after="0"/>
              <w:rPr>
                <w:sz w:val="8"/>
                <w:szCs w:val="8"/>
                <w:color w:val="auto"/>
              </w:rPr>
            </w:pPr>
          </w:p>
        </w:tc>
        <w:tc>
          <w:tcPr>
            <w:tcW w:w="8320" w:type="dxa"/>
            <w:vAlign w:val="bottom"/>
          </w:tcPr>
          <w:p>
            <w:pPr>
              <w:spacing w:after="0"/>
              <w:rPr>
                <w:sz w:val="8"/>
                <w:szCs w:val="8"/>
                <w:color w:val="auto"/>
              </w:rPr>
            </w:pPr>
          </w:p>
        </w:tc>
      </w:tr>
      <w:tr>
        <w:trPr>
          <w:trHeight w:val="289"/>
        </w:trPr>
        <w:tc>
          <w:tcPr>
            <w:tcW w:w="3100" w:type="dxa"/>
            <w:vAlign w:val="bottom"/>
          </w:tcPr>
          <w:p>
            <w:pPr>
              <w:spacing w:after="0"/>
              <w:rPr>
                <w:sz w:val="20"/>
                <w:szCs w:val="20"/>
                <w:color w:val="auto"/>
              </w:rPr>
            </w:pPr>
            <w:r>
              <w:rPr>
                <w:rFonts w:ascii="Arial" w:cs="Arial" w:eastAsia="Arial" w:hAnsi="Arial"/>
                <w:sz w:val="18"/>
                <w:szCs w:val="18"/>
                <w:color w:val="auto"/>
              </w:rPr>
              <w:t>Harold Harrigian</w:t>
            </w:r>
          </w:p>
        </w:tc>
        <w:tc>
          <w:tcPr>
            <w:tcW w:w="8320" w:type="dxa"/>
            <w:vAlign w:val="bottom"/>
          </w:tcPr>
          <w:p>
            <w:pPr>
              <w:spacing w:after="0"/>
              <w:rPr>
                <w:sz w:val="24"/>
                <w:szCs w:val="24"/>
                <w:color w:val="auto"/>
              </w:rPr>
            </w:pPr>
          </w:p>
        </w:tc>
      </w:tr>
      <w:tr>
        <w:trPr>
          <w:trHeight w:val="459"/>
        </w:trPr>
        <w:tc>
          <w:tcPr>
            <w:tcW w:w="3100" w:type="dxa"/>
            <w:vAlign w:val="bottom"/>
          </w:tcPr>
          <w:p>
            <w:pPr>
              <w:spacing w:after="0"/>
              <w:rPr>
                <w:sz w:val="20"/>
                <w:szCs w:val="20"/>
                <w:color w:val="auto"/>
              </w:rPr>
            </w:pPr>
            <w:r>
              <w:rPr>
                <w:rFonts w:ascii="Arial" w:cs="Arial" w:eastAsia="Arial" w:hAnsi="Arial"/>
                <w:sz w:val="18"/>
                <w:szCs w:val="18"/>
                <w:color w:val="auto"/>
              </w:rPr>
              <w:t>/s/ Gene E. Leary</w:t>
            </w:r>
          </w:p>
        </w:tc>
        <w:tc>
          <w:tcPr>
            <w:tcW w:w="8320" w:type="dxa"/>
            <w:vAlign w:val="bottom"/>
          </w:tcPr>
          <w:p>
            <w:pPr>
              <w:ind w:left="560"/>
              <w:spacing w:after="0"/>
              <w:rPr>
                <w:sz w:val="20"/>
                <w:szCs w:val="20"/>
                <w:color w:val="auto"/>
              </w:rPr>
            </w:pPr>
            <w:r>
              <w:rPr>
                <w:rFonts w:ascii="Arial" w:cs="Arial" w:eastAsia="Arial" w:hAnsi="Arial"/>
                <w:sz w:val="18"/>
                <w:szCs w:val="18"/>
                <w:color w:val="auto"/>
              </w:rPr>
              <w:t>Director</w:t>
            </w:r>
          </w:p>
        </w:tc>
      </w:tr>
      <w:tr>
        <w:trPr>
          <w:trHeight w:val="97"/>
        </w:trPr>
        <w:tc>
          <w:tcPr>
            <w:tcW w:w="3100" w:type="dxa"/>
            <w:vAlign w:val="bottom"/>
            <w:tcBorders>
              <w:bottom w:val="single" w:sz="8" w:color="808080"/>
            </w:tcBorders>
          </w:tcPr>
          <w:p>
            <w:pPr>
              <w:spacing w:after="0"/>
              <w:rPr>
                <w:sz w:val="8"/>
                <w:szCs w:val="8"/>
                <w:color w:val="auto"/>
              </w:rPr>
            </w:pPr>
          </w:p>
        </w:tc>
        <w:tc>
          <w:tcPr>
            <w:tcW w:w="8320" w:type="dxa"/>
            <w:vAlign w:val="bottom"/>
          </w:tcPr>
          <w:p>
            <w:pPr>
              <w:spacing w:after="0"/>
              <w:rPr>
                <w:sz w:val="8"/>
                <w:szCs w:val="8"/>
                <w:color w:val="auto"/>
              </w:rPr>
            </w:pPr>
          </w:p>
        </w:tc>
      </w:tr>
      <w:tr>
        <w:trPr>
          <w:trHeight w:val="289"/>
        </w:trPr>
        <w:tc>
          <w:tcPr>
            <w:tcW w:w="3100" w:type="dxa"/>
            <w:vAlign w:val="bottom"/>
          </w:tcPr>
          <w:p>
            <w:pPr>
              <w:spacing w:after="0"/>
              <w:rPr>
                <w:sz w:val="20"/>
                <w:szCs w:val="20"/>
                <w:color w:val="auto"/>
              </w:rPr>
            </w:pPr>
            <w:r>
              <w:rPr>
                <w:rFonts w:ascii="Arial" w:cs="Arial" w:eastAsia="Arial" w:hAnsi="Arial"/>
                <w:sz w:val="18"/>
                <w:szCs w:val="18"/>
                <w:color w:val="auto"/>
              </w:rPr>
              <w:t>Gene E. Leary</w:t>
            </w:r>
          </w:p>
        </w:tc>
        <w:tc>
          <w:tcPr>
            <w:tcW w:w="8320" w:type="dxa"/>
            <w:vAlign w:val="bottom"/>
          </w:tcPr>
          <w:p>
            <w:pPr>
              <w:spacing w:after="0"/>
              <w:rPr>
                <w:sz w:val="24"/>
                <w:szCs w:val="24"/>
                <w:color w:val="auto"/>
              </w:rPr>
            </w:pPr>
          </w:p>
        </w:tc>
      </w:tr>
      <w:tr>
        <w:trPr>
          <w:trHeight w:val="432"/>
        </w:trPr>
        <w:tc>
          <w:tcPr>
            <w:tcW w:w="3100" w:type="dxa"/>
            <w:vAlign w:val="bottom"/>
          </w:tcPr>
          <w:p>
            <w:pPr>
              <w:spacing w:after="0"/>
              <w:rPr>
                <w:sz w:val="24"/>
                <w:szCs w:val="24"/>
                <w:color w:val="auto"/>
              </w:rPr>
            </w:pPr>
          </w:p>
        </w:tc>
        <w:tc>
          <w:tcPr>
            <w:tcW w:w="8320" w:type="dxa"/>
            <w:vAlign w:val="bottom"/>
          </w:tcPr>
          <w:p>
            <w:pPr>
              <w:ind w:left="2580"/>
              <w:spacing w:after="0"/>
              <w:rPr>
                <w:sz w:val="20"/>
                <w:szCs w:val="20"/>
                <w:color w:val="auto"/>
              </w:rPr>
            </w:pPr>
            <w:r>
              <w:rPr>
                <w:rFonts w:ascii="Arial" w:cs="Arial" w:eastAsia="Arial" w:hAnsi="Arial"/>
                <w:sz w:val="18"/>
                <w:szCs w:val="18"/>
                <w:color w:val="auto"/>
              </w:rPr>
              <w:t>5</w:t>
            </w:r>
          </w:p>
        </w:tc>
      </w:tr>
      <w:tr>
        <w:trPr>
          <w:trHeight w:val="228"/>
        </w:trPr>
        <w:tc>
          <w:tcPr>
            <w:tcW w:w="3100" w:type="dxa"/>
            <w:vAlign w:val="bottom"/>
            <w:tcBorders>
              <w:bottom w:val="single" w:sz="8" w:color="808080"/>
            </w:tcBorders>
          </w:tcPr>
          <w:p>
            <w:pPr>
              <w:spacing w:after="0"/>
              <w:rPr>
                <w:sz w:val="19"/>
                <w:szCs w:val="19"/>
                <w:color w:val="auto"/>
              </w:rPr>
            </w:pPr>
          </w:p>
        </w:tc>
        <w:tc>
          <w:tcPr>
            <w:tcW w:w="83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5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60" w:type="dxa"/>
            <w:vAlign w:val="bottom"/>
          </w:tcPr>
          <w:p>
            <w:pPr>
              <w:spacing w:after="0"/>
              <w:rPr>
                <w:sz w:val="19"/>
                <w:szCs w:val="19"/>
                <w:color w:val="auto"/>
              </w:rPr>
            </w:pPr>
          </w:p>
        </w:tc>
        <w:tc>
          <w:tcPr>
            <w:tcW w:w="10440" w:type="dxa"/>
            <w:vAlign w:val="bottom"/>
          </w:tcPr>
          <w:p>
            <w:pPr>
              <w:ind w:left="4080"/>
              <w:spacing w:after="0"/>
              <w:rPr>
                <w:sz w:val="20"/>
                <w:szCs w:val="20"/>
                <w:color w:val="auto"/>
              </w:rPr>
            </w:pPr>
            <w:r>
              <w:rPr>
                <w:rFonts w:ascii="Arial" w:cs="Arial" w:eastAsia="Arial" w:hAnsi="Arial"/>
                <w:sz w:val="18"/>
                <w:szCs w:val="18"/>
                <w:b w:val="1"/>
                <w:bCs w:val="1"/>
                <w:color w:val="auto"/>
              </w:rPr>
              <w:t>EXHIBIT INDEX</w:t>
            </w:r>
          </w:p>
        </w:tc>
      </w:tr>
      <w:tr>
        <w:trPr>
          <w:trHeight w:val="669"/>
        </w:trPr>
        <w:tc>
          <w:tcPr>
            <w:tcW w:w="960" w:type="dxa"/>
            <w:vAlign w:val="bottom"/>
          </w:tcPr>
          <w:p>
            <w:pPr>
              <w:spacing w:after="0"/>
              <w:rPr>
                <w:sz w:val="20"/>
                <w:szCs w:val="20"/>
                <w:color w:val="auto"/>
              </w:rPr>
            </w:pPr>
            <w:r>
              <w:rPr>
                <w:rFonts w:ascii="Arial" w:cs="Arial" w:eastAsia="Arial" w:hAnsi="Arial"/>
                <w:sz w:val="18"/>
                <w:szCs w:val="18"/>
                <w:color w:val="auto"/>
              </w:rPr>
              <w:t>4.1</w:t>
            </w:r>
          </w:p>
        </w:tc>
        <w:tc>
          <w:tcPr>
            <w:tcW w:w="10440" w:type="dxa"/>
            <w:vAlign w:val="bottom"/>
          </w:tcPr>
          <w:p>
            <w:pPr>
              <w:ind w:left="540"/>
              <w:spacing w:after="0"/>
              <w:rPr>
                <w:sz w:val="20"/>
                <w:szCs w:val="20"/>
                <w:color w:val="auto"/>
              </w:rPr>
            </w:pPr>
            <w:r>
              <w:rPr>
                <w:rFonts w:ascii="Arial" w:cs="Arial" w:eastAsia="Arial" w:hAnsi="Arial"/>
                <w:sz w:val="18"/>
                <w:szCs w:val="18"/>
                <w:color w:val="auto"/>
                <w:w w:val="92"/>
              </w:rPr>
              <w:t>Amended and Restated Certificate of Incorporation of Cohu, Inc. incorporated herein by reference from Exhibit 3.1(a) to the Cohu, Inc.</w:t>
            </w:r>
          </w:p>
        </w:tc>
      </w:tr>
      <w:tr>
        <w:trPr>
          <w:trHeight w:val="216"/>
        </w:trPr>
        <w:tc>
          <w:tcPr>
            <w:tcW w:w="960" w:type="dxa"/>
            <w:vAlign w:val="bottom"/>
          </w:tcPr>
          <w:p>
            <w:pPr>
              <w:spacing w:after="0"/>
              <w:rPr>
                <w:sz w:val="18"/>
                <w:szCs w:val="18"/>
                <w:color w:val="auto"/>
              </w:rPr>
            </w:pPr>
          </w:p>
        </w:tc>
        <w:tc>
          <w:tcPr>
            <w:tcW w:w="10440" w:type="dxa"/>
            <w:vAlign w:val="bottom"/>
          </w:tcPr>
          <w:p>
            <w:pPr>
              <w:ind w:left="540"/>
              <w:spacing w:after="0"/>
              <w:rPr>
                <w:sz w:val="20"/>
                <w:szCs w:val="20"/>
                <w:color w:val="auto"/>
              </w:rPr>
            </w:pPr>
            <w:r>
              <w:rPr>
                <w:rFonts w:ascii="Arial" w:cs="Arial" w:eastAsia="Arial" w:hAnsi="Arial"/>
                <w:sz w:val="18"/>
                <w:szCs w:val="18"/>
                <w:color w:val="auto"/>
              </w:rPr>
              <w:t>Form 10-Q for the quarterly period ended June 30, 1999.</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4.1(a)</w:t>
            </w:r>
          </w:p>
        </w:tc>
        <w:tc>
          <w:tcPr>
            <w:tcW w:w="10440" w:type="dxa"/>
            <w:vAlign w:val="bottom"/>
          </w:tcPr>
          <w:p>
            <w:pPr>
              <w:ind w:left="540"/>
              <w:spacing w:after="0"/>
              <w:rPr>
                <w:sz w:val="20"/>
                <w:szCs w:val="20"/>
                <w:color w:val="auto"/>
              </w:rPr>
            </w:pPr>
            <w:r>
              <w:rPr>
                <w:rFonts w:ascii="Arial" w:cs="Arial" w:eastAsia="Arial" w:hAnsi="Arial"/>
                <w:sz w:val="18"/>
                <w:szCs w:val="18"/>
                <w:color w:val="auto"/>
                <w:w w:val="91"/>
              </w:rPr>
              <w:t>Certificate of Amendment of Amended and Restated Certificate of Incorporation of Cohu, Inc. incorporated herein by reference from the</w:t>
            </w:r>
          </w:p>
        </w:tc>
      </w:tr>
      <w:tr>
        <w:trPr>
          <w:trHeight w:val="216"/>
        </w:trPr>
        <w:tc>
          <w:tcPr>
            <w:tcW w:w="960" w:type="dxa"/>
            <w:vAlign w:val="bottom"/>
          </w:tcPr>
          <w:p>
            <w:pPr>
              <w:spacing w:after="0"/>
              <w:rPr>
                <w:sz w:val="18"/>
                <w:szCs w:val="18"/>
                <w:color w:val="auto"/>
              </w:rPr>
            </w:pPr>
          </w:p>
        </w:tc>
        <w:tc>
          <w:tcPr>
            <w:tcW w:w="10440" w:type="dxa"/>
            <w:vAlign w:val="bottom"/>
          </w:tcPr>
          <w:p>
            <w:pPr>
              <w:ind w:left="540"/>
              <w:spacing w:after="0"/>
              <w:rPr>
                <w:sz w:val="20"/>
                <w:szCs w:val="20"/>
                <w:color w:val="auto"/>
              </w:rPr>
            </w:pPr>
            <w:r>
              <w:rPr>
                <w:rFonts w:ascii="Arial" w:cs="Arial" w:eastAsia="Arial" w:hAnsi="Arial"/>
                <w:sz w:val="18"/>
                <w:szCs w:val="18"/>
                <w:color w:val="auto"/>
              </w:rPr>
              <w:t>Cohu, Inc. Form S-8 filed June 30, 2000, Exhibit 4.1(a)</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4.2</w:t>
            </w:r>
          </w:p>
        </w:tc>
        <w:tc>
          <w:tcPr>
            <w:tcW w:w="10440" w:type="dxa"/>
            <w:vAlign w:val="bottom"/>
          </w:tcPr>
          <w:p>
            <w:pPr>
              <w:ind w:left="540"/>
              <w:spacing w:after="0"/>
              <w:rPr>
                <w:sz w:val="20"/>
                <w:szCs w:val="20"/>
                <w:color w:val="auto"/>
              </w:rPr>
            </w:pPr>
            <w:r>
              <w:rPr>
                <w:rFonts w:ascii="Arial" w:cs="Arial" w:eastAsia="Arial" w:hAnsi="Arial"/>
                <w:sz w:val="18"/>
                <w:szCs w:val="18"/>
                <w:color w:val="auto"/>
                <w:w w:val="90"/>
              </w:rPr>
              <w:t>Amended and Restated Bylaws of Cohu, Inc. incorporated herein by reference from Exhibit 3.2 to the Cohu, Inc. Report on Form 8-K filed</w:t>
            </w:r>
          </w:p>
        </w:tc>
      </w:tr>
      <w:tr>
        <w:trPr>
          <w:trHeight w:val="216"/>
        </w:trPr>
        <w:tc>
          <w:tcPr>
            <w:tcW w:w="960" w:type="dxa"/>
            <w:vAlign w:val="bottom"/>
          </w:tcPr>
          <w:p>
            <w:pPr>
              <w:spacing w:after="0"/>
              <w:rPr>
                <w:sz w:val="18"/>
                <w:szCs w:val="18"/>
                <w:color w:val="auto"/>
              </w:rPr>
            </w:pPr>
          </w:p>
        </w:tc>
        <w:tc>
          <w:tcPr>
            <w:tcW w:w="10440" w:type="dxa"/>
            <w:vAlign w:val="bottom"/>
          </w:tcPr>
          <w:p>
            <w:pPr>
              <w:ind w:left="540"/>
              <w:spacing w:after="0"/>
              <w:rPr>
                <w:sz w:val="20"/>
                <w:szCs w:val="20"/>
                <w:color w:val="auto"/>
              </w:rPr>
            </w:pPr>
            <w:r>
              <w:rPr>
                <w:rFonts w:ascii="Arial" w:cs="Arial" w:eastAsia="Arial" w:hAnsi="Arial"/>
                <w:sz w:val="18"/>
                <w:szCs w:val="18"/>
                <w:color w:val="auto"/>
              </w:rPr>
              <w:t>with the Securities and Exchange Commission on December 12, 1996.</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4.3</w:t>
            </w:r>
          </w:p>
        </w:tc>
        <w:tc>
          <w:tcPr>
            <w:tcW w:w="10440" w:type="dxa"/>
            <w:vAlign w:val="bottom"/>
          </w:tcPr>
          <w:p>
            <w:pPr>
              <w:ind w:left="540"/>
              <w:spacing w:after="0"/>
              <w:rPr>
                <w:sz w:val="20"/>
                <w:szCs w:val="20"/>
                <w:color w:val="auto"/>
              </w:rPr>
            </w:pPr>
            <w:r>
              <w:rPr>
                <w:rFonts w:ascii="Arial" w:cs="Arial" w:eastAsia="Arial" w:hAnsi="Arial"/>
                <w:sz w:val="18"/>
                <w:szCs w:val="18"/>
                <w:color w:val="auto"/>
                <w:w w:val="90"/>
              </w:rPr>
              <w:t>Rights Agreement dated November 15, 1996, between Cohu, Inc. and ChaseMellon Shareholder Services, L.L.C., incorporated herein by</w:t>
            </w:r>
          </w:p>
        </w:tc>
      </w:tr>
      <w:tr>
        <w:trPr>
          <w:trHeight w:val="216"/>
        </w:trPr>
        <w:tc>
          <w:tcPr>
            <w:tcW w:w="960" w:type="dxa"/>
            <w:vAlign w:val="bottom"/>
          </w:tcPr>
          <w:p>
            <w:pPr>
              <w:spacing w:after="0"/>
              <w:rPr>
                <w:sz w:val="18"/>
                <w:szCs w:val="18"/>
                <w:color w:val="auto"/>
              </w:rPr>
            </w:pPr>
          </w:p>
        </w:tc>
        <w:tc>
          <w:tcPr>
            <w:tcW w:w="10440" w:type="dxa"/>
            <w:vAlign w:val="bottom"/>
          </w:tcPr>
          <w:p>
            <w:pPr>
              <w:ind w:left="540"/>
              <w:spacing w:after="0"/>
              <w:rPr>
                <w:sz w:val="20"/>
                <w:szCs w:val="20"/>
                <w:color w:val="auto"/>
              </w:rPr>
            </w:pPr>
            <w:r>
              <w:rPr>
                <w:rFonts w:ascii="Arial" w:cs="Arial" w:eastAsia="Arial" w:hAnsi="Arial"/>
                <w:sz w:val="18"/>
                <w:szCs w:val="18"/>
                <w:color w:val="auto"/>
                <w:w w:val="92"/>
              </w:rPr>
              <w:t>reference from Exhibit 4.1 to the Cohu, Inc. Report on Form 8-K filed with the Securities and Exchange Commission on December 12,</w:t>
            </w:r>
          </w:p>
        </w:tc>
      </w:tr>
      <w:tr>
        <w:trPr>
          <w:trHeight w:val="216"/>
        </w:trPr>
        <w:tc>
          <w:tcPr>
            <w:tcW w:w="960" w:type="dxa"/>
            <w:vAlign w:val="bottom"/>
          </w:tcPr>
          <w:p>
            <w:pPr>
              <w:spacing w:after="0"/>
              <w:rPr>
                <w:sz w:val="18"/>
                <w:szCs w:val="18"/>
                <w:color w:val="auto"/>
              </w:rPr>
            </w:pPr>
          </w:p>
        </w:tc>
        <w:tc>
          <w:tcPr>
            <w:tcW w:w="10440" w:type="dxa"/>
            <w:vAlign w:val="bottom"/>
          </w:tcPr>
          <w:p>
            <w:pPr>
              <w:ind w:left="540"/>
              <w:spacing w:after="0"/>
              <w:rPr>
                <w:sz w:val="20"/>
                <w:szCs w:val="20"/>
                <w:color w:val="auto"/>
              </w:rPr>
            </w:pPr>
            <w:r>
              <w:rPr>
                <w:rFonts w:ascii="Arial" w:cs="Arial" w:eastAsia="Arial" w:hAnsi="Arial"/>
                <w:sz w:val="18"/>
                <w:szCs w:val="18"/>
                <w:color w:val="auto"/>
              </w:rPr>
              <w:t>1996.</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4.4</w:t>
            </w:r>
          </w:p>
        </w:tc>
        <w:tc>
          <w:tcPr>
            <w:tcW w:w="10440" w:type="dxa"/>
            <w:vAlign w:val="bottom"/>
          </w:tcPr>
          <w:p>
            <w:pPr>
              <w:ind w:left="540"/>
              <w:spacing w:after="0"/>
              <w:rPr>
                <w:sz w:val="20"/>
                <w:szCs w:val="20"/>
                <w:color w:val="auto"/>
              </w:rPr>
            </w:pPr>
            <w:r>
              <w:rPr>
                <w:rFonts w:ascii="Arial" w:cs="Arial" w:eastAsia="Arial" w:hAnsi="Arial"/>
                <w:sz w:val="18"/>
                <w:szCs w:val="18"/>
                <w:color w:val="auto"/>
                <w:w w:val="88"/>
              </w:rPr>
              <w:t>Cohu, Inc. 1997 Employee Stock Purchase Plan (as amended) incorporated herein by reference from Exhibit 10.4 to the Cohu, Inc. Form 10-</w:t>
            </w:r>
          </w:p>
        </w:tc>
      </w:tr>
      <w:tr>
        <w:trPr>
          <w:trHeight w:val="216"/>
        </w:trPr>
        <w:tc>
          <w:tcPr>
            <w:tcW w:w="960" w:type="dxa"/>
            <w:vAlign w:val="bottom"/>
          </w:tcPr>
          <w:p>
            <w:pPr>
              <w:spacing w:after="0"/>
              <w:rPr>
                <w:sz w:val="18"/>
                <w:szCs w:val="18"/>
                <w:color w:val="auto"/>
              </w:rPr>
            </w:pPr>
          </w:p>
        </w:tc>
        <w:tc>
          <w:tcPr>
            <w:tcW w:w="10440" w:type="dxa"/>
            <w:vAlign w:val="bottom"/>
          </w:tcPr>
          <w:p>
            <w:pPr>
              <w:ind w:left="540"/>
              <w:spacing w:after="0"/>
              <w:rPr>
                <w:sz w:val="20"/>
                <w:szCs w:val="20"/>
                <w:color w:val="auto"/>
              </w:rPr>
            </w:pPr>
            <w:r>
              <w:rPr>
                <w:rFonts w:ascii="Arial" w:cs="Arial" w:eastAsia="Arial" w:hAnsi="Arial"/>
                <w:sz w:val="18"/>
                <w:szCs w:val="18"/>
                <w:color w:val="auto"/>
              </w:rPr>
              <w:t>Q for the quarterly period ended June 30, 2001.</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4.5</w:t>
            </w:r>
          </w:p>
        </w:tc>
        <w:tc>
          <w:tcPr>
            <w:tcW w:w="10440" w:type="dxa"/>
            <w:vAlign w:val="bottom"/>
          </w:tcPr>
          <w:p>
            <w:pPr>
              <w:ind w:left="540"/>
              <w:spacing w:after="0"/>
              <w:rPr>
                <w:sz w:val="20"/>
                <w:szCs w:val="20"/>
                <w:color w:val="auto"/>
              </w:rPr>
            </w:pPr>
            <w:r>
              <w:rPr>
                <w:rFonts w:ascii="Arial" w:cs="Arial" w:eastAsia="Arial" w:hAnsi="Arial"/>
                <w:sz w:val="18"/>
                <w:szCs w:val="18"/>
                <w:color w:val="auto"/>
                <w:w w:val="91"/>
              </w:rPr>
              <w:t>Cohu, Inc. 1996 Outside Directors Stock Option Plan (as amended) incorporated herein by reference from Exhibit 10.5 to the Cohu, Inc.</w:t>
            </w:r>
          </w:p>
        </w:tc>
      </w:tr>
      <w:tr>
        <w:trPr>
          <w:trHeight w:val="216"/>
        </w:trPr>
        <w:tc>
          <w:tcPr>
            <w:tcW w:w="960" w:type="dxa"/>
            <w:vAlign w:val="bottom"/>
          </w:tcPr>
          <w:p>
            <w:pPr>
              <w:spacing w:after="0"/>
              <w:rPr>
                <w:sz w:val="18"/>
                <w:szCs w:val="18"/>
                <w:color w:val="auto"/>
              </w:rPr>
            </w:pPr>
          </w:p>
        </w:tc>
        <w:tc>
          <w:tcPr>
            <w:tcW w:w="10440" w:type="dxa"/>
            <w:vAlign w:val="bottom"/>
          </w:tcPr>
          <w:p>
            <w:pPr>
              <w:ind w:left="540"/>
              <w:spacing w:after="0"/>
              <w:rPr>
                <w:sz w:val="20"/>
                <w:szCs w:val="20"/>
                <w:color w:val="auto"/>
              </w:rPr>
            </w:pPr>
            <w:r>
              <w:rPr>
                <w:rFonts w:ascii="Arial" w:cs="Arial" w:eastAsia="Arial" w:hAnsi="Arial"/>
                <w:sz w:val="18"/>
                <w:szCs w:val="18"/>
                <w:color w:val="auto"/>
              </w:rPr>
              <w:t>Form 10-Q for the quarterly period ended June 30, 2001.</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5</w:t>
            </w:r>
          </w:p>
        </w:tc>
        <w:tc>
          <w:tcPr>
            <w:tcW w:w="10440" w:type="dxa"/>
            <w:vAlign w:val="bottom"/>
          </w:tcPr>
          <w:p>
            <w:pPr>
              <w:ind w:left="540"/>
              <w:spacing w:after="0"/>
              <w:rPr>
                <w:sz w:val="20"/>
                <w:szCs w:val="20"/>
                <w:color w:val="auto"/>
              </w:rPr>
            </w:pPr>
            <w:r>
              <w:rPr>
                <w:rFonts w:ascii="Arial" w:cs="Arial" w:eastAsia="Arial" w:hAnsi="Arial"/>
                <w:sz w:val="18"/>
                <w:szCs w:val="18"/>
                <w:color w:val="auto"/>
              </w:rPr>
              <w:t>Opinion re legality</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23.1</w:t>
            </w:r>
          </w:p>
        </w:tc>
        <w:tc>
          <w:tcPr>
            <w:tcW w:w="10440" w:type="dxa"/>
            <w:vAlign w:val="bottom"/>
          </w:tcPr>
          <w:p>
            <w:pPr>
              <w:ind w:left="540"/>
              <w:spacing w:after="0"/>
              <w:rPr>
                <w:sz w:val="20"/>
                <w:szCs w:val="20"/>
                <w:color w:val="auto"/>
              </w:rPr>
            </w:pPr>
            <w:r>
              <w:rPr>
                <w:rFonts w:ascii="Arial" w:cs="Arial" w:eastAsia="Arial" w:hAnsi="Arial"/>
                <w:sz w:val="18"/>
                <w:szCs w:val="18"/>
                <w:color w:val="auto"/>
              </w:rPr>
              <w:t>Consent of Counsel (included in Exhibit 5)</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23.2</w:t>
            </w:r>
          </w:p>
        </w:tc>
        <w:tc>
          <w:tcPr>
            <w:tcW w:w="10440" w:type="dxa"/>
            <w:vAlign w:val="bottom"/>
          </w:tcPr>
          <w:p>
            <w:pPr>
              <w:ind w:left="540"/>
              <w:spacing w:after="0"/>
              <w:rPr>
                <w:sz w:val="20"/>
                <w:szCs w:val="20"/>
                <w:color w:val="auto"/>
              </w:rPr>
            </w:pPr>
            <w:r>
              <w:rPr>
                <w:rFonts w:ascii="Arial" w:cs="Arial" w:eastAsia="Arial" w:hAnsi="Arial"/>
                <w:sz w:val="18"/>
                <w:szCs w:val="18"/>
                <w:color w:val="auto"/>
              </w:rPr>
              <w:t>Consent of Ernst &amp; Young LLP</w:t>
            </w:r>
          </w:p>
        </w:tc>
      </w:tr>
      <w:tr>
        <w:trPr>
          <w:trHeight w:val="222"/>
        </w:trPr>
        <w:tc>
          <w:tcPr>
            <w:tcW w:w="960" w:type="dxa"/>
            <w:vAlign w:val="bottom"/>
          </w:tcPr>
          <w:p>
            <w:pPr>
              <w:spacing w:after="0"/>
              <w:rPr>
                <w:sz w:val="20"/>
                <w:szCs w:val="20"/>
                <w:color w:val="auto"/>
              </w:rPr>
            </w:pPr>
            <w:r>
              <w:rPr>
                <w:rFonts w:ascii="Arial" w:cs="Arial" w:eastAsia="Arial" w:hAnsi="Arial"/>
                <w:sz w:val="18"/>
                <w:szCs w:val="18"/>
                <w:color w:val="auto"/>
              </w:rPr>
              <w:t>24</w:t>
            </w:r>
          </w:p>
        </w:tc>
        <w:tc>
          <w:tcPr>
            <w:tcW w:w="10440" w:type="dxa"/>
            <w:vAlign w:val="bottom"/>
          </w:tcPr>
          <w:p>
            <w:pPr>
              <w:ind w:left="540"/>
              <w:spacing w:after="0"/>
              <w:rPr>
                <w:sz w:val="20"/>
                <w:szCs w:val="20"/>
                <w:color w:val="auto"/>
              </w:rPr>
            </w:pPr>
            <w:r>
              <w:rPr>
                <w:rFonts w:ascii="Arial" w:cs="Arial" w:eastAsia="Arial" w:hAnsi="Arial"/>
                <w:sz w:val="18"/>
                <w:szCs w:val="18"/>
                <w:color w:val="auto"/>
              </w:rPr>
              <w:t>Power of Attorney (included in signature page to this registration statement)</w:t>
            </w:r>
          </w:p>
        </w:tc>
      </w:tr>
    </w:tbl>
    <w:p>
      <w:pPr>
        <w:spacing w:after="0" w:line="200" w:lineRule="exact"/>
        <w:rPr>
          <w:sz w:val="20"/>
          <w:szCs w:val="20"/>
          <w:color w:val="auto"/>
        </w:rPr>
      </w:pPr>
    </w:p>
    <w:p>
      <w:pPr>
        <w:sectPr>
          <w:pgSz w:w="11900" w:h="16838" w:orient="portrait"/>
          <w:cols w:equalWidth="0" w:num="1">
            <w:col w:w="11420"/>
          </w:cols>
          <w:pgMar w:left="240" w:top="131" w:right="239" w:bottom="1440" w:gutter="0" w:footer="0" w:header="0"/>
        </w:sectPr>
      </w:pP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20"/>
          </w:cols>
          <w:pgMar w:left="240" w:top="131" w:right="239" w:bottom="1440" w:gutter="0" w:footer="0" w:header="0"/>
          <w:type w:val="continuous"/>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EXHIBIT 5</w:t>
      </w:r>
    </w:p>
    <w:p>
      <w:pPr>
        <w:spacing w:after="0" w:line="200" w:lineRule="exact"/>
        <w:rPr>
          <w:sz w:val="20"/>
          <w:szCs w:val="20"/>
          <w:color w:val="auto"/>
        </w:rPr>
      </w:pP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[GRAY CARY LETTERHEAD]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August 1, 2001</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OUR FILE NO. 8203-92001</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450 Fifth Street, N.W.</w:t>
      </w:r>
    </w:p>
    <w:p>
      <w:pPr>
        <w:spacing w:after="0" w:line="237" w:lineRule="auto"/>
        <w:tabs>
          <w:tab w:leader="none" w:pos="1880" w:val="left"/>
        </w:tabs>
        <w:rPr>
          <w:sz w:val="20"/>
          <w:szCs w:val="20"/>
          <w:color w:val="auto"/>
        </w:rPr>
      </w:pPr>
      <w:r>
        <w:rPr>
          <w:rFonts w:ascii="Courier New" w:cs="Courier New" w:eastAsia="Courier New" w:hAnsi="Courier New"/>
          <w:sz w:val="18"/>
          <w:szCs w:val="18"/>
          <w:color w:val="auto"/>
        </w:rPr>
        <w:t>Washington, D.C.</w:t>
        <w:tab/>
        <w:t>20549</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Ladies and Gentlemen:</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As legal counsel for Cohu, Inc., a Delaware corporation (the "Company"), we are rendering this opinion in connection with the registration under the Securities Act of 1933, as amended, of a total of up to an additional 500,000 shares of the Common Stock, $1.00 par value, of the Company which may be issued pursuant to the Cohu, Inc. 1996 Outside Directors Stock Option Plan and 1997 Employee Stock Purchase Plan (the "Plans"). We have examined all instruments, documents and records which we deemed relevant and necessary for the basis of our opinion hereinafter expressed. In such examination, we have assumed the genuineness of all signatures and the authenticity of all documents submitted to us as originals and the conformity to the originals of all documents submitted to us as copies.</w:t>
      </w:r>
    </w:p>
    <w:p>
      <w:pPr>
        <w:spacing w:after="0" w:line="216"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We are admitted to practice only in the State of California and we express no opinion concerning any law other than the law of the State of California, the corporation laws of the State of Delaware and the federal law of the United States. As to matters of Delaware corporation law, we have based our opinion solely upon our examination of such laws and the rules and regulations of the authorities administering such laws, all as reported in standard, unofficial compilations. We have not obtained opinions of counsel licensed to practice in jurisdictions other than the State of California.</w:t>
      </w: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Based on such examination, we are of the opinion that the additional 500,000 shares of Common Stock which may be issued under the Plans are duly authorized shares and, when issued against receipt of the consideration therefor in accordance with the provisions of the Plans, will be validly issued, fully paid and nonassessable. We hereby consent to the filing of this opinion as an exhibit to the Registration Statement referred to above and the use of our name wherever it appears in said Registration Statement.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Respectfully submitted,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Gray Cary Ware &amp; Freidenrich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GRAY CARY WARE &amp; FREIDENRICH LLP</w:t>
      </w:r>
    </w:p>
    <w:p>
      <w:pPr>
        <w:sectPr>
          <w:pgSz w:w="11900" w:h="16838" w:orient="portrait"/>
          <w:cols w:equalWidth="0" w:num="1">
            <w:col w:w="10219"/>
          </w:cols>
          <w:pgMar w:left="240" w:top="136" w:right="1440"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0"/>
          <w:szCs w:val="20"/>
          <w:color w:val="auto"/>
        </w:rPr>
      </w:pPr>
    </w:p>
    <w:p>
      <w:pPr>
        <w:ind w:left="7060"/>
        <w:spacing w:after="0"/>
        <w:rPr>
          <w:sz w:val="20"/>
          <w:szCs w:val="20"/>
          <w:color w:val="auto"/>
        </w:rPr>
      </w:pPr>
      <w:r>
        <w:rPr>
          <w:rFonts w:ascii="Courier New" w:cs="Courier New" w:eastAsia="Courier New" w:hAnsi="Courier New"/>
          <w:sz w:val="18"/>
          <w:szCs w:val="18"/>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CONSENT OF ERNST &amp; YOUNG LLP, INDEPENDENT AUDITORS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consent to the incorporation by reference in the Registration Statement (Form S-8) pertaining to the Cohu, Inc. 1996 Outside Directors Stock Option Plan and the Cohu, Inc. 1997 Employee Stock Purchase Plan of our report dated January 30, 2001, with respect to the consolidated financial statements and schedule of Cohu, Inc. included in its Annual Report (Form 10-K) for the year ended December 31, 2000, filed with the Securities and Exchange Commission.</w:t>
      </w:r>
    </w:p>
    <w:p>
      <w:pPr>
        <w:spacing w:after="0" w:line="200" w:lineRule="exact"/>
        <w:rPr>
          <w:sz w:val="20"/>
          <w:szCs w:val="20"/>
          <w:color w:val="auto"/>
        </w:rPr>
      </w:pPr>
    </w:p>
    <w:p>
      <w:pPr>
        <w:spacing w:after="0" w:line="207" w:lineRule="exact"/>
        <w:rPr>
          <w:sz w:val="20"/>
          <w:szCs w:val="20"/>
          <w:color w:val="auto"/>
        </w:rPr>
      </w:pPr>
    </w:p>
    <w:p>
      <w:pPr>
        <w:ind w:left="6120"/>
        <w:spacing w:after="0"/>
        <w:rPr>
          <w:sz w:val="20"/>
          <w:szCs w:val="20"/>
          <w:color w:val="auto"/>
        </w:rPr>
      </w:pPr>
      <w:r>
        <w:rPr>
          <w:rFonts w:ascii="Courier New" w:cs="Courier New" w:eastAsia="Courier New" w:hAnsi="Courier New"/>
          <w:sz w:val="18"/>
          <w:szCs w:val="18"/>
          <w:color w:val="auto"/>
        </w:rPr>
        <w:t>/s/ ERNST &amp; YOUNG LLP</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San Diego, California</w:t>
      </w:r>
    </w:p>
    <w:p>
      <w:pPr>
        <w:spacing w:after="0" w:line="238" w:lineRule="auto"/>
        <w:rPr>
          <w:sz w:val="20"/>
          <w:szCs w:val="20"/>
          <w:color w:val="auto"/>
        </w:rPr>
      </w:pPr>
      <w:r>
        <w:rPr>
          <w:rFonts w:ascii="Courier New" w:cs="Courier New" w:eastAsia="Courier New" w:hAnsi="Courier New"/>
          <w:sz w:val="18"/>
          <w:szCs w:val="18"/>
          <w:color w:val="auto"/>
        </w:rPr>
        <w:t>July 31, 2001</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lowerLetter"/>
      <w:start w:val="1"/>
    </w:lvl>
    <w:lvl w:ilvl="1">
      <w:lvlJc w:val="left"/>
      <w:lvlText w:val="(%2)"/>
      <w:numFmt w:val="lowerLetter"/>
      <w:start w:val="1"/>
    </w:lvl>
  </w:abstractNum>
  <w:abstractNum w:abstractNumId="2">
    <w:nsid w:val="625558EC"/>
    <w:multiLevelType w:val="hybridMultilevel"/>
    <w:lvl w:ilvl="0">
      <w:lvlJc w:val="left"/>
      <w:lvlText w:val="(%1)"/>
      <w:numFmt w:val="lowerLetter"/>
      <w:start w:val="1"/>
    </w:lvl>
    <w:lvl w:ilvl="1">
      <w:lvlJc w:val="left"/>
      <w:lvlText w:val="(%2)"/>
      <w:numFmt w:val="lowerLetter"/>
      <w:start w:val="3"/>
    </w:lvl>
  </w:abstractNum>
  <w:abstractNum w:abstractNumId="3">
    <w:nsid w:val="238E1F29"/>
    <w:multiLevelType w:val="hybridMultilevel"/>
    <w:lvl w:ilvl="0">
      <w:lvlJc w:val="left"/>
      <w:lvlText w:val="(%1)"/>
      <w:numFmt w:val="decimal"/>
      <w:start w:val="1"/>
    </w:lvl>
    <w:lvl w:ilvl="1">
      <w:lvlJc w:val="left"/>
      <w:lvlText w:val="(%2)"/>
      <w:numFmt w:val="lowerRoman"/>
      <w:start w:val="1"/>
    </w:lvl>
  </w:abstractNum>
  <w:abstractNum w:abstractNumId="4">
    <w:nsid w:val="46E87CCD"/>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2019-12-12T09:01:52Z</dcterms:created>
  <dcterms:modified xsi:type="dcterms:W3CDTF">2019-12-12T09:01:52Z</dcterms:modified>
</cp:coreProperties>
</file>