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color w:val="auto"/>
        </w:rPr>
        <w:t>FORM 8-K</w:t>
      </w:r>
    </w:p>
    <w:p>
      <w:pPr>
        <w:spacing w:after="0" w:line="23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12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8"/>
          <w:szCs w:val="18"/>
          <w:color w:val="auto"/>
        </w:rPr>
        <w:t>October 29, 2020</w:t>
      </w:r>
    </w:p>
    <w:p>
      <w:pPr>
        <w:spacing w:after="0" w:line="20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color w:val="auto"/>
        </w:rPr>
        <w:t>Cohu, Inc.</w:t>
      </w:r>
    </w:p>
    <w:p>
      <w:pPr>
        <w:spacing w:after="0" w:line="5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4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4"/>
        </w:trPr>
        <w:tc>
          <w:tcPr>
            <w:tcW w:w="1200" w:type="dxa"/>
            <w:vAlign w:val="bottom"/>
          </w:tcPr>
          <w:p>
            <w:pPr>
              <w:spacing w:after="0"/>
              <w:rPr>
                <w:sz w:val="24"/>
                <w:szCs w:val="24"/>
                <w:color w:val="auto"/>
              </w:rPr>
            </w:pPr>
          </w:p>
        </w:tc>
        <w:tc>
          <w:tcPr>
            <w:tcW w:w="2560" w:type="dxa"/>
            <w:vAlign w:val="bottom"/>
            <w:gridSpan w:val="2"/>
          </w:tcPr>
          <w:p>
            <w:pPr>
              <w:jc w:val="center"/>
              <w:ind w:right="1110"/>
              <w:spacing w:after="0"/>
              <w:rPr>
                <w:sz w:val="20"/>
                <w:szCs w:val="20"/>
                <w:color w:val="auto"/>
              </w:rPr>
            </w:pPr>
            <w:r>
              <w:rPr>
                <w:rFonts w:ascii="Times New Roman" w:cs="Times New Roman" w:eastAsia="Times New Roman" w:hAnsi="Times New Roman"/>
                <w:sz w:val="18"/>
                <w:szCs w:val="18"/>
                <w:color w:val="auto"/>
                <w:w w:val="98"/>
              </w:rPr>
              <w:t>Delaware</w:t>
            </w:r>
          </w:p>
        </w:tc>
        <w:tc>
          <w:tcPr>
            <w:tcW w:w="25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001-04298</w:t>
            </w:r>
          </w:p>
        </w:tc>
        <w:tc>
          <w:tcPr>
            <w:tcW w:w="1180" w:type="dxa"/>
            <w:vAlign w:val="bottom"/>
          </w:tcPr>
          <w:p>
            <w:pPr>
              <w:spacing w:after="0"/>
              <w:rPr>
                <w:sz w:val="24"/>
                <w:szCs w:val="24"/>
                <w:color w:val="auto"/>
              </w:rPr>
            </w:pPr>
          </w:p>
        </w:tc>
        <w:tc>
          <w:tcPr>
            <w:tcW w:w="328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w w:val="98"/>
              </w:rPr>
              <w:t>95-1934119</w:t>
            </w:r>
          </w:p>
        </w:tc>
      </w:tr>
      <w:tr>
        <w:trPr>
          <w:trHeight w:val="216"/>
        </w:trPr>
        <w:tc>
          <w:tcPr>
            <w:tcW w:w="3760" w:type="dxa"/>
            <w:vAlign w:val="bottom"/>
            <w:gridSpan w:val="3"/>
          </w:tcPr>
          <w:p>
            <w:pPr>
              <w:jc w:val="right"/>
              <w:ind w:right="850"/>
              <w:spacing w:after="0"/>
              <w:rPr>
                <w:sz w:val="20"/>
                <w:szCs w:val="20"/>
                <w:color w:val="auto"/>
              </w:rPr>
            </w:pPr>
            <w:r>
              <w:rPr>
                <w:rFonts w:ascii="Times New Roman" w:cs="Times New Roman" w:eastAsia="Times New Roman" w:hAnsi="Times New Roman"/>
                <w:sz w:val="18"/>
                <w:szCs w:val="18"/>
                <w:color w:val="auto"/>
              </w:rPr>
              <w:t>_____________________</w:t>
            </w:r>
          </w:p>
        </w:tc>
        <w:tc>
          <w:tcPr>
            <w:tcW w:w="2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_____________</w:t>
            </w:r>
          </w:p>
        </w:tc>
        <w:tc>
          <w:tcPr>
            <w:tcW w:w="1180" w:type="dxa"/>
            <w:vAlign w:val="bottom"/>
          </w:tcPr>
          <w:p>
            <w:pPr>
              <w:spacing w:after="0"/>
              <w:rPr>
                <w:sz w:val="18"/>
                <w:szCs w:val="18"/>
                <w:color w:val="auto"/>
              </w:rPr>
            </w:pPr>
          </w:p>
        </w:tc>
        <w:tc>
          <w:tcPr>
            <w:tcW w:w="328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w w:val="99"/>
              </w:rPr>
              <w:t>______________</w:t>
            </w:r>
          </w:p>
        </w:tc>
      </w:tr>
      <w:tr>
        <w:trPr>
          <w:trHeight w:val="216"/>
        </w:trPr>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1180" w:type="dxa"/>
            <w:vAlign w:val="bottom"/>
          </w:tcPr>
          <w:p>
            <w:pPr>
              <w:spacing w:after="0"/>
              <w:rPr>
                <w:sz w:val="18"/>
                <w:szCs w:val="18"/>
                <w:color w:val="auto"/>
              </w:rPr>
            </w:pPr>
          </w:p>
        </w:tc>
        <w:tc>
          <w:tcPr>
            <w:tcW w:w="254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color w:val="auto"/>
                <w:w w:val="98"/>
              </w:rPr>
              <w:t>(Commission</w:t>
            </w:r>
          </w:p>
        </w:tc>
        <w:tc>
          <w:tcPr>
            <w:tcW w:w="48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1200" w:type="dxa"/>
            <w:vAlign w:val="bottom"/>
          </w:tcPr>
          <w:p>
            <w:pPr>
              <w:spacing w:after="0"/>
              <w:rPr>
                <w:sz w:val="20"/>
                <w:szCs w:val="20"/>
                <w:color w:val="auto"/>
              </w:rPr>
            </w:pPr>
          </w:p>
        </w:tc>
        <w:tc>
          <w:tcPr>
            <w:tcW w:w="2560" w:type="dxa"/>
            <w:vAlign w:val="bottom"/>
            <w:gridSpan w:val="2"/>
          </w:tcPr>
          <w:p>
            <w:pPr>
              <w:jc w:val="center"/>
              <w:ind w:right="11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80" w:type="dxa"/>
            <w:vAlign w:val="bottom"/>
          </w:tcPr>
          <w:p>
            <w:pPr>
              <w:spacing w:after="0"/>
              <w:rPr>
                <w:sz w:val="20"/>
                <w:szCs w:val="20"/>
                <w:color w:val="auto"/>
              </w:rPr>
            </w:pPr>
          </w:p>
        </w:tc>
        <w:tc>
          <w:tcPr>
            <w:tcW w:w="254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color w:val="auto"/>
                <w:w w:val="98"/>
              </w:rPr>
              <w:t>File Number)</w:t>
            </w:r>
          </w:p>
        </w:tc>
        <w:tc>
          <w:tcPr>
            <w:tcW w:w="48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12367 Crosthwaite Circle, Poway, California</w:t>
            </w: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8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7"/>
              </w:rPr>
              <w:t>92064</w:t>
            </w:r>
          </w:p>
        </w:tc>
      </w:tr>
      <w:tr>
        <w:trPr>
          <w:trHeight w:val="216"/>
        </w:trPr>
        <w:tc>
          <w:tcPr>
            <w:tcW w:w="376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8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rPr>
              <w:t>___________</w:t>
            </w:r>
          </w:p>
        </w:tc>
      </w:tr>
      <w:tr>
        <w:trPr>
          <w:trHeight w:val="234"/>
        </w:trPr>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3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Registrant’s telephone number, including area</w:t>
            </w: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80" w:type="dxa"/>
            <w:vAlign w:val="bottom"/>
            <w:gridSpan w:val="2"/>
          </w:tcPr>
          <w:p>
            <w:pPr>
              <w:jc w:val="right"/>
              <w:ind w:right="2170"/>
              <w:spacing w:after="0"/>
              <w:rPr>
                <w:sz w:val="20"/>
                <w:szCs w:val="20"/>
                <w:color w:val="auto"/>
              </w:rPr>
            </w:pPr>
            <w:r>
              <w:rPr>
                <w:rFonts w:ascii="Times New Roman" w:cs="Times New Roman" w:eastAsia="Times New Roman" w:hAnsi="Times New Roman"/>
                <w:sz w:val="18"/>
                <w:szCs w:val="18"/>
                <w:color w:val="auto"/>
                <w:w w:val="98"/>
              </w:rPr>
              <w:t>858-848-8100</w:t>
            </w:r>
          </w:p>
        </w:tc>
      </w:tr>
      <w:tr>
        <w:trPr>
          <w:trHeight w:val="234"/>
        </w:trPr>
        <w:tc>
          <w:tcPr>
            <w:tcW w:w="1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code:</w:t>
            </w:r>
          </w:p>
        </w:tc>
        <w:tc>
          <w:tcPr>
            <w:tcW w:w="1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4"/>
        </w:trPr>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4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color w:val="auto"/>
                <w:w w:val="99"/>
              </w:rPr>
              <w:t>Not Applicable</w:t>
            </w:r>
          </w:p>
        </w:tc>
        <w:tc>
          <w:tcPr>
            <w:tcW w:w="4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7960" w:type="dxa"/>
            <w:vAlign w:val="bottom"/>
            <w:gridSpan w:val="7"/>
          </w:tcPr>
          <w:p>
            <w:pPr>
              <w:jc w:val="right"/>
              <w:ind w:right="170"/>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tc>
        <w:tc>
          <w:tcPr>
            <w:tcW w:w="2800" w:type="dxa"/>
            <w:vAlign w:val="bottom"/>
          </w:tcPr>
          <w:p>
            <w:pPr>
              <w:spacing w:after="0"/>
              <w:rPr>
                <w:sz w:val="18"/>
                <w:szCs w:val="18"/>
                <w:color w:val="auto"/>
              </w:rPr>
            </w:pPr>
          </w:p>
        </w:tc>
      </w:tr>
      <w:tr>
        <w:trPr>
          <w:trHeight w:val="234"/>
        </w:trPr>
        <w:tc>
          <w:tcPr>
            <w:tcW w:w="1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200" w:type="dxa"/>
            <w:vAlign w:val="bottom"/>
            <w:gridSpan w:val="6"/>
          </w:tcPr>
          <w:p>
            <w:pPr>
              <w:jc w:val="center"/>
              <w:ind w:right="197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r>
      <w:tr>
        <w:trPr>
          <w:trHeight w:val="432"/>
        </w:trPr>
        <w:tc>
          <w:tcPr>
            <w:tcW w:w="7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391"/>
        </w:trPr>
        <w:tc>
          <w:tcPr>
            <w:tcW w:w="1200" w:type="dxa"/>
            <w:vAlign w:val="bottom"/>
          </w:tcPr>
          <w:p>
            <w:pPr>
              <w:spacing w:after="0"/>
              <w:rPr>
                <w:sz w:val="24"/>
                <w:szCs w:val="24"/>
                <w:color w:val="auto"/>
              </w:rPr>
            </w:pPr>
          </w:p>
        </w:tc>
        <w:tc>
          <w:tcPr>
            <w:tcW w:w="2560" w:type="dxa"/>
            <w:vAlign w:val="bottom"/>
            <w:gridSpan w:val="2"/>
          </w:tcPr>
          <w:p>
            <w:pPr>
              <w:jc w:val="center"/>
              <w:ind w:right="11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37"/>
        </w:trPr>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Common Stock, $1.00 par value</w:t>
            </w:r>
          </w:p>
        </w:tc>
        <w:tc>
          <w:tcPr>
            <w:tcW w:w="1180" w:type="dxa"/>
            <w:vAlign w:val="bottom"/>
          </w:tcPr>
          <w:p>
            <w:pPr>
              <w:spacing w:after="0"/>
              <w:rPr>
                <w:sz w:val="20"/>
                <w:szCs w:val="20"/>
                <w:color w:val="auto"/>
              </w:rPr>
            </w:pPr>
          </w:p>
        </w:tc>
        <w:tc>
          <w:tcPr>
            <w:tcW w:w="2540" w:type="dxa"/>
            <w:vAlign w:val="bottom"/>
            <w:tcBorders>
              <w:top w:val="single" w:sz="8" w:color="auto"/>
            </w:tcBorders>
            <w:gridSpan w:val="2"/>
          </w:tcPr>
          <w:p>
            <w:pPr>
              <w:jc w:val="center"/>
              <w:ind w:right="1180"/>
              <w:spacing w:after="0"/>
              <w:rPr>
                <w:sz w:val="20"/>
                <w:szCs w:val="20"/>
                <w:color w:val="auto"/>
              </w:rPr>
            </w:pPr>
            <w:r>
              <w:rPr>
                <w:rFonts w:ascii="Times New Roman" w:cs="Times New Roman" w:eastAsia="Times New Roman" w:hAnsi="Times New Roman"/>
                <w:sz w:val="18"/>
                <w:szCs w:val="18"/>
                <w:color w:val="auto"/>
              </w:rPr>
              <w:t>COHU</w:t>
            </w:r>
          </w:p>
        </w:tc>
        <w:tc>
          <w:tcPr>
            <w:tcW w:w="480" w:type="dxa"/>
            <w:vAlign w:val="bottom"/>
          </w:tcPr>
          <w:p>
            <w:pPr>
              <w:spacing w:after="0"/>
              <w:rPr>
                <w:sz w:val="20"/>
                <w:szCs w:val="20"/>
                <w:color w:val="auto"/>
              </w:rPr>
            </w:pPr>
          </w:p>
        </w:tc>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Act of 1934.</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36"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29, 2020, Cohu, Inc. (the “Company”) issued a press release regarding its financial results for the third quarter ended September 26, 2020. The Company’s press release is attached as Exhibit 99.1 to this Current Report on Form 8-K and incorporated by reference herein.</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Information: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Included within this current report and accompanying materials are non-GAAP financial measures, including non-GAAP Gross Margin/Profit, Income and Income (adjusted earnings) per share, Operating Income, Operating Expense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asset impairment charges, acquisition-related costs and associated professional fees, reduction of indemnification receivable, depreciation of purchase accounting adjustments to property, plant and equipment, purchase accounting inventory step-up included in cost of sales and amortization of cloud-based software implementation costs (Adjusted EBITDA only). Reconciliations of GAAP to non-GAAP amounts for the periods presented herein are provided in schedules accompanying this release and should be considered together with the Condensed Consolidated Statements of Operations. With respect to any forward looking non-GAAP figures, we are unable to provide without unreasonable efforts, at this time, a GAAP to non-GAAP reconciliation of any forward-looking figures due to their inherent uncertainty.</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current report and accompanying materials may be considered forward-looking statements within the meaning of the U.S. Private Securities Litigation Reform Act of 1995, including statements regarding a Cohu test cell design-win, new customers for our Neon inspection platform, launch and accelerated ramp of our RedDragon RF module for testing 5G, Wi-Fi 6 and Ultra-Wideband devices, improving automotive and industrial segment orders, rapidly improving business conditions and momentum across Cohu’s main market segments, customer traction with our new products going into 2021, customer opportunities for integrated test cell elements, cost benefits of using virtual reality technology, temporary cost savings and expense reductions, optimizing OpEx spending, any comments on Cohu’s FY 2021 outlook or growth, business model for FY’20, % of incremental revenue expected to fall to operating income, debt deleveraging priority, Cohu’s fourth quarter 2020 sales forecast, guidance, sales mix, non-GAAP operating expenses, gross margin, adjusted EBITDA and effective tax rate, and cash and shares outstanding, estimated minimum cash needed, estimated EBITDA breakeven point, any future Term Loan B principal reduction, and any other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 party industry analyst forecasts quoted are for reference only and Cohu does not adopt or affirm any such forecasts.</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Actual results could differ materially from those contained in any forward-looking statement as a result of various factors, including, without limitation: The ongoing global COVID-19 pandemic has adversely affected, and is continuing to adversely affect, our business, financial condition and results of operations, and COVID-19 could re-surge at any time and our business could be abruptly impacted again to an even greater extent; October 2020 COVID-19 related government movement control orders reinstituted in Malaysia and actual adverse impacts that have begun to reoccur among Malaysia-based or other suppliers; Recently increasing COVID-19 cases in countries where Cohu’s principal facilities are located including the United States, the Philippines, Malaysia, Switzerland and Germany; Other significant risks associated with the Xcerra acquisition, integration and synergies including the failure to achieve the expected benefits of the acquisition, and mandatory ongoing impairment evaluation of goodwill and other intangibles whereby Cohu could be required to write off some or all of this goodwill and other intangibles; Continued availability of capital and financing and additional rating agency downgrade actions, and limited market access given our high debt levels; Our Credit Agreement contains various representations and negative covenants that limit our business flexibility; Changes to or replacement of LIBOR may adversely affect interest rates; Adverse investor reaction to the recently suspended cash dividend; Other risks associated with acquisitions; inventory, goodwill and other asset write-downs; Our ability to convert new products into production on a timely basis and to support product development and meet customer delivery and acceptance requirements for new products; Lost productivity, project delays and internal control risks due to ongoing employee “work from home” programs; Our reliance on third-party contract manufacturers and suppliers; Failure to obtain customer acceptance resulting in the inability to recognize revenue and accounts receivable collection problems; Market demand and adoption of our new products; Customer orders may be canceled or delayed; Design-wins may or may not result in future orders or sales; The concentration of our revenues from a limited number of customers; Intense competition in the semiconductor equipment industry; Our reliance on patents and intellectual property; Compliance with U.S. export regulations; Impacts from the Tax Cuts and Jobs Act of 2017 and ongoing tax examinations; Geopolitical issues, trade wars and Huawei/HiSilicon export restrictions (including new restrictions effective in May and August 2020); Retention of key staff; Other health epidemics or natural disasters; ERP system implementation issues particularly as Cohu recently launched a new ERP system in first quarter 2020 and plans a broader rollout in 2020; The seasonal, volatile and unpredictable nature of capital expenditures by semiconductor manufacturers particularly in light of weakened demand in 2019 followed by the COVID-19 global pandemic in 2020; and Rapid technological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2" w:name="page3"/>
    <w:bookmarkEnd w:id="2"/>
    <w:p>
      <w:pPr>
        <w:spacing w:after="0" w:line="261" w:lineRule="auto"/>
        <w:rPr>
          <w:sz w:val="20"/>
          <w:szCs w:val="20"/>
          <w:color w:val="auto"/>
        </w:rPr>
      </w:pPr>
      <w:r>
        <w:rPr>
          <w:rFonts w:ascii="Times New Roman" w:cs="Times New Roman" w:eastAsia="Times New Roman" w:hAnsi="Times New Roman"/>
          <w:sz w:val="18"/>
          <w:szCs w:val="18"/>
          <w:color w:val="auto"/>
        </w:rPr>
        <w:t>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listed below is being furnished with this Current Report on Form 8-K.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No. - 99.1</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223"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 </w:t>
      </w:r>
      <w:hyperlink w:anchor="page6">
        <w:r>
          <w:rPr>
            <w:rFonts w:ascii="Times New Roman" w:cs="Times New Roman" w:eastAsia="Times New Roman" w:hAnsi="Times New Roman"/>
            <w:sz w:val="18"/>
            <w:szCs w:val="18"/>
            <w:u w:val="single" w:color="auto"/>
            <w:color w:val="0000EE"/>
          </w:rPr>
          <w:t>Third Quarter 2020 Earnings Release, dated October 29, 2020, of Cohu, Inc.</w:t>
        </w:r>
      </w:hyperlink>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9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Cohu, Inc.</w:t>
            </w:r>
          </w:p>
        </w:tc>
        <w:tc>
          <w:tcPr>
            <w:tcW w:w="4960" w:type="dxa"/>
            <w:vAlign w:val="bottom"/>
          </w:tcPr>
          <w:p>
            <w:pPr>
              <w:spacing w:after="0"/>
              <w:rPr>
                <w:sz w:val="20"/>
                <w:szCs w:val="20"/>
                <w:color w:val="auto"/>
              </w:rPr>
            </w:pPr>
          </w:p>
        </w:tc>
      </w:tr>
      <w:tr>
        <w:trPr>
          <w:trHeight w:val="432"/>
        </w:trPr>
        <w:tc>
          <w:tcPr>
            <w:tcW w:w="3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October 29, 2020</w:t>
            </w:r>
          </w:p>
        </w:tc>
        <w:tc>
          <w:tcPr>
            <w:tcW w:w="2940" w:type="dxa"/>
            <w:vAlign w:val="bottom"/>
          </w:tcPr>
          <w:p>
            <w:pPr>
              <w:ind w:left="2060"/>
              <w:spacing w:after="0"/>
              <w:rPr>
                <w:sz w:val="20"/>
                <w:szCs w:val="20"/>
                <w:color w:val="auto"/>
              </w:rPr>
            </w:pPr>
            <w:r>
              <w:rPr>
                <w:rFonts w:ascii="Times New Roman" w:cs="Times New Roman" w:eastAsia="Times New Roman" w:hAnsi="Times New Roman"/>
                <w:sz w:val="18"/>
                <w:szCs w:val="18"/>
                <w:i w:val="1"/>
                <w:iCs w:val="1"/>
                <w:color w:val="auto"/>
              </w:rPr>
              <w:t>By:</w:t>
            </w:r>
          </w:p>
        </w:tc>
        <w:tc>
          <w:tcPr>
            <w:tcW w:w="4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i w:val="1"/>
                <w:iCs w:val="1"/>
                <w:color w:val="auto"/>
              </w:rPr>
              <w:t>/s/ Jeffrey D. Jones</w:t>
            </w:r>
          </w:p>
        </w:tc>
      </w:tr>
      <w:tr>
        <w:trPr>
          <w:trHeight w:val="189"/>
        </w:trPr>
        <w:tc>
          <w:tcPr>
            <w:tcW w:w="33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960" w:type="dxa"/>
            <w:vAlign w:val="bottom"/>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Name: Jeffrey D. Jones</w:t>
            </w:r>
          </w:p>
        </w:tc>
      </w:tr>
      <w:tr>
        <w:trPr>
          <w:trHeight w:val="236"/>
        </w:trPr>
        <w:tc>
          <w:tcPr>
            <w:tcW w:w="33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Title: VP Finance and Chief Financial Officer</w:t>
            </w:r>
          </w:p>
        </w:tc>
      </w:tr>
      <w:tr>
        <w:trPr>
          <w:trHeight w:val="574"/>
        </w:trPr>
        <w:tc>
          <w:tcPr>
            <w:tcW w:w="3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1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Exhibit Index</w:t>
            </w:r>
          </w:p>
        </w:tc>
      </w:tr>
      <w:tr>
        <w:trPr>
          <w:trHeight w:val="648"/>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4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2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320" w:type="dxa"/>
            <w:vAlign w:val="bottom"/>
          </w:tcPr>
          <w:p>
            <w:pPr>
              <w:spacing w:after="0"/>
              <w:rPr>
                <w:sz w:val="19"/>
                <w:szCs w:val="19"/>
                <w:color w:val="auto"/>
              </w:rPr>
            </w:pPr>
          </w:p>
        </w:tc>
        <w:tc>
          <w:tcPr>
            <w:tcW w:w="8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Description – Third Quarter 2020 Earnings Release, dated October 29, 2020, of Cohu, Inc.</w:t>
            </w:r>
          </w:p>
        </w:tc>
      </w:tr>
    </w:tbl>
    <w:p>
      <w:pPr>
        <w:sectPr>
          <w:pgSz w:w="11900" w:h="16838" w:orient="portrait"/>
          <w:cols w:equalWidth="0" w:num="1">
            <w:col w:w="11240"/>
          </w:cols>
          <w:pgMar w:left="320" w:top="58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156845</wp:posOffset>
            </wp:positionV>
            <wp:extent cx="3248660" cy="1568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4866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Reports Third Quarter 2020 Results</w:t>
      </w:r>
    </w:p>
    <w:p>
      <w:pPr>
        <w:spacing w:after="0" w:line="227" w:lineRule="exact"/>
        <w:rPr>
          <w:sz w:val="20"/>
          <w:szCs w:val="20"/>
          <w:color w:val="auto"/>
        </w:rPr>
      </w:pPr>
    </w:p>
    <w:p>
      <w:pPr>
        <w:ind w:left="480" w:hanging="229"/>
        <w:spacing w:after="0"/>
        <w:tabs>
          <w:tab w:leader="none" w:pos="4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Sales of $150.6 million exceeded previous guidance</w:t>
      </w:r>
    </w:p>
    <w:p>
      <w:pPr>
        <w:spacing w:after="0" w:line="225" w:lineRule="exact"/>
        <w:rPr>
          <w:rFonts w:ascii="Times New Roman" w:cs="Times New Roman" w:eastAsia="Times New Roman" w:hAnsi="Times New Roman"/>
          <w:sz w:val="18"/>
          <w:szCs w:val="18"/>
          <w:i w:val="1"/>
          <w:iCs w:val="1"/>
          <w:color w:val="auto"/>
        </w:rPr>
      </w:pPr>
    </w:p>
    <w:p>
      <w:pPr>
        <w:ind w:left="480" w:hanging="229"/>
        <w:spacing w:after="0"/>
        <w:tabs>
          <w:tab w:leader="none" w:pos="4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Gross margin of 42.2%; non-GAAP gross margin of 44.0%</w:t>
      </w:r>
    </w:p>
    <w:p>
      <w:pPr>
        <w:spacing w:after="0" w:line="225" w:lineRule="exact"/>
        <w:rPr>
          <w:rFonts w:ascii="Times New Roman" w:cs="Times New Roman" w:eastAsia="Times New Roman" w:hAnsi="Times New Roman"/>
          <w:sz w:val="18"/>
          <w:szCs w:val="18"/>
          <w:i w:val="1"/>
          <w:iCs w:val="1"/>
          <w:color w:val="auto"/>
        </w:rPr>
      </w:pPr>
    </w:p>
    <w:p>
      <w:pPr>
        <w:ind w:left="480" w:hanging="229"/>
        <w:spacing w:after="0"/>
        <w:tabs>
          <w:tab w:leader="none" w:pos="4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Reduced Term Loan B debt associated with the financing of the Xcerra acquisition by $17.3 million</w:t>
      </w:r>
    </w:p>
    <w:p>
      <w:pPr>
        <w:spacing w:after="0" w:line="225" w:lineRule="exact"/>
        <w:rPr>
          <w:rFonts w:ascii="Times New Roman" w:cs="Times New Roman" w:eastAsia="Times New Roman" w:hAnsi="Times New Roman"/>
          <w:sz w:val="18"/>
          <w:szCs w:val="18"/>
          <w:i w:val="1"/>
          <w:iCs w:val="1"/>
          <w:color w:val="auto"/>
        </w:rPr>
      </w:pPr>
    </w:p>
    <w:p>
      <w:pPr>
        <w:ind w:left="480" w:hanging="229"/>
        <w:spacing w:after="0"/>
        <w:tabs>
          <w:tab w:leader="none" w:pos="4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Strong mobility orders for RF testers and handlers driven by new 5G smartphones</w:t>
      </w:r>
    </w:p>
    <w:p>
      <w:pPr>
        <w:spacing w:after="0" w:line="225" w:lineRule="exact"/>
        <w:rPr>
          <w:rFonts w:ascii="Times New Roman" w:cs="Times New Roman" w:eastAsia="Times New Roman" w:hAnsi="Times New Roman"/>
          <w:sz w:val="18"/>
          <w:szCs w:val="18"/>
          <w:i w:val="1"/>
          <w:iCs w:val="1"/>
          <w:color w:val="auto"/>
        </w:rPr>
      </w:pPr>
    </w:p>
    <w:p>
      <w:pPr>
        <w:ind w:left="480" w:hanging="229"/>
        <w:spacing w:after="0"/>
        <w:tabs>
          <w:tab w:leader="none" w:pos="4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Improving demand from automotive and industrial segment customers ahead of previous expectations</w:t>
      </w:r>
    </w:p>
    <w:p>
      <w:pPr>
        <w:spacing w:after="0" w:line="227" w:lineRule="exact"/>
        <w:rPr>
          <w:sz w:val="20"/>
          <w:szCs w:val="20"/>
          <w:color w:val="auto"/>
        </w:rPr>
      </w:pPr>
    </w:p>
    <w:p>
      <w:pPr>
        <w:jc w:val="both"/>
        <w:ind w:right="300"/>
        <w:spacing w:after="0" w:line="276" w:lineRule="auto"/>
        <w:rPr>
          <w:sz w:val="20"/>
          <w:szCs w:val="20"/>
          <w:color w:val="auto"/>
        </w:rPr>
      </w:pPr>
      <w:r>
        <w:rPr>
          <w:rFonts w:ascii="Times New Roman" w:cs="Times New Roman" w:eastAsia="Times New Roman" w:hAnsi="Times New Roman"/>
          <w:sz w:val="18"/>
          <w:szCs w:val="18"/>
          <w:color w:val="auto"/>
        </w:rPr>
        <w:t>POWAY, Calif., October 29, 2020 -- Cohu, Inc. (NASDAQ: COHU), a global leader in back-end semiconductor equipment and services, today reported fiscal 2020 third quarter net sales of $150.6 million and GAAP loss of $6.6 million or $0.16 per share. Net sales for the first nine months of 2020 were $433.7 million and GAAP loss was $28.7 million or $0.69 per share.</w:t>
      </w:r>
      <w:r>
        <w:rPr>
          <w:rFonts w:ascii="Times New Roman" w:cs="Times New Roman" w:eastAsia="Times New Roman" w:hAnsi="Times New Roman"/>
          <w:sz w:val="29"/>
          <w:szCs w:val="29"/>
          <w:color w:val="auto"/>
          <w:vertAlign w:val="superscript"/>
        </w:rPr>
        <w:t>(1)</w:t>
      </w:r>
    </w:p>
    <w:p>
      <w:pPr>
        <w:spacing w:after="0" w:line="4" w:lineRule="exact"/>
        <w:rPr>
          <w:sz w:val="20"/>
          <w:szCs w:val="20"/>
          <w:color w:val="auto"/>
        </w:rPr>
      </w:pPr>
    </w:p>
    <w:p>
      <w:pPr>
        <w:ind w:right="180"/>
        <w:spacing w:after="0" w:line="292" w:lineRule="auto"/>
        <w:rPr>
          <w:sz w:val="20"/>
          <w:szCs w:val="20"/>
          <w:color w:val="auto"/>
        </w:rPr>
      </w:pPr>
      <w:r>
        <w:rPr>
          <w:rFonts w:ascii="Times New Roman" w:cs="Times New Roman" w:eastAsia="Times New Roman" w:hAnsi="Times New Roman"/>
          <w:sz w:val="18"/>
          <w:szCs w:val="18"/>
          <w:color w:val="auto"/>
        </w:rPr>
        <w:t>Cohu also reported non-GAAP results, with third quarter 2020 income of $11.6 million or $0.27 per share and income of $18.9 million or $0.44 per share for the first nine months of 2020.</w:t>
      </w:r>
      <w:r>
        <w:rPr>
          <w:rFonts w:ascii="Times New Roman" w:cs="Times New Roman" w:eastAsia="Times New Roman" w:hAnsi="Times New Roman"/>
          <w:sz w:val="29"/>
          <w:szCs w:val="29"/>
          <w:color w:val="auto"/>
          <w:vertAlign w:val="superscript"/>
        </w:rPr>
        <w:t>(1)</w:t>
      </w:r>
    </w:p>
    <w:tbl>
      <w:tblPr>
        <w:tblLayout w:type="fixed"/>
        <w:tblInd w:w="10" w:type="dxa"/>
        <w:tblCellMar>
          <w:top w:w="0" w:type="dxa"/>
          <w:left w:w="0" w:type="dxa"/>
          <w:bottom w:w="0" w:type="dxa"/>
          <w:right w:w="0" w:type="dxa"/>
        </w:tblCellMar>
      </w:tblPr>
      <w:tr>
        <w:trPr>
          <w:trHeight w:val="236"/>
        </w:trPr>
        <w:tc>
          <w:tcPr>
            <w:tcW w:w="3100" w:type="dxa"/>
            <w:vAlign w:val="bottom"/>
            <w:tcBorders>
              <w:top w:val="single" w:sz="8" w:color="auto"/>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GAAP Results </w:t>
            </w:r>
            <w:r>
              <w:rPr>
                <w:rFonts w:ascii="Times New Roman" w:cs="Times New Roman" w:eastAsia="Times New Roman" w:hAnsi="Times New Roman"/>
                <w:sz w:val="14"/>
                <w:szCs w:val="14"/>
                <w:b w:val="1"/>
                <w:bCs w:val="1"/>
                <w:color w:val="auto"/>
              </w:rPr>
              <w:t>(1)</w:t>
            </w: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right w:val="single" w:sz="8" w:color="auto"/>
            </w:tcBorders>
          </w:tcPr>
          <w:p>
            <w:pPr>
              <w:spacing w:after="0"/>
              <w:rPr>
                <w:sz w:val="20"/>
                <w:szCs w:val="20"/>
                <w:color w:val="auto"/>
              </w:rPr>
            </w:pPr>
          </w:p>
        </w:tc>
      </w:tr>
      <w:tr>
        <w:trPr>
          <w:trHeight w:val="216"/>
        </w:trPr>
        <w:tc>
          <w:tcPr>
            <w:tcW w:w="310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i w:val="1"/>
                <w:iCs w:val="1"/>
                <w:color w:val="auto"/>
              </w:rPr>
              <w:t>(in millions, except per share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Q3 FY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Q2 FY</w:t>
            </w:r>
          </w:p>
        </w:tc>
        <w:tc>
          <w:tcPr>
            <w:tcW w:w="240" w:type="dxa"/>
            <w:vAlign w:val="bottom"/>
          </w:tcPr>
          <w:p>
            <w:pPr>
              <w:spacing w:after="0"/>
              <w:rPr>
                <w:sz w:val="18"/>
                <w:szCs w:val="18"/>
                <w:color w:val="auto"/>
              </w:rPr>
            </w:pPr>
          </w:p>
        </w:tc>
        <w:tc>
          <w:tcPr>
            <w:tcW w:w="11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Q3 FY</w:t>
            </w:r>
          </w:p>
        </w:tc>
        <w:tc>
          <w:tcPr>
            <w:tcW w:w="180" w:type="dxa"/>
            <w:vAlign w:val="bottom"/>
          </w:tcPr>
          <w:p>
            <w:pPr>
              <w:spacing w:after="0"/>
              <w:rPr>
                <w:sz w:val="18"/>
                <w:szCs w:val="18"/>
                <w:color w:val="auto"/>
              </w:rPr>
            </w:pPr>
          </w:p>
        </w:tc>
        <w:tc>
          <w:tcPr>
            <w:tcW w:w="12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9 Months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right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9 Months</w:t>
            </w:r>
          </w:p>
        </w:tc>
      </w:tr>
      <w:tr>
        <w:trPr>
          <w:trHeight w:val="245"/>
        </w:trPr>
        <w:tc>
          <w:tcPr>
            <w:tcW w:w="310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i w:val="1"/>
                <w:iCs w:val="1"/>
                <w:color w:val="auto"/>
              </w:rPr>
              <w:t>amounts)</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r>
      <w:tr>
        <w:trPr>
          <w:trHeight w:val="473"/>
        </w:trPr>
        <w:tc>
          <w:tcPr>
            <w:tcW w:w="310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r>
      <w:tr>
        <w:trPr>
          <w:trHeight w:val="243"/>
        </w:trPr>
        <w:tc>
          <w:tcPr>
            <w:tcW w:w="310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Loss</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(6.6 )</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5"/>
              </w:rPr>
              <w:t>(28.7 )</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(52.7 )</w:t>
            </w:r>
          </w:p>
        </w:tc>
      </w:tr>
      <w:tr>
        <w:trPr>
          <w:trHeight w:val="250"/>
        </w:trPr>
        <w:tc>
          <w:tcPr>
            <w:tcW w:w="310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Loss per share</w:t>
            </w:r>
          </w:p>
        </w:tc>
        <w:tc>
          <w:tcPr>
            <w:tcW w:w="2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(0.16 )</w:t>
            </w:r>
          </w:p>
        </w:tc>
        <w:tc>
          <w:tcPr>
            <w:tcW w:w="2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(0.11 )</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(0.25 )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5"/>
              </w:rPr>
              <w:t>(0.69 )</w:t>
            </w:r>
          </w:p>
        </w:tc>
        <w:tc>
          <w:tcPr>
            <w:tcW w:w="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(1.28 )</w:t>
            </w:r>
          </w:p>
        </w:tc>
      </w:tr>
      <w:tr>
        <w:trPr>
          <w:trHeight w:val="216"/>
        </w:trPr>
        <w:tc>
          <w:tcPr>
            <w:tcW w:w="3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228"/>
        </w:trPr>
        <w:tc>
          <w:tcPr>
            <w:tcW w:w="310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Non-GAAP Results </w:t>
            </w:r>
            <w:r>
              <w:rPr>
                <w:rFonts w:ascii="Times New Roman" w:cs="Times New Roman" w:eastAsia="Times New Roman" w:hAnsi="Times New Roman"/>
                <w:sz w:val="14"/>
                <w:szCs w:val="14"/>
                <w:b w:val="1"/>
                <w:bCs w:val="1"/>
                <w:color w:val="auto"/>
              </w:rPr>
              <w:t>(1)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r>
      <w:tr>
        <w:trPr>
          <w:trHeight w:val="216"/>
        </w:trPr>
        <w:tc>
          <w:tcPr>
            <w:tcW w:w="310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i w:val="1"/>
                <w:iCs w:val="1"/>
                <w:color w:val="auto"/>
              </w:rPr>
              <w:t>(in millions, except per share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Q3 FY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Q2 FY</w:t>
            </w:r>
          </w:p>
        </w:tc>
        <w:tc>
          <w:tcPr>
            <w:tcW w:w="240" w:type="dxa"/>
            <w:vAlign w:val="bottom"/>
          </w:tcPr>
          <w:p>
            <w:pPr>
              <w:spacing w:after="0"/>
              <w:rPr>
                <w:sz w:val="18"/>
                <w:szCs w:val="18"/>
                <w:color w:val="auto"/>
              </w:rPr>
            </w:pPr>
          </w:p>
        </w:tc>
        <w:tc>
          <w:tcPr>
            <w:tcW w:w="11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Q3 FY</w:t>
            </w:r>
          </w:p>
        </w:tc>
        <w:tc>
          <w:tcPr>
            <w:tcW w:w="180" w:type="dxa"/>
            <w:vAlign w:val="bottom"/>
          </w:tcPr>
          <w:p>
            <w:pPr>
              <w:spacing w:after="0"/>
              <w:rPr>
                <w:sz w:val="18"/>
                <w:szCs w:val="18"/>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9 Months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right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9 Months</w:t>
            </w:r>
          </w:p>
        </w:tc>
      </w:tr>
      <w:tr>
        <w:trPr>
          <w:trHeight w:val="245"/>
        </w:trPr>
        <w:tc>
          <w:tcPr>
            <w:tcW w:w="310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i w:val="1"/>
                <w:iCs w:val="1"/>
                <w:color w:val="auto"/>
              </w:rPr>
              <w:t>amounts)</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 w:type="dxa"/>
            <w:vAlign w:val="bottom"/>
            <w:tcBorders>
              <w:bottom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r>
      <w:tr>
        <w:trPr>
          <w:trHeight w:val="473"/>
        </w:trPr>
        <w:tc>
          <w:tcPr>
            <w:tcW w:w="310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Income</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24"/>
                <w:szCs w:val="24"/>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Pr>
          <w:p>
            <w:pPr>
              <w:spacing w:after="0"/>
              <w:rPr>
                <w:sz w:val="24"/>
                <w:szCs w:val="24"/>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right w:val="single" w:sz="8" w:color="auto"/>
            </w:tcBorders>
          </w:tcPr>
          <w:p>
            <w:pPr>
              <w:spacing w:after="0"/>
              <w:rPr>
                <w:sz w:val="24"/>
                <w:szCs w:val="24"/>
                <w:color w:val="auto"/>
              </w:rPr>
            </w:pPr>
          </w:p>
        </w:tc>
      </w:tr>
      <w:tr>
        <w:trPr>
          <w:trHeight w:val="250"/>
        </w:trPr>
        <w:tc>
          <w:tcPr>
            <w:tcW w:w="310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Income per share</w:t>
            </w:r>
          </w:p>
        </w:tc>
        <w:tc>
          <w:tcPr>
            <w:tcW w:w="2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0.27</w:t>
            </w: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0.17</w:t>
            </w: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color w:val="auto"/>
              </w:rPr>
              <w:t>0.44</w:t>
            </w: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auto"/>
              <w:right w:val="single" w:sz="8" w:color="auto"/>
            </w:tcBorders>
          </w:tcPr>
          <w:p>
            <w:pPr>
              <w:spacing w:after="0"/>
              <w:rPr>
                <w:sz w:val="21"/>
                <w:szCs w:val="21"/>
                <w:color w:val="auto"/>
              </w:rPr>
            </w:pP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 All amounts presented are from continuing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cash and investments at the end of third quarter 2020 were $170.9 million.</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mobility segment continued to strengthen during third quarter with a Cohu test cell design-win, new customers for our Neon inspection platform, and the launch and accelerated ramp of our RedDragon RF module for testing 5G, Wi-Fi 6 and Ultra-Wideband devices. Improving automotive and industrial segment orders are driving a ramp in handler deliveries ahead of previous expectations, and PCB test orders were again at record highs. In light of rapidly improving business conditions, Cohu took action to reduce outstanding principal under its Term Loan B debt associated with the financing of the Xcerra acquisition in October 2018,” said Cohu President and CEO Luis Müller. “We are encouraged by momentum across Cohu’s main market segments, and by customer traction with our new products going into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expects fourth quarter 2020 sales to be between $176 million and $192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Company will host a live conference call and webcast with slides to discuss third quarter 2020 results at 5:30 a.m. Pacific Time/8:30 a.m. Eastern Time on October 29, 2020. Interested investors and analysts are invited to dial into the conference call by using 1-866-434-5330 (domestic) or +1-213-660-0873 (international) and entering the pass code 2789504. Webcast access will be available on the Investor Information section of the Company’s website at </w:t>
      </w:r>
      <w:r>
        <w:rPr>
          <w:rFonts w:ascii="Times New Roman" w:cs="Times New Roman" w:eastAsia="Times New Roman" w:hAnsi="Times New Roman"/>
          <w:sz w:val="18"/>
          <w:szCs w:val="18"/>
          <w:u w:val="single" w:color="auto"/>
          <w:color w:val="auto"/>
        </w:rPr>
        <w:t>www.cohu.com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Cohu:</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Cohu (NASDAQ: COHU) is a global leader in back-end semiconductor equipment and services, delivering leading-edge solutions for the manufacturing of semiconductors and printed circuit boards. Additional information can be found at </w:t>
      </w:r>
      <w:r>
        <w:rPr>
          <w:rFonts w:ascii="Times New Roman" w:cs="Times New Roman" w:eastAsia="Times New Roman" w:hAnsi="Times New Roman"/>
          <w:sz w:val="18"/>
          <w:szCs w:val="18"/>
          <w:u w:val="single" w:color="auto"/>
          <w:color w:val="auto"/>
        </w:rPr>
        <w:t>www.cohu.com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Information:</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Included within this press release and accompanying materials are non-GAAP financial measures, including non-GAAP Gross Margin/Profit, Income and Income (adjusted earnings) per share, Operating Income, Operating Expense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asset impairment charges, acquisition-related costs and associated professional fees, reduction of indemnification receivable, depreciation of purchase accounting adjustments to property, plant and equipment, purchase accounting inventory step-up included in cost of sales and amortization of cloud-based software implementation costs (Adjusted EBITDA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Reconciliations of GAAP to non-GAAP amounts for the periods presented herein are provided in schedules accompanying this release and should be considered together with the Condensed Consolidated Statements of Operations. With respect to any forward looking non-GAAP figures, we are unable to provide without unreasonable efforts, at this time, a GAAP to non-GAAP reconciliation of any forward-looking figures due to their inherent uncertainty.</w:t>
      </w:r>
    </w:p>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release and accompanying materials may be considered forward-looking statements within the meaning of the U.S. Private Securities Litigation Reform Act of 1995, including statements regarding a Cohu test cell design-win, new customers for our Neon inspection platform, launch and accelerated ramp of our RedDragon RF module for testing 5G, Wi-Fi 6 and Ultra-Wideband devices, improving automotive and industrial segment orders, rapidly improving business conditions and momentum across Cohu’s main market segments, customer traction with our new products going into 2021, customer opportunities for integrated test cell elements, cost benefits of using virtual reality technology, temporary cost savings and expense reductions, optimizing OpEx spending, any comments on Cohu’s FY 2021 outlook or growth, business model for FY’20, % of incremental revenue expected to fall to operating income, debt deleveraging priority, Cohu’s fourth quarter 2020 sales forecast, guidance, sales mix, non-GAAP operating expenses, gross margin, adjusted EBITDA and effective tax rate, and cash and shares outstanding, estimated minimum cash needed, estimated EBITDA breakeven point, any future Term Loan B principal reduction, and any other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 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7" w:name="page8"/>
    <w:bookmarkEnd w:id="7"/>
    <w:p>
      <w:pPr>
        <w:spacing w:after="0" w:line="252" w:lineRule="auto"/>
        <w:rPr>
          <w:sz w:val="20"/>
          <w:szCs w:val="20"/>
          <w:color w:val="auto"/>
        </w:rPr>
      </w:pPr>
      <w:r>
        <w:rPr>
          <w:rFonts w:ascii="Times New Roman" w:cs="Times New Roman" w:eastAsia="Times New Roman" w:hAnsi="Times New Roman"/>
          <w:sz w:val="18"/>
          <w:szCs w:val="18"/>
          <w:color w:val="auto"/>
        </w:rPr>
        <w:t>Actual results could differ materially from those contained in any forward-looking statement as a result of various factors, including, without limitation: The ongoing global COVID-19 pandemic has adversely affected, and is continuing to adversely affect, our business, financial condition and results of operations, and COVID-19 could re-surge at any time and our business could be abruptly impacted again to an even greater extent; October 2020 COVID-19 related government movement control orders reinstituted in Malaysia and actual adverse impacts that have begun to reoccur among Malaysia-based or other suppliers; Recently increasing COVID-19 cases in countries where Cohu’s principal facilities are located including the United States, the Philippines, Malaysia, Switzerland and Germany; Other significant risks associated with the Xcerra acquisition, integration and synergies including the failure to achieve the expected benefits of the acquisition, and mandatory ongoing impairment evaluation of goodwill and other intangibles whereby Cohu could be required to write off some or all of this goodwill and other intangibles; Continued availability of capital and financing and additional rating agency downgrade actions, and limited market access given our high debt levels; Our Credit Agreement contains various representations and negative covenants that limit our business flexibility; Changes to or replacement of LIBOR may adversely affect interest rates; Adverse investor reaction to the recently suspended cash dividend; Other risks associated with acquisitions; inventory, goodwill and other asset write-downs; Our ability to convert new products into production on a timely basis and to support product development and meet customer delivery and acceptance requirements for new products; Lost productivity, project delays and internal control risks due to ongoing employee “work from home” programs; Our reliance on third-party contract manufacturers and suppliers; Failure to obtain customer acceptance resulting in the inability to recognize revenue and accounts receivable collection problems; Market demand and adoption of our new products; Customer orders may be canceled or delayed; Design-wins may or may not result in future orders or sales; The concentration of our revenues from a limited number of customers; Intense competition in the semiconductor equipment industry; Our reliance on patents and intellectual property; Compliance with U.S. export regulations; Impacts from the Tax Cuts and Jobs Act of 2017 and ongoing tax examinations; Geopolitical issues, trade wars and Huawei/HiSilicon export restrictions (including new restrictions effective in May and August 2020); Retention of key staff; Other health epidemics or natural disasters; ERP system implementation issues particularly as Cohu recently launched a new ERP system in first quarter 2020 and plans a broader rollout in 2020; The seasonal, volatile and unpredictable nature of capital expenditures by semiconductor manufacturers particularly in light of weakened demand in 2019 followed by the COVID-19 global pandemic in 2020; and Rapid technological change.</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press releases and other information of interest to investors, please visit Cohu’s website at </w:t>
      </w:r>
      <w:r>
        <w:rPr>
          <w:rFonts w:ascii="Times New Roman" w:cs="Times New Roman" w:eastAsia="Times New Roman" w:hAnsi="Times New Roman"/>
          <w:sz w:val="18"/>
          <w:szCs w:val="18"/>
          <w:u w:val="single" w:color="auto"/>
          <w:color w:val="auto"/>
        </w:rPr>
        <w:t>www.cohu.com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858-848-8106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 xml:space="preserve">Three Months Ended </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4"/>
                <w:szCs w:val="24"/>
                <w:color w:val="auto"/>
              </w:rPr>
            </w:pPr>
          </w:p>
        </w:tc>
        <w:tc>
          <w:tcPr>
            <w:tcW w:w="246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 xml:space="preserve">Nine Months Ended </w:t>
            </w:r>
            <w:r>
              <w:rPr>
                <w:rFonts w:ascii="Times New Roman" w:cs="Times New Roman" w:eastAsia="Times New Roman" w:hAnsi="Times New Roman"/>
                <w:sz w:val="29"/>
                <w:szCs w:val="29"/>
                <w:color w:val="auto"/>
                <w:vertAlign w:val="superscript"/>
              </w:rPr>
              <w:t>(1)</w:t>
            </w:r>
          </w:p>
        </w:tc>
      </w:tr>
      <w:tr>
        <w:trPr>
          <w:trHeight w:val="230"/>
        </w:trPr>
        <w:tc>
          <w:tcPr>
            <w:tcW w:w="5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September 26,</w:t>
            </w: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28,</w:t>
            </w: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26,</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September 28,</w:t>
            </w:r>
          </w:p>
        </w:tc>
      </w:tr>
      <w:tr>
        <w:trPr>
          <w:trHeight w:val="238"/>
        </w:trPr>
        <w:tc>
          <w:tcPr>
            <w:tcW w:w="5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r>
      <w:tr>
        <w:trPr>
          <w:trHeight w:val="209"/>
        </w:trPr>
        <w:tc>
          <w:tcPr>
            <w:tcW w:w="5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150,647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143,498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433,652</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441,318</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 (excluding amortization)</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87,147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84,565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253,111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265,564</w:t>
            </w: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20,497</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20,483</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63,389</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65,324</w:t>
            </w:r>
          </w:p>
        </w:tc>
      </w:tr>
      <w:tr>
        <w:trPr>
          <w:trHeight w:val="216"/>
        </w:trPr>
        <w:tc>
          <w:tcPr>
            <w:tcW w:w="524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Selling, general and administrative </w:t>
            </w:r>
            <w:r>
              <w:rPr>
                <w:rFonts w:ascii="Times New Roman" w:cs="Times New Roman" w:eastAsia="Times New Roman" w:hAnsi="Times New Roman"/>
                <w:sz w:val="25"/>
                <w:szCs w:val="25"/>
                <w:color w:val="auto"/>
                <w:vertAlign w:val="superscript"/>
              </w:rPr>
              <w:t>(2)</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31,336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33,690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95,664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108,404</w:t>
            </w: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9,783</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9,969</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28,848</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29,975</w:t>
            </w: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1,400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10,720</w:t>
            </w:r>
          </w:p>
        </w:tc>
      </w:tr>
      <w:tr>
        <w:trPr>
          <w:trHeight w:val="216"/>
        </w:trPr>
        <w:tc>
          <w:tcPr>
            <w:tcW w:w="52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Impairment charges </w:t>
            </w:r>
            <w:r>
              <w:rPr>
                <w:rFonts w:ascii="Times New Roman" w:cs="Times New Roman" w:eastAsia="Times New Roman" w:hAnsi="Times New Roman"/>
                <w:sz w:val="25"/>
                <w:szCs w:val="25"/>
                <w:color w:val="auto"/>
                <w:vertAlign w:val="superscript"/>
              </w:rPr>
              <w:t>(3)</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7,300</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11,249</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Gain on sale of facilities </w:t>
            </w:r>
            <w:r>
              <w:rPr>
                <w:rFonts w:ascii="Times New Roman" w:cs="Times New Roman" w:eastAsia="Times New Roman" w:hAnsi="Times New Roman"/>
                <w:sz w:val="25"/>
                <w:szCs w:val="25"/>
                <w:color w:val="auto"/>
                <w:vertAlign w:val="superscript"/>
              </w:rPr>
              <w:t>(4)</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(4,468)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(4,495)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152,007</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149,521</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449,166</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479,987</w:t>
            </w:r>
          </w:p>
        </w:tc>
      </w:tr>
      <w:tr>
        <w:trPr>
          <w:trHeight w:val="20"/>
        </w:trPr>
        <w:tc>
          <w:tcPr>
            <w:tcW w:w="5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(1,360)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(6,023)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(15,514)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(38,669)</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(3,021)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(10,904)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(15,789)</w:t>
            </w:r>
          </w:p>
        </w:tc>
      </w:tr>
      <w:tr>
        <w:trPr>
          <w:trHeight w:val="216"/>
        </w:trPr>
        <w:tc>
          <w:tcPr>
            <w:tcW w:w="52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Gain on extinguishment of debt </w:t>
            </w:r>
            <w:r>
              <w:rPr>
                <w:rFonts w:ascii="Times New Roman" w:cs="Times New Roman" w:eastAsia="Times New Roman" w:hAnsi="Times New Roman"/>
                <w:sz w:val="25"/>
                <w:szCs w:val="25"/>
                <w:color w:val="auto"/>
                <w:vertAlign w:val="superscript"/>
              </w:rPr>
              <w:t>(5)</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293</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293</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w:t>
            </w: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transaction gain (loss)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(1,484)</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1,630</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(2,528)</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1,302</w:t>
            </w:r>
          </w:p>
        </w:tc>
      </w:tr>
      <w:tr>
        <w:trPr>
          <w:trHeight w:val="20"/>
        </w:trPr>
        <w:tc>
          <w:tcPr>
            <w:tcW w:w="5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before taxes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(5,530)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(9,203)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(28,443)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(52,553)</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1,116</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1,277</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261</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5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(6,646)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(10,480)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(28,704)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(52,714)</w:t>
            </w:r>
          </w:p>
        </w:tc>
      </w:tr>
      <w:tr>
        <w:trPr>
          <w:trHeight w:val="216"/>
        </w:trPr>
        <w:tc>
          <w:tcPr>
            <w:tcW w:w="5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Discontinued operations: </w:t>
            </w:r>
            <w:r>
              <w:rPr>
                <w:rFonts w:ascii="Times New Roman" w:cs="Times New Roman" w:eastAsia="Times New Roman" w:hAnsi="Times New Roman"/>
                <w:sz w:val="25"/>
                <w:szCs w:val="25"/>
                <w:color w:val="auto"/>
                <w:vertAlign w:val="superscript"/>
              </w:rPr>
              <w:t>(6)</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discontinued operations before taxes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provision</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52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(6,646)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(28,662)</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(52,372)</w:t>
            </w:r>
          </w:p>
        </w:tc>
      </w:tr>
      <w:tr>
        <w:trPr>
          <w:trHeight w:val="20"/>
        </w:trPr>
        <w:tc>
          <w:tcPr>
            <w:tcW w:w="52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5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Cohu</w:t>
            </w: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(6,646)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(28,662)</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(52,434)</w:t>
            </w:r>
          </w:p>
        </w:tc>
      </w:tr>
      <w:tr>
        <w:trPr>
          <w:trHeight w:val="197"/>
        </w:trPr>
        <w:tc>
          <w:tcPr>
            <w:tcW w:w="52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per share:</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continuing operations before noncontrolling interest</w:t>
            </w: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(0.16)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(0.69)</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0.00</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r>
      <w:tr>
        <w:trPr>
          <w:trHeight w:val="20"/>
        </w:trPr>
        <w:tc>
          <w:tcPr>
            <w:tcW w:w="52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attributable to Cohu</w:t>
            </w: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(0.16)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(0.69)</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5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continuing operations before noncontrolling interest</w:t>
            </w: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(0.16)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(0.69)</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0.00</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r>
      <w:tr>
        <w:trPr>
          <w:trHeight w:val="20"/>
        </w:trPr>
        <w:tc>
          <w:tcPr>
            <w:tcW w:w="52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attributable to Cohu</w:t>
            </w: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(0.16)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(0.69)</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5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576" w:right="339" w:bottom="0" w:gutter="0" w:footer="0" w:header="0"/>
        </w:sectPr>
      </w:pPr>
    </w:p>
    <w:p>
      <w:pPr>
        <w:ind w:left="180"/>
        <w:spacing w:after="0" w:line="181" w:lineRule="auto"/>
        <w:rPr>
          <w:sz w:val="20"/>
          <w:szCs w:val="20"/>
          <w:color w:val="auto"/>
        </w:rPr>
      </w:pPr>
      <w:r>
        <w:rPr>
          <w:rFonts w:ascii="Times New Roman" w:cs="Times New Roman" w:eastAsia="Times New Roman" w:hAnsi="Times New Roman"/>
          <w:sz w:val="16"/>
          <w:szCs w:val="16"/>
          <w:color w:val="auto"/>
        </w:rPr>
        <w:t xml:space="preserve">Weighted average shares used in </w:t>
      </w:r>
      <w:r>
        <w:rPr>
          <w:rFonts w:ascii="Times New Roman" w:cs="Times New Roman" w:eastAsia="Times New Roman" w:hAnsi="Times New Roman"/>
          <w:sz w:val="25"/>
          <w:szCs w:val="25"/>
          <w:color w:val="auto"/>
          <w:vertAlign w:val="superscript"/>
        </w:rPr>
        <w:t>(7)</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computing loss per share:</w:t>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Basic</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41,947</w:t>
            </w: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41,229</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41,764</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41,075</w:t>
            </w:r>
          </w:p>
        </w:tc>
        <w:tc>
          <w:tcPr>
            <w:tcW w:w="0" w:type="dxa"/>
            <w:vAlign w:val="bottom"/>
          </w:tcPr>
          <w:p>
            <w:pPr>
              <w:spacing w:after="0"/>
              <w:rPr>
                <w:sz w:val="1"/>
                <w:szCs w:val="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41,947</w:t>
            </w:r>
          </w:p>
        </w:tc>
        <w:tc>
          <w:tcPr>
            <w:tcW w:w="2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41,229</w:t>
            </w:r>
          </w:p>
        </w:tc>
        <w:tc>
          <w:tcPr>
            <w:tcW w:w="22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41,764</w:t>
            </w:r>
          </w:p>
        </w:tc>
        <w:tc>
          <w:tcPr>
            <w:tcW w:w="220" w:type="dxa"/>
            <w:vAlign w:val="bottom"/>
            <w:vMerge w:val="continue"/>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41,075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-462280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-161925</wp:posOffset>
            </wp:positionV>
            <wp:extent cx="7132320"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80" w:space="720"/>
            <w:col w:w="5440"/>
          </w:cols>
          <w:pgMar w:left="320" w:top="576" w:right="339" w:bottom="0" w:gutter="0" w:footer="0" w:header="0"/>
          <w:type w:val="continuous"/>
        </w:sectPr>
      </w:pPr>
    </w:p>
    <w:p>
      <w:pPr>
        <w:spacing w:after="0" w:line="65" w:lineRule="exact"/>
        <w:rPr>
          <w:sz w:val="20"/>
          <w:szCs w:val="20"/>
          <w:color w:val="auto"/>
        </w:rPr>
      </w:pPr>
    </w:p>
    <w:p>
      <w:pPr>
        <w:ind w:left="500" w:hanging="330"/>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three- and nine-month periods ended September 26, 2020 and September 28, 2019 were both comprised of 13 weeks and 39 weeks, respectively.</w:t>
      </w:r>
    </w:p>
    <w:p>
      <w:pPr>
        <w:spacing w:after="0" w:line="47" w:lineRule="exact"/>
        <w:rPr>
          <w:rFonts w:ascii="Times New Roman" w:cs="Times New Roman" w:eastAsia="Times New Roman" w:hAnsi="Times New Roman"/>
          <w:sz w:val="17"/>
          <w:szCs w:val="17"/>
          <w:color w:val="auto"/>
        </w:rPr>
      </w:pPr>
    </w:p>
    <w:p>
      <w:pPr>
        <w:ind w:left="500" w:right="420" w:hanging="330"/>
        <w:spacing w:after="0" w:line="261"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nine-month period ended September 28, 2019 Xcerra transaction costs were $0.4 million. No transaction costs were incurred during the three-month period ended September 28, 2019 or during 2020.</w:t>
      </w:r>
    </w:p>
    <w:p>
      <w:pPr>
        <w:ind w:left="500" w:right="16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our results for the three- and nine-month period ended September 26, 2020 is impairment charges recorded in the third and first quarter to write certain of our in-process research and development assets (“IPR&amp;D”) obtained as part of our acquisition of Xcerra down to current estimated fair values.</w:t>
      </w:r>
    </w:p>
    <w:p>
      <w:pPr>
        <w:spacing w:after="0" w:line="1" w:lineRule="exact"/>
        <w:rPr>
          <w:rFonts w:ascii="Times New Roman" w:cs="Times New Roman" w:eastAsia="Times New Roman" w:hAnsi="Times New Roman"/>
          <w:sz w:val="18"/>
          <w:szCs w:val="18"/>
          <w:color w:val="auto"/>
        </w:rPr>
      </w:pPr>
    </w:p>
    <w:p>
      <w:pPr>
        <w:ind w:left="50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2020 we completed the sale of our facility in Rosenheim, Germany which generated a gain of $4.5 million. In the second quarter of 2020 we completed the sale of our facility in Penang, Malaysia which generated a gain of $27,000. The gain related to the sale of the Penang facility was previously included in SG&amp;A and has been reclassified to gain on sale of facility for the nine months ended September 26, 2020. Both facilities were sold as part of the previously announced Xcerra integration program.</w:t>
      </w:r>
    </w:p>
    <w:p>
      <w:pPr>
        <w:spacing w:after="0" w:line="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2020 we repurchased and retired $16.4 million of our outstanding Term Loan B which resulted in a gain from the extinguishment of debt.</w:t>
      </w:r>
    </w:p>
    <w:p>
      <w:pPr>
        <w:spacing w:after="0" w:line="9" w:lineRule="exact"/>
        <w:rPr>
          <w:rFonts w:ascii="Times New Roman" w:cs="Times New Roman" w:eastAsia="Times New Roman" w:hAnsi="Times New Roman"/>
          <w:sz w:val="18"/>
          <w:szCs w:val="18"/>
          <w:color w:val="auto"/>
        </w:rPr>
      </w:pPr>
    </w:p>
    <w:p>
      <w:pPr>
        <w:ind w:left="500" w:right="120" w:hanging="330"/>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 2018, the Company made the decision to sell the fixtures business acquired from Xcerra, and, as a result, the operating results of this business have been presented as discontinued operations. In February 2020, we completed the sale of this business.</w:t>
      </w:r>
    </w:p>
    <w:p>
      <w:pPr>
        <w:ind w:left="500" w:right="40" w:hanging="330"/>
        <w:spacing w:after="0" w:line="277" w:lineRule="auto"/>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three- and nine-month periods ended September 26, 2020 and September 28, 2019, potentially dilutive securities were excluded from the per share computations due to their antidilutive effect. The Company has utilized the "control number" concept in the computation of diluted earnings per share to determine whether a potential common stock instrument is dilutive. The control number used is income from continuing operations.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-2237740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0" w:gutter="0" w:footer="0" w:header="0"/>
          <w:type w:val="continuous"/>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337185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820" w:top="121" w:right="9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COHU, INC.</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0"/>
                <w:szCs w:val="20"/>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26,</w:t>
            </w:r>
          </w:p>
        </w:tc>
        <w:tc>
          <w:tcPr>
            <w:tcW w:w="160" w:type="dxa"/>
            <w:vAlign w:val="bottom"/>
          </w:tcPr>
          <w:p>
            <w:pPr>
              <w:spacing w:after="0"/>
              <w:rPr>
                <w:sz w:val="20"/>
                <w:szCs w:val="20"/>
                <w:color w:val="auto"/>
              </w:rPr>
            </w:pPr>
          </w:p>
        </w:tc>
        <w:tc>
          <w:tcPr>
            <w:tcW w:w="1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December 28,</w:t>
            </w:r>
          </w:p>
        </w:tc>
        <w:tc>
          <w:tcPr>
            <w:tcW w:w="0" w:type="dxa"/>
            <w:vAlign w:val="bottom"/>
          </w:tcPr>
          <w:p>
            <w:pPr>
              <w:spacing w:after="0"/>
              <w:rPr>
                <w:sz w:val="1"/>
                <w:szCs w:val="1"/>
                <w:color w:val="auto"/>
              </w:rPr>
            </w:pPr>
          </w:p>
        </w:tc>
      </w:tr>
      <w:tr>
        <w:trPr>
          <w:trHeight w:val="194"/>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investments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170,875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156,098</w:t>
            </w:r>
          </w:p>
        </w:tc>
        <w:tc>
          <w:tcPr>
            <w:tcW w:w="0" w:type="dxa"/>
            <w:vAlign w:val="bottom"/>
          </w:tcPr>
          <w:p>
            <w:pPr>
              <w:spacing w:after="0"/>
              <w:rPr>
                <w:sz w:val="1"/>
                <w:szCs w:val="1"/>
                <w:color w:val="auto"/>
              </w:rPr>
            </w:pP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116,805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127,921</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137,879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130,706</w:t>
            </w:r>
          </w:p>
        </w:tc>
        <w:tc>
          <w:tcPr>
            <w:tcW w:w="0" w:type="dxa"/>
            <w:vAlign w:val="bottom"/>
          </w:tcPr>
          <w:p>
            <w:pPr>
              <w:spacing w:after="0"/>
              <w:rPr>
                <w:sz w:val="1"/>
                <w:szCs w:val="1"/>
                <w:color w:val="auto"/>
              </w:rPr>
            </w:pP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19,259</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21,468</w:t>
            </w:r>
          </w:p>
        </w:tc>
        <w:tc>
          <w:tcPr>
            <w:tcW w:w="0" w:type="dxa"/>
            <w:vAlign w:val="bottom"/>
          </w:tcPr>
          <w:p>
            <w:pPr>
              <w:spacing w:after="0"/>
              <w:rPr>
                <w:sz w:val="1"/>
                <w:szCs w:val="1"/>
                <w:color w:val="auto"/>
              </w:rPr>
            </w:pPr>
          </w:p>
        </w:tc>
      </w:tr>
      <w:tr>
        <w:trPr>
          <w:trHeight w:val="216"/>
        </w:trPr>
        <w:tc>
          <w:tcPr>
            <w:tcW w:w="7860" w:type="dxa"/>
            <w:vAlign w:val="bottom"/>
            <w:tcBorders>
              <w:bottom w:val="single" w:sz="8" w:color="CCEEFF"/>
            </w:tcBorders>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Current assets of discontinued operations </w:t>
            </w:r>
            <w:r>
              <w:rPr>
                <w:rFonts w:ascii="Times New Roman" w:cs="Times New Roman" w:eastAsia="Times New Roman" w:hAnsi="Times New Roman"/>
                <w:sz w:val="25"/>
                <w:szCs w:val="25"/>
                <w:color w:val="auto"/>
                <w:vertAlign w:val="superscript"/>
              </w:rPr>
              <w:t>(1)</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444,818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439,696</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&amp; equipment, net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64,546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70,912</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244,341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238,669</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238,832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275,019</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30,099</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33,269</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23,717</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20,030</w:t>
            </w:r>
          </w:p>
        </w:tc>
        <w:tc>
          <w:tcPr>
            <w:tcW w:w="0" w:type="dxa"/>
            <w:vAlign w:val="bottom"/>
          </w:tcPr>
          <w:p>
            <w:pPr>
              <w:spacing w:after="0"/>
              <w:rPr>
                <w:sz w:val="1"/>
                <w:szCs w:val="1"/>
                <w:color w:val="auto"/>
              </w:rPr>
            </w:pPr>
          </w:p>
        </w:tc>
      </w:tr>
      <w:tr>
        <w:trPr>
          <w:trHeight w:val="216"/>
        </w:trPr>
        <w:tc>
          <w:tcPr>
            <w:tcW w:w="78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Noncurrent assets of discontinued operations </w:t>
            </w:r>
            <w:r>
              <w:rPr>
                <w:rFonts w:ascii="Times New Roman" w:cs="Times New Roman" w:eastAsia="Times New Roman" w:hAnsi="Times New Roman"/>
                <w:sz w:val="25"/>
                <w:szCs w:val="25"/>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1,046,353</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1,077,710</w:t>
            </w:r>
          </w:p>
        </w:tc>
        <w:tc>
          <w:tcPr>
            <w:tcW w:w="0" w:type="dxa"/>
            <w:vAlign w:val="bottom"/>
          </w:tcPr>
          <w:p>
            <w:pPr>
              <w:spacing w:after="0"/>
              <w:rPr>
                <w:sz w:val="1"/>
                <w:szCs w:val="1"/>
                <w:color w:val="auto"/>
              </w:rPr>
            </w:pPr>
          </w:p>
        </w:tc>
      </w:tr>
      <w:tr>
        <w:trPr>
          <w:trHeight w:val="197"/>
        </w:trPr>
        <w:tc>
          <w:tcPr>
            <w:tcW w:w="78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&amp; Stockholders’ Equity:</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3,195</w:t>
            </w:r>
          </w:p>
        </w:tc>
        <w:tc>
          <w:tcPr>
            <w:tcW w:w="0" w:type="dxa"/>
            <w:vAlign w:val="bottom"/>
          </w:tcPr>
          <w:p>
            <w:pPr>
              <w:spacing w:after="0"/>
              <w:rPr>
                <w:sz w:val="1"/>
                <w:szCs w:val="1"/>
                <w:color w:val="auto"/>
              </w:rPr>
            </w:pP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installments of long-term debt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3,322</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profit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11,859</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7,645</w:t>
            </w:r>
          </w:p>
        </w:tc>
        <w:tc>
          <w:tcPr>
            <w:tcW w:w="0" w:type="dxa"/>
            <w:vAlign w:val="bottom"/>
          </w:tcPr>
          <w:p>
            <w:pPr>
              <w:spacing w:after="0"/>
              <w:rPr>
                <w:sz w:val="1"/>
                <w:szCs w:val="1"/>
                <w:color w:val="auto"/>
              </w:rPr>
            </w:pP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126,845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134,124</w:t>
            </w:r>
          </w:p>
        </w:tc>
        <w:tc>
          <w:tcPr>
            <w:tcW w:w="0" w:type="dxa"/>
            <w:vAlign w:val="bottom"/>
          </w:tcPr>
          <w:p>
            <w:pPr>
              <w:spacing w:after="0"/>
              <w:rPr>
                <w:sz w:val="1"/>
                <w:szCs w:val="1"/>
                <w:color w:val="auto"/>
              </w:rPr>
            </w:pPr>
          </w:p>
        </w:tc>
      </w:tr>
      <w:tr>
        <w:trPr>
          <w:trHeight w:val="216"/>
        </w:trPr>
        <w:tc>
          <w:tcPr>
            <w:tcW w:w="7860" w:type="dxa"/>
            <w:vAlign w:val="bottom"/>
            <w:tcBorders>
              <w:bottom w:val="single" w:sz="8" w:color="CCEEFF"/>
            </w:tcBorders>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Current liabilities of discontinued operations </w:t>
            </w:r>
            <w:r>
              <w:rPr>
                <w:rFonts w:ascii="Times New Roman" w:cs="Times New Roman" w:eastAsia="Times New Roman" w:hAnsi="Times New Roman"/>
                <w:sz w:val="25"/>
                <w:szCs w:val="25"/>
                <w:color w:val="auto"/>
                <w:vertAlign w:val="superscript"/>
              </w:rPr>
              <w:t>(1)</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146,903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148,885</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331,469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346,518</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26,532</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28,877</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66,840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70,334</w:t>
            </w:r>
          </w:p>
        </w:tc>
        <w:tc>
          <w:tcPr>
            <w:tcW w:w="0" w:type="dxa"/>
            <w:vAlign w:val="bottom"/>
          </w:tcPr>
          <w:p>
            <w:pPr>
              <w:spacing w:after="0"/>
              <w:rPr>
                <w:sz w:val="1"/>
                <w:szCs w:val="1"/>
                <w:color w:val="auto"/>
              </w:rPr>
            </w:pPr>
          </w:p>
        </w:tc>
      </w:tr>
      <w:tr>
        <w:trPr>
          <w:trHeight w:val="216"/>
        </w:trPr>
        <w:tc>
          <w:tcPr>
            <w:tcW w:w="78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Noncurrent liabilities of discontinued operations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7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Cohu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474,609</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483,072</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&amp;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1,046,353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1,077,710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500" w:right="320" w:hanging="330"/>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 2018, the Company made the decision to sell the fixtures business acquired from Xcerra, and, as a result, the fixtures business has been presented as discontinued operations since that date. The sale of this business was completed in February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COHU, INC.</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Supplemental Reconciliation of GAAP Results to Non-GAAP Financial Measures (Unaudited)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September 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June 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September 28,</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 - GAAP basis (a)</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(1,360)</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(6,023)</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included in (b):</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sales (COS)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(R&amp;D)</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16"/>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(SG&amp;A)</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3,299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3,506</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 (c)</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9,969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 related to inventory adjustments in COS (d)</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charges (d)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Manufacturing and sales transition costs included in (e):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SG&amp;A</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charges (f)</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facility (g)</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(4,468)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PP&amp;E step-up included in SG&amp;A (h)</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 non-GAAP basis (i)</w:t>
            </w: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17,994</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13,351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11,205</w:t>
            </w:r>
          </w:p>
        </w:tc>
        <w:tc>
          <w:tcPr>
            <w:tcW w:w="0" w:type="dxa"/>
            <w:vAlign w:val="bottom"/>
          </w:tcPr>
          <w:p>
            <w:pPr>
              <w:spacing w:after="0"/>
              <w:rPr>
                <w:sz w:val="1"/>
                <w:szCs w:val="1"/>
                <w:color w:val="auto"/>
              </w:rPr>
            </w:pPr>
          </w:p>
        </w:tc>
      </w:tr>
      <w:tr>
        <w:trPr>
          <w:trHeight w:val="197"/>
        </w:trPr>
        <w:tc>
          <w:tcPr>
            <w:tcW w:w="56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 GAAP basis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(6,646)</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(4,740)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(10,480)</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Non-GAAP adjustments (as scheduled above)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19,354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17,228</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effect of non-GAAP adjustments (j)</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(1,836)</w:t>
            </w:r>
          </w:p>
        </w:tc>
        <w:tc>
          <w:tcPr>
            <w:tcW w:w="0" w:type="dxa"/>
            <w:vAlign w:val="bottom"/>
          </w:tcPr>
          <w:p>
            <w:pPr>
              <w:spacing w:after="0"/>
              <w:rPr>
                <w:sz w:val="1"/>
                <w:szCs w:val="1"/>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 - non-GAAP basis</w:t>
            </w:r>
          </w:p>
        </w:tc>
        <w:tc>
          <w:tcPr>
            <w:tcW w:w="5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11,628</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7,128</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4,912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GAAP loss from continuing operations per share - diluted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(0.16)</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Non-GAAP income from continuing operations per share - diluted (k)</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0.27</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and impairment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Manufacturing and sales transition costs relate principally to expenses incurred as a result of moving certain manufacturing activities to Asia and incremental costs incurred related to the buildup of a direct sales force for certain equipment sales in Asia.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Impairment charges and gain on sale of facility have been excluded as these amounts are infrequent and are unrelated to the operational performance of Cohu. Adjustments for inventory and PP&amp;E step-up costs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91" w:lineRule="exact"/>
        <w:rPr>
          <w:sz w:val="20"/>
          <w:szCs w:val="20"/>
          <w:color w:val="auto"/>
        </w:rPr>
      </w:pP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(0.9)%, (0.4)% and (4.2)% of net sales, respectively.</w:t>
      </w:r>
    </w:p>
    <w:p>
      <w:pPr>
        <w:spacing w:after="0" w:line="27"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compensation expense for employee stock options, stock units and our employee stock purchase plan.</w:t>
      </w:r>
    </w:p>
    <w:p>
      <w:pPr>
        <w:spacing w:after="0" w:line="9"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amortization of acquired intangible assets.</w:t>
      </w:r>
    </w:p>
    <w:p>
      <w:pPr>
        <w:spacing w:after="0" w:line="9"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restructuring costs incurred related to the integration of Xcerra.</w:t>
      </w:r>
    </w:p>
    <w:p>
      <w:pPr>
        <w:spacing w:after="0" w:line="9"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manufacturing and sales transition and severance costs.</w:t>
      </w:r>
    </w:p>
    <w:p>
      <w:pPr>
        <w:spacing w:after="0" w:line="9"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impairment charges recorded to adjust IPR&amp;D assets obtained in the acquisition of Xcerra to current fair value.</w:t>
      </w:r>
    </w:p>
    <w:p>
      <w:pPr>
        <w:spacing w:after="0" w:line="9" w:lineRule="exact"/>
        <w:rPr>
          <w:rFonts w:ascii="Times New Roman" w:cs="Times New Roman" w:eastAsia="Times New Roman" w:hAnsi="Times New Roman"/>
          <w:sz w:val="18"/>
          <w:szCs w:val="18"/>
          <w:color w:val="auto"/>
        </w:rPr>
      </w:pPr>
    </w:p>
    <w:p>
      <w:pPr>
        <w:ind w:left="500" w:right="440" w:hanging="330"/>
        <w:spacing w:after="0" w:line="250"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gains generated by the sale of the Company’s facilities in Rosenheim Germany in the third quarter and Penang Malaysia in the second quarter, sold as part of the previously announced Xcerra integration and restructuring program.</w:t>
      </w: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accelerated depreciation from the property, plant &amp; equipment step-up related to the acquisition of Xcerra.</w:t>
      </w:r>
    </w:p>
    <w:p>
      <w:pPr>
        <w:spacing w:after="0" w:line="9"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 9.3% and 7.8% of net sales, respectively.</w:t>
      </w:r>
    </w:p>
    <w:p>
      <w:pPr>
        <w:spacing w:after="0" w:line="9"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adjust the provision for income taxes related to the adjustments described above based on applicable tax rates.</w:t>
      </w:r>
    </w:p>
    <w:p>
      <w:pPr>
        <w:spacing w:after="0" w:line="9" w:lineRule="exact"/>
        <w:rPr>
          <w:rFonts w:ascii="Times New Roman" w:cs="Times New Roman" w:eastAsia="Times New Roman" w:hAnsi="Times New Roman"/>
          <w:sz w:val="18"/>
          <w:szCs w:val="18"/>
          <w:color w:val="auto"/>
        </w:rPr>
      </w:pPr>
    </w:p>
    <w:p>
      <w:pPr>
        <w:ind w:left="500" w:right="380" w:hanging="330"/>
        <w:spacing w:after="0" w:line="255"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September 26, 2020, June 27, 2020 and September 28, 2019 were computed using 42,659, 42,283 and 41,587 shares outstanding, respectively, as the effect of dilutive securities was excluded from GAAP diluted common shares due to the reported net loss under GAAP, but are included for non-GAAP diluted common shares since the Company has non-GAAP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489"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COHU, INC.</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Reconciliation of GAAP Results to Non-GAAP Financial Measures (Unaudited)</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160" w:type="dxa"/>
            <w:vAlign w:val="bottom"/>
          </w:tcPr>
          <w:p>
            <w:pPr>
              <w:spacing w:after="0"/>
              <w:rPr>
                <w:sz w:val="20"/>
                <w:szCs w:val="20"/>
                <w:color w:val="auto"/>
              </w:rPr>
            </w:pPr>
          </w:p>
        </w:tc>
        <w:tc>
          <w:tcPr>
            <w:tcW w:w="3240" w:type="dxa"/>
            <w:vAlign w:val="bottom"/>
            <w:gridSpan w:val="6"/>
            <w:vMerge w:val="restart"/>
          </w:tcPr>
          <w:p>
            <w:pPr>
              <w:jc w:val="right"/>
              <w:ind w:right="104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98"/>
        </w:trPr>
        <w:tc>
          <w:tcPr>
            <w:tcW w:w="7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4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September 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September 28,</w:t>
            </w:r>
          </w:p>
        </w:tc>
        <w:tc>
          <w:tcPr>
            <w:tcW w:w="0" w:type="dxa"/>
            <w:vAlign w:val="bottom"/>
          </w:tcPr>
          <w:p>
            <w:pPr>
              <w:spacing w:after="0"/>
              <w:rPr>
                <w:sz w:val="1"/>
                <w:szCs w:val="1"/>
                <w:color w:val="auto"/>
              </w:rPr>
            </w:pPr>
          </w:p>
        </w:tc>
      </w:tr>
      <w:tr>
        <w:trPr>
          <w:trHeight w:val="234"/>
        </w:trPr>
        <w:tc>
          <w:tcPr>
            <w:tcW w:w="7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 - GAAP basis (a)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(15,514)</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(38,669)</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 included in (b):</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Cost of sales (COS)</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Research and development (R&amp;D)</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2,234</w:t>
            </w:r>
          </w:p>
        </w:tc>
        <w:tc>
          <w:tcPr>
            <w:tcW w:w="0" w:type="dxa"/>
            <w:vAlign w:val="bottom"/>
          </w:tcPr>
          <w:p>
            <w:pPr>
              <w:spacing w:after="0"/>
              <w:rPr>
                <w:sz w:val="1"/>
                <w:szCs w:val="1"/>
                <w:color w:val="auto"/>
              </w:rPr>
            </w:pPr>
          </w:p>
        </w:tc>
      </w:tr>
      <w:tr>
        <w:trPr>
          <w:trHeight w:val="216"/>
        </w:trPr>
        <w:tc>
          <w:tcPr>
            <w:tcW w:w="7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Selling, general and administrative (SG&amp;A)</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8,082</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10,861</w:t>
            </w:r>
          </w:p>
        </w:tc>
        <w:tc>
          <w:tcPr>
            <w:tcW w:w="0" w:type="dxa"/>
            <w:vAlign w:val="bottom"/>
          </w:tcPr>
          <w:p>
            <w:pPr>
              <w:spacing w:after="0"/>
              <w:rPr>
                <w:sz w:val="1"/>
                <w:szCs w:val="1"/>
                <w:color w:val="auto"/>
              </w:rPr>
            </w:pPr>
          </w:p>
        </w:tc>
      </w:tr>
      <w:tr>
        <w:trPr>
          <w:trHeight w:val="216"/>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 (c)</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28,848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29,975</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charges related to inventory adjustments in COS (d)</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charges (d)</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10,720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Manufacturing and sales transition costs included in (e):</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COS</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SG&amp;A</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0"/>
        </w:trPr>
        <w:tc>
          <w:tcPr>
            <w:tcW w:w="78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2,477</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charges (f)</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 costs included in SG&amp;A (g)</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facility (h)</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 step-up included in COS (i)</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6,038</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PP&amp;E step-up included in SG&amp;A (j)</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3,771</w:t>
            </w:r>
          </w:p>
        </w:tc>
        <w:tc>
          <w:tcPr>
            <w:tcW w:w="0" w:type="dxa"/>
            <w:vAlign w:val="bottom"/>
          </w:tcPr>
          <w:p>
            <w:pPr>
              <w:spacing w:after="0"/>
              <w:rPr>
                <w:sz w:val="1"/>
                <w:szCs w:val="1"/>
                <w:color w:val="auto"/>
              </w:rPr>
            </w:pPr>
          </w:p>
        </w:tc>
      </w:tr>
      <w:tr>
        <w:trPr>
          <w:trHeight w:val="20"/>
        </w:trPr>
        <w:tc>
          <w:tcPr>
            <w:tcW w:w="78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 - non-GAAP basis (k)</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37,129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25,898</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 - GAAP basis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(28,704)</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(52,714)</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Non-GAAP adjustments (as scheduled above)</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52,643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64,567</w:t>
            </w:r>
          </w:p>
        </w:tc>
        <w:tc>
          <w:tcPr>
            <w:tcW w:w="0" w:type="dxa"/>
            <w:vAlign w:val="bottom"/>
          </w:tcPr>
          <w:p>
            <w:pPr>
              <w:spacing w:after="0"/>
              <w:rPr>
                <w:sz w:val="1"/>
                <w:szCs w:val="1"/>
                <w:color w:val="auto"/>
              </w:rPr>
            </w:pPr>
          </w:p>
        </w:tc>
      </w:tr>
      <w:tr>
        <w:trPr>
          <w:trHeight w:val="216"/>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effect of non-GAAP adjustments (l)</w:t>
            </w: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(7,542)</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 non-GAAP basis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18,888</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4,311</w:t>
            </w:r>
          </w:p>
        </w:tc>
        <w:tc>
          <w:tcPr>
            <w:tcW w:w="0" w:type="dxa"/>
            <w:vAlign w:val="bottom"/>
          </w:tcPr>
          <w:p>
            <w:pPr>
              <w:spacing w:after="0"/>
              <w:rPr>
                <w:sz w:val="1"/>
                <w:szCs w:val="1"/>
                <w:color w:val="auto"/>
              </w:rPr>
            </w:pPr>
          </w:p>
        </w:tc>
      </w:tr>
      <w:tr>
        <w:trPr>
          <w:trHeight w:val="197"/>
        </w:trPr>
        <w:tc>
          <w:tcPr>
            <w:tcW w:w="78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loss per share from continuing operations -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(0.69)</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income per share - diluted (m)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0.44</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Manufacturing and sales transition costs relate principally to expenses incurred as a result of moving certain manufacturing activities to Asia and incremental costs incurred related to the buildup of a direct sales force for certain equipment sales in Asia.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Impairment charges and gain on sale of facility have been excluded as these amounts are infrequent and are unrelated to the operational performance of Cohu. Acquisition costs, fair value adjustment to contingent consideration and adjustments for inventory and PP&amp;E step-up costs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89" w:lineRule="exact"/>
        <w:rPr>
          <w:sz w:val="20"/>
          <w:szCs w:val="20"/>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and (8.8)% of net sales, respectively.</w:t>
      </w:r>
    </w:p>
    <w:p>
      <w:pPr>
        <w:spacing w:after="0" w:line="27"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compensation expense for employee stock options, stock units and our employee stock purchase plan.</w:t>
      </w:r>
    </w:p>
    <w:p>
      <w:pPr>
        <w:spacing w:after="0" w:line="9"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amortization of acquired intangible assets.</w:t>
      </w:r>
    </w:p>
    <w:p>
      <w:pPr>
        <w:spacing w:after="0" w:line="9"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restructuring costs incurred related to the integration of Xcerra.</w:t>
      </w:r>
    </w:p>
    <w:p>
      <w:pPr>
        <w:spacing w:after="0" w:line="9"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manufacturing and sales transition and severance costs.</w:t>
      </w:r>
    </w:p>
    <w:p>
      <w:pPr>
        <w:spacing w:after="0" w:line="9"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impairment charges recorded to adjust IPR&amp;D assets obtained in the acquisition of Xcerra to current fair value.</w:t>
      </w:r>
    </w:p>
    <w:p>
      <w:pPr>
        <w:spacing w:after="0" w:line="9"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professional fees and other direct incremental expenses incurred related to the acquisition of Xcerra.</w:t>
      </w:r>
    </w:p>
    <w:p>
      <w:pPr>
        <w:spacing w:after="0" w:line="9" w:lineRule="exact"/>
        <w:rPr>
          <w:rFonts w:ascii="Times New Roman" w:cs="Times New Roman" w:eastAsia="Times New Roman" w:hAnsi="Times New Roman"/>
          <w:sz w:val="18"/>
          <w:szCs w:val="18"/>
          <w:color w:val="auto"/>
        </w:rPr>
      </w:pPr>
    </w:p>
    <w:p>
      <w:pPr>
        <w:ind w:left="500" w:right="440" w:hanging="330"/>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gains generated by the sale of the Company’s facilities in Rosenheim Germany in the third quarter and Penang Malaysia in the second quarter, sold as part of the previously announced Xcerra integration and restructuring program.</w:t>
      </w: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inventory step-up costs incurred related to the acquisition of Xcerra.</w:t>
      </w:r>
    </w:p>
    <w:p>
      <w:pPr>
        <w:spacing w:after="0" w:line="9"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property, plant &amp; equipment step-up depreciation accelerated related to the acquisition of Xcerra.</w:t>
      </w:r>
    </w:p>
    <w:p>
      <w:pPr>
        <w:spacing w:after="0" w:line="9"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 and 5.9% of net sales, respectively.</w:t>
      </w:r>
    </w:p>
    <w:p>
      <w:pPr>
        <w:spacing w:after="0" w:line="9"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adjust the provision for income taxes related to the adjustments described above based on applicable tax rates.</w:t>
      </w:r>
    </w:p>
    <w:p>
      <w:pPr>
        <w:spacing w:after="0" w:line="9"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nine months ended September 26, 2020 and September 28, 2019 were computed using 42,457 and 41,527 shares outstanding, respectively, as</w:t>
      </w:r>
    </w:p>
    <w:p>
      <w:pPr>
        <w:sectPr>
          <w:pgSz w:w="11900" w:h="16838" w:orient="portrait"/>
          <w:cols w:equalWidth="0" w:num="1">
            <w:col w:w="11240"/>
          </w:cols>
          <w:pgMar w:left="320" w:top="576" w:right="339" w:bottom="0" w:gutter="0" w:footer="0" w:header="0"/>
        </w:sectPr>
      </w:pPr>
    </w:p>
    <w:bookmarkStart w:id="13" w:name="page14"/>
    <w:bookmarkEnd w:id="13"/>
    <w:p>
      <w:pPr>
        <w:spacing w:after="0" w:line="266" w:lineRule="auto"/>
        <w:rPr>
          <w:sz w:val="20"/>
          <w:szCs w:val="20"/>
          <w:color w:val="auto"/>
        </w:rPr>
      </w:pPr>
      <w:r>
        <w:rPr>
          <w:rFonts w:ascii="Times New Roman" w:cs="Times New Roman" w:eastAsia="Times New Roman" w:hAnsi="Times New Roman"/>
          <w:sz w:val="18"/>
          <w:szCs w:val="18"/>
          <w:color w:val="auto"/>
        </w:rPr>
        <w:t>the effect of dilutive securities was excluded from GAAP diluted common shares due to the reported net loss under GAAP, but are included for non-GAAP diluted common shares since the Company has non-GAAP net income. All other periods were calculated utilizing the GAAP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346075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820" w:top="121" w:right="399" w:bottom="1440" w:gutter="0" w:footer="0" w:header="0"/>
        </w:sectPr>
      </w:pPr>
    </w:p>
    <w:bookmarkStart w:id="14" w:name="page15"/>
    <w:bookmarkEnd w:id="1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COHU, INC.</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Supplemental Reconciliation of GAAP Results to Non-GAAP Financial Measures (Unaudited)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September 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June 27,</w:t>
            </w:r>
          </w:p>
        </w:tc>
        <w:tc>
          <w:tcPr>
            <w:tcW w:w="1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28,</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2020</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Reconciliation</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Gross profit - GAAP basis (excluding amortization) </w:t>
            </w:r>
            <w:r>
              <w:rPr>
                <w:rFonts w:ascii="Times New Roman" w:cs="Times New Roman" w:eastAsia="Times New Roman" w:hAnsi="Times New Roman"/>
                <w:sz w:val="25"/>
                <w:szCs w:val="25"/>
                <w:color w:val="auto"/>
                <w:vertAlign w:val="superscript"/>
              </w:rPr>
              <w:t>(1)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63,500</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60,957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58,933</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Non-GAAP adjustments to cost of sales (as scheduled above)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0"/>
        </w:trPr>
        <w:tc>
          <w:tcPr>
            <w:tcW w:w="5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 - Non-GAAP basis</w:t>
            </w: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66,324</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61,240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60,675</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right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GAAP gross profit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5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gross profit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Cohu - GAAP Basis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(6,646)</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(10,468)</w:t>
            </w:r>
          </w:p>
        </w:tc>
        <w:tc>
          <w:tcPr>
            <w:tcW w:w="0" w:type="dxa"/>
            <w:vAlign w:val="bottom"/>
          </w:tcPr>
          <w:p>
            <w:pPr>
              <w:spacing w:after="0"/>
              <w:rPr>
                <w:sz w:val="1"/>
                <w:szCs w:val="1"/>
                <w:color w:val="auto"/>
              </w:rPr>
            </w:pPr>
          </w:p>
        </w:tc>
      </w:tr>
      <w:tr>
        <w:trPr>
          <w:trHeight w:val="216"/>
        </w:trPr>
        <w:tc>
          <w:tcPr>
            <w:tcW w:w="5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16"/>
        </w:trPr>
        <w:tc>
          <w:tcPr>
            <w:tcW w:w="5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3,456</w:t>
            </w: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5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9,527</w:t>
            </w: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9,969</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3,557</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5,231</w:t>
            </w:r>
          </w:p>
        </w:tc>
        <w:tc>
          <w:tcPr>
            <w:tcW w:w="0" w:type="dxa"/>
            <w:vAlign w:val="bottom"/>
          </w:tcPr>
          <w:p>
            <w:pPr>
              <w:spacing w:after="0"/>
              <w:rPr>
                <w:sz w:val="1"/>
                <w:szCs w:val="1"/>
                <w:color w:val="auto"/>
              </w:rPr>
            </w:pPr>
          </w:p>
        </w:tc>
      </w:tr>
      <w:tr>
        <w:trPr>
          <w:trHeight w:val="216"/>
        </w:trPr>
        <w:tc>
          <w:tcPr>
            <w:tcW w:w="564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cloud-based software implementation costs </w:t>
            </w:r>
            <w:r>
              <w:rPr>
                <w:rFonts w:ascii="Times New Roman" w:cs="Times New Roman" w:eastAsia="Times New Roman" w:hAnsi="Times New Roman"/>
                <w:sz w:val="25"/>
                <w:szCs w:val="25"/>
                <w:color w:val="auto"/>
                <w:vertAlign w:val="superscript"/>
              </w:rPr>
              <w:t>(2)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308</w:t>
            </w: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non-GAAP adjustments (as scheduled above)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4,109</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5,456</w:t>
            </w:r>
          </w:p>
        </w:tc>
        <w:tc>
          <w:tcPr>
            <w:tcW w:w="0" w:type="dxa"/>
            <w:vAlign w:val="bottom"/>
          </w:tcPr>
          <w:p>
            <w:pPr>
              <w:spacing w:after="0"/>
              <w:rPr>
                <w:sz w:val="1"/>
                <w:szCs w:val="1"/>
                <w:color w:val="auto"/>
              </w:rPr>
            </w:pPr>
          </w:p>
        </w:tc>
      </w:tr>
      <w:tr>
        <w:trPr>
          <w:trHeight w:val="20"/>
        </w:trPr>
        <w:tc>
          <w:tcPr>
            <w:tcW w:w="5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20,340</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16,333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16,121</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right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attributable to Cohu - GAAP Basis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5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 Reconciliation</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 - GAAP basis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64,860</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61,485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64,956</w:t>
            </w:r>
          </w:p>
        </w:tc>
        <w:tc>
          <w:tcPr>
            <w:tcW w:w="0" w:type="dxa"/>
            <w:vAlign w:val="bottom"/>
          </w:tcPr>
          <w:p>
            <w:pPr>
              <w:spacing w:after="0"/>
              <w:rPr>
                <w:sz w:val="1"/>
                <w:szCs w:val="1"/>
                <w:color w:val="auto"/>
              </w:rPr>
            </w:pPr>
          </w:p>
        </w:tc>
      </w:tr>
      <w:tr>
        <w:trPr>
          <w:trHeight w:val="216"/>
        </w:trPr>
        <w:tc>
          <w:tcPr>
            <w:tcW w:w="5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adjustments to operating expenses (as scheduled above)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(13,596)</w:t>
            </w: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(15,486)</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 - Non-GAAP basis</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48,330</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47,889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49,470</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500" w:right="520" w:hanging="330"/>
        <w:spacing w:after="0" w:line="261"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amortization of $7,447, $7,256 and $7,597 for the three months ending September 26, 2020, June 27, 2020 and September 28, 2019, respectively.</w:t>
      </w:r>
    </w:p>
    <w:p>
      <w:pPr>
        <w:ind w:left="500" w:hanging="330"/>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amortization of capitalized implementation costs related to cloud-based software arrangements that are included within SG&amp;A.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gridSpan w:val="5"/>
          </w:tcPr>
          <w:p>
            <w:pPr>
              <w:jc w:val="right"/>
              <w:ind w:right="114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16"/>
        </w:trPr>
        <w:tc>
          <w:tcPr>
            <w:tcW w:w="6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September 26,</w:t>
            </w:r>
          </w:p>
        </w:tc>
        <w:tc>
          <w:tcPr>
            <w:tcW w:w="16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September 28,</w:t>
            </w:r>
          </w:p>
        </w:tc>
      </w:tr>
      <w:tr>
        <w:trPr>
          <w:trHeight w:val="234"/>
        </w:trPr>
        <w:tc>
          <w:tcPr>
            <w:tcW w:w="6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0"/>
                <w:szCs w:val="20"/>
                <w:color w:val="auto"/>
              </w:rPr>
            </w:pPr>
          </w:p>
        </w:tc>
      </w:tr>
      <w:tr>
        <w:trPr>
          <w:trHeight w:val="21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Reconciliation</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50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Gross profit - GAAP basis (excluding amortization) </w:t>
            </w:r>
            <w:r>
              <w:rPr>
                <w:rFonts w:ascii="Times New Roman" w:cs="Times New Roman" w:eastAsia="Times New Roman" w:hAnsi="Times New Roman"/>
                <w:sz w:val="25"/>
                <w:szCs w:val="25"/>
                <w:color w:val="auto"/>
                <w:vertAlign w:val="superscript"/>
              </w:rPr>
              <w:t>(1)</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180,541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175,754</w:t>
            </w:r>
          </w:p>
        </w:tc>
      </w:tr>
      <w:tr>
        <w:trPr>
          <w:trHeight w:val="216"/>
        </w:trPr>
        <w:tc>
          <w:tcPr>
            <w:tcW w:w="6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Non-GAAP adjustments to cost of sales (as scheduled above)</w:t>
            </w:r>
          </w:p>
        </w:tc>
        <w:tc>
          <w:tcPr>
            <w:tcW w:w="1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1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 - Non-GAAP basis</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185,463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183,869</w:t>
            </w:r>
          </w:p>
        </w:tc>
      </w:tr>
      <w:tr>
        <w:trPr>
          <w:trHeight w:val="20"/>
        </w:trPr>
        <w:tc>
          <w:tcPr>
            <w:tcW w:w="6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65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r>
      <w:tr>
        <w:trPr>
          <w:trHeight w:val="21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GAAP gross profit</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gross profit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6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Cohu - GAAP Basis</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(28,662)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(52,434)</w:t>
            </w:r>
          </w:p>
        </w:tc>
      </w:tr>
      <w:tr>
        <w:trPr>
          <w:trHeight w:val="216"/>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10,904</w:t>
            </w: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15,789</w:t>
            </w:r>
          </w:p>
        </w:tc>
      </w:tr>
      <w:tr>
        <w:trPr>
          <w:trHeight w:val="216"/>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(603)</w:t>
            </w:r>
          </w:p>
        </w:tc>
      </w:tr>
      <w:tr>
        <w:trPr>
          <w:trHeight w:val="216"/>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28,848</w:t>
            </w: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29,975</w:t>
            </w:r>
          </w:p>
        </w:tc>
      </w:tr>
      <w:tr>
        <w:trPr>
          <w:trHeight w:val="216"/>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10,435</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15,353</w:t>
            </w:r>
          </w:p>
        </w:tc>
      </w:tr>
      <w:tr>
        <w:trPr>
          <w:trHeight w:val="216"/>
        </w:trPr>
        <w:tc>
          <w:tcPr>
            <w:tcW w:w="650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cloud-based software implementation costs </w:t>
            </w:r>
            <w:r>
              <w:rPr>
                <w:rFonts w:ascii="Times New Roman" w:cs="Times New Roman" w:eastAsia="Times New Roman" w:hAnsi="Times New Roman"/>
                <w:sz w:val="25"/>
                <w:szCs w:val="25"/>
                <w:color w:val="auto"/>
                <w:vertAlign w:val="superscript"/>
              </w:rPr>
              <w:t>(2)</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831</w:t>
            </w: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non-GAAP adjustments (as scheduled above)</w:t>
            </w:r>
          </w:p>
        </w:tc>
        <w:tc>
          <w:tcPr>
            <w:tcW w:w="1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23,066</w:t>
            </w:r>
          </w:p>
        </w:tc>
        <w:tc>
          <w:tcPr>
            <w:tcW w:w="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29,728</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9"/>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45,431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37,627</w:t>
            </w:r>
          </w:p>
        </w:tc>
      </w:tr>
      <w:tr>
        <w:trPr>
          <w:trHeight w:val="20"/>
        </w:trPr>
        <w:tc>
          <w:tcPr>
            <w:tcW w:w="6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65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r>
      <w:tr>
        <w:trPr>
          <w:trHeight w:val="209"/>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attributable to Cohu - GAAP Basis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Adjusted EBITDA</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 Reconciliation</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 - GAAP basis</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196,055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214,423</w:t>
            </w:r>
          </w:p>
        </w:tc>
      </w:tr>
      <w:tr>
        <w:trPr>
          <w:trHeight w:val="216"/>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adjustments to operating expenses (as scheduled above)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(47,721)</w:t>
            </w: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(56,452)</w:t>
            </w:r>
          </w:p>
        </w:tc>
      </w:tr>
      <w:tr>
        <w:trPr>
          <w:trHeight w:val="110"/>
        </w:trPr>
        <w:tc>
          <w:tcPr>
            <w:tcW w:w="65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320" w:type="dxa"/>
            <w:vAlign w:val="bottom"/>
            <w:tcBorders>
              <w:top w:val="single" w:sz="8" w:color="auto"/>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32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r>
    </w:tbl>
    <w:p>
      <w:pPr>
        <w:sectPr>
          <w:pgSz w:w="11900" w:h="16900" w:orient="portrait"/>
          <w:cols w:equalWidth="0" w:num="1">
            <w:col w:w="11240"/>
          </w:cols>
          <w:pgMar w:left="320" w:top="576" w:right="339" w:bottom="0" w:gutter="0" w:footer="0" w:header="0"/>
        </w:sectPr>
      </w:pPr>
    </w:p>
    <w:bookmarkStart w:id="15" w:name="page16"/>
    <w:bookmarkEnd w:id="15"/>
    <w:p>
      <w:pPr>
        <w:ind w:left="10"/>
        <w:spacing w:after="0"/>
        <w:tabs>
          <w:tab w:leader="none" w:pos="7550" w:val="left"/>
          <w:tab w:leader="none" w:pos="8450" w:val="left"/>
          <w:tab w:leader="none" w:pos="9350" w:val="left"/>
          <w:tab w:leader="none" w:pos="10230" w:val="left"/>
        </w:tabs>
        <w:rPr>
          <w:sz w:val="20"/>
          <w:szCs w:val="20"/>
          <w:color w:val="auto"/>
        </w:rPr>
      </w:pPr>
      <w:r>
        <w:rPr>
          <w:rFonts w:ascii="Times New Roman" w:cs="Times New Roman" w:eastAsia="Times New Roman" w:hAnsi="Times New Roman"/>
          <w:sz w:val="18"/>
          <w:szCs w:val="18"/>
          <w:color w:val="auto"/>
        </w:rPr>
        <w:t>Operating Expenses - Non-GAAP basis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148,334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157,971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-119380</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ind w:left="330" w:hanging="330"/>
        <w:spacing w:after="0"/>
        <w:tabs>
          <w:tab w:leader="none" w:pos="33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amortization of $21,969 and $22,863 for the nine months ending September 26, 2020 and September 28, 2019, respectively.</w:t>
      </w:r>
    </w:p>
    <w:p>
      <w:pPr>
        <w:spacing w:after="0" w:line="27"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amortization of capitalized implementation costs related to cloud-based software arrangements that are included within SG&amp;A.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-276225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50"/>
      </w:cols>
      <w:pgMar w:left="490" w:top="12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2020-10-29T07:11:48Z</dcterms:created>
  <dcterms:modified xsi:type="dcterms:W3CDTF">2020-10-29T07:11:48Z</dcterms:modified>
</cp:coreProperties>
</file>