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1"/>
        <w:spacing w:after="0"/>
        <w:rPr>
          <w:sz w:val="20"/>
          <w:szCs w:val="20"/>
          <w:color w:val="auto"/>
        </w:rPr>
      </w:pPr>
      <w:r>
        <w:rPr>
          <w:rFonts w:ascii="Courier New" w:cs="Courier New" w:eastAsia="Courier New" w:hAnsi="Courier New"/>
          <w:sz w:val="16"/>
          <w:szCs w:val="16"/>
          <w:color w:val="auto"/>
        </w:rPr>
        <w:t>1</w:t>
      </w:r>
    </w:p>
    <w:p>
      <w:pPr>
        <w:spacing w:after="0" w:line="189" w:lineRule="exact"/>
        <w:rPr>
          <w:sz w:val="24"/>
          <w:szCs w:val="24"/>
          <w:color w:val="auto"/>
        </w:rPr>
      </w:pPr>
    </w:p>
    <w:p>
      <w:pPr>
        <w:jc w:val="center"/>
        <w:ind w:right="2438"/>
        <w:spacing w:after="0"/>
        <w:rPr>
          <w:sz w:val="20"/>
          <w:szCs w:val="20"/>
          <w:color w:val="auto"/>
        </w:rPr>
      </w:pPr>
      <w:r>
        <w:rPr>
          <w:rFonts w:ascii="Courier New" w:cs="Courier New" w:eastAsia="Courier New" w:hAnsi="Courier New"/>
          <w:sz w:val="16"/>
          <w:szCs w:val="16"/>
          <w:color w:val="auto"/>
        </w:rPr>
        <w:t>SCHEDULE 14A INFORMATION</w:t>
      </w:r>
    </w:p>
    <w:p>
      <w:pPr>
        <w:spacing w:after="0" w:line="189"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4" w:lineRule="exact"/>
        <w:rPr>
          <w:sz w:val="24"/>
          <w:szCs w:val="24"/>
          <w:color w:val="auto"/>
        </w:rPr>
      </w:pPr>
    </w:p>
    <w:p>
      <w:pPr>
        <w:jc w:val="center"/>
        <w:ind w:right="2538"/>
        <w:spacing w:after="0"/>
        <w:tabs>
          <w:tab w:leader="none" w:pos="260" w:val="left"/>
        </w:tabs>
        <w:rPr>
          <w:sz w:val="20"/>
          <w:szCs w:val="20"/>
          <w:color w:val="auto"/>
        </w:rPr>
      </w:pPr>
      <w:r>
        <w:rPr>
          <w:rFonts w:ascii="Courier New" w:cs="Courier New" w:eastAsia="Courier New" w:hAnsi="Courier New"/>
          <w:sz w:val="16"/>
          <w:szCs w:val="16"/>
          <w:color w:val="auto"/>
        </w:rPr>
        <w:t>EXCHANGE ACT OF 1934 (AMENDMENT NO.</w:t>
        <w:tab/>
        <w:t>)</w:t>
      </w:r>
    </w:p>
    <w:p>
      <w:pPr>
        <w:spacing w:after="0" w:line="189"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Filed by the Registrant /X/</w:t>
      </w:r>
    </w:p>
    <w:p>
      <w:pPr>
        <w:spacing w:after="0" w:line="189"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Filed by a Party other than the Registrant / /</w:t>
      </w:r>
    </w:p>
    <w:p>
      <w:pPr>
        <w:spacing w:after="0" w:line="189"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Check the appropriate box:</w:t>
      </w:r>
    </w:p>
    <w:p>
      <w:pPr>
        <w:sectPr>
          <w:pgSz w:w="11900" w:h="16838" w:orient="portrait"/>
          <w:cols w:equalWidth="0" w:num="1">
            <w:col w:w="10141"/>
          </w:cols>
          <w:pgMar w:left="319" w:top="239" w:right="1440" w:bottom="1440" w:gutter="0" w:footer="0" w:header="0"/>
        </w:sectPr>
      </w:pPr>
    </w:p>
    <w:p>
      <w:pPr>
        <w:spacing w:after="0" w:line="200" w:lineRule="exact"/>
        <w:rPr>
          <w:sz w:val="24"/>
          <w:szCs w:val="24"/>
          <w:color w:val="auto"/>
        </w:rPr>
      </w:pPr>
    </w:p>
    <w:p>
      <w:pPr>
        <w:spacing w:after="0" w:line="361" w:lineRule="exact"/>
        <w:rPr>
          <w:sz w:val="24"/>
          <w:szCs w:val="24"/>
          <w:color w:val="auto"/>
        </w:rPr>
      </w:pPr>
    </w:p>
    <w:p>
      <w:pPr>
        <w:ind w:left="1"/>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Preliminary Proxy Statement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1" w:lineRule="exact"/>
        <w:rPr>
          <w:sz w:val="24"/>
          <w:szCs w:val="24"/>
          <w:color w:val="auto"/>
        </w:rPr>
      </w:pPr>
    </w:p>
    <w:p>
      <w:pPr>
        <w:ind w:right="1279"/>
        <w:spacing w:after="0" w:line="242" w:lineRule="auto"/>
        <w:rPr>
          <w:sz w:val="20"/>
          <w:szCs w:val="20"/>
          <w:color w:val="auto"/>
        </w:rPr>
      </w:pPr>
      <w:r>
        <w:rPr>
          <w:rFonts w:ascii="Courier New" w:cs="Courier New" w:eastAsia="Courier New" w:hAnsi="Courier New"/>
          <w:sz w:val="16"/>
          <w:szCs w:val="16"/>
          <w:color w:val="auto"/>
        </w:rPr>
        <w:t>/ / Confidential, for Use of the Commission Only (as permitted by Rule 14a-6(e)(2))</w:t>
      </w:r>
    </w:p>
    <w:p>
      <w:pPr>
        <w:spacing w:after="0" w:line="3" w:lineRule="exact"/>
        <w:rPr>
          <w:sz w:val="24"/>
          <w:szCs w:val="24"/>
          <w:color w:val="auto"/>
        </w:rPr>
      </w:pPr>
    </w:p>
    <w:p>
      <w:pPr>
        <w:sectPr>
          <w:pgSz w:w="11900" w:h="16838" w:orient="portrait"/>
          <w:cols w:equalWidth="0" w:num="3">
            <w:col w:w="281" w:space="200"/>
            <w:col w:w="3420" w:space="720"/>
            <w:col w:w="5519"/>
          </w:cols>
          <w:pgMar w:left="319" w:top="239" w:right="1440" w:bottom="1440" w:gutter="0" w:footer="0" w:header="0"/>
          <w:type w:val="continuous"/>
        </w:sectPr>
      </w:pPr>
    </w:p>
    <w:p>
      <w:pPr>
        <w:spacing w:after="0" w:line="2" w:lineRule="exact"/>
        <w:rPr>
          <w:sz w:val="24"/>
          <w:szCs w:val="24"/>
          <w:color w:val="auto"/>
        </w:rPr>
      </w:pPr>
    </w:p>
    <w:p>
      <w:pPr>
        <w:ind w:left="1"/>
        <w:spacing w:after="0"/>
        <w:rPr>
          <w:sz w:val="20"/>
          <w:szCs w:val="20"/>
          <w:color w:val="auto"/>
        </w:rPr>
      </w:pPr>
      <w:r>
        <w:rPr>
          <w:rFonts w:ascii="Courier New" w:cs="Courier New" w:eastAsia="Courier New" w:hAnsi="Courier New"/>
          <w:sz w:val="15"/>
          <w:szCs w:val="15"/>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Definitive Proxy Statement</w:t>
      </w:r>
    </w:p>
    <w:p>
      <w:pPr>
        <w:spacing w:after="0" w:line="4" w:lineRule="exact"/>
        <w:rPr>
          <w:sz w:val="24"/>
          <w:szCs w:val="24"/>
          <w:color w:val="auto"/>
        </w:rPr>
      </w:pPr>
    </w:p>
    <w:p>
      <w:pPr>
        <w:sectPr>
          <w:pgSz w:w="11900" w:h="16838" w:orient="portrait"/>
          <w:cols w:equalWidth="0" w:num="2">
            <w:col w:w="281" w:space="200"/>
            <w:col w:w="9659"/>
          </w:cols>
          <w:pgMar w:left="319" w:top="239" w:right="1440" w:bottom="1440" w:gutter="0" w:footer="0" w:header="0"/>
          <w:type w:val="continuous"/>
        </w:sect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Definitive Additional Materials</w:t>
      </w:r>
    </w:p>
    <w:p>
      <w:pPr>
        <w:spacing w:after="0" w:line="3"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Soliciting Material Pursuant to sec.240.14a-11(c) or sec.240.14a-12</w:t>
      </w:r>
    </w:p>
    <w:p>
      <w:pPr>
        <w:spacing w:after="0" w:line="374" w:lineRule="exact"/>
        <w:rPr>
          <w:sz w:val="24"/>
          <w:szCs w:val="24"/>
          <w:color w:val="auto"/>
        </w:rPr>
      </w:pPr>
    </w:p>
    <w:p>
      <w:pPr>
        <w:jc w:val="center"/>
        <w:ind w:right="2638"/>
        <w:spacing w:after="0"/>
        <w:rPr>
          <w:sz w:val="20"/>
          <w:szCs w:val="20"/>
          <w:color w:val="auto"/>
        </w:rPr>
      </w:pPr>
      <w:r>
        <w:rPr>
          <w:rFonts w:ascii="Courier New" w:cs="Courier New" w:eastAsia="Courier New" w:hAnsi="Courier New"/>
          <w:sz w:val="16"/>
          <w:szCs w:val="16"/>
          <w:color w:val="auto"/>
        </w:rPr>
        <w:t>COHU, INC.</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4" w:lineRule="exact"/>
        <w:rPr>
          <w:sz w:val="24"/>
          <w:szCs w:val="24"/>
          <w:color w:val="auto"/>
        </w:rPr>
      </w:pPr>
    </w:p>
    <w:p>
      <w:pPr>
        <w:jc w:val="center"/>
        <w:ind w:right="2438"/>
        <w:spacing w:after="0"/>
        <w:rPr>
          <w:sz w:val="20"/>
          <w:szCs w:val="20"/>
          <w:color w:val="auto"/>
        </w:rPr>
      </w:pPr>
      <w:r>
        <w:rPr>
          <w:rFonts w:ascii="Courier New" w:cs="Courier New" w:eastAsia="Courier New" w:hAnsi="Courier New"/>
          <w:sz w:val="16"/>
          <w:szCs w:val="16"/>
          <w:color w:val="auto"/>
        </w:rPr>
        <w:t>(Name of Registrant as Specified In Its Charter)</w:t>
      </w:r>
    </w:p>
    <w:p>
      <w:pPr>
        <w:spacing w:after="0" w:line="189"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4" w:lineRule="exact"/>
        <w:rPr>
          <w:sz w:val="24"/>
          <w:szCs w:val="24"/>
          <w:color w:val="auto"/>
        </w:rPr>
      </w:pPr>
    </w:p>
    <w:p>
      <w:pPr>
        <w:ind w:left="381"/>
        <w:spacing w:after="0"/>
        <w:rPr>
          <w:sz w:val="20"/>
          <w:szCs w:val="20"/>
          <w:color w:val="auto"/>
        </w:rPr>
      </w:pPr>
      <w:r>
        <w:rPr>
          <w:rFonts w:ascii="Courier New" w:cs="Courier New" w:eastAsia="Courier New" w:hAnsi="Courier New"/>
          <w:sz w:val="16"/>
          <w:szCs w:val="16"/>
          <w:color w:val="auto"/>
        </w:rPr>
        <w:t>(Name of Person(s) Filing Proxy Statement, if other than the Registrant)</w:t>
      </w:r>
    </w:p>
    <w:p>
      <w:pPr>
        <w:spacing w:after="0" w:line="189"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89" w:lineRule="exact"/>
        <w:rPr>
          <w:sz w:val="24"/>
          <w:szCs w:val="24"/>
          <w:color w:val="auto"/>
        </w:rPr>
      </w:pPr>
    </w:p>
    <w:p>
      <w:pPr>
        <w:ind w:left="1"/>
        <w:spacing w:after="0"/>
        <w:tabs>
          <w:tab w:leader="none" w:pos="461" w:val="left"/>
        </w:tabs>
        <w:rPr>
          <w:sz w:val="20"/>
          <w:szCs w:val="20"/>
          <w:color w:val="auto"/>
        </w:rPr>
      </w:pPr>
      <w:r>
        <w:rPr>
          <w:rFonts w:ascii="Courier New" w:cs="Courier New" w:eastAsia="Courier New" w:hAnsi="Courier New"/>
          <w:sz w:val="16"/>
          <w:szCs w:val="16"/>
          <w:color w:val="auto"/>
        </w:rPr>
        <w:t>/X/</w:t>
        <w:tab/>
        <w:t>$125 per Exchange Act Rules 0-11(c)(1)(ii), or 14a-6(i)(1), or 14a-6(i)(2)</w:t>
      </w:r>
    </w:p>
    <w:p>
      <w:pPr>
        <w:spacing w:after="0" w:line="4" w:lineRule="exact"/>
        <w:rPr>
          <w:sz w:val="24"/>
          <w:szCs w:val="24"/>
          <w:color w:val="auto"/>
        </w:rPr>
      </w:pPr>
    </w:p>
    <w:p>
      <w:pPr>
        <w:ind w:left="481"/>
        <w:spacing w:after="0"/>
        <w:rPr>
          <w:sz w:val="20"/>
          <w:szCs w:val="20"/>
          <w:color w:val="auto"/>
        </w:rPr>
      </w:pPr>
      <w:r>
        <w:rPr>
          <w:rFonts w:ascii="Courier New" w:cs="Courier New" w:eastAsia="Courier New" w:hAnsi="Courier New"/>
          <w:sz w:val="16"/>
          <w:szCs w:val="16"/>
          <w:color w:val="auto"/>
        </w:rPr>
        <w:t>or Item 22(a)(2) of Schedule 14A.</w:t>
      </w:r>
    </w:p>
    <w:p>
      <w:pPr>
        <w:spacing w:after="0" w:line="190" w:lineRule="exact"/>
        <w:rPr>
          <w:sz w:val="24"/>
          <w:szCs w:val="24"/>
          <w:color w:val="auto"/>
        </w:rPr>
      </w:pPr>
    </w:p>
    <w:p>
      <w:pPr>
        <w:ind w:left="481" w:right="3119" w:hanging="481"/>
        <w:spacing w:after="0" w:line="242" w:lineRule="auto"/>
        <w:tabs>
          <w:tab w:leader="none" w:pos="19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$500 per each party to the controversy pursuant to Exchange Act Rule 14a-6(i)(3).</w:t>
      </w:r>
    </w:p>
    <w:p>
      <w:pPr>
        <w:spacing w:after="0" w:line="187"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computed on table below per Exchange Act Rules 14a-6(i)(4) and 0-11.</w:t>
      </w:r>
    </w:p>
    <w:p>
      <w:pPr>
        <w:spacing w:after="0" w:line="188" w:lineRule="exact"/>
        <w:rPr>
          <w:rFonts w:ascii="Courier New" w:cs="Courier New" w:eastAsia="Courier New" w:hAnsi="Courier New"/>
          <w:sz w:val="16"/>
          <w:szCs w:val="16"/>
          <w:color w:val="auto"/>
        </w:rPr>
      </w:pPr>
    </w:p>
    <w:p>
      <w:pPr>
        <w:ind w:left="961" w:hanging="480"/>
        <w:spacing w:after="0"/>
        <w:tabs>
          <w:tab w:leader="none" w:pos="96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88" w:lineRule="exact"/>
        <w:rPr>
          <w:rFonts w:ascii="Courier New" w:cs="Courier New" w:eastAsia="Courier New" w:hAnsi="Courier New"/>
          <w:sz w:val="16"/>
          <w:szCs w:val="16"/>
          <w:color w:val="auto"/>
        </w:rPr>
      </w:pPr>
    </w:p>
    <w:p>
      <w:pPr>
        <w:ind w:left="961" w:hanging="480"/>
        <w:spacing w:after="0"/>
        <w:tabs>
          <w:tab w:leader="none" w:pos="96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190" w:lineRule="exact"/>
        <w:rPr>
          <w:rFonts w:ascii="Courier New" w:cs="Courier New" w:eastAsia="Courier New" w:hAnsi="Courier New"/>
          <w:sz w:val="16"/>
          <w:szCs w:val="16"/>
          <w:color w:val="auto"/>
        </w:rPr>
      </w:pPr>
    </w:p>
    <w:p>
      <w:pPr>
        <w:ind w:left="961" w:right="2539" w:hanging="480"/>
        <w:spacing w:after="0" w:line="243" w:lineRule="auto"/>
        <w:tabs>
          <w:tab w:leader="none" w:pos="96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87" w:lineRule="exact"/>
        <w:rPr>
          <w:rFonts w:ascii="Courier New" w:cs="Courier New" w:eastAsia="Courier New" w:hAnsi="Courier New"/>
          <w:sz w:val="16"/>
          <w:szCs w:val="16"/>
          <w:color w:val="auto"/>
        </w:rPr>
      </w:pPr>
    </w:p>
    <w:p>
      <w:pPr>
        <w:ind w:left="961" w:hanging="480"/>
        <w:spacing w:after="0"/>
        <w:tabs>
          <w:tab w:leader="none" w:pos="96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88" w:lineRule="exact"/>
        <w:rPr>
          <w:rFonts w:ascii="Courier New" w:cs="Courier New" w:eastAsia="Courier New" w:hAnsi="Courier New"/>
          <w:sz w:val="16"/>
          <w:szCs w:val="16"/>
          <w:color w:val="auto"/>
        </w:rPr>
      </w:pPr>
    </w:p>
    <w:p>
      <w:pPr>
        <w:ind w:left="961" w:hanging="480"/>
        <w:spacing w:after="0"/>
        <w:tabs>
          <w:tab w:leader="none" w:pos="96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88"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paid previously with preliminary materials.</w:t>
      </w:r>
    </w:p>
    <w:p>
      <w:pPr>
        <w:spacing w:after="0" w:line="188"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w:t>
      </w:r>
    </w:p>
    <w:p>
      <w:pPr>
        <w:spacing w:after="0" w:line="5" w:lineRule="exact"/>
        <w:rPr>
          <w:rFonts w:ascii="Courier New" w:cs="Courier New" w:eastAsia="Courier New" w:hAnsi="Courier New"/>
          <w:sz w:val="16"/>
          <w:szCs w:val="16"/>
          <w:color w:val="auto"/>
        </w:rPr>
      </w:pPr>
    </w:p>
    <w:p>
      <w:pPr>
        <w:ind w:left="481"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0-11(a)(2) and identify the filing for which the offsetting fee was paid previously. Identify the previous filing by registration statement number, or the Form or Schedule and the date of its filing.</w:t>
      </w:r>
    </w:p>
    <w:p>
      <w:pPr>
        <w:spacing w:after="0" w:line="187" w:lineRule="exact"/>
        <w:rPr>
          <w:rFonts w:ascii="Courier New" w:cs="Courier New" w:eastAsia="Courier New" w:hAnsi="Courier New"/>
          <w:sz w:val="16"/>
          <w:szCs w:val="16"/>
          <w:color w:val="auto"/>
        </w:rPr>
      </w:pPr>
    </w:p>
    <w:p>
      <w:pPr>
        <w:ind w:left="961" w:hanging="480"/>
        <w:spacing w:after="0"/>
        <w:tabs>
          <w:tab w:leader="none" w:pos="96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88" w:lineRule="exact"/>
        <w:rPr>
          <w:rFonts w:ascii="Courier New" w:cs="Courier New" w:eastAsia="Courier New" w:hAnsi="Courier New"/>
          <w:sz w:val="16"/>
          <w:szCs w:val="16"/>
          <w:color w:val="auto"/>
        </w:rPr>
      </w:pPr>
    </w:p>
    <w:p>
      <w:pPr>
        <w:ind w:left="961" w:hanging="480"/>
        <w:spacing w:after="0"/>
        <w:tabs>
          <w:tab w:leader="none" w:pos="96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88" w:lineRule="exact"/>
        <w:rPr>
          <w:rFonts w:ascii="Courier New" w:cs="Courier New" w:eastAsia="Courier New" w:hAnsi="Courier New"/>
          <w:sz w:val="16"/>
          <w:szCs w:val="16"/>
          <w:color w:val="auto"/>
        </w:rPr>
      </w:pPr>
    </w:p>
    <w:p>
      <w:pPr>
        <w:ind w:left="961" w:hanging="480"/>
        <w:spacing w:after="0"/>
        <w:tabs>
          <w:tab w:leader="none" w:pos="96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88" w:lineRule="exact"/>
        <w:rPr>
          <w:rFonts w:ascii="Courier New" w:cs="Courier New" w:eastAsia="Courier New" w:hAnsi="Courier New"/>
          <w:sz w:val="16"/>
          <w:szCs w:val="16"/>
          <w:color w:val="auto"/>
        </w:rPr>
      </w:pPr>
    </w:p>
    <w:p>
      <w:pPr>
        <w:ind w:left="961" w:hanging="480"/>
        <w:spacing w:after="0"/>
        <w:tabs>
          <w:tab w:leader="none" w:pos="961"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ectPr>
          <w:pgSz w:w="11900" w:h="16838" w:orient="portrait"/>
          <w:cols w:equalWidth="0" w:num="1">
            <w:col w:w="10141"/>
          </w:cols>
          <w:pgMar w:left="319" w:top="239"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189"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COHU, INC.</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5755 KEARNY VILLA RD.</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SAN DIEGO, CALIFORNIA 92123</w:t>
      </w:r>
    </w:p>
    <w:p>
      <w:pPr>
        <w:spacing w:after="0" w:line="374" w:lineRule="exact"/>
        <w:rPr>
          <w:sz w:val="20"/>
          <w:szCs w:val="20"/>
          <w:color w:val="auto"/>
        </w:rPr>
      </w:pPr>
    </w:p>
    <w:p>
      <w:pPr>
        <w:ind w:left="1920"/>
        <w:spacing w:after="0"/>
        <w:rPr>
          <w:sz w:val="20"/>
          <w:szCs w:val="20"/>
          <w:color w:val="auto"/>
        </w:rPr>
      </w:pPr>
      <w:r>
        <w:rPr>
          <w:rFonts w:ascii="Courier New" w:cs="Courier New" w:eastAsia="Courier New" w:hAnsi="Courier New"/>
          <w:sz w:val="16"/>
          <w:szCs w:val="16"/>
          <w:color w:val="auto"/>
        </w:rPr>
        <w:t>NOTICE OF ANNUAL MEETING OF STOCKHOLDERS</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OUR STOCKHOLDERS:</w:t>
      </w:r>
    </w:p>
    <w:p>
      <w:pPr>
        <w:spacing w:after="0" w:line="190" w:lineRule="exact"/>
        <w:rPr>
          <w:sz w:val="20"/>
          <w:szCs w:val="20"/>
          <w:color w:val="auto"/>
        </w:rPr>
      </w:pPr>
    </w:p>
    <w:p>
      <w:pPr>
        <w:ind w:right="2819" w:firstLine="385"/>
        <w:spacing w:after="0" w:line="244" w:lineRule="auto"/>
        <w:rPr>
          <w:sz w:val="20"/>
          <w:szCs w:val="20"/>
          <w:color w:val="auto"/>
        </w:rPr>
      </w:pPr>
      <w:r>
        <w:rPr>
          <w:rFonts w:ascii="Courier New" w:cs="Courier New" w:eastAsia="Courier New" w:hAnsi="Courier New"/>
          <w:sz w:val="16"/>
          <w:szCs w:val="16"/>
          <w:color w:val="auto"/>
        </w:rPr>
        <w:t>The annual meeting of stockholders of COHU, INC. (the "Company") will be held at the offices of the Company, 5755 Kearny Villa Road, San Diego, California 92123 on Tuesday May 2, 1995, at 2:00 P.M. local time, for the following purposes:</w:t>
      </w:r>
    </w:p>
    <w:p>
      <w:pPr>
        <w:spacing w:after="0" w:line="186" w:lineRule="exact"/>
        <w:rPr>
          <w:sz w:val="20"/>
          <w:szCs w:val="20"/>
          <w:color w:val="auto"/>
        </w:rPr>
      </w:pPr>
    </w:p>
    <w:p>
      <w:pPr>
        <w:ind w:left="1440" w:hanging="383"/>
        <w:spacing w:after="0"/>
        <w:tabs>
          <w:tab w:leader="none" w:pos="14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two Directors, each for a term of three years; and</w:t>
      </w:r>
    </w:p>
    <w:p>
      <w:pPr>
        <w:spacing w:after="0" w:line="188" w:lineRule="exact"/>
        <w:rPr>
          <w:rFonts w:ascii="Courier New" w:cs="Courier New" w:eastAsia="Courier New" w:hAnsi="Courier New"/>
          <w:sz w:val="16"/>
          <w:szCs w:val="16"/>
          <w:color w:val="auto"/>
        </w:rPr>
      </w:pPr>
    </w:p>
    <w:p>
      <w:pPr>
        <w:ind w:left="1440" w:hanging="383"/>
        <w:spacing w:after="0"/>
        <w:tabs>
          <w:tab w:leader="none" w:pos="14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adopt the Cohu, Inc. 1994 Employee Stock Option Plan; and</w:t>
      </w:r>
    </w:p>
    <w:p>
      <w:pPr>
        <w:spacing w:after="0" w:line="190" w:lineRule="exact"/>
        <w:rPr>
          <w:rFonts w:ascii="Courier New" w:cs="Courier New" w:eastAsia="Courier New" w:hAnsi="Courier New"/>
          <w:sz w:val="16"/>
          <w:szCs w:val="16"/>
          <w:color w:val="auto"/>
        </w:rPr>
      </w:pPr>
    </w:p>
    <w:p>
      <w:pPr>
        <w:ind w:left="1440" w:right="2739" w:hanging="383"/>
        <w:spacing w:after="0" w:line="242" w:lineRule="auto"/>
        <w:tabs>
          <w:tab w:leader="none" w:pos="14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act upon such other matters as may properly come before the meeting or any adjournment thereof.</w:t>
      </w:r>
    </w:p>
    <w:p>
      <w:pPr>
        <w:spacing w:after="0" w:line="190" w:lineRule="exact"/>
        <w:rPr>
          <w:sz w:val="20"/>
          <w:szCs w:val="20"/>
          <w:color w:val="auto"/>
        </w:rPr>
      </w:pPr>
    </w:p>
    <w:p>
      <w:pPr>
        <w:ind w:right="3019" w:firstLine="385"/>
        <w:spacing w:after="0" w:line="242" w:lineRule="auto"/>
        <w:rPr>
          <w:sz w:val="20"/>
          <w:szCs w:val="20"/>
          <w:color w:val="auto"/>
        </w:rPr>
      </w:pPr>
      <w:r>
        <w:rPr>
          <w:rFonts w:ascii="Courier New" w:cs="Courier New" w:eastAsia="Courier New" w:hAnsi="Courier New"/>
          <w:sz w:val="16"/>
          <w:szCs w:val="16"/>
          <w:color w:val="auto"/>
        </w:rPr>
        <w:t>Only stockholders of record of the Company at the close of business on March 3, 1995 will be entitled to vote at the meeting.</w:t>
      </w:r>
    </w:p>
    <w:p>
      <w:pPr>
        <w:spacing w:after="0" w:line="190" w:lineRule="exact"/>
        <w:rPr>
          <w:sz w:val="20"/>
          <w:szCs w:val="20"/>
          <w:color w:val="auto"/>
        </w:rPr>
      </w:pPr>
    </w:p>
    <w:p>
      <w:pPr>
        <w:ind w:right="2539" w:firstLine="385"/>
        <w:spacing w:after="0" w:line="244" w:lineRule="auto"/>
        <w:rPr>
          <w:sz w:val="20"/>
          <w:szCs w:val="20"/>
          <w:color w:val="auto"/>
        </w:rPr>
      </w:pPr>
      <w:r>
        <w:rPr>
          <w:rFonts w:ascii="Courier New" w:cs="Courier New" w:eastAsia="Courier New" w:hAnsi="Courier New"/>
          <w:sz w:val="16"/>
          <w:szCs w:val="16"/>
          <w:color w:val="auto"/>
        </w:rPr>
        <w:t>Since the holders of a majority of the outstanding shares of voting stock of the Company entitled to vote at the meeting must be represented to constitute a quorum, all stockholders are urged either to attend the meeting in person or to vote by proxy.</w:t>
      </w:r>
    </w:p>
    <w:p>
      <w:pPr>
        <w:spacing w:after="0" w:line="188" w:lineRule="exact"/>
        <w:rPr>
          <w:sz w:val="20"/>
          <w:szCs w:val="20"/>
          <w:color w:val="auto"/>
        </w:rPr>
      </w:pPr>
    </w:p>
    <w:p>
      <w:pPr>
        <w:ind w:right="2639" w:firstLine="385"/>
        <w:spacing w:after="0" w:line="244" w:lineRule="auto"/>
        <w:rPr>
          <w:sz w:val="20"/>
          <w:szCs w:val="20"/>
          <w:color w:val="auto"/>
        </w:rPr>
      </w:pPr>
      <w:r>
        <w:rPr>
          <w:rFonts w:ascii="Courier New" w:cs="Courier New" w:eastAsia="Courier New" w:hAnsi="Courier New"/>
          <w:sz w:val="16"/>
          <w:szCs w:val="16"/>
          <w:color w:val="auto"/>
        </w:rPr>
        <w:t>Please sign, date and return the enclosed proxy in the envelope enclosed for your convenience. If you attend the meeting you may revoke your proxy and vote in person, and if you otherwise desire to revoke your proxy you may do so by delivering a written notice to the Secretary of the Company, or by submitting another duly signed proxy bearing a later date.</w:t>
      </w:r>
    </w:p>
    <w:p>
      <w:pPr>
        <w:spacing w:after="0" w:line="18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37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/s/ Charles A. Schwan</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Charles A. Schwan</w:t>
      </w:r>
    </w:p>
    <w:p>
      <w:pPr>
        <w:spacing w:after="0" w:line="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Secretary</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 Diego, California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30, 1995</w:t>
      </w:r>
    </w:p>
    <w:p>
      <w:pPr>
        <w:spacing w:after="0" w:line="376" w:lineRule="exact"/>
        <w:rPr>
          <w:sz w:val="20"/>
          <w:szCs w:val="20"/>
          <w:color w:val="auto"/>
        </w:rPr>
      </w:pPr>
    </w:p>
    <w:p>
      <w:pPr>
        <w:jc w:val="both"/>
        <w:ind w:left="760" w:right="2539" w:firstLine="385"/>
        <w:spacing w:after="0" w:line="243" w:lineRule="auto"/>
        <w:rPr>
          <w:sz w:val="20"/>
          <w:szCs w:val="20"/>
          <w:color w:val="auto"/>
        </w:rPr>
      </w:pPr>
      <w:r>
        <w:rPr>
          <w:rFonts w:ascii="Courier New" w:cs="Courier New" w:eastAsia="Courier New" w:hAnsi="Courier New"/>
          <w:sz w:val="16"/>
          <w:szCs w:val="16"/>
          <w:color w:val="auto"/>
        </w:rPr>
        <w:t>THIS IS A REQUEST FROM THE BOARD OF DIRECTORS OF YOUR COMPANY FOR YOUR PROXY. WE ASK THAT YOU SIGN AND MAIL IT PROMPTLY IN THE ENCLOSED RETURN ENVELOPE.</w:t>
      </w:r>
    </w:p>
    <w:p>
      <w:pPr>
        <w:sectPr>
          <w:pgSz w:w="11900" w:h="16838" w:orient="portrait"/>
          <w:cols w:equalWidth="0" w:num="1">
            <w:col w:w="10139"/>
          </w:cols>
          <w:pgMar w:left="320" w:top="300"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189"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COHU, INC.</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PROXY STATEMENT</w:t>
      </w:r>
    </w:p>
    <w:p>
      <w:pPr>
        <w:spacing w:after="0" w:line="190" w:lineRule="exact"/>
        <w:rPr>
          <w:sz w:val="20"/>
          <w:szCs w:val="20"/>
          <w:color w:val="auto"/>
        </w:rPr>
      </w:pPr>
    </w:p>
    <w:p>
      <w:pPr>
        <w:ind w:right="240" w:firstLine="385"/>
        <w:spacing w:after="0" w:line="244" w:lineRule="auto"/>
        <w:rPr>
          <w:sz w:val="20"/>
          <w:szCs w:val="20"/>
          <w:color w:val="auto"/>
        </w:rPr>
      </w:pPr>
      <w:r>
        <w:rPr>
          <w:rFonts w:ascii="Courier New" w:cs="Courier New" w:eastAsia="Courier New" w:hAnsi="Courier New"/>
          <w:sz w:val="16"/>
          <w:szCs w:val="16"/>
          <w:color w:val="auto"/>
        </w:rPr>
        <w:t>This Proxy Statement is furnished in connection with the solicitation by the Board of Directors of Cohu, Inc. (the "Company") of your Proxy for use at the Annual Meeting of Stockholders on May 2, 1995, at 5755 Kearny Villa Road, San Diego, California 92123 (the "Meeting"). This Proxy Statement and the accompanying Proxy are being mailed to all stockholders on or about March 30, 1995. Any stockholder may revoke a proxy at any time prior to its exercise by filing a later dated proxy or written notice of revocation with the Company's Secretary or by voting in person at the Annual Meeting.</w:t>
      </w:r>
    </w:p>
    <w:p>
      <w:pPr>
        <w:spacing w:after="0" w:line="191" w:lineRule="exact"/>
        <w:rPr>
          <w:sz w:val="20"/>
          <w:szCs w:val="20"/>
          <w:color w:val="auto"/>
        </w:rPr>
      </w:pPr>
    </w:p>
    <w:p>
      <w:pPr>
        <w:ind w:right="140" w:firstLine="385"/>
        <w:spacing w:after="0" w:line="244" w:lineRule="auto"/>
        <w:rPr>
          <w:sz w:val="20"/>
          <w:szCs w:val="20"/>
          <w:color w:val="auto"/>
        </w:rPr>
      </w:pPr>
      <w:r>
        <w:rPr>
          <w:rFonts w:ascii="Courier New" w:cs="Courier New" w:eastAsia="Courier New" w:hAnsi="Courier New"/>
          <w:sz w:val="16"/>
          <w:szCs w:val="16"/>
          <w:color w:val="auto"/>
        </w:rPr>
        <w:t>On March 3, 1995, the record date fixed by the Board of Directors (the "Record Date"), the Company had outstanding 4,460,067 shares of Common Stock. Stockholders have one vote for each share on all business of the Meeting. Stockholders are entitled to cast one vote for each share held of record. In the election of directors, stockholders may, under certain circumstances, cumulate their votes, giving one candidate a number of votes equal to the number of directors to be elected multiplied by the number of votes to which the stockholder's shares are normally entitled, or distribute the stockholder's votes on the same principle among as many candidates as the stockholder thinks fit.</w:t>
      </w:r>
    </w:p>
    <w:p>
      <w:pPr>
        <w:spacing w:after="0" w:line="193" w:lineRule="exact"/>
        <w:rPr>
          <w:sz w:val="20"/>
          <w:szCs w:val="20"/>
          <w:color w:val="auto"/>
        </w:rPr>
      </w:pPr>
    </w:p>
    <w:p>
      <w:pPr>
        <w:ind w:right="240" w:firstLine="385"/>
        <w:spacing w:after="0" w:line="244" w:lineRule="auto"/>
        <w:rPr>
          <w:sz w:val="20"/>
          <w:szCs w:val="20"/>
          <w:color w:val="auto"/>
        </w:rPr>
      </w:pPr>
      <w:r>
        <w:rPr>
          <w:rFonts w:ascii="Courier New" w:cs="Courier New" w:eastAsia="Courier New" w:hAnsi="Courier New"/>
          <w:sz w:val="16"/>
          <w:szCs w:val="16"/>
          <w:color w:val="auto"/>
        </w:rPr>
        <w:t>A complete list of the stockholders of record entitled to vote at the meeting, arranged in alphabetical order, and showing the address of each stockholder, and the number of shares registered in the name of each stockholder, will be kept open at the office of the Company, 5755 Kearny Villa Road, San Diego, California 92123, for the examination of any stockholder during business hours for a period of ten (10) days immediately prior to the Meeting.</w:t>
      </w:r>
    </w:p>
    <w:p>
      <w:pPr>
        <w:spacing w:after="0" w:line="189" w:lineRule="exact"/>
        <w:rPr>
          <w:sz w:val="20"/>
          <w:szCs w:val="20"/>
          <w:color w:val="auto"/>
        </w:rPr>
      </w:pPr>
    </w:p>
    <w:p>
      <w:pPr>
        <w:jc w:val="center"/>
        <w:ind w:right="140"/>
        <w:spacing w:after="0"/>
        <w:rPr>
          <w:sz w:val="20"/>
          <w:szCs w:val="20"/>
          <w:color w:val="auto"/>
        </w:rPr>
      </w:pPr>
      <w:r>
        <w:rPr>
          <w:rFonts w:ascii="Courier New" w:cs="Courier New" w:eastAsia="Courier New" w:hAnsi="Courier New"/>
          <w:sz w:val="16"/>
          <w:szCs w:val="16"/>
          <w:color w:val="auto"/>
        </w:rPr>
        <w:t>SECURITY OWNERSHIP OF CERTAIN BENEFICIAL OWNERS</w:t>
      </w:r>
    </w:p>
    <w:p>
      <w:pPr>
        <w:spacing w:after="0" w:line="190" w:lineRule="exact"/>
        <w:rPr>
          <w:sz w:val="20"/>
          <w:szCs w:val="20"/>
          <w:color w:val="auto"/>
        </w:rPr>
      </w:pPr>
    </w:p>
    <w:p>
      <w:pPr>
        <w:jc w:val="both"/>
        <w:ind w:right="340" w:firstLine="385"/>
        <w:spacing w:after="0" w:line="243" w:lineRule="auto"/>
        <w:rPr>
          <w:sz w:val="20"/>
          <w:szCs w:val="20"/>
          <w:color w:val="auto"/>
        </w:rPr>
      </w:pPr>
      <w:r>
        <w:rPr>
          <w:rFonts w:ascii="Courier New" w:cs="Courier New" w:eastAsia="Courier New" w:hAnsi="Courier New"/>
          <w:sz w:val="16"/>
          <w:szCs w:val="16"/>
          <w:color w:val="auto"/>
        </w:rPr>
        <w:t>Set forth below are the names of stockholders who on the Record Date (to the best of the Company's knowledge) were beneficial holders of 5% or more of the outstanding shares of the Company's Common Stock.</w:t>
      </w:r>
    </w:p>
    <w:p>
      <w:pPr>
        <w:spacing w:after="0" w:line="200" w:lineRule="exact"/>
        <w:rPr>
          <w:sz w:val="20"/>
          <w:szCs w:val="20"/>
          <w:color w:val="auto"/>
        </w:rPr>
      </w:pPr>
    </w:p>
    <w:p>
      <w:pPr>
        <w:spacing w:after="0" w:line="358" w:lineRule="exact"/>
        <w:rPr>
          <w:sz w:val="20"/>
          <w:szCs w:val="20"/>
          <w:color w:val="auto"/>
        </w:rPr>
      </w:pPr>
    </w:p>
    <w:tbl>
      <w:tblPr>
        <w:tblLayout w:type="fixed"/>
        <w:tblInd w:w="680" w:type="dxa"/>
        <w:tblCellMar>
          <w:top w:w="0" w:type="dxa"/>
          <w:left w:w="0" w:type="dxa"/>
          <w:bottom w:w="0" w:type="dxa"/>
          <w:right w:w="0" w:type="dxa"/>
        </w:tblCellMar>
      </w:tblPr>
      <w:tr>
        <w:trPr>
          <w:trHeight w:val="181"/>
        </w:trPr>
        <w:tc>
          <w:tcPr>
            <w:tcW w:w="1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360" w:type="dxa"/>
            <w:vAlign w:val="bottom"/>
          </w:tcPr>
          <w:p>
            <w:pPr>
              <w:jc w:val="center"/>
              <w:ind w:left="180"/>
              <w:spacing w:after="0"/>
              <w:rPr>
                <w:sz w:val="20"/>
                <w:szCs w:val="20"/>
                <w:color w:val="auto"/>
              </w:rPr>
            </w:pPr>
            <w:r>
              <w:rPr>
                <w:rFonts w:ascii="Courier New" w:cs="Courier New" w:eastAsia="Courier New" w:hAnsi="Courier New"/>
                <w:sz w:val="16"/>
                <w:szCs w:val="16"/>
                <w:color w:val="auto"/>
              </w:rPr>
              <w:t>Amount &amp; Nature of</w:t>
            </w:r>
          </w:p>
        </w:tc>
      </w:tr>
      <w:tr>
        <w:trPr>
          <w:trHeight w:val="185"/>
        </w:trPr>
        <w:tc>
          <w:tcPr>
            <w:tcW w:w="1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Name of Beneficial</w:t>
            </w:r>
          </w:p>
        </w:tc>
        <w:tc>
          <w:tcPr>
            <w:tcW w:w="2500" w:type="dxa"/>
            <w:vAlign w:val="bottom"/>
          </w:tcPr>
          <w:p>
            <w:pPr>
              <w:ind w:left="60"/>
              <w:spacing w:after="0"/>
              <w:rPr>
                <w:sz w:val="20"/>
                <w:szCs w:val="20"/>
                <w:color w:val="auto"/>
              </w:rPr>
            </w:pPr>
            <w:r>
              <w:rPr>
                <w:rFonts w:ascii="Courier New" w:cs="Courier New" w:eastAsia="Courier New" w:hAnsi="Courier New"/>
                <w:sz w:val="16"/>
                <w:szCs w:val="16"/>
                <w:color w:val="auto"/>
              </w:rPr>
              <w:t>Owner</w:t>
            </w:r>
          </w:p>
        </w:tc>
        <w:tc>
          <w:tcPr>
            <w:tcW w:w="2360" w:type="dxa"/>
            <w:vAlign w:val="bottom"/>
          </w:tcPr>
          <w:p>
            <w:pPr>
              <w:jc w:val="center"/>
              <w:ind w:left="160"/>
              <w:spacing w:after="0"/>
              <w:rPr>
                <w:sz w:val="20"/>
                <w:szCs w:val="20"/>
                <w:color w:val="auto"/>
              </w:rPr>
            </w:pPr>
            <w:r>
              <w:rPr>
                <w:rFonts w:ascii="Courier New" w:cs="Courier New" w:eastAsia="Courier New" w:hAnsi="Courier New"/>
                <w:sz w:val="16"/>
                <w:szCs w:val="16"/>
                <w:color w:val="auto"/>
                <w:w w:val="99"/>
              </w:rPr>
              <w:t>Beneficial Ownership</w:t>
            </w:r>
          </w:p>
        </w:tc>
      </w:tr>
      <w:tr>
        <w:trPr>
          <w:trHeight w:val="185"/>
        </w:trPr>
        <w:tc>
          <w:tcPr>
            <w:tcW w:w="4460" w:type="dxa"/>
            <w:vAlign w:val="bottom"/>
            <w:gridSpan w:val="3"/>
          </w:tcPr>
          <w:p>
            <w:pPr>
              <w:spacing w:after="0"/>
              <w:rPr>
                <w:sz w:val="20"/>
                <w:szCs w:val="20"/>
                <w:color w:val="auto"/>
              </w:rPr>
            </w:pPr>
            <w:r>
              <w:rPr>
                <w:rFonts w:ascii="Courier New" w:cs="Courier New" w:eastAsia="Courier New" w:hAnsi="Courier New"/>
                <w:sz w:val="16"/>
                <w:szCs w:val="16"/>
                <w:color w:val="auto"/>
              </w:rPr>
              <w:t>----------------------------</w:t>
            </w:r>
          </w:p>
        </w:tc>
        <w:tc>
          <w:tcPr>
            <w:tcW w:w="2360" w:type="dxa"/>
            <w:vAlign w:val="bottom"/>
          </w:tcPr>
          <w:p>
            <w:pPr>
              <w:jc w:val="center"/>
              <w:ind w:left="160"/>
              <w:spacing w:after="0"/>
              <w:rPr>
                <w:sz w:val="20"/>
                <w:szCs w:val="20"/>
                <w:color w:val="auto"/>
              </w:rPr>
            </w:pPr>
            <w:r>
              <w:rPr>
                <w:rFonts w:ascii="Courier New" w:cs="Courier New" w:eastAsia="Courier New" w:hAnsi="Courier New"/>
                <w:sz w:val="16"/>
                <w:szCs w:val="16"/>
                <w:color w:val="auto"/>
              </w:rPr>
              <w:t>----------------------</w:t>
            </w:r>
          </w:p>
        </w:tc>
      </w:tr>
      <w:tr>
        <w:trPr>
          <w:trHeight w:val="370"/>
        </w:trPr>
        <w:tc>
          <w:tcPr>
            <w:tcW w:w="4460" w:type="dxa"/>
            <w:vAlign w:val="bottom"/>
            <w:gridSpan w:val="3"/>
          </w:tcPr>
          <w:p>
            <w:pPr>
              <w:spacing w:after="0"/>
              <w:rPr>
                <w:sz w:val="20"/>
                <w:szCs w:val="20"/>
                <w:color w:val="auto"/>
              </w:rPr>
            </w:pPr>
            <w:r>
              <w:rPr>
                <w:rFonts w:ascii="Courier New" w:cs="Courier New" w:eastAsia="Courier New" w:hAnsi="Courier New"/>
                <w:sz w:val="16"/>
                <w:szCs w:val="16"/>
                <w:color w:val="auto"/>
              </w:rPr>
              <w:t>Fidelity Management and Research Corporation</w:t>
            </w:r>
          </w:p>
        </w:tc>
        <w:tc>
          <w:tcPr>
            <w:tcW w:w="23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477,700</w:t>
            </w:r>
          </w:p>
        </w:tc>
      </w:tr>
      <w:tr>
        <w:trPr>
          <w:trHeight w:val="185"/>
        </w:trPr>
        <w:tc>
          <w:tcPr>
            <w:tcW w:w="1960" w:type="dxa"/>
            <w:vAlign w:val="bottom"/>
            <w:gridSpan w:val="2"/>
          </w:tcPr>
          <w:p>
            <w:pPr>
              <w:spacing w:after="0"/>
              <w:rPr>
                <w:sz w:val="20"/>
                <w:szCs w:val="20"/>
                <w:color w:val="auto"/>
              </w:rPr>
            </w:pPr>
            <w:r>
              <w:rPr>
                <w:rFonts w:ascii="Courier New" w:cs="Courier New" w:eastAsia="Courier New" w:hAnsi="Courier New"/>
                <w:sz w:val="16"/>
                <w:szCs w:val="16"/>
                <w:color w:val="auto"/>
              </w:rPr>
              <w:t>82 Devonshire Street</w:t>
            </w:r>
          </w:p>
        </w:tc>
        <w:tc>
          <w:tcPr>
            <w:tcW w:w="2500" w:type="dxa"/>
            <w:vAlign w:val="bottom"/>
          </w:tcPr>
          <w:p>
            <w:pPr>
              <w:spacing w:after="0"/>
              <w:rPr>
                <w:sz w:val="16"/>
                <w:szCs w:val="16"/>
                <w:color w:val="auto"/>
              </w:rPr>
            </w:pPr>
          </w:p>
        </w:tc>
        <w:tc>
          <w:tcPr>
            <w:tcW w:w="2360" w:type="dxa"/>
            <w:vAlign w:val="bottom"/>
          </w:tcPr>
          <w:p>
            <w:pPr>
              <w:spacing w:after="0"/>
              <w:rPr>
                <w:sz w:val="16"/>
                <w:szCs w:val="16"/>
                <w:color w:val="auto"/>
              </w:rPr>
            </w:pPr>
          </w:p>
        </w:tc>
      </w:tr>
      <w:tr>
        <w:trPr>
          <w:trHeight w:val="185"/>
        </w:trPr>
        <w:tc>
          <w:tcPr>
            <w:tcW w:w="1960" w:type="dxa"/>
            <w:vAlign w:val="bottom"/>
            <w:gridSpan w:val="2"/>
          </w:tcPr>
          <w:p>
            <w:pPr>
              <w:spacing w:after="0"/>
              <w:rPr>
                <w:sz w:val="20"/>
                <w:szCs w:val="20"/>
                <w:color w:val="auto"/>
              </w:rPr>
            </w:pPr>
            <w:r>
              <w:rPr>
                <w:rFonts w:ascii="Courier New" w:cs="Courier New" w:eastAsia="Courier New" w:hAnsi="Courier New"/>
                <w:sz w:val="16"/>
                <w:szCs w:val="16"/>
                <w:color w:val="auto"/>
              </w:rPr>
              <w:t>Boston, MA  02109</w:t>
            </w:r>
          </w:p>
        </w:tc>
        <w:tc>
          <w:tcPr>
            <w:tcW w:w="2500" w:type="dxa"/>
            <w:vAlign w:val="bottom"/>
          </w:tcPr>
          <w:p>
            <w:pPr>
              <w:spacing w:after="0"/>
              <w:rPr>
                <w:sz w:val="16"/>
                <w:szCs w:val="16"/>
                <w:color w:val="auto"/>
              </w:rPr>
            </w:pPr>
          </w:p>
        </w:tc>
        <w:tc>
          <w:tcPr>
            <w:tcW w:w="2360" w:type="dxa"/>
            <w:vAlign w:val="bottom"/>
          </w:tcPr>
          <w:p>
            <w:pPr>
              <w:spacing w:after="0"/>
              <w:rPr>
                <w:sz w:val="16"/>
                <w:szCs w:val="16"/>
                <w:color w:val="auto"/>
              </w:rPr>
            </w:pPr>
          </w:p>
        </w:tc>
      </w:tr>
      <w:tr>
        <w:trPr>
          <w:trHeight w:val="370"/>
        </w:trPr>
        <w:tc>
          <w:tcPr>
            <w:tcW w:w="1960" w:type="dxa"/>
            <w:vAlign w:val="bottom"/>
            <w:gridSpan w:val="2"/>
          </w:tcPr>
          <w:p>
            <w:pPr>
              <w:spacing w:after="0"/>
              <w:rPr>
                <w:sz w:val="20"/>
                <w:szCs w:val="20"/>
                <w:color w:val="auto"/>
              </w:rPr>
            </w:pPr>
            <w:r>
              <w:rPr>
                <w:rFonts w:ascii="Courier New" w:cs="Courier New" w:eastAsia="Courier New" w:hAnsi="Courier New"/>
                <w:sz w:val="16"/>
                <w:szCs w:val="16"/>
                <w:color w:val="auto"/>
              </w:rPr>
              <w:t>Investors Counselors</w:t>
            </w:r>
          </w:p>
        </w:tc>
        <w:tc>
          <w:tcPr>
            <w:tcW w:w="2500" w:type="dxa"/>
            <w:vAlign w:val="bottom"/>
          </w:tcPr>
          <w:p>
            <w:pPr>
              <w:ind w:left="60"/>
              <w:spacing w:after="0"/>
              <w:rPr>
                <w:sz w:val="20"/>
                <w:szCs w:val="20"/>
                <w:color w:val="auto"/>
              </w:rPr>
            </w:pPr>
            <w:r>
              <w:rPr>
                <w:rFonts w:ascii="Courier New" w:cs="Courier New" w:eastAsia="Courier New" w:hAnsi="Courier New"/>
                <w:sz w:val="16"/>
                <w:szCs w:val="16"/>
                <w:color w:val="auto"/>
              </w:rPr>
              <w:t>of Maryland, Inc.</w:t>
            </w:r>
          </w:p>
        </w:tc>
        <w:tc>
          <w:tcPr>
            <w:tcW w:w="23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309,300</w:t>
            </w:r>
          </w:p>
        </w:tc>
      </w:tr>
      <w:tr>
        <w:trPr>
          <w:trHeight w:val="185"/>
        </w:trPr>
        <w:tc>
          <w:tcPr>
            <w:tcW w:w="1960" w:type="dxa"/>
            <w:vAlign w:val="bottom"/>
            <w:gridSpan w:val="2"/>
          </w:tcPr>
          <w:p>
            <w:pPr>
              <w:spacing w:after="0"/>
              <w:rPr>
                <w:sz w:val="20"/>
                <w:szCs w:val="20"/>
                <w:color w:val="auto"/>
              </w:rPr>
            </w:pPr>
            <w:r>
              <w:rPr>
                <w:rFonts w:ascii="Courier New" w:cs="Courier New" w:eastAsia="Courier New" w:hAnsi="Courier New"/>
                <w:sz w:val="16"/>
                <w:szCs w:val="16"/>
                <w:color w:val="auto"/>
              </w:rPr>
              <w:t>803 Cathedral Street</w:t>
            </w:r>
          </w:p>
        </w:tc>
        <w:tc>
          <w:tcPr>
            <w:tcW w:w="2500" w:type="dxa"/>
            <w:vAlign w:val="bottom"/>
          </w:tcPr>
          <w:p>
            <w:pPr>
              <w:spacing w:after="0"/>
              <w:rPr>
                <w:sz w:val="16"/>
                <w:szCs w:val="16"/>
                <w:color w:val="auto"/>
              </w:rPr>
            </w:pPr>
          </w:p>
        </w:tc>
        <w:tc>
          <w:tcPr>
            <w:tcW w:w="2360" w:type="dxa"/>
            <w:vAlign w:val="bottom"/>
          </w:tcPr>
          <w:p>
            <w:pPr>
              <w:spacing w:after="0"/>
              <w:rPr>
                <w:sz w:val="16"/>
                <w:szCs w:val="16"/>
                <w:color w:val="auto"/>
              </w:rPr>
            </w:pPr>
          </w:p>
        </w:tc>
      </w:tr>
      <w:tr>
        <w:trPr>
          <w:trHeight w:val="185"/>
        </w:trPr>
        <w:tc>
          <w:tcPr>
            <w:tcW w:w="1240" w:type="dxa"/>
            <w:vAlign w:val="bottom"/>
          </w:tcPr>
          <w:p>
            <w:pPr>
              <w:spacing w:after="0"/>
              <w:rPr>
                <w:sz w:val="20"/>
                <w:szCs w:val="20"/>
                <w:color w:val="auto"/>
              </w:rPr>
            </w:pPr>
            <w:r>
              <w:rPr>
                <w:rFonts w:ascii="Courier New" w:cs="Courier New" w:eastAsia="Courier New" w:hAnsi="Courier New"/>
                <w:sz w:val="16"/>
                <w:szCs w:val="16"/>
                <w:color w:val="auto"/>
                <w:w w:val="97"/>
              </w:rPr>
              <w:t>Baltimore, MD</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21201</w:t>
            </w:r>
          </w:p>
        </w:tc>
        <w:tc>
          <w:tcPr>
            <w:tcW w:w="2500" w:type="dxa"/>
            <w:vAlign w:val="bottom"/>
          </w:tcPr>
          <w:p>
            <w:pPr>
              <w:spacing w:after="0"/>
              <w:rPr>
                <w:sz w:val="16"/>
                <w:szCs w:val="16"/>
                <w:color w:val="auto"/>
              </w:rPr>
            </w:pPr>
          </w:p>
        </w:tc>
        <w:tc>
          <w:tcPr>
            <w:tcW w:w="2360" w:type="dxa"/>
            <w:vAlign w:val="bottom"/>
          </w:tcPr>
          <w:p>
            <w:pPr>
              <w:spacing w:after="0"/>
              <w:rPr>
                <w:sz w:val="16"/>
                <w:szCs w:val="16"/>
                <w:color w:val="auto"/>
              </w:rPr>
            </w:pPr>
          </w:p>
        </w:tc>
      </w:tr>
      <w:tr>
        <w:trPr>
          <w:trHeight w:val="370"/>
        </w:trPr>
        <w:tc>
          <w:tcPr>
            <w:tcW w:w="1960" w:type="dxa"/>
            <w:vAlign w:val="bottom"/>
            <w:gridSpan w:val="2"/>
          </w:tcPr>
          <w:p>
            <w:pPr>
              <w:spacing w:after="0"/>
              <w:rPr>
                <w:sz w:val="20"/>
                <w:szCs w:val="20"/>
                <w:color w:val="auto"/>
              </w:rPr>
            </w:pPr>
            <w:r>
              <w:rPr>
                <w:rFonts w:ascii="Courier New" w:cs="Courier New" w:eastAsia="Courier New" w:hAnsi="Courier New"/>
                <w:sz w:val="16"/>
                <w:szCs w:val="16"/>
                <w:color w:val="auto"/>
              </w:rPr>
              <w:t>Nicholas J. Cedrone</w:t>
            </w:r>
          </w:p>
        </w:tc>
        <w:tc>
          <w:tcPr>
            <w:tcW w:w="2500" w:type="dxa"/>
            <w:vAlign w:val="bottom"/>
          </w:tcPr>
          <w:p>
            <w:pPr>
              <w:spacing w:after="0"/>
              <w:rPr>
                <w:sz w:val="24"/>
                <w:szCs w:val="24"/>
                <w:color w:val="auto"/>
              </w:rPr>
            </w:pPr>
          </w:p>
        </w:tc>
        <w:tc>
          <w:tcPr>
            <w:tcW w:w="23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297,726</w:t>
            </w:r>
          </w:p>
        </w:tc>
      </w:tr>
      <w:tr>
        <w:trPr>
          <w:trHeight w:val="185"/>
        </w:trPr>
        <w:tc>
          <w:tcPr>
            <w:tcW w:w="1960" w:type="dxa"/>
            <w:vAlign w:val="bottom"/>
            <w:gridSpan w:val="2"/>
          </w:tcPr>
          <w:p>
            <w:pPr>
              <w:spacing w:after="0"/>
              <w:rPr>
                <w:sz w:val="20"/>
                <w:szCs w:val="20"/>
                <w:color w:val="auto"/>
              </w:rPr>
            </w:pPr>
            <w:r>
              <w:rPr>
                <w:rFonts w:ascii="Courier New" w:cs="Courier New" w:eastAsia="Courier New" w:hAnsi="Courier New"/>
                <w:sz w:val="16"/>
                <w:szCs w:val="16"/>
                <w:color w:val="auto"/>
              </w:rPr>
              <w:t>301 Second Avenue</w:t>
            </w:r>
          </w:p>
        </w:tc>
        <w:tc>
          <w:tcPr>
            <w:tcW w:w="2500" w:type="dxa"/>
            <w:vAlign w:val="bottom"/>
          </w:tcPr>
          <w:p>
            <w:pPr>
              <w:spacing w:after="0"/>
              <w:rPr>
                <w:sz w:val="16"/>
                <w:szCs w:val="16"/>
                <w:color w:val="auto"/>
              </w:rPr>
            </w:pPr>
          </w:p>
        </w:tc>
        <w:tc>
          <w:tcPr>
            <w:tcW w:w="2360" w:type="dxa"/>
            <w:vAlign w:val="bottom"/>
          </w:tcPr>
          <w:p>
            <w:pPr>
              <w:spacing w:after="0"/>
              <w:rPr>
                <w:sz w:val="16"/>
                <w:szCs w:val="16"/>
                <w:color w:val="auto"/>
              </w:rPr>
            </w:pPr>
          </w:p>
        </w:tc>
      </w:tr>
      <w:tr>
        <w:trPr>
          <w:trHeight w:val="185"/>
        </w:trPr>
        <w:tc>
          <w:tcPr>
            <w:tcW w:w="1240" w:type="dxa"/>
            <w:vAlign w:val="bottom"/>
          </w:tcPr>
          <w:p>
            <w:pPr>
              <w:spacing w:after="0"/>
              <w:rPr>
                <w:sz w:val="20"/>
                <w:szCs w:val="20"/>
                <w:color w:val="auto"/>
              </w:rPr>
            </w:pPr>
            <w:r>
              <w:rPr>
                <w:rFonts w:ascii="Courier New" w:cs="Courier New" w:eastAsia="Courier New" w:hAnsi="Courier New"/>
                <w:sz w:val="16"/>
                <w:szCs w:val="16"/>
                <w:color w:val="auto"/>
              </w:rPr>
              <w:t>Waltham, MA</w:t>
            </w:r>
          </w:p>
        </w:tc>
        <w:tc>
          <w:tcPr>
            <w:tcW w:w="7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5"/>
              </w:rPr>
              <w:t>02154</w:t>
            </w:r>
          </w:p>
        </w:tc>
        <w:tc>
          <w:tcPr>
            <w:tcW w:w="2500" w:type="dxa"/>
            <w:vAlign w:val="bottom"/>
          </w:tcPr>
          <w:p>
            <w:pPr>
              <w:spacing w:after="0"/>
              <w:rPr>
                <w:sz w:val="16"/>
                <w:szCs w:val="16"/>
                <w:color w:val="auto"/>
              </w:rPr>
            </w:pPr>
          </w:p>
        </w:tc>
        <w:tc>
          <w:tcPr>
            <w:tcW w:w="2360" w:type="dxa"/>
            <w:vAlign w:val="bottom"/>
          </w:tcPr>
          <w:p>
            <w:pPr>
              <w:spacing w:after="0"/>
              <w:rPr>
                <w:sz w:val="16"/>
                <w:szCs w:val="16"/>
                <w:color w:val="auto"/>
              </w:rPr>
            </w:pPr>
          </w:p>
        </w:tc>
      </w:tr>
      <w:tr>
        <w:trPr>
          <w:trHeight w:val="370"/>
        </w:trPr>
        <w:tc>
          <w:tcPr>
            <w:tcW w:w="4460" w:type="dxa"/>
            <w:vAlign w:val="bottom"/>
            <w:gridSpan w:val="3"/>
          </w:tcPr>
          <w:p>
            <w:pPr>
              <w:spacing w:after="0"/>
              <w:rPr>
                <w:sz w:val="20"/>
                <w:szCs w:val="20"/>
                <w:color w:val="auto"/>
              </w:rPr>
            </w:pPr>
            <w:r>
              <w:rPr>
                <w:rFonts w:ascii="Courier New" w:cs="Courier New" w:eastAsia="Courier New" w:hAnsi="Courier New"/>
                <w:sz w:val="16"/>
                <w:szCs w:val="16"/>
                <w:color w:val="auto"/>
              </w:rPr>
              <w:t>Kennedy Capital Management, Inc.</w:t>
            </w:r>
          </w:p>
        </w:tc>
        <w:tc>
          <w:tcPr>
            <w:tcW w:w="23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240,000</w:t>
            </w:r>
          </w:p>
        </w:tc>
      </w:tr>
      <w:tr>
        <w:trPr>
          <w:trHeight w:val="185"/>
        </w:trPr>
        <w:tc>
          <w:tcPr>
            <w:tcW w:w="1960" w:type="dxa"/>
            <w:vAlign w:val="bottom"/>
            <w:gridSpan w:val="2"/>
          </w:tcPr>
          <w:p>
            <w:pPr>
              <w:spacing w:after="0"/>
              <w:rPr>
                <w:sz w:val="20"/>
                <w:szCs w:val="20"/>
                <w:color w:val="auto"/>
              </w:rPr>
            </w:pPr>
            <w:r>
              <w:rPr>
                <w:rFonts w:ascii="Courier New" w:cs="Courier New" w:eastAsia="Courier New" w:hAnsi="Courier New"/>
                <w:sz w:val="16"/>
                <w:szCs w:val="16"/>
                <w:color w:val="auto"/>
              </w:rPr>
              <w:t>425 North New Ballas</w:t>
            </w:r>
          </w:p>
        </w:tc>
        <w:tc>
          <w:tcPr>
            <w:tcW w:w="2500" w:type="dxa"/>
            <w:vAlign w:val="bottom"/>
          </w:tcPr>
          <w:p>
            <w:pPr>
              <w:ind w:left="60"/>
              <w:spacing w:after="0"/>
              <w:rPr>
                <w:sz w:val="20"/>
                <w:szCs w:val="20"/>
                <w:color w:val="auto"/>
              </w:rPr>
            </w:pPr>
            <w:r>
              <w:rPr>
                <w:rFonts w:ascii="Courier New" w:cs="Courier New" w:eastAsia="Courier New" w:hAnsi="Courier New"/>
                <w:sz w:val="16"/>
                <w:szCs w:val="16"/>
                <w:color w:val="auto"/>
              </w:rPr>
              <w:t>Road</w:t>
            </w:r>
          </w:p>
        </w:tc>
        <w:tc>
          <w:tcPr>
            <w:tcW w:w="2360" w:type="dxa"/>
            <w:vAlign w:val="bottom"/>
          </w:tcPr>
          <w:p>
            <w:pPr>
              <w:spacing w:after="0"/>
              <w:rPr>
                <w:sz w:val="16"/>
                <w:szCs w:val="16"/>
                <w:color w:val="auto"/>
              </w:rPr>
            </w:pPr>
          </w:p>
        </w:tc>
      </w:tr>
      <w:tr>
        <w:trPr>
          <w:trHeight w:val="185"/>
        </w:trPr>
        <w:tc>
          <w:tcPr>
            <w:tcW w:w="1240" w:type="dxa"/>
            <w:vAlign w:val="bottom"/>
          </w:tcPr>
          <w:p>
            <w:pPr>
              <w:spacing w:after="0"/>
              <w:rPr>
                <w:sz w:val="20"/>
                <w:szCs w:val="20"/>
                <w:color w:val="auto"/>
              </w:rPr>
            </w:pPr>
            <w:r>
              <w:rPr>
                <w:rFonts w:ascii="Courier New" w:cs="Courier New" w:eastAsia="Courier New" w:hAnsi="Courier New"/>
                <w:sz w:val="16"/>
                <w:szCs w:val="16"/>
                <w:color w:val="auto"/>
                <w:w w:val="97"/>
              </w:rPr>
              <w:t>St. Louis, MO</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63141</w:t>
            </w:r>
          </w:p>
        </w:tc>
        <w:tc>
          <w:tcPr>
            <w:tcW w:w="2500" w:type="dxa"/>
            <w:vAlign w:val="bottom"/>
          </w:tcPr>
          <w:p>
            <w:pPr>
              <w:spacing w:after="0"/>
              <w:rPr>
                <w:sz w:val="16"/>
                <w:szCs w:val="16"/>
                <w:color w:val="auto"/>
              </w:rPr>
            </w:pPr>
          </w:p>
        </w:tc>
        <w:tc>
          <w:tcPr>
            <w:tcW w:w="236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Percent of Class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9"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10.71%</w:t>
      </w:r>
    </w:p>
    <w:p>
      <w:pPr>
        <w:spacing w:after="0" w:line="200" w:lineRule="exact"/>
        <w:rPr>
          <w:sz w:val="20"/>
          <w:szCs w:val="20"/>
          <w:color w:val="auto"/>
        </w:rPr>
      </w:pPr>
    </w:p>
    <w:p>
      <w:pPr>
        <w:spacing w:after="0" w:line="359"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6.93%</w:t>
      </w:r>
    </w:p>
    <w:p>
      <w:pPr>
        <w:spacing w:after="0" w:line="200" w:lineRule="exact"/>
        <w:rPr>
          <w:sz w:val="20"/>
          <w:szCs w:val="20"/>
          <w:color w:val="auto"/>
        </w:rPr>
      </w:pPr>
    </w:p>
    <w:p>
      <w:pPr>
        <w:spacing w:after="0" w:line="359"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6.68%</w:t>
      </w:r>
    </w:p>
    <w:p>
      <w:pPr>
        <w:spacing w:after="0" w:line="200" w:lineRule="exact"/>
        <w:rPr>
          <w:sz w:val="20"/>
          <w:szCs w:val="20"/>
          <w:color w:val="auto"/>
        </w:rPr>
      </w:pPr>
    </w:p>
    <w:p>
      <w:pPr>
        <w:spacing w:after="0" w:line="359"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5.38%</w:t>
      </w:r>
    </w:p>
    <w:p>
      <w:pPr>
        <w:sectPr>
          <w:pgSz w:w="11900" w:h="16838" w:orient="portrait"/>
          <w:cols w:equalWidth="0" w:num="2">
            <w:col w:w="7740" w:space="720"/>
            <w:col w:w="1679"/>
          </w:cols>
          <w:pgMar w:left="320" w:top="300" w:right="1440" w:bottom="1440" w:gutter="0" w:footer="0" w:header="0"/>
        </w:sectPr>
      </w:pPr>
    </w:p>
    <w:bookmarkStart w:id="3" w:name="page4"/>
    <w:bookmarkEnd w:id="3"/>
    <w:p>
      <w:pPr>
        <w:ind w:left="281"/>
        <w:spacing w:after="0"/>
        <w:rPr>
          <w:sz w:val="20"/>
          <w:szCs w:val="20"/>
          <w:color w:val="auto"/>
        </w:rPr>
      </w:pPr>
      <w:r>
        <w:rPr>
          <w:rFonts w:ascii="Courier New" w:cs="Courier New" w:eastAsia="Courier New" w:hAnsi="Courier New"/>
          <w:sz w:val="16"/>
          <w:szCs w:val="16"/>
          <w:color w:val="auto"/>
        </w:rPr>
        <w:t>4</w:t>
      </w:r>
    </w:p>
    <w:p>
      <w:pPr>
        <w:spacing w:after="0" w:line="4" w:lineRule="exact"/>
        <w:rPr>
          <w:sz w:val="20"/>
          <w:szCs w:val="20"/>
          <w:color w:val="auto"/>
        </w:rPr>
      </w:pPr>
    </w:p>
    <w:p>
      <w:pPr>
        <w:ind w:left="2781"/>
        <w:spacing w:after="0"/>
        <w:rPr>
          <w:sz w:val="20"/>
          <w:szCs w:val="20"/>
          <w:color w:val="auto"/>
        </w:rPr>
      </w:pPr>
      <w:r>
        <w:rPr>
          <w:rFonts w:ascii="Courier New" w:cs="Courier New" w:eastAsia="Courier New" w:hAnsi="Courier New"/>
          <w:sz w:val="16"/>
          <w:szCs w:val="16"/>
          <w:color w:val="auto"/>
        </w:rPr>
        <w:t>ELECTION OF DIRECTORS</w:t>
      </w:r>
    </w:p>
    <w:p>
      <w:pPr>
        <w:spacing w:after="0" w:line="190" w:lineRule="exact"/>
        <w:rPr>
          <w:sz w:val="20"/>
          <w:szCs w:val="20"/>
          <w:color w:val="auto"/>
        </w:rPr>
      </w:pPr>
    </w:p>
    <w:p>
      <w:pPr>
        <w:ind w:left="1" w:right="3560" w:firstLine="674"/>
        <w:spacing w:after="0" w:line="244" w:lineRule="auto"/>
        <w:rPr>
          <w:sz w:val="20"/>
          <w:szCs w:val="20"/>
          <w:color w:val="auto"/>
        </w:rPr>
      </w:pPr>
      <w:r>
        <w:rPr>
          <w:rFonts w:ascii="Courier New" w:cs="Courier New" w:eastAsia="Courier New" w:hAnsi="Courier New"/>
          <w:sz w:val="16"/>
          <w:szCs w:val="16"/>
          <w:color w:val="auto"/>
        </w:rPr>
        <w:t>The Certificate of Incorporation classifies the directors of the Company into three groups whose terms expire at different times. One class of directors is elected at each annual meeting with the remaining directors continuing in office. At the 1995 Annual Meeting of Stockholders, two directors are to be elected for a term of three years. It is intended that the shares represented by proxies in the accompanying form will be voted by the proxy holders for the election of the two nominees named below. In the event the election of directors is to be by cumulative voting, the proxy holders will vote the shares represented by proxies in such proportions as the proxy holders see fit. Should any nominee decline or become unable to accept nomination or election, which is not anticipated, the proxies will be voted for such substitute nominee as may be designated by a majority of the Board of Directors. THE BOARD RECOMMENDS A VOTE IN FAVOR OF THE TWO NOMINEES.</w:t>
      </w:r>
    </w:p>
    <w:p>
      <w:pPr>
        <w:spacing w:after="0" w:line="37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NOMINEES FOR TERMS EXPIRING IN 1998 - CLASS 1</w:t>
      </w:r>
    </w:p>
    <w:p>
      <w:pPr>
        <w:spacing w:after="0" w:line="200" w:lineRule="exact"/>
        <w:rPr>
          <w:sz w:val="20"/>
          <w:szCs w:val="20"/>
          <w:color w:val="auto"/>
        </w:rPr>
      </w:pPr>
    </w:p>
    <w:p>
      <w:pPr>
        <w:spacing w:after="0" w:line="359" w:lineRule="exact"/>
        <w:rPr>
          <w:sz w:val="20"/>
          <w:szCs w:val="20"/>
          <w:color w:val="auto"/>
        </w:rPr>
      </w:pPr>
    </w:p>
    <w:tbl>
      <w:tblPr>
        <w:tblLayout w:type="fixed"/>
        <w:tblInd w:w="201" w:type="dxa"/>
        <w:tblCellMar>
          <w:top w:w="0" w:type="dxa"/>
          <w:left w:w="0" w:type="dxa"/>
          <w:bottom w:w="0" w:type="dxa"/>
          <w:right w:w="0" w:type="dxa"/>
        </w:tblCellMar>
      </w:tblPr>
      <w:tr>
        <w:trPr>
          <w:trHeight w:val="181"/>
        </w:trPr>
        <w:tc>
          <w:tcPr>
            <w:tcW w:w="2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Courier New" w:cs="Courier New" w:eastAsia="Courier New" w:hAnsi="Courier New"/>
                <w:sz w:val="16"/>
                <w:szCs w:val="16"/>
                <w:color w:val="auto"/>
              </w:rPr>
              <w:t>Shares of Common</w:t>
            </w:r>
          </w:p>
        </w:tc>
        <w:tc>
          <w:tcPr>
            <w:tcW w:w="1500" w:type="dxa"/>
            <w:vAlign w:val="bottom"/>
          </w:tcPr>
          <w:p>
            <w:pPr>
              <w:jc w:val="center"/>
              <w:ind w:left="160"/>
              <w:spacing w:after="0"/>
              <w:rPr>
                <w:sz w:val="20"/>
                <w:szCs w:val="20"/>
                <w:color w:val="auto"/>
              </w:rPr>
            </w:pPr>
            <w:r>
              <w:rPr>
                <w:rFonts w:ascii="Courier New" w:cs="Courier New" w:eastAsia="Courier New" w:hAnsi="Courier New"/>
                <w:sz w:val="16"/>
                <w:szCs w:val="16"/>
                <w:color w:val="auto"/>
              </w:rPr>
              <w:t>Percentage of</w:t>
            </w:r>
          </w:p>
        </w:tc>
      </w:tr>
      <w:tr>
        <w:trPr>
          <w:trHeight w:val="185"/>
        </w:trPr>
        <w:tc>
          <w:tcPr>
            <w:tcW w:w="2540" w:type="dxa"/>
            <w:vAlign w:val="bottom"/>
          </w:tcPr>
          <w:p>
            <w:pPr>
              <w:ind w:left="760"/>
              <w:spacing w:after="0"/>
              <w:rPr>
                <w:sz w:val="20"/>
                <w:szCs w:val="20"/>
                <w:color w:val="auto"/>
              </w:rPr>
            </w:pPr>
            <w:r>
              <w:rPr>
                <w:rFonts w:ascii="Courier New" w:cs="Courier New" w:eastAsia="Courier New" w:hAnsi="Courier New"/>
                <w:sz w:val="16"/>
                <w:szCs w:val="16"/>
                <w:color w:val="auto"/>
              </w:rPr>
              <w:t>Name and</w:t>
            </w:r>
          </w:p>
        </w:tc>
        <w:tc>
          <w:tcPr>
            <w:tcW w:w="5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160" w:type="dxa"/>
            <w:vAlign w:val="bottom"/>
          </w:tcPr>
          <w:p>
            <w:pPr>
              <w:ind w:left="240"/>
              <w:spacing w:after="0"/>
              <w:rPr>
                <w:sz w:val="20"/>
                <w:szCs w:val="20"/>
                <w:color w:val="auto"/>
              </w:rPr>
            </w:pPr>
            <w:r>
              <w:rPr>
                <w:rFonts w:ascii="Courier New" w:cs="Courier New" w:eastAsia="Courier New" w:hAnsi="Courier New"/>
                <w:sz w:val="16"/>
                <w:szCs w:val="16"/>
                <w:color w:val="auto"/>
              </w:rPr>
              <w:t>Director</w:t>
            </w:r>
          </w:p>
        </w:tc>
        <w:tc>
          <w:tcPr>
            <w:tcW w:w="2100" w:type="dxa"/>
            <w:vAlign w:val="bottom"/>
          </w:tcPr>
          <w:p>
            <w:pPr>
              <w:jc w:val="center"/>
              <w:ind w:right="20"/>
              <w:spacing w:after="0"/>
              <w:rPr>
                <w:sz w:val="20"/>
                <w:szCs w:val="20"/>
                <w:color w:val="auto"/>
              </w:rPr>
            </w:pPr>
            <w:r>
              <w:rPr>
                <w:rFonts w:ascii="Courier New" w:cs="Courier New" w:eastAsia="Courier New" w:hAnsi="Courier New"/>
                <w:sz w:val="16"/>
                <w:szCs w:val="16"/>
                <w:color w:val="auto"/>
                <w:w w:val="99"/>
              </w:rPr>
              <w:t>Stock Beneficially</w:t>
            </w:r>
          </w:p>
        </w:tc>
        <w:tc>
          <w:tcPr>
            <w:tcW w:w="1500" w:type="dxa"/>
            <w:vAlign w:val="bottom"/>
          </w:tcPr>
          <w:p>
            <w:pPr>
              <w:jc w:val="center"/>
              <w:ind w:left="160"/>
              <w:spacing w:after="0"/>
              <w:rPr>
                <w:sz w:val="20"/>
                <w:szCs w:val="20"/>
                <w:color w:val="auto"/>
              </w:rPr>
            </w:pPr>
            <w:r>
              <w:rPr>
                <w:rFonts w:ascii="Courier New" w:cs="Courier New" w:eastAsia="Courier New" w:hAnsi="Courier New"/>
                <w:sz w:val="16"/>
                <w:szCs w:val="16"/>
                <w:color w:val="auto"/>
              </w:rPr>
              <w:t>Outstanding</w:t>
            </w:r>
          </w:p>
        </w:tc>
      </w:tr>
      <w:tr>
        <w:trPr>
          <w:trHeight w:val="185"/>
        </w:trPr>
        <w:tc>
          <w:tcPr>
            <w:tcW w:w="2540" w:type="dxa"/>
            <w:vAlign w:val="bottom"/>
          </w:tcPr>
          <w:p>
            <w:pPr>
              <w:ind w:left="380"/>
              <w:spacing w:after="0"/>
              <w:rPr>
                <w:sz w:val="20"/>
                <w:szCs w:val="20"/>
                <w:color w:val="auto"/>
              </w:rPr>
            </w:pPr>
            <w:r>
              <w:rPr>
                <w:rFonts w:ascii="Courier New" w:cs="Courier New" w:eastAsia="Courier New" w:hAnsi="Courier New"/>
                <w:sz w:val="16"/>
                <w:szCs w:val="16"/>
                <w:color w:val="auto"/>
              </w:rPr>
              <w:t>Business Address</w:t>
            </w:r>
          </w:p>
        </w:tc>
        <w:tc>
          <w:tcPr>
            <w:tcW w:w="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Age</w:t>
            </w:r>
          </w:p>
        </w:tc>
        <w:tc>
          <w:tcPr>
            <w:tcW w:w="3120" w:type="dxa"/>
            <w:vAlign w:val="bottom"/>
          </w:tcPr>
          <w:p>
            <w:pPr>
              <w:ind w:left="560"/>
              <w:spacing w:after="0"/>
              <w:rPr>
                <w:sz w:val="20"/>
                <w:szCs w:val="20"/>
                <w:color w:val="auto"/>
              </w:rPr>
            </w:pPr>
            <w:r>
              <w:rPr>
                <w:rFonts w:ascii="Courier New" w:cs="Courier New" w:eastAsia="Courier New" w:hAnsi="Courier New"/>
                <w:sz w:val="16"/>
                <w:szCs w:val="16"/>
                <w:color w:val="auto"/>
              </w:rPr>
              <w:t>Principal Occupation</w:t>
            </w:r>
          </w:p>
        </w:tc>
        <w:tc>
          <w:tcPr>
            <w:tcW w:w="1160" w:type="dxa"/>
            <w:vAlign w:val="bottom"/>
          </w:tcPr>
          <w:p>
            <w:pPr>
              <w:ind w:left="340"/>
              <w:spacing w:after="0"/>
              <w:rPr>
                <w:sz w:val="20"/>
                <w:szCs w:val="20"/>
                <w:color w:val="auto"/>
              </w:rPr>
            </w:pPr>
            <w:r>
              <w:rPr>
                <w:rFonts w:ascii="Courier New" w:cs="Courier New" w:eastAsia="Courier New" w:hAnsi="Courier New"/>
                <w:sz w:val="16"/>
                <w:szCs w:val="16"/>
                <w:color w:val="auto"/>
              </w:rPr>
              <w:t>Since</w:t>
            </w:r>
          </w:p>
        </w:tc>
        <w:tc>
          <w:tcPr>
            <w:tcW w:w="2100" w:type="dxa"/>
            <w:vAlign w:val="bottom"/>
          </w:tcPr>
          <w:p>
            <w:pPr>
              <w:ind w:left="720"/>
              <w:spacing w:after="0"/>
              <w:rPr>
                <w:sz w:val="20"/>
                <w:szCs w:val="20"/>
                <w:color w:val="auto"/>
              </w:rPr>
            </w:pPr>
            <w:r>
              <w:rPr>
                <w:rFonts w:ascii="Courier New" w:cs="Courier New" w:eastAsia="Courier New" w:hAnsi="Courier New"/>
                <w:sz w:val="16"/>
                <w:szCs w:val="16"/>
                <w:color w:val="auto"/>
              </w:rPr>
              <w:t>Owned</w:t>
            </w:r>
          </w:p>
        </w:tc>
        <w:tc>
          <w:tcPr>
            <w:tcW w:w="15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Shares</w:t>
            </w:r>
          </w:p>
        </w:tc>
      </w:tr>
      <w:tr>
        <w:trPr>
          <w:trHeight w:val="185"/>
        </w:trPr>
        <w:tc>
          <w:tcPr>
            <w:tcW w:w="25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312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2100" w:type="dxa"/>
            <w:vAlign w:val="bottom"/>
          </w:tcPr>
          <w:p>
            <w:pPr>
              <w:jc w:val="center"/>
              <w:ind w:right="20"/>
              <w:spacing w:after="0"/>
              <w:rPr>
                <w:sz w:val="20"/>
                <w:szCs w:val="20"/>
                <w:color w:val="auto"/>
              </w:rPr>
            </w:pPr>
            <w:r>
              <w:rPr>
                <w:rFonts w:ascii="Courier New" w:cs="Courier New" w:eastAsia="Courier New" w:hAnsi="Courier New"/>
                <w:sz w:val="16"/>
                <w:szCs w:val="16"/>
                <w:color w:val="auto"/>
                <w:w w:val="99"/>
              </w:rPr>
              <w:t>------------------</w:t>
            </w:r>
          </w:p>
        </w:tc>
        <w:tc>
          <w:tcPr>
            <w:tcW w:w="1500" w:type="dxa"/>
            <w:vAlign w:val="bottom"/>
          </w:tcPr>
          <w:p>
            <w:pPr>
              <w:jc w:val="center"/>
              <w:ind w:left="160"/>
              <w:spacing w:after="0"/>
              <w:rPr>
                <w:sz w:val="20"/>
                <w:szCs w:val="20"/>
                <w:color w:val="auto"/>
              </w:rPr>
            </w:pPr>
            <w:r>
              <w:rPr>
                <w:rFonts w:ascii="Courier New" w:cs="Courier New" w:eastAsia="Courier New" w:hAnsi="Courier New"/>
                <w:sz w:val="16"/>
                <w:szCs w:val="16"/>
                <w:color w:val="auto"/>
              </w:rPr>
              <w:t>-------------</w:t>
            </w:r>
          </w:p>
        </w:tc>
      </w:tr>
      <w:tr>
        <w:trPr>
          <w:trHeight w:val="370"/>
        </w:trPr>
        <w:tc>
          <w:tcPr>
            <w:tcW w:w="2540" w:type="dxa"/>
            <w:vAlign w:val="bottom"/>
          </w:tcPr>
          <w:p>
            <w:pPr>
              <w:spacing w:after="0"/>
              <w:rPr>
                <w:sz w:val="20"/>
                <w:szCs w:val="20"/>
                <w:color w:val="auto"/>
              </w:rPr>
            </w:pPr>
            <w:r>
              <w:rPr>
                <w:rFonts w:ascii="Courier New" w:cs="Courier New" w:eastAsia="Courier New" w:hAnsi="Courier New"/>
                <w:sz w:val="16"/>
                <w:szCs w:val="16"/>
                <w:color w:val="auto"/>
              </w:rPr>
              <w:t>James W. Barnes</w:t>
            </w:r>
          </w:p>
        </w:tc>
        <w:tc>
          <w:tcPr>
            <w:tcW w:w="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65</w:t>
            </w:r>
          </w:p>
        </w:tc>
        <w:tc>
          <w:tcPr>
            <w:tcW w:w="3120" w:type="dxa"/>
            <w:vAlign w:val="bottom"/>
          </w:tcPr>
          <w:p>
            <w:pPr>
              <w:ind w:left="80"/>
              <w:spacing w:after="0"/>
              <w:rPr>
                <w:sz w:val="20"/>
                <w:szCs w:val="20"/>
                <w:color w:val="auto"/>
              </w:rPr>
            </w:pPr>
            <w:r>
              <w:rPr>
                <w:rFonts w:ascii="Courier New" w:cs="Courier New" w:eastAsia="Courier New" w:hAnsi="Courier New"/>
                <w:sz w:val="16"/>
                <w:szCs w:val="16"/>
                <w:color w:val="auto"/>
              </w:rPr>
              <w:t>President and Chief Executive</w:t>
            </w:r>
          </w:p>
        </w:tc>
        <w:tc>
          <w:tcPr>
            <w:tcW w:w="1160" w:type="dxa"/>
            <w:vAlign w:val="bottom"/>
          </w:tcPr>
          <w:p>
            <w:pPr>
              <w:ind w:left="340"/>
              <w:spacing w:after="0"/>
              <w:rPr>
                <w:sz w:val="20"/>
                <w:szCs w:val="20"/>
                <w:color w:val="auto"/>
              </w:rPr>
            </w:pPr>
            <w:r>
              <w:rPr>
                <w:rFonts w:ascii="Courier New" w:cs="Courier New" w:eastAsia="Courier New" w:hAnsi="Courier New"/>
                <w:sz w:val="16"/>
                <w:szCs w:val="16"/>
                <w:color w:val="auto"/>
              </w:rPr>
              <w:t>1983</w:t>
            </w:r>
          </w:p>
        </w:tc>
        <w:tc>
          <w:tcPr>
            <w:tcW w:w="2100" w:type="dxa"/>
            <w:vAlign w:val="bottom"/>
          </w:tcPr>
          <w:p>
            <w:pPr>
              <w:jc w:val="center"/>
              <w:ind w:right="20"/>
              <w:spacing w:after="0"/>
              <w:rPr>
                <w:sz w:val="20"/>
                <w:szCs w:val="20"/>
                <w:color w:val="auto"/>
              </w:rPr>
            </w:pPr>
            <w:r>
              <w:rPr>
                <w:rFonts w:ascii="Courier New" w:cs="Courier New" w:eastAsia="Courier New" w:hAnsi="Courier New"/>
                <w:sz w:val="16"/>
                <w:szCs w:val="16"/>
                <w:color w:val="auto"/>
                <w:w w:val="98"/>
              </w:rPr>
              <w:t>117,248*</w:t>
            </w:r>
          </w:p>
        </w:tc>
        <w:tc>
          <w:tcPr>
            <w:tcW w:w="15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2.63%</w:t>
            </w:r>
          </w:p>
        </w:tc>
      </w:tr>
      <w:tr>
        <w:trPr>
          <w:trHeight w:val="185"/>
        </w:trPr>
        <w:tc>
          <w:tcPr>
            <w:tcW w:w="2540" w:type="dxa"/>
            <w:vAlign w:val="bottom"/>
          </w:tcPr>
          <w:p>
            <w:pPr>
              <w:ind w:left="180"/>
              <w:spacing w:after="0"/>
              <w:rPr>
                <w:sz w:val="20"/>
                <w:szCs w:val="20"/>
                <w:color w:val="auto"/>
              </w:rPr>
            </w:pPr>
            <w:r>
              <w:rPr>
                <w:rFonts w:ascii="Courier New" w:cs="Courier New" w:eastAsia="Courier New" w:hAnsi="Courier New"/>
                <w:sz w:val="16"/>
                <w:szCs w:val="16"/>
                <w:color w:val="auto"/>
              </w:rPr>
              <w:t>5755 Kearny Villa Rd.</w:t>
            </w:r>
          </w:p>
        </w:tc>
        <w:tc>
          <w:tcPr>
            <w:tcW w:w="540" w:type="dxa"/>
            <w:vAlign w:val="bottom"/>
          </w:tcPr>
          <w:p>
            <w:pPr>
              <w:spacing w:after="0"/>
              <w:rPr>
                <w:sz w:val="16"/>
                <w:szCs w:val="16"/>
                <w:color w:val="auto"/>
              </w:rPr>
            </w:pPr>
          </w:p>
        </w:tc>
        <w:tc>
          <w:tcPr>
            <w:tcW w:w="3120" w:type="dxa"/>
            <w:vAlign w:val="bottom"/>
          </w:tcPr>
          <w:p>
            <w:pPr>
              <w:ind w:left="80"/>
              <w:spacing w:after="0"/>
              <w:rPr>
                <w:sz w:val="20"/>
                <w:szCs w:val="20"/>
                <w:color w:val="auto"/>
              </w:rPr>
            </w:pPr>
            <w:r>
              <w:rPr>
                <w:rFonts w:ascii="Courier New" w:cs="Courier New" w:eastAsia="Courier New" w:hAnsi="Courier New"/>
                <w:sz w:val="16"/>
                <w:szCs w:val="16"/>
                <w:color w:val="auto"/>
              </w:rPr>
              <w:t>Officer of the Company</w:t>
            </w:r>
          </w:p>
        </w:tc>
        <w:tc>
          <w:tcPr>
            <w:tcW w:w="11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5"/>
        </w:trPr>
        <w:tc>
          <w:tcPr>
            <w:tcW w:w="2540" w:type="dxa"/>
            <w:vAlign w:val="bottom"/>
          </w:tcPr>
          <w:p>
            <w:pPr>
              <w:ind w:left="180"/>
              <w:spacing w:after="0"/>
              <w:rPr>
                <w:sz w:val="20"/>
                <w:szCs w:val="20"/>
                <w:color w:val="auto"/>
              </w:rPr>
            </w:pPr>
            <w:r>
              <w:rPr>
                <w:rFonts w:ascii="Courier New" w:cs="Courier New" w:eastAsia="Courier New" w:hAnsi="Courier New"/>
                <w:sz w:val="16"/>
                <w:szCs w:val="16"/>
                <w:color w:val="auto"/>
              </w:rPr>
              <w:t>San Diego, CA</w:t>
            </w:r>
          </w:p>
        </w:tc>
        <w:tc>
          <w:tcPr>
            <w:tcW w:w="5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70"/>
        </w:trPr>
        <w:tc>
          <w:tcPr>
            <w:tcW w:w="2540" w:type="dxa"/>
            <w:vAlign w:val="bottom"/>
          </w:tcPr>
          <w:p>
            <w:pPr>
              <w:spacing w:after="0"/>
              <w:rPr>
                <w:sz w:val="20"/>
                <w:szCs w:val="20"/>
                <w:color w:val="auto"/>
              </w:rPr>
            </w:pPr>
            <w:r>
              <w:rPr>
                <w:rFonts w:ascii="Courier New" w:cs="Courier New" w:eastAsia="Courier New" w:hAnsi="Courier New"/>
                <w:sz w:val="16"/>
                <w:szCs w:val="16"/>
                <w:color w:val="auto"/>
              </w:rPr>
              <w:t>William S. Ivans</w:t>
            </w:r>
          </w:p>
        </w:tc>
        <w:tc>
          <w:tcPr>
            <w:tcW w:w="540" w:type="dxa"/>
            <w:vAlign w:val="bottom"/>
          </w:tcPr>
          <w:p>
            <w:pPr>
              <w:jc w:val="right"/>
              <w:ind w:right="20"/>
              <w:spacing w:after="0"/>
              <w:rPr>
                <w:sz w:val="20"/>
                <w:szCs w:val="20"/>
                <w:color w:val="auto"/>
              </w:rPr>
            </w:pPr>
            <w:r>
              <w:rPr>
                <w:rFonts w:ascii="Courier New" w:cs="Courier New" w:eastAsia="Courier New" w:hAnsi="Courier New"/>
                <w:sz w:val="16"/>
                <w:szCs w:val="16"/>
                <w:color w:val="auto"/>
              </w:rPr>
              <w:t>74</w:t>
            </w:r>
          </w:p>
        </w:tc>
        <w:tc>
          <w:tcPr>
            <w:tcW w:w="3120" w:type="dxa"/>
            <w:vAlign w:val="bottom"/>
          </w:tcPr>
          <w:p>
            <w:pPr>
              <w:ind w:left="80"/>
              <w:spacing w:after="0"/>
              <w:rPr>
                <w:sz w:val="20"/>
                <w:szCs w:val="20"/>
                <w:color w:val="auto"/>
              </w:rPr>
            </w:pPr>
            <w:r>
              <w:rPr>
                <w:rFonts w:ascii="Courier New" w:cs="Courier New" w:eastAsia="Courier New" w:hAnsi="Courier New"/>
                <w:sz w:val="16"/>
                <w:szCs w:val="16"/>
                <w:color w:val="auto"/>
              </w:rPr>
              <w:t>Chairman of the Board of the</w:t>
            </w:r>
          </w:p>
        </w:tc>
        <w:tc>
          <w:tcPr>
            <w:tcW w:w="1160" w:type="dxa"/>
            <w:vAlign w:val="bottom"/>
          </w:tcPr>
          <w:p>
            <w:pPr>
              <w:ind w:left="340"/>
              <w:spacing w:after="0"/>
              <w:rPr>
                <w:sz w:val="20"/>
                <w:szCs w:val="20"/>
                <w:color w:val="auto"/>
              </w:rPr>
            </w:pPr>
            <w:r>
              <w:rPr>
                <w:rFonts w:ascii="Courier New" w:cs="Courier New" w:eastAsia="Courier New" w:hAnsi="Courier New"/>
                <w:sz w:val="16"/>
                <w:szCs w:val="16"/>
                <w:color w:val="auto"/>
              </w:rPr>
              <w:t>1960</w:t>
            </w:r>
          </w:p>
        </w:tc>
        <w:tc>
          <w:tcPr>
            <w:tcW w:w="2100" w:type="dxa"/>
            <w:vAlign w:val="bottom"/>
          </w:tcPr>
          <w:p>
            <w:pPr>
              <w:jc w:val="center"/>
              <w:spacing w:after="0"/>
              <w:rPr>
                <w:sz w:val="20"/>
                <w:szCs w:val="20"/>
                <w:color w:val="auto"/>
              </w:rPr>
            </w:pPr>
            <w:r>
              <w:rPr>
                <w:rFonts w:ascii="Courier New" w:cs="Courier New" w:eastAsia="Courier New" w:hAnsi="Courier New"/>
                <w:sz w:val="16"/>
                <w:szCs w:val="16"/>
                <w:color w:val="auto"/>
              </w:rPr>
              <w:t>98,076</w:t>
            </w:r>
          </w:p>
        </w:tc>
        <w:tc>
          <w:tcPr>
            <w:tcW w:w="15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2.20%</w:t>
            </w:r>
          </w:p>
        </w:tc>
      </w:tr>
      <w:tr>
        <w:trPr>
          <w:trHeight w:val="185"/>
        </w:trPr>
        <w:tc>
          <w:tcPr>
            <w:tcW w:w="2540" w:type="dxa"/>
            <w:vAlign w:val="bottom"/>
          </w:tcPr>
          <w:p>
            <w:pPr>
              <w:ind w:left="180"/>
              <w:spacing w:after="0"/>
              <w:rPr>
                <w:sz w:val="20"/>
                <w:szCs w:val="20"/>
                <w:color w:val="auto"/>
              </w:rPr>
            </w:pPr>
            <w:r>
              <w:rPr>
                <w:rFonts w:ascii="Courier New" w:cs="Courier New" w:eastAsia="Courier New" w:hAnsi="Courier New"/>
                <w:sz w:val="16"/>
                <w:szCs w:val="16"/>
                <w:color w:val="auto"/>
              </w:rPr>
              <w:t>807 La Jolla Rancho Rd.</w:t>
            </w:r>
          </w:p>
        </w:tc>
        <w:tc>
          <w:tcPr>
            <w:tcW w:w="540" w:type="dxa"/>
            <w:vAlign w:val="bottom"/>
          </w:tcPr>
          <w:p>
            <w:pPr>
              <w:spacing w:after="0"/>
              <w:rPr>
                <w:sz w:val="16"/>
                <w:szCs w:val="16"/>
                <w:color w:val="auto"/>
              </w:rPr>
            </w:pPr>
          </w:p>
        </w:tc>
        <w:tc>
          <w:tcPr>
            <w:tcW w:w="3120" w:type="dxa"/>
            <w:vAlign w:val="bottom"/>
          </w:tcPr>
          <w:p>
            <w:pPr>
              <w:ind w:left="80"/>
              <w:spacing w:after="0"/>
              <w:rPr>
                <w:sz w:val="20"/>
                <w:szCs w:val="20"/>
                <w:color w:val="auto"/>
              </w:rPr>
            </w:pPr>
            <w:r>
              <w:rPr>
                <w:rFonts w:ascii="Courier New" w:cs="Courier New" w:eastAsia="Courier New" w:hAnsi="Courier New"/>
                <w:sz w:val="16"/>
                <w:szCs w:val="16"/>
                <w:color w:val="auto"/>
              </w:rPr>
              <w:t>Company since February 1983</w:t>
            </w:r>
          </w:p>
        </w:tc>
        <w:tc>
          <w:tcPr>
            <w:tcW w:w="11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5"/>
        </w:trPr>
        <w:tc>
          <w:tcPr>
            <w:tcW w:w="2540" w:type="dxa"/>
            <w:vAlign w:val="bottom"/>
          </w:tcPr>
          <w:p>
            <w:pPr>
              <w:ind w:left="180"/>
              <w:spacing w:after="0"/>
              <w:rPr>
                <w:sz w:val="20"/>
                <w:szCs w:val="20"/>
                <w:color w:val="auto"/>
              </w:rPr>
            </w:pPr>
            <w:r>
              <w:rPr>
                <w:rFonts w:ascii="Courier New" w:cs="Courier New" w:eastAsia="Courier New" w:hAnsi="Courier New"/>
                <w:sz w:val="16"/>
                <w:szCs w:val="16"/>
                <w:color w:val="auto"/>
              </w:rPr>
              <w:t>La Jolla, CA</w:t>
            </w:r>
          </w:p>
        </w:tc>
        <w:tc>
          <w:tcPr>
            <w:tcW w:w="5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500" w:type="dxa"/>
            <w:vAlign w:val="bottom"/>
          </w:tcPr>
          <w:p>
            <w:pPr>
              <w:spacing w:after="0"/>
              <w:rPr>
                <w:sz w:val="16"/>
                <w:szCs w:val="16"/>
                <w:color w:val="auto"/>
              </w:rPr>
            </w:pPr>
          </w:p>
        </w:tc>
      </w:tr>
    </w:tbl>
    <w:p>
      <w:pPr>
        <w:spacing w:after="0" w:line="200" w:lineRule="exact"/>
        <w:rPr>
          <w:sz w:val="20"/>
          <w:szCs w:val="20"/>
          <w:color w:val="auto"/>
        </w:rPr>
      </w:pPr>
    </w:p>
    <w:p>
      <w:pPr>
        <w:spacing w:after="0" w:line="359" w:lineRule="exact"/>
        <w:rPr>
          <w:sz w:val="20"/>
          <w:szCs w:val="20"/>
          <w:color w:val="auto"/>
        </w:rPr>
      </w:pPr>
    </w:p>
    <w:p>
      <w:pPr>
        <w:ind w:left="2021"/>
        <w:spacing w:after="0"/>
        <w:rPr>
          <w:sz w:val="20"/>
          <w:szCs w:val="20"/>
          <w:color w:val="auto"/>
        </w:rPr>
      </w:pPr>
      <w:r>
        <w:rPr>
          <w:rFonts w:ascii="Courier New" w:cs="Courier New" w:eastAsia="Courier New" w:hAnsi="Courier New"/>
          <w:sz w:val="16"/>
          <w:szCs w:val="16"/>
          <w:color w:val="auto"/>
        </w:rPr>
        <w:t>INFORMATION CONCERNING OTHER DIRECTORS</w:t>
      </w:r>
    </w:p>
    <w:p>
      <w:pPr>
        <w:spacing w:after="0" w:line="37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DIRECTORS WHOSE TERMS EXPIRE IN 1996 - CLASS 2</w:t>
      </w:r>
    </w:p>
    <w:p>
      <w:pPr>
        <w:spacing w:after="0" w:line="200" w:lineRule="exact"/>
        <w:rPr>
          <w:sz w:val="20"/>
          <w:szCs w:val="20"/>
          <w:color w:val="auto"/>
        </w:rPr>
      </w:pPr>
    </w:p>
    <w:p>
      <w:pPr>
        <w:spacing w:after="0" w:line="359" w:lineRule="exact"/>
        <w:rPr>
          <w:sz w:val="20"/>
          <w:szCs w:val="20"/>
          <w:color w:val="auto"/>
        </w:rPr>
      </w:pPr>
    </w:p>
    <w:tbl>
      <w:tblPr>
        <w:tblLayout w:type="fixed"/>
        <w:tblInd w:w="201" w:type="dxa"/>
        <w:tblCellMar>
          <w:top w:w="0" w:type="dxa"/>
          <w:left w:w="0" w:type="dxa"/>
          <w:bottom w:w="0" w:type="dxa"/>
          <w:right w:w="0" w:type="dxa"/>
        </w:tblCellMar>
      </w:tblPr>
      <w:tr>
        <w:trPr>
          <w:trHeight w:val="181"/>
        </w:trPr>
        <w:tc>
          <w:tcPr>
            <w:tcW w:w="2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Shares of Common</w:t>
            </w:r>
          </w:p>
        </w:tc>
        <w:tc>
          <w:tcPr>
            <w:tcW w:w="1440" w:type="dxa"/>
            <w:vAlign w:val="bottom"/>
          </w:tcPr>
          <w:p>
            <w:pPr>
              <w:jc w:val="center"/>
              <w:ind w:left="120"/>
              <w:spacing w:after="0"/>
              <w:rPr>
                <w:sz w:val="20"/>
                <w:szCs w:val="20"/>
                <w:color w:val="auto"/>
              </w:rPr>
            </w:pPr>
            <w:r>
              <w:rPr>
                <w:rFonts w:ascii="Courier New" w:cs="Courier New" w:eastAsia="Courier New" w:hAnsi="Courier New"/>
                <w:sz w:val="16"/>
                <w:szCs w:val="16"/>
                <w:color w:val="auto"/>
                <w:w w:val="99"/>
              </w:rPr>
              <w:t>Percentage of</w:t>
            </w:r>
          </w:p>
        </w:tc>
      </w:tr>
      <w:tr>
        <w:trPr>
          <w:trHeight w:val="185"/>
        </w:trPr>
        <w:tc>
          <w:tcPr>
            <w:tcW w:w="2400" w:type="dxa"/>
            <w:vAlign w:val="bottom"/>
          </w:tcPr>
          <w:p>
            <w:pPr>
              <w:ind w:left="760"/>
              <w:spacing w:after="0"/>
              <w:rPr>
                <w:sz w:val="20"/>
                <w:szCs w:val="20"/>
                <w:color w:val="auto"/>
              </w:rPr>
            </w:pPr>
            <w:r>
              <w:rPr>
                <w:rFonts w:ascii="Courier New" w:cs="Courier New" w:eastAsia="Courier New" w:hAnsi="Courier New"/>
                <w:sz w:val="16"/>
                <w:szCs w:val="16"/>
                <w:color w:val="auto"/>
              </w:rPr>
              <w:t>Name and</w:t>
            </w:r>
          </w:p>
        </w:tc>
        <w:tc>
          <w:tcPr>
            <w:tcW w:w="5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02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c>
          <w:tcPr>
            <w:tcW w:w="2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Stock Beneficially</w:t>
            </w:r>
          </w:p>
        </w:tc>
        <w:tc>
          <w:tcPr>
            <w:tcW w:w="1440" w:type="dxa"/>
            <w:vAlign w:val="bottom"/>
          </w:tcPr>
          <w:p>
            <w:pPr>
              <w:jc w:val="center"/>
              <w:ind w:left="100"/>
              <w:spacing w:after="0"/>
              <w:rPr>
                <w:sz w:val="20"/>
                <w:szCs w:val="20"/>
                <w:color w:val="auto"/>
              </w:rPr>
            </w:pPr>
            <w:r>
              <w:rPr>
                <w:rFonts w:ascii="Courier New" w:cs="Courier New" w:eastAsia="Courier New" w:hAnsi="Courier New"/>
                <w:sz w:val="16"/>
                <w:szCs w:val="16"/>
                <w:color w:val="auto"/>
              </w:rPr>
              <w:t>Outstanding</w:t>
            </w:r>
          </w:p>
        </w:tc>
      </w:tr>
      <w:tr>
        <w:trPr>
          <w:trHeight w:val="185"/>
        </w:trPr>
        <w:tc>
          <w:tcPr>
            <w:tcW w:w="2400" w:type="dxa"/>
            <w:vAlign w:val="bottom"/>
          </w:tcPr>
          <w:p>
            <w:pPr>
              <w:ind w:left="380"/>
              <w:spacing w:after="0"/>
              <w:rPr>
                <w:sz w:val="20"/>
                <w:szCs w:val="20"/>
                <w:color w:val="auto"/>
              </w:rPr>
            </w:pPr>
            <w:r>
              <w:rPr>
                <w:rFonts w:ascii="Courier New" w:cs="Courier New" w:eastAsia="Courier New" w:hAnsi="Courier New"/>
                <w:sz w:val="16"/>
                <w:szCs w:val="16"/>
                <w:color w:val="auto"/>
              </w:rPr>
              <w:t>Business Address</w:t>
            </w:r>
          </w:p>
        </w:tc>
        <w:tc>
          <w:tcPr>
            <w:tcW w:w="520" w:type="dxa"/>
            <w:vAlign w:val="bottom"/>
          </w:tcPr>
          <w:p>
            <w:pPr>
              <w:ind w:left="100"/>
              <w:spacing w:after="0"/>
              <w:rPr>
                <w:sz w:val="20"/>
                <w:szCs w:val="20"/>
                <w:color w:val="auto"/>
              </w:rPr>
            </w:pPr>
            <w:r>
              <w:rPr>
                <w:rFonts w:ascii="Courier New" w:cs="Courier New" w:eastAsia="Courier New" w:hAnsi="Courier New"/>
                <w:sz w:val="16"/>
                <w:szCs w:val="16"/>
                <w:color w:val="auto"/>
              </w:rPr>
              <w:t>Age</w:t>
            </w:r>
          </w:p>
        </w:tc>
        <w:tc>
          <w:tcPr>
            <w:tcW w:w="3420" w:type="dxa"/>
            <w:vAlign w:val="bottom"/>
          </w:tcPr>
          <w:p>
            <w:pPr>
              <w:ind w:left="720"/>
              <w:spacing w:after="0"/>
              <w:rPr>
                <w:sz w:val="20"/>
                <w:szCs w:val="20"/>
                <w:color w:val="auto"/>
              </w:rPr>
            </w:pPr>
            <w:r>
              <w:rPr>
                <w:rFonts w:ascii="Courier New" w:cs="Courier New" w:eastAsia="Courier New" w:hAnsi="Courier New"/>
                <w:sz w:val="16"/>
                <w:szCs w:val="16"/>
                <w:color w:val="auto"/>
              </w:rPr>
              <w:t>Principal Occupation</w:t>
            </w:r>
          </w:p>
        </w:tc>
        <w:tc>
          <w:tcPr>
            <w:tcW w:w="1020" w:type="dxa"/>
            <w:vAlign w:val="bottom"/>
          </w:tcPr>
          <w:p>
            <w:pPr>
              <w:ind w:left="300"/>
              <w:spacing w:after="0"/>
              <w:rPr>
                <w:sz w:val="20"/>
                <w:szCs w:val="20"/>
                <w:color w:val="auto"/>
              </w:rPr>
            </w:pPr>
            <w:r>
              <w:rPr>
                <w:rFonts w:ascii="Courier New" w:cs="Courier New" w:eastAsia="Courier New" w:hAnsi="Courier New"/>
                <w:sz w:val="16"/>
                <w:szCs w:val="16"/>
                <w:color w:val="auto"/>
              </w:rPr>
              <w:t>Since</w:t>
            </w:r>
          </w:p>
        </w:tc>
        <w:tc>
          <w:tcPr>
            <w:tcW w:w="20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Owned</w:t>
            </w:r>
          </w:p>
        </w:tc>
        <w:tc>
          <w:tcPr>
            <w:tcW w:w="1440" w:type="dxa"/>
            <w:vAlign w:val="bottom"/>
          </w:tcPr>
          <w:p>
            <w:pPr>
              <w:ind w:left="480"/>
              <w:spacing w:after="0"/>
              <w:rPr>
                <w:sz w:val="20"/>
                <w:szCs w:val="20"/>
                <w:color w:val="auto"/>
              </w:rPr>
            </w:pPr>
            <w:r>
              <w:rPr>
                <w:rFonts w:ascii="Courier New" w:cs="Courier New" w:eastAsia="Courier New" w:hAnsi="Courier New"/>
                <w:sz w:val="16"/>
                <w:szCs w:val="16"/>
                <w:color w:val="auto"/>
              </w:rPr>
              <w:t>Shares</w:t>
            </w:r>
          </w:p>
        </w:tc>
      </w:tr>
      <w:tr>
        <w:trPr>
          <w:trHeight w:val="185"/>
        </w:trPr>
        <w:tc>
          <w:tcPr>
            <w:tcW w:w="24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342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20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center"/>
              <w:ind w:left="120"/>
              <w:spacing w:after="0"/>
              <w:rPr>
                <w:sz w:val="20"/>
                <w:szCs w:val="20"/>
                <w:color w:val="auto"/>
              </w:rPr>
            </w:pPr>
            <w:r>
              <w:rPr>
                <w:rFonts w:ascii="Courier New" w:cs="Courier New" w:eastAsia="Courier New" w:hAnsi="Courier New"/>
                <w:sz w:val="16"/>
                <w:szCs w:val="16"/>
                <w:color w:val="auto"/>
                <w:w w:val="99"/>
              </w:rPr>
              <w:t>-------------</w:t>
            </w:r>
          </w:p>
        </w:tc>
      </w:tr>
      <w:tr>
        <w:trPr>
          <w:trHeight w:val="370"/>
        </w:trPr>
        <w:tc>
          <w:tcPr>
            <w:tcW w:w="2400" w:type="dxa"/>
            <w:vAlign w:val="bottom"/>
          </w:tcPr>
          <w:p>
            <w:pPr>
              <w:spacing w:after="0"/>
              <w:rPr>
                <w:sz w:val="20"/>
                <w:szCs w:val="20"/>
                <w:color w:val="auto"/>
              </w:rPr>
            </w:pPr>
            <w:r>
              <w:rPr>
                <w:rFonts w:ascii="Courier New" w:cs="Courier New" w:eastAsia="Courier New" w:hAnsi="Courier New"/>
                <w:sz w:val="16"/>
                <w:szCs w:val="16"/>
                <w:color w:val="auto"/>
              </w:rPr>
              <w:t>Charles A. Schwan</w:t>
            </w:r>
          </w:p>
        </w:tc>
        <w:tc>
          <w:tcPr>
            <w:tcW w:w="520" w:type="dxa"/>
            <w:vAlign w:val="bottom"/>
          </w:tcPr>
          <w:p>
            <w:pPr>
              <w:ind w:left="100"/>
              <w:spacing w:after="0"/>
              <w:rPr>
                <w:sz w:val="20"/>
                <w:szCs w:val="20"/>
                <w:color w:val="auto"/>
              </w:rPr>
            </w:pPr>
            <w:r>
              <w:rPr>
                <w:rFonts w:ascii="Courier New" w:cs="Courier New" w:eastAsia="Courier New" w:hAnsi="Courier New"/>
                <w:sz w:val="16"/>
                <w:szCs w:val="16"/>
                <w:color w:val="auto"/>
              </w:rPr>
              <w:t>55</w:t>
            </w:r>
          </w:p>
        </w:tc>
        <w:tc>
          <w:tcPr>
            <w:tcW w:w="3420" w:type="dxa"/>
            <w:vAlign w:val="bottom"/>
          </w:tcPr>
          <w:p>
            <w:pPr>
              <w:ind w:left="160"/>
              <w:spacing w:after="0"/>
              <w:rPr>
                <w:sz w:val="20"/>
                <w:szCs w:val="20"/>
                <w:color w:val="auto"/>
              </w:rPr>
            </w:pPr>
            <w:r>
              <w:rPr>
                <w:rFonts w:ascii="Courier New" w:cs="Courier New" w:eastAsia="Courier New" w:hAnsi="Courier New"/>
                <w:sz w:val="16"/>
                <w:szCs w:val="16"/>
                <w:color w:val="auto"/>
              </w:rPr>
              <w:t>Vice President, Finance since</w:t>
            </w:r>
          </w:p>
        </w:tc>
        <w:tc>
          <w:tcPr>
            <w:tcW w:w="1020" w:type="dxa"/>
            <w:vAlign w:val="bottom"/>
          </w:tcPr>
          <w:p>
            <w:pPr>
              <w:jc w:val="center"/>
              <w:spacing w:after="0"/>
              <w:rPr>
                <w:sz w:val="20"/>
                <w:szCs w:val="20"/>
                <w:color w:val="auto"/>
              </w:rPr>
            </w:pPr>
            <w:r>
              <w:rPr>
                <w:rFonts w:ascii="Courier New" w:cs="Courier New" w:eastAsia="Courier New" w:hAnsi="Courier New"/>
                <w:sz w:val="16"/>
                <w:szCs w:val="16"/>
                <w:color w:val="auto"/>
                <w:w w:val="98"/>
              </w:rPr>
              <w:t>1990</w:t>
            </w:r>
          </w:p>
        </w:tc>
        <w:tc>
          <w:tcPr>
            <w:tcW w:w="20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65,930**</w:t>
            </w:r>
          </w:p>
        </w:tc>
        <w:tc>
          <w:tcPr>
            <w:tcW w:w="1440" w:type="dxa"/>
            <w:vAlign w:val="bottom"/>
          </w:tcPr>
          <w:p>
            <w:pPr>
              <w:ind w:left="580"/>
              <w:spacing w:after="0"/>
              <w:rPr>
                <w:sz w:val="20"/>
                <w:szCs w:val="20"/>
                <w:color w:val="auto"/>
              </w:rPr>
            </w:pPr>
            <w:r>
              <w:rPr>
                <w:rFonts w:ascii="Courier New" w:cs="Courier New" w:eastAsia="Courier New" w:hAnsi="Courier New"/>
                <w:sz w:val="16"/>
                <w:szCs w:val="16"/>
                <w:color w:val="auto"/>
              </w:rPr>
              <w:t>1.48%</w:t>
            </w:r>
          </w:p>
        </w:tc>
      </w:tr>
      <w:tr>
        <w:trPr>
          <w:trHeight w:val="185"/>
        </w:trPr>
        <w:tc>
          <w:tcPr>
            <w:tcW w:w="2400" w:type="dxa"/>
            <w:vAlign w:val="bottom"/>
          </w:tcPr>
          <w:p>
            <w:pPr>
              <w:ind w:left="180"/>
              <w:spacing w:after="0"/>
              <w:rPr>
                <w:sz w:val="20"/>
                <w:szCs w:val="20"/>
                <w:color w:val="auto"/>
              </w:rPr>
            </w:pPr>
            <w:r>
              <w:rPr>
                <w:rFonts w:ascii="Courier New" w:cs="Courier New" w:eastAsia="Courier New" w:hAnsi="Courier New"/>
                <w:sz w:val="16"/>
                <w:szCs w:val="16"/>
                <w:color w:val="auto"/>
              </w:rPr>
              <w:t>5755 Kearny Villa Rd.</w:t>
            </w:r>
          </w:p>
        </w:tc>
        <w:tc>
          <w:tcPr>
            <w:tcW w:w="520" w:type="dxa"/>
            <w:vAlign w:val="bottom"/>
          </w:tcPr>
          <w:p>
            <w:pPr>
              <w:spacing w:after="0"/>
              <w:rPr>
                <w:sz w:val="16"/>
                <w:szCs w:val="16"/>
                <w:color w:val="auto"/>
              </w:rPr>
            </w:pPr>
          </w:p>
        </w:tc>
        <w:tc>
          <w:tcPr>
            <w:tcW w:w="3420" w:type="dxa"/>
            <w:vAlign w:val="bottom"/>
          </w:tcPr>
          <w:p>
            <w:pPr>
              <w:ind w:left="160"/>
              <w:spacing w:after="0"/>
              <w:rPr>
                <w:sz w:val="20"/>
                <w:szCs w:val="20"/>
                <w:color w:val="auto"/>
              </w:rPr>
            </w:pPr>
            <w:r>
              <w:rPr>
                <w:rFonts w:ascii="Courier New" w:cs="Courier New" w:eastAsia="Courier New" w:hAnsi="Courier New"/>
                <w:sz w:val="16"/>
                <w:szCs w:val="16"/>
                <w:color w:val="auto"/>
              </w:rPr>
              <w:t>1983; Secretary of the Company</w:t>
            </w:r>
          </w:p>
        </w:tc>
        <w:tc>
          <w:tcPr>
            <w:tcW w:w="10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5"/>
        </w:trPr>
        <w:tc>
          <w:tcPr>
            <w:tcW w:w="2400" w:type="dxa"/>
            <w:vAlign w:val="bottom"/>
          </w:tcPr>
          <w:p>
            <w:pPr>
              <w:ind w:left="180"/>
              <w:spacing w:after="0"/>
              <w:rPr>
                <w:sz w:val="20"/>
                <w:szCs w:val="20"/>
                <w:color w:val="auto"/>
              </w:rPr>
            </w:pPr>
            <w:r>
              <w:rPr>
                <w:rFonts w:ascii="Courier New" w:cs="Courier New" w:eastAsia="Courier New" w:hAnsi="Courier New"/>
                <w:sz w:val="16"/>
                <w:szCs w:val="16"/>
                <w:color w:val="auto"/>
              </w:rPr>
              <w:t>San Diego, CA</w:t>
            </w:r>
          </w:p>
        </w:tc>
        <w:tc>
          <w:tcPr>
            <w:tcW w:w="520" w:type="dxa"/>
            <w:vAlign w:val="bottom"/>
          </w:tcPr>
          <w:p>
            <w:pPr>
              <w:spacing w:after="0"/>
              <w:rPr>
                <w:sz w:val="16"/>
                <w:szCs w:val="16"/>
                <w:color w:val="auto"/>
              </w:rPr>
            </w:pPr>
          </w:p>
        </w:tc>
        <w:tc>
          <w:tcPr>
            <w:tcW w:w="3420" w:type="dxa"/>
            <w:vAlign w:val="bottom"/>
          </w:tcPr>
          <w:p>
            <w:pPr>
              <w:ind w:left="160"/>
              <w:spacing w:after="0"/>
              <w:rPr>
                <w:sz w:val="20"/>
                <w:szCs w:val="20"/>
                <w:color w:val="auto"/>
              </w:rPr>
            </w:pPr>
            <w:r>
              <w:rPr>
                <w:rFonts w:ascii="Courier New" w:cs="Courier New" w:eastAsia="Courier New" w:hAnsi="Courier New"/>
                <w:sz w:val="16"/>
                <w:szCs w:val="16"/>
                <w:color w:val="auto"/>
              </w:rPr>
              <w:t>since 1988</w:t>
            </w:r>
          </w:p>
        </w:tc>
        <w:tc>
          <w:tcPr>
            <w:tcW w:w="10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370"/>
        </w:trPr>
        <w:tc>
          <w:tcPr>
            <w:tcW w:w="2400" w:type="dxa"/>
            <w:vAlign w:val="bottom"/>
          </w:tcPr>
          <w:p>
            <w:pPr>
              <w:spacing w:after="0"/>
              <w:rPr>
                <w:sz w:val="20"/>
                <w:szCs w:val="20"/>
                <w:color w:val="auto"/>
              </w:rPr>
            </w:pPr>
            <w:r>
              <w:rPr>
                <w:rFonts w:ascii="Courier New" w:cs="Courier New" w:eastAsia="Courier New" w:hAnsi="Courier New"/>
                <w:sz w:val="16"/>
                <w:szCs w:val="16"/>
                <w:color w:val="auto"/>
              </w:rPr>
              <w:t>Gene E. Leary</w:t>
            </w:r>
          </w:p>
        </w:tc>
        <w:tc>
          <w:tcPr>
            <w:tcW w:w="520" w:type="dxa"/>
            <w:vAlign w:val="bottom"/>
          </w:tcPr>
          <w:p>
            <w:pPr>
              <w:ind w:left="100"/>
              <w:spacing w:after="0"/>
              <w:rPr>
                <w:sz w:val="20"/>
                <w:szCs w:val="20"/>
                <w:color w:val="auto"/>
              </w:rPr>
            </w:pPr>
            <w:r>
              <w:rPr>
                <w:rFonts w:ascii="Courier New" w:cs="Courier New" w:eastAsia="Courier New" w:hAnsi="Courier New"/>
                <w:sz w:val="16"/>
                <w:szCs w:val="16"/>
                <w:color w:val="auto"/>
              </w:rPr>
              <w:t>74</w:t>
            </w:r>
          </w:p>
        </w:tc>
        <w:tc>
          <w:tcPr>
            <w:tcW w:w="3420" w:type="dxa"/>
            <w:vAlign w:val="bottom"/>
          </w:tcPr>
          <w:p>
            <w:pPr>
              <w:ind w:left="160"/>
              <w:spacing w:after="0"/>
              <w:rPr>
                <w:sz w:val="20"/>
                <w:szCs w:val="20"/>
                <w:color w:val="auto"/>
              </w:rPr>
            </w:pPr>
            <w:r>
              <w:rPr>
                <w:rFonts w:ascii="Courier New" w:cs="Courier New" w:eastAsia="Courier New" w:hAnsi="Courier New"/>
                <w:sz w:val="16"/>
                <w:szCs w:val="16"/>
                <w:color w:val="auto"/>
              </w:rPr>
              <w:t>Retired accounting and data</w:t>
            </w:r>
          </w:p>
        </w:tc>
        <w:tc>
          <w:tcPr>
            <w:tcW w:w="1020" w:type="dxa"/>
            <w:vAlign w:val="bottom"/>
          </w:tcPr>
          <w:p>
            <w:pPr>
              <w:jc w:val="center"/>
              <w:spacing w:after="0"/>
              <w:rPr>
                <w:sz w:val="20"/>
                <w:szCs w:val="20"/>
                <w:color w:val="auto"/>
              </w:rPr>
            </w:pPr>
            <w:r>
              <w:rPr>
                <w:rFonts w:ascii="Courier New" w:cs="Courier New" w:eastAsia="Courier New" w:hAnsi="Courier New"/>
                <w:sz w:val="16"/>
                <w:szCs w:val="16"/>
                <w:color w:val="auto"/>
                <w:w w:val="98"/>
              </w:rPr>
              <w:t>1976</w:t>
            </w:r>
          </w:p>
        </w:tc>
        <w:tc>
          <w:tcPr>
            <w:tcW w:w="20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5,000</w:t>
            </w:r>
          </w:p>
        </w:tc>
        <w:tc>
          <w:tcPr>
            <w:tcW w:w="1440" w:type="dxa"/>
            <w:vAlign w:val="bottom"/>
          </w:tcPr>
          <w:p>
            <w:pPr>
              <w:ind w:left="580"/>
              <w:spacing w:after="0"/>
              <w:rPr>
                <w:sz w:val="20"/>
                <w:szCs w:val="20"/>
                <w:color w:val="auto"/>
              </w:rPr>
            </w:pPr>
            <w:r>
              <w:rPr>
                <w:rFonts w:ascii="Courier New" w:cs="Courier New" w:eastAsia="Courier New" w:hAnsi="Courier New"/>
                <w:sz w:val="16"/>
                <w:szCs w:val="16"/>
                <w:color w:val="auto"/>
              </w:rPr>
              <w:t>(1)</w:t>
            </w:r>
          </w:p>
        </w:tc>
      </w:tr>
      <w:tr>
        <w:trPr>
          <w:trHeight w:val="185"/>
        </w:trPr>
        <w:tc>
          <w:tcPr>
            <w:tcW w:w="2400" w:type="dxa"/>
            <w:vAlign w:val="bottom"/>
          </w:tcPr>
          <w:p>
            <w:pPr>
              <w:ind w:left="180"/>
              <w:spacing w:after="0"/>
              <w:rPr>
                <w:sz w:val="20"/>
                <w:szCs w:val="20"/>
                <w:color w:val="auto"/>
              </w:rPr>
            </w:pPr>
            <w:r>
              <w:rPr>
                <w:rFonts w:ascii="Courier New" w:cs="Courier New" w:eastAsia="Courier New" w:hAnsi="Courier New"/>
                <w:sz w:val="16"/>
                <w:szCs w:val="16"/>
                <w:color w:val="auto"/>
              </w:rPr>
              <w:t>1657 Calle de Cinco</w:t>
            </w:r>
          </w:p>
        </w:tc>
        <w:tc>
          <w:tcPr>
            <w:tcW w:w="520" w:type="dxa"/>
            <w:vAlign w:val="bottom"/>
          </w:tcPr>
          <w:p>
            <w:pPr>
              <w:spacing w:after="0"/>
              <w:rPr>
                <w:sz w:val="16"/>
                <w:szCs w:val="16"/>
                <w:color w:val="auto"/>
              </w:rPr>
            </w:pPr>
          </w:p>
        </w:tc>
        <w:tc>
          <w:tcPr>
            <w:tcW w:w="3420" w:type="dxa"/>
            <w:vAlign w:val="bottom"/>
          </w:tcPr>
          <w:p>
            <w:pPr>
              <w:ind w:left="160"/>
              <w:spacing w:after="0"/>
              <w:rPr>
                <w:sz w:val="20"/>
                <w:szCs w:val="20"/>
                <w:color w:val="auto"/>
              </w:rPr>
            </w:pPr>
            <w:r>
              <w:rPr>
                <w:rFonts w:ascii="Courier New" w:cs="Courier New" w:eastAsia="Courier New" w:hAnsi="Courier New"/>
                <w:sz w:val="16"/>
                <w:szCs w:val="16"/>
                <w:color w:val="auto"/>
              </w:rPr>
              <w:t>processing executive at</w:t>
            </w:r>
          </w:p>
        </w:tc>
        <w:tc>
          <w:tcPr>
            <w:tcW w:w="10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5"/>
        </w:trPr>
        <w:tc>
          <w:tcPr>
            <w:tcW w:w="2400" w:type="dxa"/>
            <w:vAlign w:val="bottom"/>
          </w:tcPr>
          <w:p>
            <w:pPr>
              <w:ind w:left="180"/>
              <w:spacing w:after="0"/>
              <w:rPr>
                <w:sz w:val="20"/>
                <w:szCs w:val="20"/>
                <w:color w:val="auto"/>
              </w:rPr>
            </w:pPr>
            <w:r>
              <w:rPr>
                <w:rFonts w:ascii="Courier New" w:cs="Courier New" w:eastAsia="Courier New" w:hAnsi="Courier New"/>
                <w:sz w:val="16"/>
                <w:szCs w:val="16"/>
                <w:color w:val="auto"/>
              </w:rPr>
              <w:t>La Jolla, CA</w:t>
            </w:r>
          </w:p>
        </w:tc>
        <w:tc>
          <w:tcPr>
            <w:tcW w:w="520" w:type="dxa"/>
            <w:vAlign w:val="bottom"/>
          </w:tcPr>
          <w:p>
            <w:pPr>
              <w:spacing w:after="0"/>
              <w:rPr>
                <w:sz w:val="16"/>
                <w:szCs w:val="16"/>
                <w:color w:val="auto"/>
              </w:rPr>
            </w:pPr>
          </w:p>
        </w:tc>
        <w:tc>
          <w:tcPr>
            <w:tcW w:w="3420" w:type="dxa"/>
            <w:vAlign w:val="bottom"/>
          </w:tcPr>
          <w:p>
            <w:pPr>
              <w:ind w:left="160"/>
              <w:spacing w:after="0"/>
              <w:rPr>
                <w:sz w:val="20"/>
                <w:szCs w:val="20"/>
                <w:color w:val="auto"/>
              </w:rPr>
            </w:pPr>
            <w:r>
              <w:rPr>
                <w:rFonts w:ascii="Courier New" w:cs="Courier New" w:eastAsia="Courier New" w:hAnsi="Courier New"/>
                <w:sz w:val="16"/>
                <w:szCs w:val="16"/>
                <w:color w:val="auto"/>
              </w:rPr>
              <w:t>Honeywell, Inc. and Control</w:t>
            </w:r>
          </w:p>
        </w:tc>
        <w:tc>
          <w:tcPr>
            <w:tcW w:w="10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5"/>
        </w:trPr>
        <w:tc>
          <w:tcPr>
            <w:tcW w:w="2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20" w:type="dxa"/>
            <w:vAlign w:val="bottom"/>
          </w:tcPr>
          <w:p>
            <w:pPr>
              <w:ind w:left="160"/>
              <w:spacing w:after="0"/>
              <w:rPr>
                <w:sz w:val="20"/>
                <w:szCs w:val="20"/>
                <w:color w:val="auto"/>
              </w:rPr>
            </w:pPr>
            <w:r>
              <w:rPr>
                <w:rFonts w:ascii="Courier New" w:cs="Courier New" w:eastAsia="Courier New" w:hAnsi="Courier New"/>
                <w:sz w:val="16"/>
                <w:szCs w:val="16"/>
                <w:color w:val="auto"/>
              </w:rPr>
              <w:t>Data Corp.</w:t>
            </w:r>
          </w:p>
        </w:tc>
        <w:tc>
          <w:tcPr>
            <w:tcW w:w="10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440" w:type="dxa"/>
            <w:vAlign w:val="bottom"/>
          </w:tcPr>
          <w:p>
            <w:pPr>
              <w:spacing w:after="0"/>
              <w:rPr>
                <w:sz w:val="16"/>
                <w:szCs w:val="16"/>
                <w:color w:val="auto"/>
              </w:rPr>
            </w:pPr>
          </w:p>
        </w:tc>
      </w:tr>
    </w:tbl>
    <w:p>
      <w:pPr>
        <w:spacing w:after="0" w:line="376" w:lineRule="exact"/>
        <w:rPr>
          <w:sz w:val="20"/>
          <w:szCs w:val="20"/>
          <w:color w:val="auto"/>
        </w:rPr>
      </w:pPr>
    </w:p>
    <w:p>
      <w:pPr>
        <w:ind w:left="281" w:right="3760" w:hanging="185"/>
        <w:spacing w:after="0" w:line="242" w:lineRule="auto"/>
        <w:tabs>
          <w:tab w:leader="none" w:pos="2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purchase 26,664 shares exercisable within 60 days from March 30, 1995.</w:t>
      </w:r>
    </w:p>
    <w:p>
      <w:pPr>
        <w:spacing w:after="0" w:line="190" w:lineRule="exact"/>
        <w:rPr>
          <w:sz w:val="20"/>
          <w:szCs w:val="20"/>
          <w:color w:val="auto"/>
        </w:rPr>
      </w:pPr>
    </w:p>
    <w:p>
      <w:pPr>
        <w:ind w:left="281" w:right="3760" w:hanging="281"/>
        <w:spacing w:after="0" w:line="242" w:lineRule="auto"/>
        <w:tabs>
          <w:tab w:leader="none" w:pos="2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options to purchase 13,332 shares exercisable within 60 days from March 30,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761"/>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1161"/>
          </w:cols>
          <w:pgMar w:left="319" w:top="300" w:right="419"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DIRECTORS WHOSE TERMS EXPIRE IN 1997 - CLASS 3</w:t>
      </w:r>
    </w:p>
    <w:p>
      <w:pPr>
        <w:sectPr>
          <w:pgSz w:w="11900" w:h="16838" w:orient="portrait"/>
          <w:cols w:equalWidth="0" w:num="1">
            <w:col w:w="11340"/>
          </w:cols>
          <w:pgMar w:left="320" w:top="30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Name and</w:t>
      </w:r>
    </w:p>
    <w:p>
      <w:pPr>
        <w:spacing w:after="0" w:line="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Business Address</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firstLine="674"/>
        <w:spacing w:after="0" w:line="242" w:lineRule="auto"/>
        <w:rPr>
          <w:sz w:val="20"/>
          <w:szCs w:val="20"/>
          <w:color w:val="auto"/>
        </w:rPr>
      </w:pPr>
      <w:r>
        <w:rPr>
          <w:rFonts w:ascii="Courier New" w:cs="Courier New" w:eastAsia="Courier New" w:hAnsi="Courier New"/>
          <w:sz w:val="16"/>
          <w:szCs w:val="16"/>
          <w:color w:val="auto"/>
        </w:rPr>
        <w:t>Principal Occupation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13"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Since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Shares of Common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Beneficially</w:t>
      </w:r>
    </w:p>
    <w:p>
      <w:pPr>
        <w:spacing w:after="0" w:line="4" w:lineRule="exact"/>
        <w:rPr>
          <w:sz w:val="20"/>
          <w:szCs w:val="20"/>
          <w:color w:val="auto"/>
        </w:rPr>
      </w:pPr>
    </w:p>
    <w:p>
      <w:pPr>
        <w:ind w:left="680"/>
        <w:spacing w:after="0"/>
        <w:rPr>
          <w:sz w:val="20"/>
          <w:szCs w:val="20"/>
          <w:color w:val="auto"/>
        </w:rPr>
      </w:pPr>
      <w:r>
        <w:rPr>
          <w:rFonts w:ascii="Courier New" w:cs="Courier New" w:eastAsia="Courier New" w:hAnsi="Courier New"/>
          <w:sz w:val="16"/>
          <w:szCs w:val="16"/>
          <w:color w:val="auto"/>
        </w:rPr>
        <w:t>Owned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Percentage of</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Outstanding</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8" w:lineRule="exact"/>
        <w:rPr>
          <w:sz w:val="20"/>
          <w:szCs w:val="20"/>
          <w:color w:val="auto"/>
        </w:rPr>
      </w:pPr>
    </w:p>
    <w:p>
      <w:pPr>
        <w:sectPr>
          <w:pgSz w:w="11900" w:h="16838" w:orient="portrait"/>
          <w:cols w:equalWidth="0" w:num="6">
            <w:col w:w="2500" w:space="200"/>
            <w:col w:w="280" w:space="380"/>
            <w:col w:w="3180" w:space="300"/>
            <w:col w:w="760" w:space="280"/>
            <w:col w:w="1740" w:space="480"/>
            <w:col w:w="1240"/>
          </w:cols>
          <w:pgMar w:left="320" w:top="300" w:right="239" w:bottom="1440" w:gutter="0" w:footer="0" w:header="0"/>
          <w:type w:val="continuous"/>
        </w:sectPr>
      </w:pPr>
    </w:p>
    <w:p>
      <w:pPr>
        <w:spacing w:after="0" w:line="2"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Frank W. Davis</w:t>
      </w:r>
    </w:p>
    <w:p>
      <w:pPr>
        <w:spacing w:after="0" w:line="20" w:lineRule="exact"/>
        <w:rPr>
          <w:sz w:val="20"/>
          <w:szCs w:val="20"/>
          <w:color w:val="auto"/>
        </w:rPr>
      </w:pPr>
      <w:r>
        <w:rPr>
          <w:sz w:val="20"/>
          <w:szCs w:val="20"/>
          <w:color w:val="auto"/>
        </w:rPr>
        <w:br w:type="column"/>
      </w:r>
    </w:p>
    <w:p>
      <w:pPr>
        <w:spacing w:after="0"/>
        <w:tabs>
          <w:tab w:leader="none" w:pos="560" w:val="left"/>
        </w:tabs>
        <w:rPr>
          <w:sz w:val="20"/>
          <w:szCs w:val="20"/>
          <w:color w:val="auto"/>
        </w:rPr>
      </w:pPr>
      <w:r>
        <w:rPr>
          <w:rFonts w:ascii="Courier New" w:cs="Courier New" w:eastAsia="Courier New" w:hAnsi="Courier New"/>
          <w:sz w:val="15"/>
          <w:szCs w:val="15"/>
          <w:color w:val="auto"/>
        </w:rPr>
        <w:t>80</w:t>
      </w:r>
      <w:r>
        <w:rPr>
          <w:sz w:val="20"/>
          <w:szCs w:val="20"/>
          <w:color w:val="auto"/>
        </w:rPr>
        <w:tab/>
      </w:r>
      <w:r>
        <w:rPr>
          <w:rFonts w:ascii="Courier New" w:cs="Courier New" w:eastAsia="Courier New" w:hAnsi="Courier New"/>
          <w:sz w:val="15"/>
          <w:szCs w:val="15"/>
          <w:color w:val="auto"/>
        </w:rPr>
        <w:t>Retired aerospace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1976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w:t>
      </w:r>
    </w:p>
    <w:p>
      <w:pPr>
        <w:spacing w:after="0" w:line="5" w:lineRule="exact"/>
        <w:rPr>
          <w:sz w:val="20"/>
          <w:szCs w:val="20"/>
          <w:color w:val="auto"/>
        </w:rPr>
      </w:pPr>
    </w:p>
    <w:p>
      <w:pPr>
        <w:sectPr>
          <w:pgSz w:w="11900" w:h="16838" w:orient="portrait"/>
          <w:cols w:equalWidth="0" w:num="5">
            <w:col w:w="1980" w:space="720"/>
            <w:col w:w="3420" w:space="720"/>
            <w:col w:w="900" w:space="720"/>
            <w:col w:w="1300" w:space="720"/>
            <w:col w:w="860"/>
          </w:cols>
          <w:pgMar w:left="320" w:top="300" w:right="239" w:bottom="1440" w:gutter="0" w:footer="0" w:header="0"/>
          <w:type w:val="continuous"/>
        </w:sectPr>
      </w:pPr>
    </w:p>
    <w:p>
      <w:pPr>
        <w:ind w:left="380"/>
        <w:spacing w:after="0"/>
        <w:rPr>
          <w:sz w:val="20"/>
          <w:szCs w:val="20"/>
          <w:color w:val="auto"/>
        </w:rPr>
      </w:pPr>
      <w:r>
        <w:rPr>
          <w:rFonts w:ascii="Courier New" w:cs="Courier New" w:eastAsia="Courier New" w:hAnsi="Courier New"/>
          <w:sz w:val="15"/>
          <w:szCs w:val="15"/>
          <w:color w:val="auto"/>
        </w:rPr>
        <w:t>939 Coast Blvd.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former President of Convair</w:t>
      </w:r>
    </w:p>
    <w:p>
      <w:pPr>
        <w:spacing w:after="0" w:line="13" w:lineRule="exact"/>
        <w:rPr>
          <w:sz w:val="20"/>
          <w:szCs w:val="20"/>
          <w:color w:val="auto"/>
        </w:rPr>
      </w:pPr>
    </w:p>
    <w:p>
      <w:pPr>
        <w:sectPr>
          <w:pgSz w:w="11900" w:h="16838" w:orient="portrait"/>
          <w:cols w:equalWidth="0" w:num="2">
            <w:col w:w="2560" w:space="720"/>
            <w:col w:w="8060"/>
          </w:cols>
          <w:pgMar w:left="320" w:top="300" w:right="239" w:bottom="1440" w:gutter="0" w:footer="0" w:header="0"/>
          <w:type w:val="continuous"/>
        </w:sectPr>
      </w:pPr>
    </w:p>
    <w:p>
      <w:pPr>
        <w:ind w:left="380"/>
        <w:spacing w:after="0"/>
        <w:rPr>
          <w:sz w:val="20"/>
          <w:szCs w:val="20"/>
          <w:color w:val="auto"/>
        </w:rPr>
      </w:pPr>
      <w:r>
        <w:rPr>
          <w:rFonts w:ascii="Courier New" w:cs="Courier New" w:eastAsia="Courier New" w:hAnsi="Courier New"/>
          <w:sz w:val="16"/>
          <w:szCs w:val="16"/>
          <w:color w:val="auto"/>
        </w:rPr>
        <w:t>La Jolla, CA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Aerospace Division of</w:t>
      </w:r>
    </w:p>
    <w:p>
      <w:pPr>
        <w:spacing w:after="0" w:line="5" w:lineRule="exact"/>
        <w:rPr>
          <w:sz w:val="20"/>
          <w:szCs w:val="20"/>
          <w:color w:val="auto"/>
        </w:rPr>
      </w:pPr>
    </w:p>
    <w:p>
      <w:pPr>
        <w:sectPr>
          <w:pgSz w:w="11900" w:h="16838" w:orient="portrait"/>
          <w:cols w:equalWidth="0" w:num="2">
            <w:col w:w="2560" w:space="720"/>
            <w:col w:w="8060"/>
          </w:cols>
          <w:pgMar w:left="320" w:top="300" w:right="239" w:bottom="1440" w:gutter="0" w:footer="0" w:header="0"/>
          <w:type w:val="continuous"/>
        </w:sectPr>
      </w:pPr>
    </w:p>
    <w:p>
      <w:pPr>
        <w:ind w:left="3280"/>
        <w:spacing w:after="0"/>
        <w:rPr>
          <w:sz w:val="20"/>
          <w:szCs w:val="20"/>
          <w:color w:val="auto"/>
        </w:rPr>
      </w:pPr>
      <w:r>
        <w:rPr>
          <w:rFonts w:ascii="Courier New" w:cs="Courier New" w:eastAsia="Courier New" w:hAnsi="Courier New"/>
          <w:sz w:val="15"/>
          <w:szCs w:val="15"/>
          <w:color w:val="auto"/>
        </w:rPr>
        <w:t>General Dynamics</w:t>
      </w:r>
    </w:p>
    <w:p>
      <w:pPr>
        <w:sectPr>
          <w:pgSz w:w="11900" w:h="16838" w:orient="portrait"/>
          <w:cols w:equalWidth="0" w:num="1">
            <w:col w:w="11340"/>
          </w:cols>
          <w:pgMar w:left="320" w:top="300" w:right="239" w:bottom="1440" w:gutter="0" w:footer="0" w:header="0"/>
          <w:type w:val="continuous"/>
        </w:sectPr>
      </w:pPr>
    </w:p>
    <w:p>
      <w:pPr>
        <w:spacing w:after="0" w:line="200"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Harry L. Casari, CPA</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tabs>
          <w:tab w:leader="none" w:pos="560" w:val="left"/>
        </w:tabs>
        <w:rPr>
          <w:sz w:val="20"/>
          <w:szCs w:val="20"/>
          <w:color w:val="auto"/>
        </w:rPr>
      </w:pPr>
      <w:r>
        <w:rPr>
          <w:rFonts w:ascii="Courier New" w:cs="Courier New" w:eastAsia="Courier New" w:hAnsi="Courier New"/>
          <w:sz w:val="15"/>
          <w:szCs w:val="15"/>
          <w:color w:val="auto"/>
        </w:rPr>
        <w:t>58</w:t>
      </w:r>
      <w:r>
        <w:rPr>
          <w:sz w:val="20"/>
          <w:szCs w:val="20"/>
          <w:color w:val="auto"/>
        </w:rPr>
        <w:tab/>
      </w:r>
      <w:r>
        <w:rPr>
          <w:rFonts w:ascii="Courier New" w:cs="Courier New" w:eastAsia="Courier New" w:hAnsi="Courier New"/>
          <w:sz w:val="15"/>
          <w:szCs w:val="15"/>
          <w:color w:val="auto"/>
        </w:rPr>
        <w:t>Retired partner, Ernst &amp; Young LLP</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1995</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ind w:right="820"/>
        <w:spacing w:after="0"/>
        <w:rPr>
          <w:sz w:val="20"/>
          <w:szCs w:val="20"/>
          <w:color w:val="auto"/>
        </w:rPr>
      </w:pPr>
      <w:r>
        <w:rPr>
          <w:rFonts w:ascii="Courier New" w:cs="Courier New" w:eastAsia="Courier New" w:hAnsi="Courier New"/>
          <w:sz w:val="15"/>
          <w:szCs w:val="15"/>
          <w:color w:val="auto"/>
        </w:rPr>
        <w:t>200</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w:t>
      </w:r>
    </w:p>
    <w:p>
      <w:pPr>
        <w:spacing w:after="0" w:line="5" w:lineRule="exact"/>
        <w:rPr>
          <w:sz w:val="20"/>
          <w:szCs w:val="20"/>
          <w:color w:val="auto"/>
        </w:rPr>
      </w:pPr>
    </w:p>
    <w:p>
      <w:pPr>
        <w:sectPr>
          <w:pgSz w:w="11900" w:h="16838" w:orient="portrait"/>
          <w:cols w:equalWidth="0" w:num="5">
            <w:col w:w="2120" w:space="580"/>
            <w:col w:w="3840" w:space="300"/>
            <w:col w:w="1100" w:space="720"/>
            <w:col w:w="1100" w:space="720"/>
            <w:col w:w="860"/>
          </w:cols>
          <w:pgMar w:left="320" w:top="300" w:right="239" w:bottom="1440" w:gutter="0" w:footer="0" w:header="0"/>
          <w:type w:val="continuous"/>
        </w:sectPr>
      </w:pPr>
    </w:p>
    <w:p>
      <w:pPr>
        <w:ind w:left="380"/>
        <w:spacing w:after="0"/>
        <w:rPr>
          <w:sz w:val="20"/>
          <w:szCs w:val="20"/>
          <w:color w:val="auto"/>
        </w:rPr>
      </w:pPr>
      <w:r>
        <w:rPr>
          <w:rFonts w:ascii="Courier New" w:cs="Courier New" w:eastAsia="Courier New" w:hAnsi="Courier New"/>
          <w:sz w:val="15"/>
          <w:szCs w:val="15"/>
          <w:color w:val="auto"/>
        </w:rPr>
        <w:t>1963 Hacienda Circle</w:t>
      </w:r>
    </w:p>
    <w:p>
      <w:pPr>
        <w:spacing w:after="0" w:line="13"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El Cajon, CA</w:t>
      </w:r>
    </w:p>
    <w:p>
      <w:pPr>
        <w:sectPr>
          <w:pgSz w:w="11900" w:h="16838" w:orient="portrait"/>
          <w:cols w:equalWidth="0" w:num="1">
            <w:col w:w="11340"/>
          </w:cols>
          <w:pgMar w:left="320" w:top="300" w:right="239"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right="3740"/>
        <w:spacing w:after="0" w:line="242" w:lineRule="auto"/>
        <w:rPr>
          <w:sz w:val="20"/>
          <w:szCs w:val="20"/>
          <w:color w:val="auto"/>
        </w:rPr>
      </w:pPr>
      <w:r>
        <w:rPr>
          <w:rFonts w:ascii="Courier New" w:cs="Courier New" w:eastAsia="Courier New" w:hAnsi="Courier New"/>
          <w:sz w:val="16"/>
          <w:szCs w:val="16"/>
          <w:color w:val="auto"/>
        </w:rPr>
        <w:t>The total shares owned by all officers and directors as a group are 296,454, or 6.65% of the outstanding shares.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Less than 1%</w:t>
      </w:r>
    </w:p>
    <w:p>
      <w:pPr>
        <w:spacing w:after="0" w:line="374"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BOARD OF DIRECTORS AND COMMITTEES</w:t>
      </w:r>
    </w:p>
    <w:p>
      <w:pPr>
        <w:spacing w:after="0" w:line="37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The Board had eight meetings during the last fiscal year.</w:t>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ORGANIZATION OF THE BOARD OF DIRECTORS</w:t>
      </w:r>
    </w:p>
    <w:p>
      <w:pPr>
        <w:spacing w:after="0" w:line="190" w:lineRule="exact"/>
        <w:rPr>
          <w:sz w:val="20"/>
          <w:szCs w:val="20"/>
          <w:color w:val="auto"/>
        </w:rPr>
      </w:pPr>
    </w:p>
    <w:p>
      <w:pPr>
        <w:ind w:right="3940" w:firstLine="385"/>
        <w:spacing w:after="0" w:line="242" w:lineRule="auto"/>
        <w:rPr>
          <w:sz w:val="20"/>
          <w:szCs w:val="20"/>
          <w:color w:val="auto"/>
        </w:rPr>
      </w:pPr>
      <w:r>
        <w:rPr>
          <w:rFonts w:ascii="Courier New" w:cs="Courier New" w:eastAsia="Courier New" w:hAnsi="Courier New"/>
          <w:sz w:val="16"/>
          <w:szCs w:val="16"/>
          <w:color w:val="auto"/>
        </w:rPr>
        <w:t>The Board of Directors has established two standing committees: the Audit committee and the Executive Compensation Committee.</w:t>
      </w:r>
    </w:p>
    <w:p>
      <w:pPr>
        <w:spacing w:after="0" w:line="5" w:lineRule="exact"/>
        <w:rPr>
          <w:sz w:val="20"/>
          <w:szCs w:val="20"/>
          <w:color w:val="auto"/>
        </w:rPr>
      </w:pPr>
    </w:p>
    <w:p>
      <w:pPr>
        <w:ind w:right="3740" w:firstLine="385"/>
        <w:spacing w:after="0" w:line="244" w:lineRule="auto"/>
        <w:rPr>
          <w:sz w:val="20"/>
          <w:szCs w:val="20"/>
          <w:color w:val="auto"/>
        </w:rPr>
      </w:pPr>
      <w:r>
        <w:rPr>
          <w:rFonts w:ascii="Courier New" w:cs="Courier New" w:eastAsia="Courier New" w:hAnsi="Courier New"/>
          <w:sz w:val="16"/>
          <w:szCs w:val="16"/>
          <w:color w:val="auto"/>
        </w:rPr>
        <w:t>The Audit Committee, composed of Messrs. Leary, Charles L. Blake and Davis, (Mr. Blake retired as a director in 1995) is the principal link between the board and the Company's internal and independent auditors, and monitors internal audit and control procedures. The Audit Committee held 2 meetings last year.</w:t>
      </w:r>
    </w:p>
    <w:p>
      <w:pPr>
        <w:spacing w:after="0" w:line="4" w:lineRule="exact"/>
        <w:rPr>
          <w:sz w:val="20"/>
          <w:szCs w:val="20"/>
          <w:color w:val="auto"/>
        </w:rPr>
      </w:pPr>
    </w:p>
    <w:p>
      <w:pPr>
        <w:ind w:right="3840" w:firstLine="385"/>
        <w:spacing w:after="0" w:line="244" w:lineRule="auto"/>
        <w:rPr>
          <w:sz w:val="20"/>
          <w:szCs w:val="20"/>
          <w:color w:val="auto"/>
        </w:rPr>
      </w:pPr>
      <w:r>
        <w:rPr>
          <w:rFonts w:ascii="Courier New" w:cs="Courier New" w:eastAsia="Courier New" w:hAnsi="Courier New"/>
          <w:sz w:val="16"/>
          <w:szCs w:val="16"/>
          <w:color w:val="auto"/>
        </w:rPr>
        <w:t>The Executive Compensation Committee, consisting of Messrs. Davis, Blake, and Leary, recommends the compensation structure to the Board of Directors for the Officers of the Company and each subsidiary. In addition, this Committee has the responsibility for administration of the Company's stock option and incentive plans. The Executive Compensation Committee held 2 meetings last year.</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COMPENSATION</w:t>
      </w:r>
    </w:p>
    <w:p>
      <w:pPr>
        <w:spacing w:after="0" w:line="190" w:lineRule="exact"/>
        <w:rPr>
          <w:sz w:val="20"/>
          <w:szCs w:val="20"/>
          <w:color w:val="auto"/>
        </w:rPr>
      </w:pPr>
    </w:p>
    <w:p>
      <w:pPr>
        <w:ind w:right="4020" w:firstLine="385"/>
        <w:spacing w:after="0" w:line="243" w:lineRule="auto"/>
        <w:rPr>
          <w:sz w:val="20"/>
          <w:szCs w:val="20"/>
          <w:color w:val="auto"/>
        </w:rPr>
      </w:pPr>
      <w:r>
        <w:rPr>
          <w:rFonts w:ascii="Courier New" w:cs="Courier New" w:eastAsia="Courier New" w:hAnsi="Courier New"/>
          <w:sz w:val="16"/>
          <w:szCs w:val="16"/>
          <w:color w:val="auto"/>
        </w:rPr>
        <w:t>Outside Directors receive (a) an annual retainer of $8,500; (b) $500 per meeting attended in person to a maximum of $2,500 annually; and (c) $1,000 annually for membership on one or more active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340"/>
          </w:cols>
          <w:pgMar w:left="320" w:top="300" w:right="239" w:bottom="1440" w:gutter="0" w:footer="0" w:header="0"/>
          <w:type w:val="continuous"/>
        </w:sectPr>
      </w:pPr>
    </w:p>
    <w:bookmarkStart w:id="5" w:name="page6"/>
    <w:bookmarkEnd w:id="5"/>
    <w:p>
      <w:pPr>
        <w:ind w:left="281"/>
        <w:spacing w:after="0"/>
        <w:rPr>
          <w:sz w:val="20"/>
          <w:szCs w:val="20"/>
          <w:color w:val="auto"/>
        </w:rPr>
      </w:pPr>
      <w:r>
        <w:rPr>
          <w:rFonts w:ascii="Courier New" w:cs="Courier New" w:eastAsia="Courier New" w:hAnsi="Courier New"/>
          <w:sz w:val="16"/>
          <w:szCs w:val="16"/>
          <w:color w:val="auto"/>
        </w:rPr>
        <w:t>6</w:t>
      </w:r>
    </w:p>
    <w:p>
      <w:pPr>
        <w:spacing w:after="0" w:line="4"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COMPENSATION OF EXECUTIVE OFFICERS</w:t>
      </w:r>
    </w:p>
    <w:p>
      <w:pPr>
        <w:spacing w:after="0" w:line="190" w:lineRule="exact"/>
        <w:rPr>
          <w:sz w:val="20"/>
          <w:szCs w:val="20"/>
          <w:color w:val="auto"/>
        </w:rPr>
      </w:pPr>
    </w:p>
    <w:p>
      <w:pPr>
        <w:ind w:left="1" w:right="2639" w:firstLine="385"/>
        <w:spacing w:after="0" w:line="243" w:lineRule="auto"/>
        <w:rPr>
          <w:sz w:val="20"/>
          <w:szCs w:val="20"/>
          <w:color w:val="auto"/>
        </w:rPr>
      </w:pPr>
      <w:r>
        <w:rPr>
          <w:rFonts w:ascii="Courier New" w:cs="Courier New" w:eastAsia="Courier New" w:hAnsi="Courier New"/>
          <w:sz w:val="16"/>
          <w:szCs w:val="16"/>
          <w:color w:val="auto"/>
        </w:rPr>
        <w:t>The following table discloses compensation received by the Company's Chief Executive Officer and the other executive officer whose aggregate cash compensation exceeded $100,000 (the "Named Executive Officers").</w:t>
      </w:r>
    </w:p>
    <w:p>
      <w:pPr>
        <w:spacing w:after="0" w:line="3" w:lineRule="exact"/>
        <w:rPr>
          <w:sz w:val="20"/>
          <w:szCs w:val="20"/>
          <w:color w:val="auto"/>
        </w:rPr>
      </w:pPr>
    </w:p>
    <w:p>
      <w:pPr>
        <w:ind w:left="2601"/>
        <w:spacing w:after="0"/>
        <w:rPr>
          <w:sz w:val="20"/>
          <w:szCs w:val="20"/>
          <w:color w:val="auto"/>
        </w:rPr>
      </w:pPr>
      <w:r>
        <w:rPr>
          <w:rFonts w:ascii="Courier New" w:cs="Courier New" w:eastAsia="Courier New" w:hAnsi="Courier New"/>
          <w:sz w:val="16"/>
          <w:szCs w:val="16"/>
          <w:color w:val="auto"/>
        </w:rPr>
        <w:t>SUMMARY COMPENSATION TABLE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940" w:type="dxa"/>
            <w:vAlign w:val="bottom"/>
          </w:tcPr>
          <w:p>
            <w:pPr>
              <w:ind w:left="500"/>
              <w:spacing w:after="0"/>
              <w:rPr>
                <w:sz w:val="20"/>
                <w:szCs w:val="20"/>
                <w:color w:val="auto"/>
              </w:rPr>
            </w:pPr>
            <w:r>
              <w:rPr>
                <w:rFonts w:ascii="Courier New" w:cs="Courier New" w:eastAsia="Courier New" w:hAnsi="Courier New"/>
                <w:sz w:val="16"/>
                <w:szCs w:val="16"/>
                <w:color w:val="auto"/>
              </w:rPr>
              <w:t>Long Term</w:t>
            </w:r>
          </w:p>
        </w:tc>
        <w:tc>
          <w:tcPr>
            <w:tcW w:w="1720" w:type="dxa"/>
            <w:vAlign w:val="bottom"/>
          </w:tcPr>
          <w:p>
            <w:pPr>
              <w:spacing w:after="0"/>
              <w:rPr>
                <w:sz w:val="15"/>
                <w:szCs w:val="15"/>
                <w:color w:val="auto"/>
              </w:rPr>
            </w:pPr>
          </w:p>
        </w:tc>
      </w:tr>
      <w:tr>
        <w:trPr>
          <w:trHeight w:val="185"/>
        </w:trPr>
        <w:tc>
          <w:tcPr>
            <w:tcW w:w="2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940" w:type="dxa"/>
            <w:vAlign w:val="bottom"/>
          </w:tcPr>
          <w:p>
            <w:pPr>
              <w:ind w:left="400"/>
              <w:spacing w:after="0"/>
              <w:rPr>
                <w:sz w:val="20"/>
                <w:szCs w:val="20"/>
                <w:color w:val="auto"/>
              </w:rPr>
            </w:pPr>
            <w:r>
              <w:rPr>
                <w:rFonts w:ascii="Courier New" w:cs="Courier New" w:eastAsia="Courier New" w:hAnsi="Courier New"/>
                <w:sz w:val="16"/>
                <w:szCs w:val="16"/>
                <w:color w:val="auto"/>
              </w:rPr>
              <w:t>Compensation</w:t>
            </w:r>
          </w:p>
        </w:tc>
        <w:tc>
          <w:tcPr>
            <w:tcW w:w="1720" w:type="dxa"/>
            <w:vAlign w:val="bottom"/>
          </w:tcPr>
          <w:p>
            <w:pPr>
              <w:spacing w:after="0"/>
              <w:rPr>
                <w:sz w:val="16"/>
                <w:szCs w:val="16"/>
                <w:color w:val="auto"/>
              </w:rPr>
            </w:pPr>
          </w:p>
        </w:tc>
      </w:tr>
      <w:tr>
        <w:trPr>
          <w:trHeight w:val="185"/>
        </w:trPr>
        <w:tc>
          <w:tcPr>
            <w:tcW w:w="2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940" w:type="dxa"/>
            <w:vAlign w:val="bottom"/>
          </w:tcPr>
          <w:p>
            <w:pPr>
              <w:ind w:left="680"/>
              <w:spacing w:after="0"/>
              <w:rPr>
                <w:sz w:val="20"/>
                <w:szCs w:val="20"/>
                <w:color w:val="auto"/>
              </w:rPr>
            </w:pPr>
            <w:r>
              <w:rPr>
                <w:rFonts w:ascii="Courier New" w:cs="Courier New" w:eastAsia="Courier New" w:hAnsi="Courier New"/>
                <w:sz w:val="16"/>
                <w:szCs w:val="16"/>
                <w:color w:val="auto"/>
              </w:rPr>
              <w:t>Awards</w:t>
            </w:r>
          </w:p>
        </w:tc>
        <w:tc>
          <w:tcPr>
            <w:tcW w:w="1720" w:type="dxa"/>
            <w:vAlign w:val="bottom"/>
          </w:tcPr>
          <w:p>
            <w:pPr>
              <w:spacing w:after="0"/>
              <w:rPr>
                <w:sz w:val="16"/>
                <w:szCs w:val="16"/>
                <w:color w:val="auto"/>
              </w:rPr>
            </w:pPr>
          </w:p>
        </w:tc>
      </w:tr>
      <w:tr>
        <w:trPr>
          <w:trHeight w:val="185"/>
        </w:trPr>
        <w:tc>
          <w:tcPr>
            <w:tcW w:w="2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jc w:val="right"/>
              <w:ind w:right="680"/>
              <w:spacing w:after="0"/>
              <w:rPr>
                <w:sz w:val="20"/>
                <w:szCs w:val="20"/>
                <w:color w:val="auto"/>
              </w:rPr>
            </w:pPr>
            <w:r>
              <w:rPr>
                <w:rFonts w:ascii="Courier New" w:cs="Courier New" w:eastAsia="Courier New" w:hAnsi="Courier New"/>
                <w:sz w:val="16"/>
                <w:szCs w:val="16"/>
                <w:color w:val="auto"/>
                <w:w w:val="97"/>
              </w:rPr>
              <w:t>Annual</w:t>
            </w:r>
          </w:p>
        </w:tc>
        <w:tc>
          <w:tcPr>
            <w:tcW w:w="194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spacing w:after="0"/>
              <w:rPr>
                <w:sz w:val="16"/>
                <w:szCs w:val="16"/>
                <w:color w:val="auto"/>
              </w:rPr>
            </w:pPr>
          </w:p>
        </w:tc>
      </w:tr>
      <w:tr>
        <w:trPr>
          <w:trHeight w:val="185"/>
        </w:trPr>
        <w:tc>
          <w:tcPr>
            <w:tcW w:w="2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40" w:type="dxa"/>
            <w:vAlign w:val="bottom"/>
            <w:gridSpan w:val="2"/>
          </w:tcPr>
          <w:p>
            <w:pPr>
              <w:jc w:val="right"/>
              <w:ind w:right="480"/>
              <w:spacing w:after="0"/>
              <w:rPr>
                <w:sz w:val="20"/>
                <w:szCs w:val="20"/>
                <w:color w:val="auto"/>
              </w:rPr>
            </w:pPr>
            <w:r>
              <w:rPr>
                <w:rFonts w:ascii="Courier New" w:cs="Courier New" w:eastAsia="Courier New" w:hAnsi="Courier New"/>
                <w:sz w:val="16"/>
                <w:szCs w:val="16"/>
                <w:color w:val="auto"/>
              </w:rPr>
              <w:t>Compensation</w:t>
            </w:r>
          </w:p>
        </w:tc>
        <w:tc>
          <w:tcPr>
            <w:tcW w:w="1940" w:type="dxa"/>
            <w:vAlign w:val="bottom"/>
          </w:tcPr>
          <w:p>
            <w:pPr>
              <w:ind w:left="500"/>
              <w:spacing w:after="0"/>
              <w:rPr>
                <w:sz w:val="20"/>
                <w:szCs w:val="20"/>
                <w:color w:val="auto"/>
              </w:rPr>
            </w:pPr>
            <w:r>
              <w:rPr>
                <w:rFonts w:ascii="Courier New" w:cs="Courier New" w:eastAsia="Courier New" w:hAnsi="Courier New"/>
                <w:sz w:val="16"/>
                <w:szCs w:val="16"/>
                <w:color w:val="auto"/>
              </w:rPr>
              <w:t>Securities</w:t>
            </w:r>
          </w:p>
        </w:tc>
        <w:tc>
          <w:tcPr>
            <w:tcW w:w="1720" w:type="dxa"/>
            <w:vAlign w:val="bottom"/>
          </w:tcPr>
          <w:p>
            <w:pPr>
              <w:spacing w:after="0"/>
              <w:rPr>
                <w:sz w:val="16"/>
                <w:szCs w:val="16"/>
                <w:color w:val="auto"/>
              </w:rPr>
            </w:pPr>
          </w:p>
        </w:tc>
      </w:tr>
      <w:tr>
        <w:trPr>
          <w:trHeight w:val="185"/>
        </w:trPr>
        <w:tc>
          <w:tcPr>
            <w:tcW w:w="2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ind w:left="500"/>
              <w:spacing w:after="0"/>
              <w:rPr>
                <w:sz w:val="20"/>
                <w:szCs w:val="20"/>
                <w:color w:val="auto"/>
              </w:rPr>
            </w:pPr>
            <w:r>
              <w:rPr>
                <w:rFonts w:ascii="Courier New" w:cs="Courier New" w:eastAsia="Courier New" w:hAnsi="Courier New"/>
                <w:sz w:val="16"/>
                <w:szCs w:val="16"/>
                <w:color w:val="auto"/>
              </w:rPr>
              <w:t>Underlying</w:t>
            </w:r>
          </w:p>
        </w:tc>
        <w:tc>
          <w:tcPr>
            <w:tcW w:w="17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All Other</w:t>
            </w:r>
          </w:p>
        </w:tc>
      </w:tr>
      <w:tr>
        <w:trPr>
          <w:trHeight w:val="185"/>
        </w:trPr>
        <w:tc>
          <w:tcPr>
            <w:tcW w:w="2880" w:type="dxa"/>
            <w:vAlign w:val="bottom"/>
          </w:tcPr>
          <w:p>
            <w:pPr>
              <w:spacing w:after="0"/>
              <w:rPr>
                <w:sz w:val="20"/>
                <w:szCs w:val="20"/>
                <w:color w:val="auto"/>
              </w:rPr>
            </w:pPr>
            <w:r>
              <w:rPr>
                <w:rFonts w:ascii="Courier New" w:cs="Courier New" w:eastAsia="Courier New" w:hAnsi="Courier New"/>
                <w:sz w:val="16"/>
                <w:szCs w:val="16"/>
                <w:color w:val="auto"/>
              </w:rPr>
              <w:t>Name and Principal Position</w:t>
            </w:r>
          </w:p>
        </w:tc>
        <w:tc>
          <w:tcPr>
            <w:tcW w:w="820" w:type="dxa"/>
            <w:vAlign w:val="bottom"/>
          </w:tcPr>
          <w:p>
            <w:pPr>
              <w:ind w:left="100"/>
              <w:spacing w:after="0"/>
              <w:rPr>
                <w:sz w:val="20"/>
                <w:szCs w:val="20"/>
                <w:color w:val="auto"/>
              </w:rPr>
            </w:pPr>
            <w:r>
              <w:rPr>
                <w:rFonts w:ascii="Courier New" w:cs="Courier New" w:eastAsia="Courier New" w:hAnsi="Courier New"/>
                <w:sz w:val="16"/>
                <w:szCs w:val="16"/>
                <w:color w:val="auto"/>
              </w:rPr>
              <w:t>Year</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Salary</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Bonus (1)</w:t>
            </w:r>
          </w:p>
        </w:tc>
        <w:tc>
          <w:tcPr>
            <w:tcW w:w="1940" w:type="dxa"/>
            <w:vAlign w:val="bottom"/>
          </w:tcPr>
          <w:p>
            <w:pPr>
              <w:ind w:left="500"/>
              <w:spacing w:after="0"/>
              <w:rPr>
                <w:sz w:val="20"/>
                <w:szCs w:val="20"/>
                <w:color w:val="auto"/>
              </w:rPr>
            </w:pPr>
            <w:r>
              <w:rPr>
                <w:rFonts w:ascii="Courier New" w:cs="Courier New" w:eastAsia="Courier New" w:hAnsi="Courier New"/>
                <w:sz w:val="16"/>
                <w:szCs w:val="16"/>
                <w:color w:val="auto"/>
              </w:rPr>
              <w:t>Options (#)</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Compensation (2)</w:t>
            </w:r>
          </w:p>
        </w:tc>
      </w:tr>
      <w:tr>
        <w:trPr>
          <w:trHeight w:val="185"/>
        </w:trPr>
        <w:tc>
          <w:tcPr>
            <w:tcW w:w="28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ind w:left="340"/>
              <w:spacing w:after="0"/>
              <w:rPr>
                <w:sz w:val="20"/>
                <w:szCs w:val="20"/>
                <w:color w:val="auto"/>
              </w:rPr>
            </w:pPr>
            <w:r>
              <w:rPr>
                <w:rFonts w:ascii="Courier New" w:cs="Courier New" w:eastAsia="Courier New" w:hAnsi="Courier New"/>
                <w:sz w:val="16"/>
                <w:szCs w:val="16"/>
                <w:color w:val="auto"/>
                <w:w w:val="97"/>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2880" w:type="dxa"/>
            <w:vAlign w:val="bottom"/>
          </w:tcPr>
          <w:p>
            <w:pPr>
              <w:spacing w:after="0"/>
              <w:rPr>
                <w:sz w:val="20"/>
                <w:szCs w:val="20"/>
                <w:color w:val="auto"/>
              </w:rPr>
            </w:pPr>
            <w:r>
              <w:rPr>
                <w:rFonts w:ascii="Courier New" w:cs="Courier New" w:eastAsia="Courier New" w:hAnsi="Courier New"/>
                <w:sz w:val="16"/>
                <w:szCs w:val="16"/>
                <w:color w:val="auto"/>
              </w:rPr>
              <w:t>J.W. Barnes</w:t>
            </w:r>
          </w:p>
        </w:tc>
        <w:tc>
          <w:tcPr>
            <w:tcW w:w="820" w:type="dxa"/>
            <w:vAlign w:val="bottom"/>
          </w:tcPr>
          <w:p>
            <w:pPr>
              <w:ind w:left="100"/>
              <w:spacing w:after="0"/>
              <w:rPr>
                <w:sz w:val="20"/>
                <w:szCs w:val="20"/>
                <w:color w:val="auto"/>
              </w:rPr>
            </w:pPr>
            <w:r>
              <w:rPr>
                <w:rFonts w:ascii="Courier New" w:cs="Courier New" w:eastAsia="Courier New" w:hAnsi="Courier New"/>
                <w:sz w:val="16"/>
                <w:szCs w:val="16"/>
                <w:color w:val="auto"/>
              </w:rPr>
              <w:t>1994</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$228,460</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$184,710</w:t>
            </w:r>
          </w:p>
        </w:tc>
        <w:tc>
          <w:tcPr>
            <w:tcW w:w="1940" w:type="dxa"/>
            <w:vAlign w:val="bottom"/>
          </w:tcPr>
          <w:p>
            <w:pPr>
              <w:jc w:val="center"/>
              <w:spacing w:after="0"/>
              <w:rPr>
                <w:sz w:val="20"/>
                <w:szCs w:val="20"/>
                <w:color w:val="auto"/>
              </w:rPr>
            </w:pPr>
            <w:r>
              <w:rPr>
                <w:rFonts w:ascii="Courier New" w:cs="Courier New" w:eastAsia="Courier New" w:hAnsi="Courier New"/>
                <w:sz w:val="16"/>
                <w:szCs w:val="16"/>
                <w:color w:val="auto"/>
              </w:rPr>
              <w:t>40,000</w:t>
            </w:r>
          </w:p>
        </w:tc>
        <w:tc>
          <w:tcPr>
            <w:tcW w:w="17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$14,912</w:t>
            </w:r>
          </w:p>
        </w:tc>
      </w:tr>
      <w:tr>
        <w:trPr>
          <w:trHeight w:val="185"/>
        </w:trPr>
        <w:tc>
          <w:tcPr>
            <w:tcW w:w="2880" w:type="dxa"/>
            <w:vAlign w:val="bottom"/>
          </w:tcPr>
          <w:p>
            <w:pPr>
              <w:spacing w:after="0"/>
              <w:rPr>
                <w:sz w:val="20"/>
                <w:szCs w:val="20"/>
                <w:color w:val="auto"/>
              </w:rPr>
            </w:pPr>
            <w:r>
              <w:rPr>
                <w:rFonts w:ascii="Courier New" w:cs="Courier New" w:eastAsia="Courier New" w:hAnsi="Courier New"/>
                <w:sz w:val="16"/>
                <w:szCs w:val="16"/>
                <w:color w:val="auto"/>
              </w:rPr>
              <w:t>President and Chief Executive</w:t>
            </w:r>
          </w:p>
        </w:tc>
        <w:tc>
          <w:tcPr>
            <w:tcW w:w="820" w:type="dxa"/>
            <w:vAlign w:val="bottom"/>
          </w:tcPr>
          <w:p>
            <w:pPr>
              <w:ind w:left="100"/>
              <w:spacing w:after="0"/>
              <w:rPr>
                <w:sz w:val="20"/>
                <w:szCs w:val="20"/>
                <w:color w:val="auto"/>
              </w:rPr>
            </w:pPr>
            <w:r>
              <w:rPr>
                <w:rFonts w:ascii="Courier New" w:cs="Courier New" w:eastAsia="Courier New" w:hAnsi="Courier New"/>
                <w:sz w:val="16"/>
                <w:szCs w:val="16"/>
                <w:color w:val="auto"/>
              </w:rPr>
              <w:t>1993</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214,231</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157,810</w:t>
            </w:r>
          </w:p>
        </w:tc>
        <w:tc>
          <w:tcPr>
            <w:tcW w:w="1940" w:type="dxa"/>
            <w:vAlign w:val="bottom"/>
          </w:tcPr>
          <w:p>
            <w:pPr>
              <w:jc w:val="center"/>
              <w:spacing w:after="0"/>
              <w:rPr>
                <w:sz w:val="20"/>
                <w:szCs w:val="20"/>
                <w:color w:val="auto"/>
              </w:rPr>
            </w:pPr>
            <w:r>
              <w:rPr>
                <w:rFonts w:ascii="Courier New" w:cs="Courier New" w:eastAsia="Courier New" w:hAnsi="Courier New"/>
                <w:sz w:val="16"/>
                <w:szCs w:val="16"/>
                <w:color w:val="auto"/>
              </w:rPr>
              <w:t>40,000</w:t>
            </w:r>
          </w:p>
        </w:tc>
        <w:tc>
          <w:tcPr>
            <w:tcW w:w="17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8,994</w:t>
            </w:r>
          </w:p>
        </w:tc>
      </w:tr>
      <w:tr>
        <w:trPr>
          <w:trHeight w:val="185"/>
        </w:trPr>
        <w:tc>
          <w:tcPr>
            <w:tcW w:w="2880" w:type="dxa"/>
            <w:vAlign w:val="bottom"/>
          </w:tcPr>
          <w:p>
            <w:pPr>
              <w:spacing w:after="0"/>
              <w:rPr>
                <w:sz w:val="20"/>
                <w:szCs w:val="20"/>
                <w:color w:val="auto"/>
              </w:rPr>
            </w:pPr>
            <w:r>
              <w:rPr>
                <w:rFonts w:ascii="Courier New" w:cs="Courier New" w:eastAsia="Courier New" w:hAnsi="Courier New"/>
                <w:sz w:val="16"/>
                <w:szCs w:val="16"/>
                <w:color w:val="auto"/>
              </w:rPr>
              <w:t>Officer since 1983</w:t>
            </w:r>
          </w:p>
        </w:tc>
        <w:tc>
          <w:tcPr>
            <w:tcW w:w="820" w:type="dxa"/>
            <w:vAlign w:val="bottom"/>
          </w:tcPr>
          <w:p>
            <w:pPr>
              <w:ind w:left="100"/>
              <w:spacing w:after="0"/>
              <w:rPr>
                <w:sz w:val="20"/>
                <w:szCs w:val="20"/>
                <w:color w:val="auto"/>
              </w:rPr>
            </w:pPr>
            <w:r>
              <w:rPr>
                <w:rFonts w:ascii="Courier New" w:cs="Courier New" w:eastAsia="Courier New" w:hAnsi="Courier New"/>
                <w:sz w:val="16"/>
                <w:szCs w:val="16"/>
                <w:color w:val="auto"/>
              </w:rPr>
              <w:t>1992</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199,346</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104,200</w:t>
            </w:r>
          </w:p>
        </w:tc>
        <w:tc>
          <w:tcPr>
            <w:tcW w:w="1940" w:type="dxa"/>
            <w:vAlign w:val="bottom"/>
          </w:tcPr>
          <w:p>
            <w:pPr>
              <w:ind w:left="88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8,728</w:t>
            </w:r>
          </w:p>
        </w:tc>
      </w:tr>
      <w:tr>
        <w:trPr>
          <w:trHeight w:val="370"/>
        </w:trPr>
        <w:tc>
          <w:tcPr>
            <w:tcW w:w="2880" w:type="dxa"/>
            <w:vAlign w:val="bottom"/>
          </w:tcPr>
          <w:p>
            <w:pPr>
              <w:spacing w:after="0"/>
              <w:rPr>
                <w:sz w:val="20"/>
                <w:szCs w:val="20"/>
                <w:color w:val="auto"/>
              </w:rPr>
            </w:pPr>
            <w:r>
              <w:rPr>
                <w:rFonts w:ascii="Courier New" w:cs="Courier New" w:eastAsia="Courier New" w:hAnsi="Courier New"/>
                <w:sz w:val="16"/>
                <w:szCs w:val="16"/>
                <w:color w:val="auto"/>
              </w:rPr>
              <w:t>C.A. Schwan</w:t>
            </w:r>
          </w:p>
        </w:tc>
        <w:tc>
          <w:tcPr>
            <w:tcW w:w="820" w:type="dxa"/>
            <w:vAlign w:val="bottom"/>
          </w:tcPr>
          <w:p>
            <w:pPr>
              <w:ind w:left="100"/>
              <w:spacing w:after="0"/>
              <w:rPr>
                <w:sz w:val="20"/>
                <w:szCs w:val="20"/>
                <w:color w:val="auto"/>
              </w:rPr>
            </w:pPr>
            <w:r>
              <w:rPr>
                <w:rFonts w:ascii="Courier New" w:cs="Courier New" w:eastAsia="Courier New" w:hAnsi="Courier New"/>
                <w:sz w:val="16"/>
                <w:szCs w:val="16"/>
                <w:color w:val="auto"/>
              </w:rPr>
              <w:t>1994</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185,500</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137,236</w:t>
            </w:r>
          </w:p>
        </w:tc>
        <w:tc>
          <w:tcPr>
            <w:tcW w:w="1940" w:type="dxa"/>
            <w:vAlign w:val="bottom"/>
          </w:tcPr>
          <w:p>
            <w:pPr>
              <w:jc w:val="center"/>
              <w:spacing w:after="0"/>
              <w:rPr>
                <w:sz w:val="20"/>
                <w:szCs w:val="20"/>
                <w:color w:val="auto"/>
              </w:rPr>
            </w:pPr>
            <w:r>
              <w:rPr>
                <w:rFonts w:ascii="Courier New" w:cs="Courier New" w:eastAsia="Courier New" w:hAnsi="Courier New"/>
                <w:sz w:val="16"/>
                <w:szCs w:val="16"/>
                <w:color w:val="auto"/>
              </w:rPr>
              <w:t>20,000</w:t>
            </w:r>
          </w:p>
        </w:tc>
        <w:tc>
          <w:tcPr>
            <w:tcW w:w="17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11,159</w:t>
            </w:r>
          </w:p>
        </w:tc>
      </w:tr>
      <w:tr>
        <w:trPr>
          <w:trHeight w:val="185"/>
        </w:trPr>
        <w:tc>
          <w:tcPr>
            <w:tcW w:w="2880" w:type="dxa"/>
            <w:vAlign w:val="bottom"/>
          </w:tcPr>
          <w:p>
            <w:pPr>
              <w:spacing w:after="0"/>
              <w:rPr>
                <w:sz w:val="20"/>
                <w:szCs w:val="20"/>
                <w:color w:val="auto"/>
              </w:rPr>
            </w:pPr>
            <w:r>
              <w:rPr>
                <w:rFonts w:ascii="Courier New" w:cs="Courier New" w:eastAsia="Courier New" w:hAnsi="Courier New"/>
                <w:sz w:val="16"/>
                <w:szCs w:val="16"/>
                <w:color w:val="auto"/>
              </w:rPr>
              <w:t>Vice President-Finance since</w:t>
            </w:r>
          </w:p>
        </w:tc>
        <w:tc>
          <w:tcPr>
            <w:tcW w:w="820" w:type="dxa"/>
            <w:vAlign w:val="bottom"/>
          </w:tcPr>
          <w:p>
            <w:pPr>
              <w:ind w:left="100"/>
              <w:spacing w:after="0"/>
              <w:rPr>
                <w:sz w:val="20"/>
                <w:szCs w:val="20"/>
                <w:color w:val="auto"/>
              </w:rPr>
            </w:pPr>
            <w:r>
              <w:rPr>
                <w:rFonts w:ascii="Courier New" w:cs="Courier New" w:eastAsia="Courier New" w:hAnsi="Courier New"/>
                <w:sz w:val="16"/>
                <w:szCs w:val="16"/>
                <w:color w:val="auto"/>
              </w:rPr>
              <w:t>1993</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163,750</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110,980</w:t>
            </w:r>
          </w:p>
        </w:tc>
        <w:tc>
          <w:tcPr>
            <w:tcW w:w="1940" w:type="dxa"/>
            <w:vAlign w:val="bottom"/>
          </w:tcPr>
          <w:p>
            <w:pPr>
              <w:jc w:val="center"/>
              <w:spacing w:after="0"/>
              <w:rPr>
                <w:sz w:val="20"/>
                <w:szCs w:val="20"/>
                <w:color w:val="auto"/>
              </w:rPr>
            </w:pPr>
            <w:r>
              <w:rPr>
                <w:rFonts w:ascii="Courier New" w:cs="Courier New" w:eastAsia="Courier New" w:hAnsi="Courier New"/>
                <w:sz w:val="16"/>
                <w:szCs w:val="16"/>
                <w:color w:val="auto"/>
              </w:rPr>
              <w:t>20,000</w:t>
            </w:r>
          </w:p>
        </w:tc>
        <w:tc>
          <w:tcPr>
            <w:tcW w:w="17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8,994</w:t>
            </w:r>
          </w:p>
        </w:tc>
      </w:tr>
      <w:tr>
        <w:trPr>
          <w:trHeight w:val="185"/>
        </w:trPr>
        <w:tc>
          <w:tcPr>
            <w:tcW w:w="2880" w:type="dxa"/>
            <w:vAlign w:val="bottom"/>
          </w:tcPr>
          <w:p>
            <w:pPr>
              <w:spacing w:after="0"/>
              <w:rPr>
                <w:sz w:val="20"/>
                <w:szCs w:val="20"/>
                <w:color w:val="auto"/>
              </w:rPr>
            </w:pPr>
            <w:r>
              <w:rPr>
                <w:rFonts w:ascii="Courier New" w:cs="Courier New" w:eastAsia="Courier New" w:hAnsi="Courier New"/>
                <w:sz w:val="16"/>
                <w:szCs w:val="16"/>
                <w:color w:val="auto"/>
              </w:rPr>
              <w:t>1983; Secretary since 1988</w:t>
            </w:r>
          </w:p>
        </w:tc>
        <w:tc>
          <w:tcPr>
            <w:tcW w:w="820" w:type="dxa"/>
            <w:vAlign w:val="bottom"/>
          </w:tcPr>
          <w:p>
            <w:pPr>
              <w:ind w:left="100"/>
              <w:spacing w:after="0"/>
              <w:rPr>
                <w:sz w:val="20"/>
                <w:szCs w:val="20"/>
                <w:color w:val="auto"/>
              </w:rPr>
            </w:pPr>
            <w:r>
              <w:rPr>
                <w:rFonts w:ascii="Courier New" w:cs="Courier New" w:eastAsia="Courier New" w:hAnsi="Courier New"/>
                <w:sz w:val="16"/>
                <w:szCs w:val="16"/>
                <w:color w:val="auto"/>
              </w:rPr>
              <w:t>1992</w:t>
            </w: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154,865</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72,680</w:t>
            </w:r>
          </w:p>
        </w:tc>
        <w:tc>
          <w:tcPr>
            <w:tcW w:w="1940" w:type="dxa"/>
            <w:vAlign w:val="bottom"/>
          </w:tcPr>
          <w:p>
            <w:pPr>
              <w:ind w:left="880"/>
              <w:spacing w:after="0"/>
              <w:rPr>
                <w:sz w:val="20"/>
                <w:szCs w:val="20"/>
                <w:color w:val="auto"/>
              </w:rPr>
            </w:pPr>
            <w:r>
              <w:rPr>
                <w:rFonts w:ascii="Courier New" w:cs="Courier New" w:eastAsia="Courier New" w:hAnsi="Courier New"/>
                <w:sz w:val="16"/>
                <w:szCs w:val="16"/>
                <w:color w:val="auto"/>
              </w:rPr>
              <w:t>-</w:t>
            </w:r>
          </w:p>
        </w:tc>
        <w:tc>
          <w:tcPr>
            <w:tcW w:w="17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7,836</w:t>
            </w:r>
          </w:p>
        </w:tc>
      </w:tr>
    </w:tbl>
    <w:p>
      <w:pPr>
        <w:spacing w:after="0" w:line="190" w:lineRule="exact"/>
        <w:rPr>
          <w:sz w:val="20"/>
          <w:szCs w:val="20"/>
          <w:color w:val="auto"/>
        </w:rPr>
      </w:pPr>
    </w:p>
    <w:p>
      <w:pPr>
        <w:ind w:left="681" w:right="2819" w:hanging="681"/>
        <w:spacing w:after="0" w:line="242" w:lineRule="auto"/>
        <w:tabs>
          <w:tab w:leader="none" w:pos="6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amounts shown in this column reflect payments under the Company's Incentive Bonus Plan for key executives.</w:t>
      </w:r>
    </w:p>
    <w:p>
      <w:pPr>
        <w:spacing w:after="0" w:line="4" w:lineRule="exact"/>
        <w:rPr>
          <w:rFonts w:ascii="Courier New" w:cs="Courier New" w:eastAsia="Courier New" w:hAnsi="Courier New"/>
          <w:sz w:val="16"/>
          <w:szCs w:val="16"/>
          <w:color w:val="auto"/>
        </w:rPr>
      </w:pPr>
    </w:p>
    <w:p>
      <w:pPr>
        <w:ind w:left="681" w:right="2739" w:hanging="681"/>
        <w:spacing w:after="0" w:line="275" w:lineRule="auto"/>
        <w:tabs>
          <w:tab w:leader="none" w:pos="681"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shown in this column reflect Company contributions to the Employee Retirement Plan and the Executive Deferred Compensation Plan.</w:t>
      </w:r>
    </w:p>
    <w:p>
      <w:pPr>
        <w:spacing w:after="0" w:line="166"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INCENTIVE BONUS PLAN. The Company has an incentive bonus plan for key executives, originally adopted in 1978, and continuing in effect for the present fiscal year upon recommendation of the Executive Compensation Committee of the Board. Under the plan, corporate officers may receive incentive compensation based on overall corporate earnings performance, and the principal executive of each division and subsidiary may receive incentive compensation based upon earnings performance of the operations they manage. In each case, the incentive compensation is determined with reference to a pre-tax earnings "target" fixed by the Board, or in the case of divisions and subsidiaries, by the corporate management.</w:t>
      </w:r>
    </w:p>
    <w:p>
      <w:pPr>
        <w:spacing w:after="0" w:line="193"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RETIREMENT PLAN. The Cohu Employee's Retirement Plan was implemented on January 1, 1978. All full time employees who are at least 21 years of age are eligible to enroll in this Plan. The participant may contribute up to 11% of his or her monthly compensation. The Company matches 4% dollar for dollar up to a maximum of $6,000 on earnings of $150,000 per year. The amounts contributed by the Company are vested 10% after one year of participation, another 10% after 2 years, and an additional 20% each year thereafter to the full 100%. None of the contributions nor the accumulated interest is taxable to the participant until withdrawn. The maximum which a participant may contribute is $9,240 annually.</w:t>
      </w:r>
    </w:p>
    <w:p>
      <w:pPr>
        <w:spacing w:after="0" w:line="193"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EXECUTIVE DEFERRED COMPENSATION PLAN. The Company adopted an executive deferred compensation plan in 1994. Under the plan, corporate officers and the principal executives of each division and subsidiary may elect to defer a portion of their current compensation. The Company will then match dollar for dollar up to 4% of the executive's earnings in excess of $150,000 per year. These combined funds may be used by the Company to purchase a specifically designed life insurance policy on the executive's life. The Company is not entitled to a corporate tax deduction until the year in which the executive recognizes taxable income in connection with the plan. However, this plan is designed to compensate the Company for the present value of the deferred tax deduction. Upon the executive's termination of employment, the Company reserves in any policy for that executive an amount which is actuarially sufficient to provide a death benefit equal to the present value of the Company's deferred tax deduction. The remaining cash value of the policy is available for borrowing by the Company for payment to the executive in accordance with a schedule determined in the sole discretion of the Company. Upon the executive' death, any policy proceeds will be paid to the Company. Then the executive's beneficiaries will receive from the Company the amount of the net proceeds (after repayment of all borrowings by the Company), reduced by the present value of any tax deduction deferred by the Company and increased by the value of the Company's tax deduction available as a result of the payment of the net proceeds.</w:t>
      </w:r>
    </w:p>
    <w:p>
      <w:pPr>
        <w:sectPr>
          <w:pgSz w:w="11900" w:h="16838" w:orient="portrait"/>
          <w:cols w:equalWidth="0" w:num="1">
            <w:col w:w="10141"/>
          </w:cols>
          <w:pgMar w:left="319" w:top="300" w:right="1440" w:bottom="6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761"/>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141"/>
          </w:cols>
          <w:pgMar w:left="319" w:top="300" w:right="1440" w:bottom="651" w:gutter="0" w:footer="0" w:header="0"/>
          <w:type w:val="continuous"/>
        </w:sectPr>
      </w:pPr>
    </w:p>
    <w:bookmarkStart w:id="6" w:name="page7"/>
    <w:bookmarkEnd w:id="6"/>
    <w:p>
      <w:pPr>
        <w:ind w:left="281"/>
        <w:spacing w:after="0"/>
        <w:rPr>
          <w:sz w:val="20"/>
          <w:szCs w:val="20"/>
          <w:color w:val="auto"/>
        </w:rPr>
      </w:pPr>
      <w:r>
        <w:rPr>
          <w:rFonts w:ascii="Courier New" w:cs="Courier New" w:eastAsia="Courier New" w:hAnsi="Courier New"/>
          <w:sz w:val="16"/>
          <w:szCs w:val="16"/>
          <w:color w:val="auto"/>
        </w:rPr>
        <w:t>7</w:t>
      </w:r>
    </w:p>
    <w:p>
      <w:pPr>
        <w:spacing w:after="0" w:line="189"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TERMINATION AGREEMENTS</w:t>
      </w:r>
    </w:p>
    <w:p>
      <w:pPr>
        <w:spacing w:after="0" w:line="5" w:lineRule="exact"/>
        <w:rPr>
          <w:sz w:val="20"/>
          <w:szCs w:val="20"/>
          <w:color w:val="auto"/>
        </w:rPr>
      </w:pPr>
    </w:p>
    <w:p>
      <w:pPr>
        <w:ind w:left="1" w:right="2539" w:firstLine="385"/>
        <w:spacing w:after="0" w:line="244" w:lineRule="auto"/>
        <w:rPr>
          <w:sz w:val="20"/>
          <w:szCs w:val="20"/>
          <w:color w:val="auto"/>
        </w:rPr>
      </w:pPr>
      <w:r>
        <w:rPr>
          <w:rFonts w:ascii="Courier New" w:cs="Courier New" w:eastAsia="Courier New" w:hAnsi="Courier New"/>
          <w:sz w:val="16"/>
          <w:szCs w:val="16"/>
          <w:color w:val="auto"/>
        </w:rPr>
        <w:t>The Company has entered into Termination Agreements with Mr. Barnes and Mr. Schwan under which those executives would be entitled to a payment in the event of a termination of employment for specified reasons following a change of control of the Company. For this purpose, a change of control of the Company means a merger or consolidation of the Company (except with a wholly owned subsidiary), a sale by the Company of all or substantially all of its assets, the acquisition of beneficial ownership of a majority of the outstanding voting stock of the Company by any person, entity or affiliated group or a change in the identities of a majority of the directors of the Company within a period of thirty (30) months resulting in whole or in part from the election of persons who were not management nominees. Termination of employment for purposes of the agreement means a discharge of the executive by the Company, other than one for specified causes, including death, disability, wrongful acts, habitual intoxication, habitual neglect of duties or normal retirement. It also includes resignation following the occurrence of an adverse change in the executive's position, duties, compensation or work conditions. The amounts payable under the agreement will change from year to year based on the executive's compensation. In the event of a termination in 1995 and following a change of control, the amounts payable to Mr. Barnes and Mr. Schwan, respectively, would be $953,379 and $628,887.</w:t>
      </w:r>
    </w:p>
    <w:p>
      <w:pPr>
        <w:spacing w:after="0" w:line="199"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OPTION GRANTS IN LAST FISCAL YEAR</w:t>
      </w:r>
    </w:p>
    <w:p>
      <w:pPr>
        <w:spacing w:after="0" w:line="190" w:lineRule="exact"/>
        <w:rPr>
          <w:sz w:val="20"/>
          <w:szCs w:val="20"/>
          <w:color w:val="auto"/>
        </w:rPr>
      </w:pPr>
    </w:p>
    <w:p>
      <w:pPr>
        <w:ind w:left="1" w:right="2739"/>
        <w:spacing w:after="0" w:line="243" w:lineRule="auto"/>
        <w:rPr>
          <w:sz w:val="20"/>
          <w:szCs w:val="20"/>
          <w:color w:val="auto"/>
        </w:rPr>
      </w:pPr>
      <w:r>
        <w:rPr>
          <w:rFonts w:ascii="Courier New" w:cs="Courier New" w:eastAsia="Courier New" w:hAnsi="Courier New"/>
          <w:sz w:val="16"/>
          <w:szCs w:val="16"/>
          <w:color w:val="auto"/>
        </w:rPr>
        <w:t>The following table provides information on grants of options to purchase the Company's Common Stock made to the Named Executive Officers during the year ended December 31, 1994.</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8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Individual Grants</w:t>
            </w:r>
          </w:p>
        </w:tc>
        <w:tc>
          <w:tcPr>
            <w:tcW w:w="150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5"/>
        </w:trPr>
        <w:tc>
          <w:tcPr>
            <w:tcW w:w="1300" w:type="dxa"/>
            <w:vAlign w:val="bottom"/>
          </w:tcPr>
          <w:p>
            <w:pPr>
              <w:spacing w:after="0"/>
              <w:rPr>
                <w:sz w:val="16"/>
                <w:szCs w:val="16"/>
                <w:color w:val="auto"/>
              </w:rPr>
            </w:pPr>
          </w:p>
        </w:tc>
        <w:tc>
          <w:tcPr>
            <w:tcW w:w="7360" w:type="dxa"/>
            <w:vAlign w:val="bottom"/>
            <w:gridSpan w:val="5"/>
          </w:tcPr>
          <w:p>
            <w:pPr>
              <w:ind w:left="140"/>
              <w:spacing w:after="0"/>
              <w:rPr>
                <w:sz w:val="20"/>
                <w:szCs w:val="20"/>
                <w:color w:val="auto"/>
              </w:rPr>
            </w:pPr>
            <w:r>
              <w:rPr>
                <w:rFonts w:ascii="Courier New" w:cs="Courier New" w:eastAsia="Courier New" w:hAnsi="Courier New"/>
                <w:sz w:val="16"/>
                <w:szCs w:val="16"/>
                <w:color w:val="auto"/>
                <w:w w:val="99"/>
              </w:rPr>
              <w:t>---------------------------------------------------------------------------</w:t>
            </w:r>
          </w:p>
        </w:tc>
        <w:tc>
          <w:tcPr>
            <w:tcW w:w="1340" w:type="dxa"/>
            <w:vAlign w:val="bottom"/>
          </w:tcPr>
          <w:p>
            <w:pPr>
              <w:spacing w:after="0"/>
              <w:rPr>
                <w:sz w:val="16"/>
                <w:szCs w:val="16"/>
                <w:color w:val="auto"/>
              </w:rPr>
            </w:pPr>
          </w:p>
        </w:tc>
      </w:tr>
      <w:tr>
        <w:trPr>
          <w:trHeight w:val="185"/>
        </w:trPr>
        <w:tc>
          <w:tcPr>
            <w:tcW w:w="1300" w:type="dxa"/>
            <w:vAlign w:val="bottom"/>
          </w:tcPr>
          <w:p>
            <w:pPr>
              <w:spacing w:after="0"/>
              <w:rPr>
                <w:sz w:val="16"/>
                <w:szCs w:val="16"/>
                <w:color w:val="auto"/>
              </w:rPr>
            </w:pPr>
          </w:p>
        </w:tc>
        <w:tc>
          <w:tcPr>
            <w:tcW w:w="14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Number of</w:t>
            </w:r>
          </w:p>
        </w:tc>
        <w:tc>
          <w:tcPr>
            <w:tcW w:w="16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5"/>
        </w:trPr>
        <w:tc>
          <w:tcPr>
            <w:tcW w:w="1300" w:type="dxa"/>
            <w:vAlign w:val="bottom"/>
          </w:tcPr>
          <w:p>
            <w:pPr>
              <w:spacing w:after="0"/>
              <w:rPr>
                <w:sz w:val="16"/>
                <w:szCs w:val="16"/>
                <w:color w:val="auto"/>
              </w:rPr>
            </w:pPr>
          </w:p>
        </w:tc>
        <w:tc>
          <w:tcPr>
            <w:tcW w:w="14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Securities</w:t>
            </w:r>
          </w:p>
        </w:tc>
        <w:tc>
          <w:tcPr>
            <w:tcW w:w="1620" w:type="dxa"/>
            <w:vAlign w:val="bottom"/>
          </w:tcPr>
          <w:p>
            <w:pPr>
              <w:jc w:val="center"/>
              <w:ind w:right="20"/>
              <w:spacing w:after="0"/>
              <w:rPr>
                <w:sz w:val="20"/>
                <w:szCs w:val="20"/>
                <w:color w:val="auto"/>
              </w:rPr>
            </w:pPr>
            <w:r>
              <w:rPr>
                <w:rFonts w:ascii="Courier New" w:cs="Courier New" w:eastAsia="Courier New" w:hAnsi="Courier New"/>
                <w:sz w:val="16"/>
                <w:szCs w:val="16"/>
                <w:color w:val="auto"/>
                <w:w w:val="99"/>
              </w:rPr>
              <w:t>Percent of</w:t>
            </w:r>
          </w:p>
        </w:tc>
        <w:tc>
          <w:tcPr>
            <w:tcW w:w="1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40" w:type="dxa"/>
            <w:vAlign w:val="bottom"/>
            <w:gridSpan w:val="2"/>
          </w:tcPr>
          <w:p>
            <w:pPr>
              <w:jc w:val="center"/>
              <w:ind w:left="260"/>
              <w:spacing w:after="0"/>
              <w:rPr>
                <w:sz w:val="20"/>
                <w:szCs w:val="20"/>
                <w:color w:val="auto"/>
              </w:rPr>
            </w:pPr>
            <w:r>
              <w:rPr>
                <w:rFonts w:ascii="Courier New" w:cs="Courier New" w:eastAsia="Courier New" w:hAnsi="Courier New"/>
                <w:sz w:val="16"/>
                <w:szCs w:val="16"/>
                <w:color w:val="auto"/>
              </w:rPr>
              <w:t>Potential Realizable Value</w:t>
            </w:r>
          </w:p>
        </w:tc>
      </w:tr>
      <w:tr>
        <w:trPr>
          <w:trHeight w:val="185"/>
        </w:trPr>
        <w:tc>
          <w:tcPr>
            <w:tcW w:w="1300" w:type="dxa"/>
            <w:vAlign w:val="bottom"/>
          </w:tcPr>
          <w:p>
            <w:pPr>
              <w:spacing w:after="0"/>
              <w:rPr>
                <w:sz w:val="16"/>
                <w:szCs w:val="16"/>
                <w:color w:val="auto"/>
              </w:rPr>
            </w:pPr>
          </w:p>
        </w:tc>
        <w:tc>
          <w:tcPr>
            <w:tcW w:w="14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Underlying</w:t>
            </w:r>
          </w:p>
        </w:tc>
        <w:tc>
          <w:tcPr>
            <w:tcW w:w="162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Total Options</w:t>
            </w:r>
          </w:p>
        </w:tc>
        <w:tc>
          <w:tcPr>
            <w:tcW w:w="1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40" w:type="dxa"/>
            <w:vAlign w:val="bottom"/>
            <w:gridSpan w:val="2"/>
          </w:tcPr>
          <w:p>
            <w:pPr>
              <w:jc w:val="center"/>
              <w:ind w:left="260"/>
              <w:spacing w:after="0"/>
              <w:rPr>
                <w:sz w:val="20"/>
                <w:szCs w:val="20"/>
                <w:color w:val="auto"/>
              </w:rPr>
            </w:pPr>
            <w:r>
              <w:rPr>
                <w:rFonts w:ascii="Courier New" w:cs="Courier New" w:eastAsia="Courier New" w:hAnsi="Courier New"/>
                <w:sz w:val="16"/>
                <w:szCs w:val="16"/>
                <w:color w:val="auto"/>
              </w:rPr>
              <w:t>at Assumed Annual Rates of</w:t>
            </w:r>
          </w:p>
        </w:tc>
      </w:tr>
      <w:tr>
        <w:trPr>
          <w:trHeight w:val="185"/>
        </w:trPr>
        <w:tc>
          <w:tcPr>
            <w:tcW w:w="1300" w:type="dxa"/>
            <w:vAlign w:val="bottom"/>
          </w:tcPr>
          <w:p>
            <w:pPr>
              <w:spacing w:after="0"/>
              <w:rPr>
                <w:sz w:val="16"/>
                <w:szCs w:val="16"/>
                <w:color w:val="auto"/>
              </w:rPr>
            </w:pPr>
          </w:p>
        </w:tc>
        <w:tc>
          <w:tcPr>
            <w:tcW w:w="14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Options</w:t>
            </w:r>
          </w:p>
        </w:tc>
        <w:tc>
          <w:tcPr>
            <w:tcW w:w="162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Granted</w:t>
            </w:r>
          </w:p>
        </w:tc>
        <w:tc>
          <w:tcPr>
            <w:tcW w:w="1640" w:type="dxa"/>
            <w:vAlign w:val="bottom"/>
          </w:tcPr>
          <w:p>
            <w:pPr>
              <w:ind w:left="300"/>
              <w:spacing w:after="0"/>
              <w:rPr>
                <w:sz w:val="20"/>
                <w:szCs w:val="20"/>
                <w:color w:val="auto"/>
              </w:rPr>
            </w:pPr>
            <w:r>
              <w:rPr>
                <w:rFonts w:ascii="Courier New" w:cs="Courier New" w:eastAsia="Courier New" w:hAnsi="Courier New"/>
                <w:sz w:val="16"/>
                <w:szCs w:val="16"/>
                <w:color w:val="auto"/>
              </w:rPr>
              <w:t>Exercise or</w:t>
            </w:r>
          </w:p>
        </w:tc>
        <w:tc>
          <w:tcPr>
            <w:tcW w:w="1200" w:type="dxa"/>
            <w:vAlign w:val="bottom"/>
          </w:tcPr>
          <w:p>
            <w:pPr>
              <w:spacing w:after="0"/>
              <w:rPr>
                <w:sz w:val="16"/>
                <w:szCs w:val="16"/>
                <w:color w:val="auto"/>
              </w:rPr>
            </w:pPr>
          </w:p>
        </w:tc>
        <w:tc>
          <w:tcPr>
            <w:tcW w:w="2840" w:type="dxa"/>
            <w:vAlign w:val="bottom"/>
            <w:gridSpan w:val="2"/>
          </w:tcPr>
          <w:p>
            <w:pPr>
              <w:jc w:val="center"/>
              <w:ind w:left="260"/>
              <w:spacing w:after="0"/>
              <w:rPr>
                <w:sz w:val="20"/>
                <w:szCs w:val="20"/>
                <w:color w:val="auto"/>
              </w:rPr>
            </w:pPr>
            <w:r>
              <w:rPr>
                <w:rFonts w:ascii="Courier New" w:cs="Courier New" w:eastAsia="Courier New" w:hAnsi="Courier New"/>
                <w:sz w:val="16"/>
                <w:szCs w:val="16"/>
                <w:color w:val="auto"/>
                <w:w w:val="99"/>
              </w:rPr>
              <w:t>Stock Price Appreciation</w:t>
            </w:r>
          </w:p>
        </w:tc>
      </w:tr>
      <w:tr>
        <w:trPr>
          <w:trHeight w:val="185"/>
        </w:trPr>
        <w:tc>
          <w:tcPr>
            <w:tcW w:w="1300" w:type="dxa"/>
            <w:vAlign w:val="bottom"/>
          </w:tcPr>
          <w:p>
            <w:pPr>
              <w:spacing w:after="0"/>
              <w:rPr>
                <w:sz w:val="16"/>
                <w:szCs w:val="16"/>
                <w:color w:val="auto"/>
              </w:rPr>
            </w:pPr>
          </w:p>
        </w:tc>
        <w:tc>
          <w:tcPr>
            <w:tcW w:w="14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Granted</w:t>
            </w:r>
          </w:p>
        </w:tc>
        <w:tc>
          <w:tcPr>
            <w:tcW w:w="1620" w:type="dxa"/>
            <w:vAlign w:val="bottom"/>
          </w:tcPr>
          <w:p>
            <w:pPr>
              <w:jc w:val="center"/>
              <w:ind w:right="20"/>
              <w:spacing w:after="0"/>
              <w:rPr>
                <w:sz w:val="20"/>
                <w:szCs w:val="20"/>
                <w:color w:val="auto"/>
              </w:rPr>
            </w:pPr>
            <w:r>
              <w:rPr>
                <w:rFonts w:ascii="Courier New" w:cs="Courier New" w:eastAsia="Courier New" w:hAnsi="Courier New"/>
                <w:sz w:val="16"/>
                <w:szCs w:val="16"/>
                <w:color w:val="auto"/>
              </w:rPr>
              <w:t>to Employees</w:t>
            </w:r>
          </w:p>
        </w:tc>
        <w:tc>
          <w:tcPr>
            <w:tcW w:w="1640" w:type="dxa"/>
            <w:vAlign w:val="bottom"/>
          </w:tcPr>
          <w:p>
            <w:pPr>
              <w:ind w:left="300"/>
              <w:spacing w:after="0"/>
              <w:rPr>
                <w:sz w:val="20"/>
                <w:szCs w:val="20"/>
                <w:color w:val="auto"/>
              </w:rPr>
            </w:pPr>
            <w:r>
              <w:rPr>
                <w:rFonts w:ascii="Courier New" w:cs="Courier New" w:eastAsia="Courier New" w:hAnsi="Courier New"/>
                <w:sz w:val="16"/>
                <w:szCs w:val="16"/>
                <w:color w:val="auto"/>
              </w:rPr>
              <w:t>Base Price</w:t>
            </w: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w w:val="99"/>
              </w:rPr>
              <w:t>Expiration</w:t>
            </w:r>
          </w:p>
        </w:tc>
        <w:tc>
          <w:tcPr>
            <w:tcW w:w="2840" w:type="dxa"/>
            <w:vAlign w:val="bottom"/>
            <w:gridSpan w:val="2"/>
          </w:tcPr>
          <w:p>
            <w:pPr>
              <w:jc w:val="right"/>
              <w:ind w:right="200"/>
              <w:spacing w:after="0"/>
              <w:rPr>
                <w:sz w:val="20"/>
                <w:szCs w:val="20"/>
                <w:color w:val="auto"/>
              </w:rPr>
            </w:pPr>
            <w:r>
              <w:rPr>
                <w:rFonts w:ascii="Courier New" w:cs="Courier New" w:eastAsia="Courier New" w:hAnsi="Courier New"/>
                <w:sz w:val="16"/>
                <w:szCs w:val="16"/>
                <w:color w:val="auto"/>
              </w:rPr>
              <w:t>for Option Term (2)</w:t>
            </w:r>
          </w:p>
        </w:tc>
      </w:tr>
      <w:tr>
        <w:trPr>
          <w:trHeight w:val="185"/>
        </w:trPr>
        <w:tc>
          <w:tcPr>
            <w:tcW w:w="130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4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 (1)</w:t>
            </w:r>
          </w:p>
        </w:tc>
        <w:tc>
          <w:tcPr>
            <w:tcW w:w="1620" w:type="dxa"/>
            <w:vAlign w:val="bottom"/>
          </w:tcPr>
          <w:p>
            <w:pPr>
              <w:jc w:val="center"/>
              <w:ind w:right="20"/>
              <w:spacing w:after="0"/>
              <w:rPr>
                <w:sz w:val="20"/>
                <w:szCs w:val="20"/>
                <w:color w:val="auto"/>
              </w:rPr>
            </w:pPr>
            <w:r>
              <w:rPr>
                <w:rFonts w:ascii="Courier New" w:cs="Courier New" w:eastAsia="Courier New" w:hAnsi="Courier New"/>
                <w:sz w:val="16"/>
                <w:szCs w:val="16"/>
                <w:color w:val="auto"/>
              </w:rPr>
              <w:t>in Fiscal Year</w:t>
            </w:r>
          </w:p>
        </w:tc>
        <w:tc>
          <w:tcPr>
            <w:tcW w:w="1640" w:type="dxa"/>
            <w:vAlign w:val="bottom"/>
          </w:tcPr>
          <w:p>
            <w:pPr>
              <w:ind w:left="480"/>
              <w:spacing w:after="0"/>
              <w:rPr>
                <w:sz w:val="20"/>
                <w:szCs w:val="20"/>
                <w:color w:val="auto"/>
              </w:rPr>
            </w:pPr>
            <w:r>
              <w:rPr>
                <w:rFonts w:ascii="Courier New" w:cs="Courier New" w:eastAsia="Courier New" w:hAnsi="Courier New"/>
                <w:sz w:val="16"/>
                <w:szCs w:val="16"/>
                <w:color w:val="auto"/>
              </w:rPr>
              <w:t>($/Sh)</w:t>
            </w: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rPr>
              <w:t>Date</w:t>
            </w:r>
          </w:p>
        </w:tc>
        <w:tc>
          <w:tcPr>
            <w:tcW w:w="15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w:t>
            </w:r>
          </w:p>
        </w:tc>
        <w:tc>
          <w:tcPr>
            <w:tcW w:w="13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w:t>
            </w:r>
          </w:p>
        </w:tc>
      </w:tr>
      <w:tr>
        <w:trPr>
          <w:trHeight w:val="185"/>
        </w:trPr>
        <w:tc>
          <w:tcPr>
            <w:tcW w:w="13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center"/>
              <w:ind w:right="20"/>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5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1300" w:type="dxa"/>
            <w:vAlign w:val="bottom"/>
          </w:tcPr>
          <w:p>
            <w:pPr>
              <w:spacing w:after="0"/>
              <w:rPr>
                <w:sz w:val="20"/>
                <w:szCs w:val="20"/>
                <w:color w:val="auto"/>
              </w:rPr>
            </w:pPr>
            <w:r>
              <w:rPr>
                <w:rFonts w:ascii="Courier New" w:cs="Courier New" w:eastAsia="Courier New" w:hAnsi="Courier New"/>
                <w:sz w:val="16"/>
                <w:szCs w:val="16"/>
                <w:color w:val="auto"/>
              </w:rPr>
              <w:t>J.W. Barnes</w:t>
            </w:r>
          </w:p>
        </w:tc>
        <w:tc>
          <w:tcPr>
            <w:tcW w:w="14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40,000</w:t>
            </w:r>
          </w:p>
        </w:tc>
        <w:tc>
          <w:tcPr>
            <w:tcW w:w="16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16.3%</w:t>
            </w:r>
          </w:p>
        </w:tc>
        <w:tc>
          <w:tcPr>
            <w:tcW w:w="164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$16.13</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7/21/04</w:t>
            </w:r>
          </w:p>
        </w:tc>
        <w:tc>
          <w:tcPr>
            <w:tcW w:w="15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$405,830</w:t>
            </w:r>
          </w:p>
        </w:tc>
        <w:tc>
          <w:tcPr>
            <w:tcW w:w="13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$1,028,448</w:t>
            </w:r>
          </w:p>
        </w:tc>
      </w:tr>
      <w:tr>
        <w:trPr>
          <w:trHeight w:val="185"/>
        </w:trPr>
        <w:tc>
          <w:tcPr>
            <w:tcW w:w="1300" w:type="dxa"/>
            <w:vAlign w:val="bottom"/>
          </w:tcPr>
          <w:p>
            <w:pPr>
              <w:spacing w:after="0"/>
              <w:rPr>
                <w:sz w:val="20"/>
                <w:szCs w:val="20"/>
                <w:color w:val="auto"/>
              </w:rPr>
            </w:pPr>
            <w:r>
              <w:rPr>
                <w:rFonts w:ascii="Courier New" w:cs="Courier New" w:eastAsia="Courier New" w:hAnsi="Courier New"/>
                <w:sz w:val="16"/>
                <w:szCs w:val="16"/>
                <w:color w:val="auto"/>
              </w:rPr>
              <w:t>C.A. Schwan</w:t>
            </w:r>
          </w:p>
        </w:tc>
        <w:tc>
          <w:tcPr>
            <w:tcW w:w="14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20,000</w:t>
            </w:r>
          </w:p>
        </w:tc>
        <w:tc>
          <w:tcPr>
            <w:tcW w:w="162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8.2%</w:t>
            </w:r>
          </w:p>
        </w:tc>
        <w:tc>
          <w:tcPr>
            <w:tcW w:w="1640" w:type="dxa"/>
            <w:vAlign w:val="bottom"/>
          </w:tcPr>
          <w:p>
            <w:pPr>
              <w:jc w:val="right"/>
              <w:ind w:right="580"/>
              <w:spacing w:after="0"/>
              <w:rPr>
                <w:sz w:val="20"/>
                <w:szCs w:val="20"/>
                <w:color w:val="auto"/>
              </w:rPr>
            </w:pPr>
            <w:r>
              <w:rPr>
                <w:rFonts w:ascii="Courier New" w:cs="Courier New" w:eastAsia="Courier New" w:hAnsi="Courier New"/>
                <w:sz w:val="16"/>
                <w:szCs w:val="16"/>
                <w:color w:val="auto"/>
              </w:rPr>
              <w:t>16.13</w:t>
            </w:r>
          </w:p>
        </w:tc>
        <w:tc>
          <w:tcPr>
            <w:tcW w:w="120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7/21/04</w:t>
            </w:r>
          </w:p>
        </w:tc>
        <w:tc>
          <w:tcPr>
            <w:tcW w:w="15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202,915</w:t>
            </w:r>
          </w:p>
        </w:tc>
        <w:tc>
          <w:tcPr>
            <w:tcW w:w="13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514,224</w:t>
            </w:r>
          </w:p>
        </w:tc>
      </w:tr>
    </w:tbl>
    <w:p>
      <w:pPr>
        <w:spacing w:after="0" w:line="190" w:lineRule="exact"/>
        <w:rPr>
          <w:sz w:val="20"/>
          <w:szCs w:val="20"/>
          <w:color w:val="auto"/>
        </w:rPr>
      </w:pPr>
    </w:p>
    <w:p>
      <w:pPr>
        <w:ind w:left="381" w:right="2539" w:hanging="381"/>
        <w:spacing w:after="0" w:line="244" w:lineRule="auto"/>
        <w:tabs>
          <w:tab w:leader="none" w:pos="38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Consists of stock options, which were granted at an exercise price of 100% of the market price of the underlying shares on the date of grant, become exercisable over four years at the rate of approximately one- fourth each year and expire ten years from the date of grant. The options were granted under the Company's 1994 Employee Stock Option Plan and are therefore subject to shareholder approval of the plan at the Annual Meeting. See "Approval of the Cohu, Inc. 1994 Stock Option Plan".</w:t>
      </w:r>
    </w:p>
    <w:p>
      <w:pPr>
        <w:spacing w:after="0" w:line="375" w:lineRule="exact"/>
        <w:rPr>
          <w:rFonts w:ascii="Courier New" w:cs="Courier New" w:eastAsia="Courier New" w:hAnsi="Courier New"/>
          <w:sz w:val="16"/>
          <w:szCs w:val="16"/>
          <w:color w:val="auto"/>
        </w:rPr>
      </w:pPr>
    </w:p>
    <w:p>
      <w:pPr>
        <w:ind w:left="381" w:right="2439" w:hanging="381"/>
        <w:spacing w:after="0" w:line="244" w:lineRule="auto"/>
        <w:tabs>
          <w:tab w:leader="none" w:pos="38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5% and 10% assumed annual rates of stock price appreciation would result from per share prices of $26.28 and $41.84 respectively. Such assumed rates are mandated by rules of the Securities and Exchange Commission and do not represent the Company's forecast of possible future appreciation of the Company's Common Stock or total stockholder return.</w:t>
      </w:r>
    </w:p>
    <w:p>
      <w:pPr>
        <w:spacing w:after="0" w:line="372"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AGGREGATED OPTION EXERCISES IN LAST FISCAL YEAR</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AND FISCAL YEAR-END OPTION VALUES</w:t>
      </w:r>
    </w:p>
    <w:p>
      <w:pPr>
        <w:spacing w:after="0" w:line="190" w:lineRule="exact"/>
        <w:rPr>
          <w:sz w:val="20"/>
          <w:szCs w:val="20"/>
          <w:color w:val="auto"/>
        </w:rPr>
      </w:pPr>
    </w:p>
    <w:p>
      <w:pPr>
        <w:jc w:val="both"/>
        <w:ind w:left="1" w:right="2539" w:firstLine="385"/>
        <w:spacing w:after="0" w:line="244" w:lineRule="auto"/>
        <w:rPr>
          <w:sz w:val="20"/>
          <w:szCs w:val="20"/>
          <w:color w:val="auto"/>
        </w:rPr>
      </w:pPr>
      <w:r>
        <w:rPr>
          <w:rFonts w:ascii="Courier New" w:cs="Courier New" w:eastAsia="Courier New" w:hAnsi="Courier New"/>
          <w:sz w:val="16"/>
          <w:szCs w:val="16"/>
          <w:color w:val="auto"/>
        </w:rPr>
        <w:t>The following table provides information on option exercises in 1994 by the Named Executive Officers and the value of such officers' unexercised options at December 31, 1994. The options were granted under the Company's 1994 Employee Stock Option Plan and are therefore subject to shareholder approval of the plan at the Annual Meeting. See "Approval of the Cohu, Inc. 1994 Stock Option Plan.</w:t>
      </w:r>
    </w:p>
    <w:p>
      <w:pPr>
        <w:sectPr>
          <w:pgSz w:w="11900" w:h="16838" w:orient="portrait"/>
          <w:cols w:equalWidth="0" w:num="1">
            <w:col w:w="10141"/>
          </w:cols>
          <w:pgMar w:left="319" w:top="300" w:right="1440" w:bottom="6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Name</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Shares</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Acquired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Exercise</w:t>
      </w:r>
    </w:p>
    <w:p>
      <w:pPr>
        <w:spacing w:after="0" w:line="4"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Value</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Realized</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 (1)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Number of Unexercised</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Options</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at Fiscal Year-End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Exercisable</w:t>
        <w:tab/>
        <w:t>Unexercisable</w:t>
      </w:r>
    </w:p>
    <w:p>
      <w:pPr>
        <w:spacing w:after="0" w:line="4"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6"/>
          <w:szCs w:val="16"/>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Value of Unexercised</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In-the-Money Options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 Fiscal Year-End ($) (1)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6"/>
          <w:szCs w:val="16"/>
          <w:color w:val="auto"/>
        </w:rPr>
        <w:t>Exercisable</w:t>
      </w:r>
      <w:r>
        <w:rPr>
          <w:sz w:val="20"/>
          <w:szCs w:val="20"/>
          <w:color w:val="auto"/>
        </w:rPr>
        <w:tab/>
      </w:r>
      <w:r>
        <w:rPr>
          <w:rFonts w:ascii="Courier New" w:cs="Courier New" w:eastAsia="Courier New" w:hAnsi="Courier New"/>
          <w:sz w:val="16"/>
          <w:szCs w:val="16"/>
          <w:color w:val="auto"/>
        </w:rPr>
        <w:t>Unexercisable</w:t>
      </w:r>
    </w:p>
    <w:p>
      <w:pPr>
        <w:spacing w:after="0" w:line="4"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89" w:lineRule="exact"/>
        <w:rPr>
          <w:sz w:val="20"/>
          <w:szCs w:val="20"/>
          <w:color w:val="auto"/>
        </w:rPr>
      </w:pPr>
    </w:p>
    <w:p>
      <w:pPr>
        <w:sectPr>
          <w:pgSz w:w="11900" w:h="16838" w:orient="portrait"/>
          <w:cols w:equalWidth="0" w:num="5">
            <w:col w:w="1241" w:space="200"/>
            <w:col w:w="1060" w:space="100"/>
            <w:col w:w="1160" w:space="380"/>
            <w:col w:w="2700" w:space="280"/>
            <w:col w:w="3019"/>
          </w:cols>
          <w:pgMar w:left="319" w:top="300" w:right="1440" w:bottom="61" w:gutter="0" w:footer="0" w:header="0"/>
          <w:type w:val="continuous"/>
        </w:sectPr>
      </w:pPr>
    </w:p>
    <w:p>
      <w:pPr>
        <w:spacing w:after="0" w:line="1" w:lineRule="exact"/>
        <w:rPr>
          <w:sz w:val="20"/>
          <w:szCs w:val="20"/>
          <w:color w:val="auto"/>
        </w:rPr>
      </w:pPr>
    </w:p>
    <w:p>
      <w:pPr>
        <w:ind w:left="1"/>
        <w:spacing w:after="0" w:line="242" w:lineRule="auto"/>
        <w:rPr>
          <w:sz w:val="20"/>
          <w:szCs w:val="20"/>
          <w:color w:val="auto"/>
        </w:rPr>
      </w:pPr>
      <w:r>
        <w:rPr>
          <w:rFonts w:ascii="Courier New" w:cs="Courier New" w:eastAsia="Courier New" w:hAnsi="Courier New"/>
          <w:sz w:val="16"/>
          <w:szCs w:val="16"/>
          <w:color w:val="auto"/>
        </w:rPr>
        <w:t>J.W. Barnes C.A. Schwan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6"/>
          <w:szCs w:val="16"/>
          <w:color w:val="auto"/>
        </w:rPr>
        <w:t>15,000</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2,000</w:t>
      </w:r>
    </w:p>
    <w:p>
      <w:pPr>
        <w:spacing w:after="0" w:line="20" w:lineRule="exact"/>
        <w:rPr>
          <w:sz w:val="20"/>
          <w:szCs w:val="20"/>
          <w:color w:val="auto"/>
        </w:rPr>
      </w:pPr>
      <w:r>
        <w:rPr>
          <w:sz w:val="20"/>
          <w:szCs w:val="20"/>
          <w:color w:val="auto"/>
        </w:rPr>
        <w:br w:type="column"/>
      </w:r>
    </w:p>
    <w:p>
      <w:pPr>
        <w:jc w:val="right"/>
        <w:ind w:right="240"/>
        <w:spacing w:after="0"/>
        <w:rPr>
          <w:sz w:val="20"/>
          <w:szCs w:val="20"/>
          <w:color w:val="auto"/>
        </w:rPr>
      </w:pPr>
      <w:r>
        <w:rPr>
          <w:rFonts w:ascii="Courier New" w:cs="Courier New" w:eastAsia="Courier New" w:hAnsi="Courier New"/>
          <w:sz w:val="15"/>
          <w:szCs w:val="15"/>
          <w:color w:val="auto"/>
        </w:rPr>
        <w:t>195,938</w:t>
      </w:r>
    </w:p>
    <w:p>
      <w:pPr>
        <w:spacing w:after="0" w:line="13" w:lineRule="exact"/>
        <w:rPr>
          <w:sz w:val="20"/>
          <w:szCs w:val="20"/>
          <w:color w:val="auto"/>
        </w:rPr>
      </w:pPr>
    </w:p>
    <w:p>
      <w:pPr>
        <w:jc w:val="right"/>
        <w:ind w:right="240"/>
        <w:spacing w:after="0"/>
        <w:rPr>
          <w:sz w:val="20"/>
          <w:szCs w:val="20"/>
          <w:color w:val="auto"/>
        </w:rPr>
      </w:pPr>
      <w:r>
        <w:rPr>
          <w:rFonts w:ascii="Courier New" w:cs="Courier New" w:eastAsia="Courier New" w:hAnsi="Courier New"/>
          <w:sz w:val="16"/>
          <w:szCs w:val="16"/>
          <w:color w:val="auto"/>
        </w:rPr>
        <w:t>26,125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28,667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22,666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66,667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33,334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384,056</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347,768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449,736</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224,872</w:t>
      </w:r>
    </w:p>
    <w:p>
      <w:pPr>
        <w:spacing w:after="0" w:line="200" w:lineRule="exact"/>
        <w:rPr>
          <w:sz w:val="20"/>
          <w:szCs w:val="20"/>
          <w:color w:val="auto"/>
        </w:rPr>
      </w:pPr>
    </w:p>
    <w:p>
      <w:pPr>
        <w:sectPr>
          <w:pgSz w:w="11900" w:h="16838" w:orient="portrait"/>
          <w:cols w:equalWidth="0" w:num="7">
            <w:col w:w="1061" w:space="480"/>
            <w:col w:w="580" w:space="580"/>
            <w:col w:w="900" w:space="720"/>
            <w:col w:w="920" w:space="720"/>
            <w:col w:w="580" w:space="680"/>
            <w:col w:w="820" w:space="720"/>
            <w:col w:w="1379"/>
          </w:cols>
          <w:pgMar w:left="319" w:top="300" w:right="1440" w:bottom="61" w:gutter="0" w:footer="0" w:header="0"/>
          <w:type w:val="continuous"/>
        </w:sectPr>
      </w:pPr>
    </w:p>
    <w:p>
      <w:pPr>
        <w:ind w:left="381" w:right="2539" w:hanging="381"/>
        <w:spacing w:after="0" w:line="244" w:lineRule="auto"/>
        <w:tabs>
          <w:tab w:leader="none" w:pos="38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on the basis of the fair market value of the Company's Common Stock on the exercise date or at December 31, 1994, minus the aggregate exercise price. The closing price of the Company's Common Stock on December 31, 1994 on NASDAQ was $22.50.</w:t>
      </w:r>
    </w:p>
    <w:p>
      <w:pPr>
        <w:sectPr>
          <w:pgSz w:w="11900" w:h="16838" w:orient="portrait"/>
          <w:cols w:equalWidth="0" w:num="1">
            <w:col w:w="10141"/>
          </w:cols>
          <w:pgMar w:left="319" w:top="300" w:right="1440" w:bottom="61" w:gutter="0" w:footer="0" w:header="0"/>
          <w:type w:val="continuous"/>
        </w:sectPr>
      </w:pPr>
    </w:p>
    <w:bookmarkStart w:id="7" w:name="page8"/>
    <w:bookmarkEnd w:id="7"/>
    <w:p>
      <w:pPr>
        <w:ind w:left="2640"/>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9019"/>
          </w:cols>
          <w:pgMar w:left="1440" w:top="697"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8</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COMPENSATION COMMITTEE REPORT</w:t>
      </w:r>
    </w:p>
    <w:p>
      <w:pPr>
        <w:spacing w:after="0" w:line="190" w:lineRule="exact"/>
        <w:rPr>
          <w:sz w:val="20"/>
          <w:szCs w:val="20"/>
          <w:color w:val="auto"/>
        </w:rPr>
      </w:pPr>
    </w:p>
    <w:p>
      <w:pPr>
        <w:ind w:right="2639" w:firstLine="481"/>
        <w:spacing w:after="0" w:line="244" w:lineRule="auto"/>
        <w:rPr>
          <w:sz w:val="20"/>
          <w:szCs w:val="20"/>
          <w:color w:val="auto"/>
        </w:rPr>
      </w:pPr>
      <w:r>
        <w:rPr>
          <w:rFonts w:ascii="Courier New" w:cs="Courier New" w:eastAsia="Courier New" w:hAnsi="Courier New"/>
          <w:sz w:val="16"/>
          <w:szCs w:val="16"/>
          <w:color w:val="auto"/>
        </w:rPr>
        <w:t>The Compensation Committee of the Board of Directors (the "Committee") generally determines base salary levels for executive level positions prior to the annual stockholders meeting in May. Target incentives for executive level positions are determined at or about the start of the fiscal year and actual bonuses are approved after the end of the fiscal year based upon Company performance. The process involved in the executive compensation determination for fiscal 1994 is summarized below.:</w:t>
      </w:r>
    </w:p>
    <w:p>
      <w:pPr>
        <w:spacing w:after="0" w:line="190" w:lineRule="exact"/>
        <w:rPr>
          <w:sz w:val="20"/>
          <w:szCs w:val="20"/>
          <w:color w:val="auto"/>
        </w:rPr>
      </w:pPr>
    </w:p>
    <w:p>
      <w:pPr>
        <w:ind w:left="680" w:right="2539" w:hanging="200"/>
        <w:spacing w:after="0" w:line="244" w:lineRule="auto"/>
        <w:tabs>
          <w:tab w:leader="none" w:pos="6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April 1994, the Company's chief executive officer developed executive compensation data from a nationally recognized survey for a group of similarly sized high technology companies. The Company's chief financial officer's position as well as the principal executives of each division and subsidiary were matched to comparable survey positions and competitive market compensation levels were determined for base salary. This data was provided to the committee, along with performance evaluations and salary recommendations</w:t>
      </w:r>
    </w:p>
    <w:p>
      <w:pPr>
        <w:spacing w:after="0" w:line="191" w:lineRule="exact"/>
        <w:rPr>
          <w:rFonts w:ascii="Courier New" w:cs="Courier New" w:eastAsia="Courier New" w:hAnsi="Courier New"/>
          <w:sz w:val="16"/>
          <w:szCs w:val="16"/>
          <w:color w:val="auto"/>
        </w:rPr>
      </w:pPr>
    </w:p>
    <w:p>
      <w:pPr>
        <w:ind w:left="680" w:right="2539" w:hanging="200"/>
        <w:spacing w:after="0" w:line="244" w:lineRule="auto"/>
        <w:tabs>
          <w:tab w:leader="none" w:pos="6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May 1994, the chief executive officer reviewed the competitive market data with the Committee for each executive level position and the responsibility level of each position, together with the individual's performance for the last fiscal year and objectives for fiscal 1994. The Company's performance was compared to objectives for the last fiscal year and performance targets for fiscal 1994 were also reviewed.</w:t>
      </w:r>
    </w:p>
    <w:p>
      <w:pPr>
        <w:spacing w:after="0" w:line="189" w:lineRule="exact"/>
        <w:rPr>
          <w:rFonts w:ascii="Courier New" w:cs="Courier New" w:eastAsia="Courier New" w:hAnsi="Courier New"/>
          <w:sz w:val="16"/>
          <w:szCs w:val="16"/>
          <w:color w:val="auto"/>
        </w:rPr>
      </w:pPr>
    </w:p>
    <w:p>
      <w:pPr>
        <w:ind w:left="680" w:right="2539" w:hanging="200"/>
        <w:spacing w:after="0" w:line="244" w:lineRule="auto"/>
        <w:tabs>
          <w:tab w:leader="none" w:pos="6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reviewed the recommendations, performance evaluations and survey data outlined above. After discussion, the Committee approved a base salary level to be effective May 1, 1994, for each executive level position other than the chief executive officer. The Committee reviewed the salary of the chief executive officer and compared it to those in peer positions in companies of similar size and performance. Given this review, the Committee determined that effective May 1, 1994, it was appropriate to increase the chief executive officer's base salary to a level more consistent with the base salaries of other chief executive officers of similarly sized high technology companies.</w:t>
      </w:r>
    </w:p>
    <w:p>
      <w:pPr>
        <w:spacing w:after="0" w:line="192" w:lineRule="exact"/>
        <w:rPr>
          <w:rFonts w:ascii="Courier New" w:cs="Courier New" w:eastAsia="Courier New" w:hAnsi="Courier New"/>
          <w:sz w:val="16"/>
          <w:szCs w:val="16"/>
          <w:color w:val="auto"/>
        </w:rPr>
      </w:pPr>
    </w:p>
    <w:p>
      <w:pPr>
        <w:ind w:left="680" w:right="2539" w:hanging="200"/>
        <w:spacing w:after="0" w:line="244" w:lineRule="auto"/>
        <w:tabs>
          <w:tab w:leader="none" w:pos="6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Incentives for executive level positions are determined according to the Company's Incentive Bonus Plan (the "Incentive Plan"), based upon Company performance. In general, the Incentive Plan performance target objectives must be achieved before any bonuses may be paid to participants.</w:t>
      </w:r>
    </w:p>
    <w:p>
      <w:pPr>
        <w:spacing w:after="0" w:line="188" w:lineRule="exact"/>
        <w:rPr>
          <w:rFonts w:ascii="Courier New" w:cs="Courier New" w:eastAsia="Courier New" w:hAnsi="Courier New"/>
          <w:sz w:val="16"/>
          <w:szCs w:val="16"/>
          <w:color w:val="auto"/>
        </w:rPr>
      </w:pPr>
    </w:p>
    <w:p>
      <w:pPr>
        <w:ind w:left="680" w:right="2639" w:hanging="200"/>
        <w:spacing w:after="0" w:line="244" w:lineRule="auto"/>
        <w:tabs>
          <w:tab w:leader="none" w:pos="6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February 1995, the Committee reviewed and approved incentive awards for 1994 for all eligible participants in the Company's Incentive Plan. The bonus was based upon actual Company performance compared to the target which followed the process and formula outlined in the Incentive Plan. Based on the Company's year-end financial results, the threshold performance levels of both the earnings and revenue objectives were exceeded.</w:t>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SUBMITTED BY THE COMPENSATION COMMITTEE OF THE COMPANY'S BOARD OF DIRECTORS:</w:t>
      </w:r>
    </w:p>
    <w:p>
      <w:pPr>
        <w:spacing w:after="0" w:line="189" w:lineRule="exact"/>
        <w:rPr>
          <w:sz w:val="20"/>
          <w:szCs w:val="20"/>
          <w:color w:val="auto"/>
        </w:rPr>
      </w:pPr>
    </w:p>
    <w:p>
      <w:pPr>
        <w:ind w:left="380"/>
        <w:spacing w:after="0"/>
        <w:tabs>
          <w:tab w:leader="none" w:pos="2760" w:val="left"/>
          <w:tab w:leader="none" w:pos="5460" w:val="left"/>
        </w:tabs>
        <w:rPr>
          <w:sz w:val="20"/>
          <w:szCs w:val="20"/>
          <w:color w:val="auto"/>
        </w:rPr>
      </w:pPr>
      <w:r>
        <w:rPr>
          <w:rFonts w:ascii="Courier New" w:cs="Courier New" w:eastAsia="Courier New" w:hAnsi="Courier New"/>
          <w:sz w:val="16"/>
          <w:szCs w:val="16"/>
          <w:color w:val="auto"/>
        </w:rPr>
        <w:t>Frank W. Davis</w:t>
      </w:r>
      <w:r>
        <w:rPr>
          <w:sz w:val="20"/>
          <w:szCs w:val="20"/>
          <w:color w:val="auto"/>
        </w:rPr>
        <w:tab/>
      </w:r>
      <w:r>
        <w:rPr>
          <w:rFonts w:ascii="Courier New" w:cs="Courier New" w:eastAsia="Courier New" w:hAnsi="Courier New"/>
          <w:sz w:val="16"/>
          <w:szCs w:val="16"/>
          <w:color w:val="auto"/>
        </w:rPr>
        <w:t>Charles L. Blake</w:t>
      </w:r>
      <w:r>
        <w:rPr>
          <w:sz w:val="20"/>
          <w:szCs w:val="20"/>
          <w:color w:val="auto"/>
        </w:rPr>
        <w:tab/>
      </w:r>
      <w:r>
        <w:rPr>
          <w:rFonts w:ascii="Courier New" w:cs="Courier New" w:eastAsia="Courier New" w:hAnsi="Courier New"/>
          <w:sz w:val="16"/>
          <w:szCs w:val="16"/>
          <w:color w:val="auto"/>
        </w:rPr>
        <w:t>Gene E. Leary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139"/>
          </w:cols>
          <w:pgMar w:left="320" w:top="300"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9</w:t>
      </w:r>
    </w:p>
    <w:p>
      <w:pPr>
        <w:spacing w:after="0" w:line="4"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COMPARATIVE STOCK PERFORMANCE GRAPH</w:t>
      </w:r>
    </w:p>
    <w:p>
      <w:pPr>
        <w:spacing w:after="0" w:line="190" w:lineRule="exact"/>
        <w:rPr>
          <w:sz w:val="20"/>
          <w:szCs w:val="20"/>
          <w:color w:val="auto"/>
        </w:rPr>
      </w:pPr>
    </w:p>
    <w:p>
      <w:pPr>
        <w:ind w:right="2539" w:firstLine="481"/>
        <w:spacing w:after="0" w:line="244" w:lineRule="auto"/>
        <w:rPr>
          <w:sz w:val="20"/>
          <w:szCs w:val="20"/>
          <w:color w:val="auto"/>
        </w:rPr>
      </w:pPr>
      <w:r>
        <w:rPr>
          <w:rFonts w:ascii="Courier New" w:cs="Courier New" w:eastAsia="Courier New" w:hAnsi="Courier New"/>
          <w:sz w:val="16"/>
          <w:szCs w:val="16"/>
          <w:color w:val="auto"/>
        </w:rPr>
        <w:t>The graph below compares the cumulative total shareholder return on the Common Stock of the Company for the last five fiscal years with the cumulative total return on the Amex Market Index and a Peer Group Index over the same period (assuming the investment of $100 in the Company's Common Stock, Peer Group Index and NASDAQ Market Index on January 1, 1990, and reinvestment of all dividends).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FISCAL YEAR ENDING</w:t>
            </w:r>
          </w:p>
        </w:tc>
        <w:tc>
          <w:tcPr>
            <w:tcW w:w="9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5"/>
        </w:trPr>
        <w:tc>
          <w:tcPr>
            <w:tcW w:w="1980" w:type="dxa"/>
            <w:vAlign w:val="bottom"/>
          </w:tcPr>
          <w:p>
            <w:pPr>
              <w:spacing w:after="0"/>
              <w:rPr>
                <w:sz w:val="16"/>
                <w:szCs w:val="16"/>
                <w:color w:val="auto"/>
              </w:rPr>
            </w:pPr>
          </w:p>
        </w:tc>
        <w:tc>
          <w:tcPr>
            <w:tcW w:w="5240" w:type="dxa"/>
            <w:vAlign w:val="bottom"/>
            <w:gridSpan w:val="6"/>
          </w:tcPr>
          <w:p>
            <w:pPr>
              <w:ind w:left="140"/>
              <w:spacing w:after="0"/>
              <w:rPr>
                <w:sz w:val="20"/>
                <w:szCs w:val="20"/>
                <w:color w:val="auto"/>
              </w:rPr>
            </w:pPr>
            <w:r>
              <w:rPr>
                <w:rFonts w:ascii="Courier New" w:cs="Courier New" w:eastAsia="Courier New" w:hAnsi="Courier New"/>
                <w:sz w:val="16"/>
                <w:szCs w:val="16"/>
                <w:color w:val="auto"/>
              </w:rPr>
              <w:t>---------------------------------------------------</w:t>
            </w:r>
          </w:p>
        </w:tc>
      </w:tr>
      <w:tr>
        <w:trPr>
          <w:trHeight w:val="185"/>
        </w:trPr>
        <w:tc>
          <w:tcPr>
            <w:tcW w:w="1980" w:type="dxa"/>
            <w:vAlign w:val="bottom"/>
          </w:tcPr>
          <w:p>
            <w:pPr>
              <w:spacing w:after="0"/>
              <w:rPr>
                <w:sz w:val="20"/>
                <w:szCs w:val="20"/>
                <w:color w:val="auto"/>
              </w:rPr>
            </w:pPr>
            <w:r>
              <w:rPr>
                <w:rFonts w:ascii="Courier New" w:cs="Courier New" w:eastAsia="Courier New" w:hAnsi="Courier New"/>
                <w:sz w:val="16"/>
                <w:szCs w:val="16"/>
                <w:color w:val="auto"/>
              </w:rPr>
              <w:t>Company</w:t>
            </w:r>
          </w:p>
        </w:tc>
        <w:tc>
          <w:tcPr>
            <w:tcW w:w="660" w:type="dxa"/>
            <w:vAlign w:val="bottom"/>
          </w:tcPr>
          <w:p>
            <w:pPr>
              <w:ind w:left="140"/>
              <w:spacing w:after="0"/>
              <w:rPr>
                <w:sz w:val="20"/>
                <w:szCs w:val="20"/>
                <w:color w:val="auto"/>
              </w:rPr>
            </w:pPr>
            <w:r>
              <w:rPr>
                <w:rFonts w:ascii="Courier New" w:cs="Courier New" w:eastAsia="Courier New" w:hAnsi="Courier New"/>
                <w:sz w:val="16"/>
                <w:szCs w:val="16"/>
                <w:color w:val="auto"/>
              </w:rPr>
              <w:t>1989</w:t>
            </w: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1990</w:t>
            </w:r>
          </w:p>
        </w:tc>
        <w:tc>
          <w:tcPr>
            <w:tcW w:w="1060" w:type="dxa"/>
            <w:vAlign w:val="bottom"/>
          </w:tcPr>
          <w:p>
            <w:pPr>
              <w:jc w:val="center"/>
              <w:ind w:left="20"/>
              <w:spacing w:after="0"/>
              <w:rPr>
                <w:sz w:val="20"/>
                <w:szCs w:val="20"/>
                <w:color w:val="auto"/>
              </w:rPr>
            </w:pPr>
            <w:r>
              <w:rPr>
                <w:rFonts w:ascii="Courier New" w:cs="Courier New" w:eastAsia="Courier New" w:hAnsi="Courier New"/>
                <w:sz w:val="16"/>
                <w:szCs w:val="16"/>
                <w:color w:val="auto"/>
              </w:rPr>
              <w:t>1991</w:t>
            </w:r>
          </w:p>
        </w:tc>
        <w:tc>
          <w:tcPr>
            <w:tcW w:w="960" w:type="dxa"/>
            <w:vAlign w:val="bottom"/>
          </w:tcPr>
          <w:p>
            <w:pPr>
              <w:ind w:left="200"/>
              <w:spacing w:after="0"/>
              <w:rPr>
                <w:sz w:val="20"/>
                <w:szCs w:val="20"/>
                <w:color w:val="auto"/>
              </w:rPr>
            </w:pPr>
            <w:r>
              <w:rPr>
                <w:rFonts w:ascii="Courier New" w:cs="Courier New" w:eastAsia="Courier New" w:hAnsi="Courier New"/>
                <w:sz w:val="16"/>
                <w:szCs w:val="16"/>
                <w:color w:val="auto"/>
              </w:rPr>
              <w:t>1992</w:t>
            </w:r>
          </w:p>
        </w:tc>
        <w:tc>
          <w:tcPr>
            <w:tcW w:w="960" w:type="dxa"/>
            <w:vAlign w:val="bottom"/>
          </w:tcPr>
          <w:p>
            <w:pPr>
              <w:ind w:left="200"/>
              <w:spacing w:after="0"/>
              <w:rPr>
                <w:sz w:val="20"/>
                <w:szCs w:val="20"/>
                <w:color w:val="auto"/>
              </w:rPr>
            </w:pPr>
            <w:r>
              <w:rPr>
                <w:rFonts w:ascii="Courier New" w:cs="Courier New" w:eastAsia="Courier New" w:hAnsi="Courier New"/>
                <w:sz w:val="16"/>
                <w:szCs w:val="16"/>
                <w:color w:val="auto"/>
              </w:rPr>
              <w:t>1993</w:t>
            </w:r>
          </w:p>
        </w:tc>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1994</w:t>
            </w:r>
          </w:p>
        </w:tc>
      </w:tr>
      <w:tr>
        <w:trPr>
          <w:trHeight w:val="185"/>
        </w:trPr>
        <w:tc>
          <w:tcPr>
            <w:tcW w:w="19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center"/>
              <w:ind w:left="2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r>
      <w:tr>
        <w:trPr>
          <w:trHeight w:val="555"/>
        </w:trPr>
        <w:tc>
          <w:tcPr>
            <w:tcW w:w="1980" w:type="dxa"/>
            <w:vAlign w:val="bottom"/>
          </w:tcPr>
          <w:p>
            <w:pPr>
              <w:spacing w:after="0"/>
              <w:rPr>
                <w:sz w:val="20"/>
                <w:szCs w:val="20"/>
                <w:color w:val="auto"/>
              </w:rPr>
            </w:pPr>
            <w:r>
              <w:rPr>
                <w:rFonts w:ascii="Courier New" w:cs="Courier New" w:eastAsia="Courier New" w:hAnsi="Courier New"/>
                <w:sz w:val="16"/>
                <w:szCs w:val="16"/>
                <w:color w:val="auto"/>
              </w:rPr>
              <w:t>Cohu, Inc.</w:t>
            </w:r>
          </w:p>
        </w:tc>
        <w:tc>
          <w:tcPr>
            <w:tcW w:w="660" w:type="dxa"/>
            <w:vAlign w:val="bottom"/>
          </w:tcPr>
          <w:p>
            <w:pPr>
              <w:ind w:left="140"/>
              <w:spacing w:after="0"/>
              <w:rPr>
                <w:sz w:val="20"/>
                <w:szCs w:val="20"/>
                <w:color w:val="auto"/>
              </w:rPr>
            </w:pPr>
            <w:r>
              <w:rPr>
                <w:rFonts w:ascii="Courier New" w:cs="Courier New" w:eastAsia="Courier New" w:hAnsi="Courier New"/>
                <w:sz w:val="16"/>
                <w:szCs w:val="16"/>
                <w:color w:val="auto"/>
              </w:rPr>
              <w:t>100</w:t>
            </w:r>
          </w:p>
        </w:tc>
        <w:tc>
          <w:tcPr>
            <w:tcW w:w="820" w:type="dxa"/>
            <w:vAlign w:val="bottom"/>
          </w:tcPr>
          <w:p>
            <w:pPr>
              <w:ind w:left="140"/>
              <w:spacing w:after="0"/>
              <w:rPr>
                <w:sz w:val="20"/>
                <w:szCs w:val="20"/>
                <w:color w:val="auto"/>
              </w:rPr>
            </w:pPr>
            <w:r>
              <w:rPr>
                <w:rFonts w:ascii="Courier New" w:cs="Courier New" w:eastAsia="Courier New" w:hAnsi="Courier New"/>
                <w:sz w:val="16"/>
                <w:szCs w:val="16"/>
                <w:color w:val="auto"/>
              </w:rPr>
              <w:t>111.10</w:t>
            </w:r>
          </w:p>
        </w:tc>
        <w:tc>
          <w:tcPr>
            <w:tcW w:w="106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7"/>
              </w:rPr>
              <w:t>136.14</w:t>
            </w:r>
          </w:p>
        </w:tc>
        <w:tc>
          <w:tcPr>
            <w:tcW w:w="960" w:type="dxa"/>
            <w:vAlign w:val="bottom"/>
          </w:tcPr>
          <w:p>
            <w:pPr>
              <w:ind w:left="200"/>
              <w:spacing w:after="0"/>
              <w:rPr>
                <w:sz w:val="20"/>
                <w:szCs w:val="20"/>
                <w:color w:val="auto"/>
              </w:rPr>
            </w:pPr>
            <w:r>
              <w:rPr>
                <w:rFonts w:ascii="Courier New" w:cs="Courier New" w:eastAsia="Courier New" w:hAnsi="Courier New"/>
                <w:sz w:val="16"/>
                <w:szCs w:val="16"/>
                <w:color w:val="auto"/>
              </w:rPr>
              <w:t>151.45</w:t>
            </w:r>
          </w:p>
        </w:tc>
        <w:tc>
          <w:tcPr>
            <w:tcW w:w="960" w:type="dxa"/>
            <w:vAlign w:val="bottom"/>
          </w:tcPr>
          <w:p>
            <w:pPr>
              <w:ind w:left="200"/>
              <w:spacing w:after="0"/>
              <w:rPr>
                <w:sz w:val="20"/>
                <w:szCs w:val="20"/>
                <w:color w:val="auto"/>
              </w:rPr>
            </w:pPr>
            <w:r>
              <w:rPr>
                <w:rFonts w:ascii="Courier New" w:cs="Courier New" w:eastAsia="Courier New" w:hAnsi="Courier New"/>
                <w:sz w:val="16"/>
                <w:szCs w:val="16"/>
                <w:color w:val="auto"/>
              </w:rPr>
              <w:t>435.25</w:t>
            </w:r>
          </w:p>
        </w:tc>
        <w:tc>
          <w:tcPr>
            <w:tcW w:w="780" w:type="dxa"/>
            <w:vAlign w:val="bottom"/>
          </w:tcPr>
          <w:p>
            <w:pPr>
              <w:ind w:left="200"/>
              <w:spacing w:after="0"/>
              <w:rPr>
                <w:sz w:val="20"/>
                <w:szCs w:val="20"/>
                <w:color w:val="auto"/>
              </w:rPr>
            </w:pPr>
            <w:r>
              <w:rPr>
                <w:rFonts w:ascii="Courier New" w:cs="Courier New" w:eastAsia="Courier New" w:hAnsi="Courier New"/>
                <w:sz w:val="16"/>
                <w:szCs w:val="16"/>
                <w:color w:val="auto"/>
                <w:w w:val="97"/>
              </w:rPr>
              <w:t>518.57</w:t>
            </w:r>
          </w:p>
        </w:tc>
      </w:tr>
      <w:tr>
        <w:trPr>
          <w:trHeight w:val="185"/>
        </w:trPr>
        <w:tc>
          <w:tcPr>
            <w:tcW w:w="1980" w:type="dxa"/>
            <w:vAlign w:val="bottom"/>
          </w:tcPr>
          <w:p>
            <w:pPr>
              <w:spacing w:after="0"/>
              <w:rPr>
                <w:sz w:val="20"/>
                <w:szCs w:val="20"/>
                <w:color w:val="auto"/>
              </w:rPr>
            </w:pPr>
            <w:r>
              <w:rPr>
                <w:rFonts w:ascii="Courier New" w:cs="Courier New" w:eastAsia="Courier New" w:hAnsi="Courier New"/>
                <w:sz w:val="16"/>
                <w:szCs w:val="16"/>
                <w:color w:val="auto"/>
              </w:rPr>
              <w:t>MS Group Index</w:t>
            </w:r>
          </w:p>
        </w:tc>
        <w:tc>
          <w:tcPr>
            <w:tcW w:w="660" w:type="dxa"/>
            <w:vAlign w:val="bottom"/>
          </w:tcPr>
          <w:p>
            <w:pPr>
              <w:ind w:left="140"/>
              <w:spacing w:after="0"/>
              <w:rPr>
                <w:sz w:val="20"/>
                <w:szCs w:val="20"/>
                <w:color w:val="auto"/>
              </w:rPr>
            </w:pPr>
            <w:r>
              <w:rPr>
                <w:rFonts w:ascii="Courier New" w:cs="Courier New" w:eastAsia="Courier New" w:hAnsi="Courier New"/>
                <w:sz w:val="16"/>
                <w:szCs w:val="16"/>
                <w:color w:val="auto"/>
              </w:rPr>
              <w:t>100</w:t>
            </w: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97.26</w:t>
            </w:r>
          </w:p>
        </w:tc>
        <w:tc>
          <w:tcPr>
            <w:tcW w:w="106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7"/>
              </w:rPr>
              <w:t>121.17</w:t>
            </w:r>
          </w:p>
        </w:tc>
        <w:tc>
          <w:tcPr>
            <w:tcW w:w="960" w:type="dxa"/>
            <w:vAlign w:val="bottom"/>
          </w:tcPr>
          <w:p>
            <w:pPr>
              <w:ind w:left="200"/>
              <w:spacing w:after="0"/>
              <w:rPr>
                <w:sz w:val="20"/>
                <w:szCs w:val="20"/>
                <w:color w:val="auto"/>
              </w:rPr>
            </w:pPr>
            <w:r>
              <w:rPr>
                <w:rFonts w:ascii="Courier New" w:cs="Courier New" w:eastAsia="Courier New" w:hAnsi="Courier New"/>
                <w:sz w:val="16"/>
                <w:szCs w:val="16"/>
                <w:color w:val="auto"/>
              </w:rPr>
              <w:t>160.54</w:t>
            </w:r>
          </w:p>
        </w:tc>
        <w:tc>
          <w:tcPr>
            <w:tcW w:w="960" w:type="dxa"/>
            <w:vAlign w:val="bottom"/>
          </w:tcPr>
          <w:p>
            <w:pPr>
              <w:ind w:left="200"/>
              <w:spacing w:after="0"/>
              <w:rPr>
                <w:sz w:val="20"/>
                <w:szCs w:val="20"/>
                <w:color w:val="auto"/>
              </w:rPr>
            </w:pPr>
            <w:r>
              <w:rPr>
                <w:rFonts w:ascii="Courier New" w:cs="Courier New" w:eastAsia="Courier New" w:hAnsi="Courier New"/>
                <w:sz w:val="16"/>
                <w:szCs w:val="16"/>
                <w:color w:val="auto"/>
              </w:rPr>
              <w:t>231.31</w:t>
            </w:r>
          </w:p>
        </w:tc>
        <w:tc>
          <w:tcPr>
            <w:tcW w:w="780" w:type="dxa"/>
            <w:vAlign w:val="bottom"/>
          </w:tcPr>
          <w:p>
            <w:pPr>
              <w:ind w:left="200"/>
              <w:spacing w:after="0"/>
              <w:rPr>
                <w:sz w:val="20"/>
                <w:szCs w:val="20"/>
                <w:color w:val="auto"/>
              </w:rPr>
            </w:pPr>
            <w:r>
              <w:rPr>
                <w:rFonts w:ascii="Courier New" w:cs="Courier New" w:eastAsia="Courier New" w:hAnsi="Courier New"/>
                <w:sz w:val="16"/>
                <w:szCs w:val="16"/>
                <w:color w:val="auto"/>
                <w:w w:val="97"/>
              </w:rPr>
              <w:t>256.74</w:t>
            </w:r>
          </w:p>
        </w:tc>
      </w:tr>
      <w:tr>
        <w:trPr>
          <w:trHeight w:val="185"/>
        </w:trPr>
        <w:tc>
          <w:tcPr>
            <w:tcW w:w="1980" w:type="dxa"/>
            <w:vAlign w:val="bottom"/>
          </w:tcPr>
          <w:p>
            <w:pPr>
              <w:spacing w:after="0"/>
              <w:rPr>
                <w:sz w:val="20"/>
                <w:szCs w:val="20"/>
                <w:color w:val="auto"/>
              </w:rPr>
            </w:pPr>
            <w:r>
              <w:rPr>
                <w:rFonts w:ascii="Courier New" w:cs="Courier New" w:eastAsia="Courier New" w:hAnsi="Courier New"/>
                <w:sz w:val="16"/>
                <w:szCs w:val="16"/>
                <w:color w:val="auto"/>
              </w:rPr>
              <w:t>NASDAQ Market Index</w:t>
            </w:r>
          </w:p>
        </w:tc>
        <w:tc>
          <w:tcPr>
            <w:tcW w:w="660" w:type="dxa"/>
            <w:vAlign w:val="bottom"/>
          </w:tcPr>
          <w:p>
            <w:pPr>
              <w:ind w:left="140"/>
              <w:spacing w:after="0"/>
              <w:rPr>
                <w:sz w:val="20"/>
                <w:szCs w:val="20"/>
                <w:color w:val="auto"/>
              </w:rPr>
            </w:pPr>
            <w:r>
              <w:rPr>
                <w:rFonts w:ascii="Courier New" w:cs="Courier New" w:eastAsia="Courier New" w:hAnsi="Courier New"/>
                <w:sz w:val="16"/>
                <w:szCs w:val="16"/>
                <w:color w:val="auto"/>
              </w:rPr>
              <w:t>100</w:t>
            </w:r>
          </w:p>
        </w:tc>
        <w:tc>
          <w:tcPr>
            <w:tcW w:w="820" w:type="dxa"/>
            <w:vAlign w:val="bottom"/>
          </w:tcPr>
          <w:p>
            <w:pPr>
              <w:ind w:left="240"/>
              <w:spacing w:after="0"/>
              <w:rPr>
                <w:sz w:val="20"/>
                <w:szCs w:val="20"/>
                <w:color w:val="auto"/>
              </w:rPr>
            </w:pPr>
            <w:r>
              <w:rPr>
                <w:rFonts w:ascii="Courier New" w:cs="Courier New" w:eastAsia="Courier New" w:hAnsi="Courier New"/>
                <w:sz w:val="16"/>
                <w:szCs w:val="16"/>
                <w:color w:val="auto"/>
              </w:rPr>
              <w:t>81.12</w:t>
            </w:r>
          </w:p>
        </w:tc>
        <w:tc>
          <w:tcPr>
            <w:tcW w:w="1060" w:type="dxa"/>
            <w:vAlign w:val="bottom"/>
          </w:tcPr>
          <w:p>
            <w:pPr>
              <w:jc w:val="center"/>
              <w:ind w:left="20"/>
              <w:spacing w:after="0"/>
              <w:rPr>
                <w:sz w:val="20"/>
                <w:szCs w:val="20"/>
                <w:color w:val="auto"/>
              </w:rPr>
            </w:pPr>
            <w:r>
              <w:rPr>
                <w:rFonts w:ascii="Courier New" w:cs="Courier New" w:eastAsia="Courier New" w:hAnsi="Courier New"/>
                <w:sz w:val="16"/>
                <w:szCs w:val="16"/>
                <w:color w:val="auto"/>
                <w:w w:val="97"/>
              </w:rPr>
              <w:t>104.14</w:t>
            </w:r>
          </w:p>
        </w:tc>
        <w:tc>
          <w:tcPr>
            <w:tcW w:w="960" w:type="dxa"/>
            <w:vAlign w:val="bottom"/>
          </w:tcPr>
          <w:p>
            <w:pPr>
              <w:ind w:left="200"/>
              <w:spacing w:after="0"/>
              <w:rPr>
                <w:sz w:val="20"/>
                <w:szCs w:val="20"/>
                <w:color w:val="auto"/>
              </w:rPr>
            </w:pPr>
            <w:r>
              <w:rPr>
                <w:rFonts w:ascii="Courier New" w:cs="Courier New" w:eastAsia="Courier New" w:hAnsi="Courier New"/>
                <w:sz w:val="16"/>
                <w:szCs w:val="16"/>
                <w:color w:val="auto"/>
              </w:rPr>
              <w:t>105.16</w:t>
            </w:r>
          </w:p>
        </w:tc>
        <w:tc>
          <w:tcPr>
            <w:tcW w:w="960" w:type="dxa"/>
            <w:vAlign w:val="bottom"/>
          </w:tcPr>
          <w:p>
            <w:pPr>
              <w:ind w:left="200"/>
              <w:spacing w:after="0"/>
              <w:rPr>
                <w:sz w:val="20"/>
                <w:szCs w:val="20"/>
                <w:color w:val="auto"/>
              </w:rPr>
            </w:pPr>
            <w:r>
              <w:rPr>
                <w:rFonts w:ascii="Courier New" w:cs="Courier New" w:eastAsia="Courier New" w:hAnsi="Courier New"/>
                <w:sz w:val="16"/>
                <w:szCs w:val="16"/>
                <w:color w:val="auto"/>
              </w:rPr>
              <w:t>126.14</w:t>
            </w:r>
          </w:p>
        </w:tc>
        <w:tc>
          <w:tcPr>
            <w:tcW w:w="780" w:type="dxa"/>
            <w:vAlign w:val="bottom"/>
          </w:tcPr>
          <w:p>
            <w:pPr>
              <w:ind w:left="200"/>
              <w:spacing w:after="0"/>
              <w:rPr>
                <w:sz w:val="20"/>
                <w:szCs w:val="20"/>
                <w:color w:val="auto"/>
              </w:rPr>
            </w:pPr>
            <w:r>
              <w:rPr>
                <w:rFonts w:ascii="Courier New" w:cs="Courier New" w:eastAsia="Courier New" w:hAnsi="Courier New"/>
                <w:sz w:val="16"/>
                <w:szCs w:val="16"/>
                <w:color w:val="auto"/>
                <w:w w:val="97"/>
              </w:rPr>
              <w:t>132.44</w:t>
            </w: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2639"/>
        <w:spacing w:after="0" w:line="242" w:lineRule="auto"/>
        <w:rPr>
          <w:sz w:val="20"/>
          <w:szCs w:val="20"/>
          <w:color w:val="auto"/>
        </w:rPr>
      </w:pPr>
      <w:r>
        <w:rPr>
          <w:rFonts w:ascii="Courier New" w:cs="Courier New" w:eastAsia="Courier New" w:hAnsi="Courier New"/>
          <w:sz w:val="16"/>
          <w:szCs w:val="16"/>
          <w:color w:val="auto"/>
        </w:rPr>
        <w:t>The Peer Group Index set forth on the Performance Graph is the index for Media General Industry Group 171, Electronic Equipment Manufacturers.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139"/>
          </w:cols>
          <w:pgMar w:left="320" w:top="300"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10</w:t>
      </w:r>
    </w:p>
    <w:p>
      <w:pPr>
        <w:spacing w:after="0" w:line="4" w:lineRule="exact"/>
        <w:rPr>
          <w:sz w:val="20"/>
          <w:szCs w:val="20"/>
          <w:color w:val="auto"/>
        </w:rPr>
      </w:pPr>
    </w:p>
    <w:p>
      <w:pPr>
        <w:ind w:left="1440"/>
        <w:spacing w:after="0"/>
        <w:rPr>
          <w:sz w:val="20"/>
          <w:szCs w:val="20"/>
          <w:color w:val="auto"/>
        </w:rPr>
      </w:pPr>
      <w:r>
        <w:rPr>
          <w:rFonts w:ascii="Courier New" w:cs="Courier New" w:eastAsia="Courier New" w:hAnsi="Courier New"/>
          <w:sz w:val="16"/>
          <w:szCs w:val="16"/>
          <w:color w:val="auto"/>
        </w:rPr>
        <w:t>APPROVAL OF THE COHU, INC. 1994 STOCK OPTION PLAN</w:t>
      </w:r>
    </w:p>
    <w:p>
      <w:pPr>
        <w:spacing w:after="0" w:line="190" w:lineRule="exact"/>
        <w:rPr>
          <w:sz w:val="20"/>
          <w:szCs w:val="20"/>
          <w:color w:val="auto"/>
        </w:rPr>
      </w:pPr>
    </w:p>
    <w:p>
      <w:pPr>
        <w:ind w:right="2539" w:firstLine="481"/>
        <w:spacing w:after="0" w:line="244" w:lineRule="auto"/>
        <w:rPr>
          <w:sz w:val="20"/>
          <w:szCs w:val="20"/>
          <w:color w:val="auto"/>
        </w:rPr>
      </w:pPr>
      <w:r>
        <w:rPr>
          <w:rFonts w:ascii="Courier New" w:cs="Courier New" w:eastAsia="Courier New" w:hAnsi="Courier New"/>
          <w:sz w:val="16"/>
          <w:szCs w:val="16"/>
          <w:color w:val="auto"/>
        </w:rPr>
        <w:t>The Board has approved and recommended for adoption the 1994 Stock Option Plan (the "1994 Plan"). The affirmative vote of the holders of a majority of the outstanding shares of Common Stock voting in person or by proxy at the meeting (provided a quorum is present) will be required to approve the adoption of the 1994 Plan. A copy of the 1994 Plan is attached to this Proxy Statement as Exhibit A and stockholders are encouraged to review the plan in its entirety. Any discrepancy between the language of the 1994 Plan and the summary provided herein shall be resolved in favor of the plan language.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PURPOSE</w:t>
      </w:r>
    </w:p>
    <w:p>
      <w:pPr>
        <w:spacing w:after="0" w:line="5" w:lineRule="exact"/>
        <w:rPr>
          <w:sz w:val="20"/>
          <w:szCs w:val="20"/>
          <w:color w:val="auto"/>
        </w:rPr>
      </w:pPr>
    </w:p>
    <w:p>
      <w:pPr>
        <w:ind w:right="2539" w:firstLine="481"/>
        <w:spacing w:after="0" w:line="244" w:lineRule="auto"/>
        <w:rPr>
          <w:sz w:val="20"/>
          <w:szCs w:val="20"/>
          <w:color w:val="auto"/>
        </w:rPr>
      </w:pPr>
      <w:r>
        <w:rPr>
          <w:rFonts w:ascii="Courier New" w:cs="Courier New" w:eastAsia="Courier New" w:hAnsi="Courier New"/>
          <w:sz w:val="16"/>
          <w:szCs w:val="16"/>
          <w:color w:val="auto"/>
        </w:rPr>
        <w:t>The 1994 Plan was adopted by the Board of Directors to make available additional shares of stock to enable selected officers, directors (who are also employees) and employees to purchase the Common Stock of the Company, which will assist the Company in retaining the services of employees holding key positions with the Company and attracting new employees capable of filling key positions with the Company, and to provide an incentive for such employees. All but 2,000 shares of Common Stock of the Company reserved for issuance pursuant to prior stock option plans (the most recent of which was adopted in 1988) have been granted as of the date of this proxy statement.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ADMINISTRATION</w:t>
      </w:r>
    </w:p>
    <w:p>
      <w:pPr>
        <w:spacing w:after="0" w:line="5" w:lineRule="exact"/>
        <w:rPr>
          <w:sz w:val="20"/>
          <w:szCs w:val="20"/>
          <w:color w:val="auto"/>
        </w:rPr>
      </w:pPr>
    </w:p>
    <w:p>
      <w:pPr>
        <w:ind w:right="2539" w:firstLine="481"/>
        <w:spacing w:after="0" w:line="244" w:lineRule="auto"/>
        <w:rPr>
          <w:sz w:val="20"/>
          <w:szCs w:val="20"/>
          <w:color w:val="auto"/>
        </w:rPr>
      </w:pPr>
      <w:r>
        <w:rPr>
          <w:rFonts w:ascii="Courier New" w:cs="Courier New" w:eastAsia="Courier New" w:hAnsi="Courier New"/>
          <w:sz w:val="16"/>
          <w:szCs w:val="16"/>
          <w:color w:val="auto"/>
        </w:rPr>
        <w:t>The 1994 Plan will be administered by the Cohu, Inc. Executive Compensation Committee (the "Committee"). In order to exempt the grant of options to executive officers from the reporting requirements and short swing profit liability imposed by Section 16 of the Securities Exchange Act of 1934, as amended (the "Exchange Act"), each of the members of the Committee must be "disinterested" (within the meaning of Rule 16b-3 promulgated by the Securities and Exchange Commission under the Exchange Act). The Committee will have final power to construe and interpret the 1994 Plan and to grant options thereunder, and to determine all questions that may arise in the administration of the 1994 Plan. The Committee has been authorized by the Board to determine the persons to whom and the dates on which options will be granted, the number of shares to be subject thereto, the time or times during the term of each option within which all or a portion of such option may be exercised, and all other terms of the options. The Committee shall have the right to adopt, amend, and repeal rules and regulations concerning the administration of the 1994 Plan.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 AMENDMENT AND TERMINATION</w:t>
      </w:r>
    </w:p>
    <w:p>
      <w:pPr>
        <w:spacing w:after="0" w:line="5" w:lineRule="exact"/>
        <w:rPr>
          <w:sz w:val="20"/>
          <w:szCs w:val="20"/>
          <w:color w:val="auto"/>
        </w:rPr>
      </w:pPr>
    </w:p>
    <w:p>
      <w:pPr>
        <w:ind w:right="2539" w:firstLine="481"/>
        <w:spacing w:after="0" w:line="244" w:lineRule="auto"/>
        <w:rPr>
          <w:sz w:val="20"/>
          <w:szCs w:val="20"/>
          <w:color w:val="auto"/>
        </w:rPr>
      </w:pPr>
      <w:r>
        <w:rPr>
          <w:rFonts w:ascii="Courier New" w:cs="Courier New" w:eastAsia="Courier New" w:hAnsi="Courier New"/>
          <w:sz w:val="16"/>
          <w:szCs w:val="16"/>
          <w:color w:val="auto"/>
        </w:rPr>
        <w:t>The Board or the Committee may suspend or terminate the 1994 Plan at any time. The term of the 1994 Plan shall commence on the date of its approval by the Board, provided that the 1994 Plan is approved by a majority of the stockholders of the Company within one (1) year thereafter. Unless sooner terminated by the Committee, the term of the 1994 Plan shall be for ten (10) years from the commencement date. Termination of the 1994 Plan shall not affect any rights previously granted thereunder. The Committee may terminate, modify or amend the 1994 Plan from time to time, provided that the affirmative vote of the holders of a majority of the outstanding shares of the Company would be required with respect to any amendment which would (1) increase the number of shares of Common Stock reserved for issuance upon exercise of options pursuant to the 1994 Plan; (2) materially modify the requirements relating to eligibility for participation in the 1994 Plan; or (3) change any provision of the 1994 Plan in a manner that would materially increase the benefits accruing to participants thereunder.</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ELIGIBILITY</w:t>
      </w:r>
    </w:p>
    <w:p>
      <w:pPr>
        <w:spacing w:after="0" w:line="5" w:lineRule="exact"/>
        <w:rPr>
          <w:sz w:val="20"/>
          <w:szCs w:val="20"/>
          <w:color w:val="auto"/>
        </w:rPr>
      </w:pPr>
    </w:p>
    <w:p>
      <w:pPr>
        <w:ind w:right="2639" w:firstLine="481"/>
        <w:spacing w:after="0" w:line="244" w:lineRule="auto"/>
        <w:rPr>
          <w:sz w:val="20"/>
          <w:szCs w:val="20"/>
          <w:color w:val="auto"/>
        </w:rPr>
      </w:pPr>
      <w:r>
        <w:rPr>
          <w:rFonts w:ascii="Courier New" w:cs="Courier New" w:eastAsia="Courier New" w:hAnsi="Courier New"/>
          <w:sz w:val="16"/>
          <w:szCs w:val="16"/>
          <w:color w:val="auto"/>
        </w:rPr>
        <w:t>Stock Options may be granted only to employees (including officers and directors who are also employees) of the Corporation or its parent or subsidiaries or to individuals who are rendering services as consultants, advisors, or other independent contractors to the Corporation or its parent or subsidiaries.</w:t>
      </w:r>
    </w:p>
    <w:p>
      <w:pPr>
        <w:spacing w:after="0" w:line="189" w:lineRule="exact"/>
        <w:rPr>
          <w:sz w:val="20"/>
          <w:szCs w:val="20"/>
          <w:color w:val="auto"/>
        </w:rPr>
      </w:pPr>
    </w:p>
    <w:p>
      <w:pPr>
        <w:ind w:right="2539" w:firstLine="481"/>
        <w:spacing w:after="0" w:line="244" w:lineRule="auto"/>
        <w:rPr>
          <w:sz w:val="20"/>
          <w:szCs w:val="20"/>
          <w:color w:val="auto"/>
        </w:rPr>
      </w:pPr>
      <w:r>
        <w:rPr>
          <w:rFonts w:ascii="Courier New" w:cs="Courier New" w:eastAsia="Courier New" w:hAnsi="Courier New"/>
          <w:sz w:val="16"/>
          <w:szCs w:val="16"/>
          <w:color w:val="auto"/>
        </w:rPr>
        <w:t>No incentive stock option may be granted to a person who, at the time of the grant, owns, directly or indirectly, stock constituting more than ten percent (10%) of the total combined voting power of all classes of stock of the Company entitled to vote or of any parent or subsidiary thereof, unless the exercise price of the stock subject to the option is at least one hundred and ten percent (110%) of the fair market value of such stock on the date the option is granted and the term of the option does not exceed five (5) years from the date of grant.</w:t>
      </w:r>
    </w:p>
    <w:p>
      <w:pPr>
        <w:sectPr>
          <w:pgSz w:w="11900" w:h="16838" w:orient="portrait"/>
          <w:cols w:equalWidth="0" w:num="1">
            <w:col w:w="10139"/>
          </w:cols>
          <w:pgMar w:left="320" w:top="3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760"/>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10139"/>
          </w:cols>
          <w:pgMar w:left="320" w:top="300" w:right="1440" w:bottom="1440" w:gutter="0" w:footer="0" w:header="0"/>
          <w:type w:val="continuous"/>
        </w:sectPr>
      </w:pPr>
    </w:p>
    <w:bookmarkStart w:id="11" w:name="page12"/>
    <w:bookmarkEnd w:id="11"/>
    <w:p>
      <w:pPr>
        <w:ind w:left="281"/>
        <w:spacing w:after="0"/>
        <w:rPr>
          <w:sz w:val="20"/>
          <w:szCs w:val="20"/>
          <w:color w:val="auto"/>
        </w:rPr>
      </w:pPr>
      <w:r>
        <w:rPr>
          <w:rFonts w:ascii="Courier New" w:cs="Courier New" w:eastAsia="Courier New" w:hAnsi="Courier New"/>
          <w:sz w:val="16"/>
          <w:szCs w:val="16"/>
          <w:color w:val="auto"/>
        </w:rPr>
        <w:t>11</w:t>
      </w:r>
    </w:p>
    <w:p>
      <w:pPr>
        <w:spacing w:after="0" w:line="4" w:lineRule="exact"/>
        <w:rPr>
          <w:sz w:val="20"/>
          <w:szCs w:val="20"/>
          <w:color w:val="auto"/>
        </w:rPr>
      </w:pPr>
    </w:p>
    <w:p>
      <w:pPr>
        <w:ind w:left="201"/>
        <w:spacing w:after="0"/>
        <w:rPr>
          <w:sz w:val="20"/>
          <w:szCs w:val="20"/>
          <w:color w:val="auto"/>
        </w:rPr>
      </w:pPr>
      <w:r>
        <w:rPr>
          <w:rFonts w:ascii="Courier New" w:cs="Courier New" w:eastAsia="Courier New" w:hAnsi="Courier New"/>
          <w:sz w:val="16"/>
          <w:szCs w:val="16"/>
          <w:color w:val="auto"/>
        </w:rPr>
        <w:t>SHARES RESERVED FOR ISSUANCE</w:t>
      </w:r>
    </w:p>
    <w:p>
      <w:pPr>
        <w:spacing w:after="0" w:line="5" w:lineRule="exact"/>
        <w:rPr>
          <w:sz w:val="20"/>
          <w:szCs w:val="20"/>
          <w:color w:val="auto"/>
        </w:rPr>
      </w:pPr>
    </w:p>
    <w:p>
      <w:pPr>
        <w:ind w:left="1" w:right="2639" w:firstLine="481"/>
        <w:spacing w:after="0" w:line="244" w:lineRule="auto"/>
        <w:rPr>
          <w:sz w:val="20"/>
          <w:szCs w:val="20"/>
          <w:color w:val="auto"/>
        </w:rPr>
      </w:pPr>
      <w:r>
        <w:rPr>
          <w:rFonts w:ascii="Courier New" w:cs="Courier New" w:eastAsia="Courier New" w:hAnsi="Courier New"/>
          <w:sz w:val="16"/>
          <w:szCs w:val="16"/>
          <w:color w:val="auto"/>
        </w:rPr>
        <w:t>A total of 220,000 shares of the $1.00 par value Common Stock of the Company shall be reserved for issuance pursuant to the 1994 Plan, subject to adjustment in the event of stock dividends, splits, subdivisions or combinations. Subject to shareholder approval of the 1994 Plan, the Committee has granted options under the 1994 Plan for an aggregate of 60,000 shares to Messrs. Barnes and Schwan and 115,000 for all other employees as a group. See "Option Grants in Last Fiscal Year".</w:t>
      </w:r>
    </w:p>
    <w:p>
      <w:pPr>
        <w:spacing w:after="0" w:line="189"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TERMS OF OPTIONS</w:t>
      </w:r>
    </w:p>
    <w:p>
      <w:pPr>
        <w:spacing w:after="0" w:line="5" w:lineRule="exact"/>
        <w:rPr>
          <w:sz w:val="20"/>
          <w:szCs w:val="20"/>
          <w:color w:val="auto"/>
        </w:rPr>
      </w:pPr>
    </w:p>
    <w:p>
      <w:pPr>
        <w:ind w:left="1" w:right="2539" w:firstLine="481"/>
        <w:spacing w:after="0" w:line="244" w:lineRule="auto"/>
        <w:rPr>
          <w:sz w:val="20"/>
          <w:szCs w:val="20"/>
          <w:color w:val="auto"/>
        </w:rPr>
      </w:pPr>
      <w:r>
        <w:rPr>
          <w:rFonts w:ascii="Courier New" w:cs="Courier New" w:eastAsia="Courier New" w:hAnsi="Courier New"/>
          <w:sz w:val="16"/>
          <w:szCs w:val="16"/>
          <w:color w:val="auto"/>
        </w:rPr>
        <w:t>Set forth below is a description of terms of options granted pursuant to the 1994 Plan, provided, however, that individual option grants in any particular case may be more restrictive as to any or all of the terms described below.</w:t>
      </w:r>
    </w:p>
    <w:p>
      <w:pPr>
        <w:spacing w:after="0" w:line="188" w:lineRule="exact"/>
        <w:rPr>
          <w:sz w:val="20"/>
          <w:szCs w:val="20"/>
          <w:color w:val="auto"/>
        </w:rPr>
      </w:pPr>
    </w:p>
    <w:p>
      <w:pPr>
        <w:ind w:left="1" w:right="2539" w:firstLine="480"/>
        <w:spacing w:after="0" w:line="244" w:lineRule="auto"/>
        <w:tabs>
          <w:tab w:leader="none" w:pos="86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The purchase price per share deliverable upon the exercise of an incentive stock option shall not be less than the fair market value of a share on the date of grant. The purchase price per share deliverable upon the exercise of an incentive stock option granted to a person, who at the time of grant, owns directly or indirectly, stock constituting more than ten percent (10%) of the total combined voting power of all classes of stock of the Company entitled to vote (or a parent or subsidiary thereof), must be at least one hundred and ten percent (110%) of the fair market value of such stock on the date the option was granted. The purchase price per share deliverable upon the exercise of a nonqualified stock option shall be determined by the Committee in its sole discretion. The exercise price of options granted under the 1994 Plan may be paid either (i) in cash at the time the option is exercised, or (ii) at the discretion of the Committee, by delivery to the Company of other Common Stock of the Company owned by the optionee.</w:t>
      </w:r>
    </w:p>
    <w:p>
      <w:pPr>
        <w:spacing w:after="0" w:line="10" w:lineRule="exact"/>
        <w:rPr>
          <w:rFonts w:ascii="Courier New" w:cs="Courier New" w:eastAsia="Courier New" w:hAnsi="Courier New"/>
          <w:sz w:val="16"/>
          <w:szCs w:val="16"/>
          <w:color w:val="auto"/>
        </w:rPr>
      </w:pPr>
    </w:p>
    <w:p>
      <w:pPr>
        <w:ind w:left="1" w:right="2539" w:firstLine="480"/>
        <w:spacing w:after="0" w:line="244" w:lineRule="auto"/>
        <w:tabs>
          <w:tab w:leader="none" w:pos="86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EXERCISE. A stock option may be exercisable, in part or in full, at any time and from time to time six months after the date of grant and during an exercise period, and may be subject to such performance criteria, and conditions as shall be determined by the Committee on a case-by-case basis and such exercise period and restrictions shall be described in the agreement evidencing the stock option. The exercise period applicable to any incentive stock option shall not exceed ten (10) years from the date of grant and in certain circumstances may not exceed five (5) years, as described above. The Committee may accelerate the times at which a stock option may be exercised.</w:t>
      </w:r>
    </w:p>
    <w:p>
      <w:pPr>
        <w:spacing w:after="0" w:line="6" w:lineRule="exact"/>
        <w:rPr>
          <w:rFonts w:ascii="Courier New" w:cs="Courier New" w:eastAsia="Courier New" w:hAnsi="Courier New"/>
          <w:sz w:val="16"/>
          <w:szCs w:val="16"/>
          <w:color w:val="auto"/>
        </w:rPr>
      </w:pPr>
    </w:p>
    <w:p>
      <w:pPr>
        <w:jc w:val="both"/>
        <w:ind w:left="1" w:right="2739" w:firstLine="480"/>
        <w:spacing w:after="0" w:line="243" w:lineRule="auto"/>
        <w:tabs>
          <w:tab w:leader="none" w:pos="86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NONASSIGNABILITY. No option may be transferred by an optionee other than by will or by the laws of descent and distribution. During the lifetime of an optionee, an option may be exercised only by the optionee.</w:t>
      </w:r>
    </w:p>
    <w:p>
      <w:pPr>
        <w:spacing w:after="0" w:line="4" w:lineRule="exact"/>
        <w:rPr>
          <w:rFonts w:ascii="Courier New" w:cs="Courier New" w:eastAsia="Courier New" w:hAnsi="Courier New"/>
          <w:sz w:val="16"/>
          <w:szCs w:val="16"/>
          <w:color w:val="auto"/>
        </w:rPr>
      </w:pPr>
    </w:p>
    <w:p>
      <w:pPr>
        <w:ind w:left="1" w:right="2539" w:firstLine="480"/>
        <w:spacing w:after="0" w:line="244" w:lineRule="auto"/>
        <w:tabs>
          <w:tab w:leader="none" w:pos="86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EXPIRATION FOLLOWING TERMINATION OF EMPLOYMENT. Under the 1994 Plan, an option will terminate immediately upon the optionee ceasing to be employed by the Company or a parent or subsidiary thereof, unless the option by its terms specifically provides otherwise. If termination is due to disability of the optionee, the optionee or his or her legal representative will have no more than three (3) months from the date of disability to exercise the option. If the termination is due to the death of the optionee, his or her legal representatives will have no more than one (1) year from the date of death to exercise the option, to the extent such option was exercisable on the date of death.</w:t>
      </w:r>
    </w:p>
    <w:p>
      <w:pPr>
        <w:spacing w:after="0" w:line="19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ADJUSTMENT PROVISIONS</w:t>
      </w:r>
    </w:p>
    <w:p>
      <w:pPr>
        <w:spacing w:after="0" w:line="5" w:lineRule="exact"/>
        <w:rPr>
          <w:sz w:val="20"/>
          <w:szCs w:val="20"/>
          <w:color w:val="auto"/>
        </w:rPr>
      </w:pPr>
    </w:p>
    <w:p>
      <w:pPr>
        <w:ind w:left="1" w:right="2639" w:firstLine="481"/>
        <w:spacing w:after="0" w:line="244" w:lineRule="auto"/>
        <w:rPr>
          <w:sz w:val="20"/>
          <w:szCs w:val="20"/>
          <w:color w:val="auto"/>
        </w:rPr>
      </w:pPr>
      <w:r>
        <w:rPr>
          <w:rFonts w:ascii="Courier New" w:cs="Courier New" w:eastAsia="Courier New" w:hAnsi="Courier New"/>
          <w:sz w:val="16"/>
          <w:szCs w:val="16"/>
          <w:color w:val="auto"/>
        </w:rPr>
        <w:t>If there is a change in the Common Stock subject to the 1994 Plan through recapitalization, stock dividend, stock split, combination or otherwise, the Committee may make appropriate adjustments to the maximum number of shares subject to the 1994 Plan and shall make appropriate adjustments to the price per share of stock subject to the 1994 Plan and to any outstanding options thereunder.</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REORGANIZATION</w:t>
      </w:r>
    </w:p>
    <w:p>
      <w:pPr>
        <w:spacing w:after="0" w:line="5" w:lineRule="exact"/>
        <w:rPr>
          <w:sz w:val="20"/>
          <w:szCs w:val="20"/>
          <w:color w:val="auto"/>
        </w:rPr>
      </w:pPr>
    </w:p>
    <w:p>
      <w:pPr>
        <w:ind w:left="1" w:right="2539" w:firstLine="481"/>
        <w:spacing w:after="0" w:line="244" w:lineRule="auto"/>
        <w:rPr>
          <w:sz w:val="20"/>
          <w:szCs w:val="20"/>
          <w:color w:val="auto"/>
        </w:rPr>
      </w:pPr>
      <w:r>
        <w:rPr>
          <w:rFonts w:ascii="Courier New" w:cs="Courier New" w:eastAsia="Courier New" w:hAnsi="Courier New"/>
          <w:sz w:val="16"/>
          <w:szCs w:val="16"/>
          <w:color w:val="auto"/>
        </w:rPr>
        <w:t>A Reorganization shall be deemed to have occurred when the Company and/or its stockholders enter into an agreement to dispose of all or substantially all of the assets of the Company or an amount of the outstanding stock of the Company sufficient to constitute effective control of the Company by means of a sale, merger, reorganization, separation, liquidation or any other transaction. In the event of a Reorganization, the "Acquiring Corporation" may assume the Corporation's rights and obligations under outstanding Stock Options or substitute options for the Acquiring Corporation's stock for such outstanding Stock Options. In the event the Acquiring Corporation elects not to assume or substitute for such outstanding Stock Options in connection with the Reorganization, any unexercisable and/or unvested portion of the outstanding Stock Options shall be immediately exercisable and vested as of the date thirty</w:t>
      </w:r>
    </w:p>
    <w:p>
      <w:pPr>
        <w:spacing w:after="0" w:line="9" w:lineRule="exact"/>
        <w:rPr>
          <w:sz w:val="20"/>
          <w:szCs w:val="20"/>
          <w:color w:val="auto"/>
        </w:rPr>
      </w:pPr>
    </w:p>
    <w:p>
      <w:pPr>
        <w:ind w:left="1" w:right="2539" w:hanging="1"/>
        <w:spacing w:after="0" w:line="242" w:lineRule="auto"/>
        <w:tabs>
          <w:tab w:leader="none" w:pos="48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prior to the date of the Reorganization. Any Stock Options which are neither</w:t>
      </w:r>
    </w:p>
    <w:p>
      <w:pPr>
        <w:sectPr>
          <w:pgSz w:w="11900" w:h="16838" w:orient="portrait"/>
          <w:cols w:equalWidth="0" w:num="1">
            <w:col w:w="10141"/>
          </w:cols>
          <w:pgMar w:left="319" w:top="300" w:right="1440" w:bottom="8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761"/>
        <w:spacing w:after="0"/>
        <w:rPr>
          <w:sz w:val="20"/>
          <w:szCs w:val="20"/>
          <w:color w:val="auto"/>
        </w:rPr>
      </w:pPr>
      <w:r>
        <w:rPr>
          <w:rFonts w:ascii="Courier New" w:cs="Courier New" w:eastAsia="Courier New" w:hAnsi="Courier New"/>
          <w:sz w:val="13"/>
          <w:szCs w:val="13"/>
          <w:color w:val="auto"/>
        </w:rPr>
        <w:t>9</w:t>
      </w:r>
    </w:p>
    <w:p>
      <w:pPr>
        <w:sectPr>
          <w:pgSz w:w="11900" w:h="16838" w:orient="portrait"/>
          <w:cols w:equalWidth="0" w:num="1">
            <w:col w:w="10141"/>
          </w:cols>
          <w:pgMar w:left="319" w:top="300" w:right="1440" w:bottom="836" w:gutter="0" w:footer="0" w:header="0"/>
          <w:type w:val="continuous"/>
        </w:sectPr>
      </w:pPr>
    </w:p>
    <w:bookmarkStart w:id="12" w:name="page13"/>
    <w:bookmarkEnd w:id="12"/>
    <w:p>
      <w:pPr>
        <w:ind w:left="281"/>
        <w:spacing w:after="0"/>
        <w:rPr>
          <w:sz w:val="20"/>
          <w:szCs w:val="20"/>
          <w:color w:val="auto"/>
        </w:rPr>
      </w:pPr>
      <w:r>
        <w:rPr>
          <w:rFonts w:ascii="Courier New" w:cs="Courier New" w:eastAsia="Courier New" w:hAnsi="Courier New"/>
          <w:sz w:val="16"/>
          <w:szCs w:val="16"/>
          <w:color w:val="auto"/>
        </w:rPr>
        <w:t>12</w:t>
      </w:r>
    </w:p>
    <w:p>
      <w:pPr>
        <w:spacing w:after="0" w:line="5"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assumed or substituted for by the Acquiring Corporation in connection with the Reorganization nor exercised as of the date of the Reorganization shall terminate and cease to be outstanding effective as of the date of the Reorganization.</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FEDERAL INCOME TAX CONSEQUENCES</w:t>
      </w:r>
    </w:p>
    <w:p>
      <w:pPr>
        <w:spacing w:after="0" w:line="5" w:lineRule="exact"/>
        <w:rPr>
          <w:sz w:val="20"/>
          <w:szCs w:val="20"/>
          <w:color w:val="auto"/>
        </w:rPr>
      </w:pPr>
    </w:p>
    <w:p>
      <w:pPr>
        <w:ind w:left="1" w:right="2539" w:firstLine="481"/>
        <w:spacing w:after="0" w:line="244" w:lineRule="auto"/>
        <w:rPr>
          <w:sz w:val="20"/>
          <w:szCs w:val="20"/>
          <w:color w:val="auto"/>
        </w:rPr>
      </w:pPr>
      <w:r>
        <w:rPr>
          <w:rFonts w:ascii="Courier New" w:cs="Courier New" w:eastAsia="Courier New" w:hAnsi="Courier New"/>
          <w:sz w:val="16"/>
          <w:szCs w:val="16"/>
          <w:color w:val="auto"/>
        </w:rPr>
        <w:t>The Company may deduct from amounts otherwise due an optionee under a stock option or from any wages or other compensation payable to such optionee any sums required by federal, state or local tax to be withheld with respect to the exercise or disposition of any option or other right, or require the optionee to pay such sums as a condition of the issuance of shares. The 1994 Plan is not qualified under Internal Revenue Code Section 401(a) and is not subject to the provisions of the Employee Retirement Income Security Act of 1974.</w:t>
      </w:r>
    </w:p>
    <w:p>
      <w:pPr>
        <w:spacing w:after="0" w:line="191" w:lineRule="exact"/>
        <w:rPr>
          <w:sz w:val="20"/>
          <w:szCs w:val="20"/>
          <w:color w:val="auto"/>
        </w:rPr>
      </w:pPr>
    </w:p>
    <w:p>
      <w:pPr>
        <w:ind w:left="1" w:right="2539" w:firstLine="481"/>
        <w:spacing w:after="0" w:line="244" w:lineRule="auto"/>
        <w:rPr>
          <w:sz w:val="20"/>
          <w:szCs w:val="20"/>
          <w:color w:val="auto"/>
        </w:rPr>
      </w:pPr>
      <w:r>
        <w:rPr>
          <w:rFonts w:ascii="Courier New" w:cs="Courier New" w:eastAsia="Courier New" w:hAnsi="Courier New"/>
          <w:sz w:val="16"/>
          <w:szCs w:val="16"/>
          <w:color w:val="auto"/>
        </w:rPr>
        <w:t>The grant of a nonqualified stock option will not result in taxable income to the optionee at the time of grant, and ordinary income will be realized by an optionee at the time of exercise of a nonqualified option in the amount by which the fair market value of the Common Stock on the date of exercise exceeds the exercise price. The Company will be entitled to a deduction from income for federal income tax purposes in amount equal to the ordinary income recognized by the optionee in such case. Any subsequent disposition of the shares acquired pursuant to a nonqualified option will result in gain or loss to the optionee in an amount equal to the difference between the sale price and the market price at date of exercise.</w:t>
      </w:r>
    </w:p>
    <w:p>
      <w:pPr>
        <w:spacing w:after="0" w:line="193" w:lineRule="exact"/>
        <w:rPr>
          <w:sz w:val="20"/>
          <w:szCs w:val="20"/>
          <w:color w:val="auto"/>
        </w:rPr>
      </w:pPr>
    </w:p>
    <w:p>
      <w:pPr>
        <w:ind w:left="1" w:right="2639" w:firstLine="481"/>
        <w:spacing w:after="0" w:line="244" w:lineRule="auto"/>
        <w:rPr>
          <w:sz w:val="20"/>
          <w:szCs w:val="20"/>
          <w:color w:val="auto"/>
        </w:rPr>
      </w:pPr>
      <w:r>
        <w:rPr>
          <w:rFonts w:ascii="Courier New" w:cs="Courier New" w:eastAsia="Courier New" w:hAnsi="Courier New"/>
          <w:sz w:val="16"/>
          <w:szCs w:val="16"/>
          <w:color w:val="auto"/>
        </w:rPr>
        <w:t>With respect to incentive stock options, the excess of the fair market value of stock received upon exercise over the exercise price is taken into account for purposes of the alternative minimum tax described under Section 55 of the Internal Revenue Code of 1986, as amended (the "Code"). Otherwise, there are generally no tax consequences to either the Company or an optionee connected with the grant or the exercise of an incentive stock option. If the stock acquired under an incentive stock option is not disposed of within two</w:t>
      </w:r>
    </w:p>
    <w:p>
      <w:pPr>
        <w:spacing w:after="0" w:line="4" w:lineRule="exact"/>
        <w:rPr>
          <w:sz w:val="20"/>
          <w:szCs w:val="20"/>
          <w:color w:val="auto"/>
        </w:rPr>
      </w:pPr>
    </w:p>
    <w:p>
      <w:pPr>
        <w:ind w:left="381" w:hanging="381"/>
        <w:spacing w:after="0"/>
        <w:tabs>
          <w:tab w:leader="none" w:pos="3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years from the date of grant nor within one (1) year from the date of</w:t>
      </w:r>
    </w:p>
    <w:p>
      <w:pPr>
        <w:spacing w:after="0" w:line="5" w:lineRule="exact"/>
        <w:rPr>
          <w:rFonts w:ascii="Courier New" w:cs="Courier New" w:eastAsia="Courier New" w:hAnsi="Courier New"/>
          <w:sz w:val="16"/>
          <w:szCs w:val="16"/>
          <w:color w:val="auto"/>
        </w:rPr>
      </w:pPr>
    </w:p>
    <w:p>
      <w:pPr>
        <w:ind w:left="1"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any gain on the sale thereof will generally be treated as long term capital gain to the optionee, with no tax consequences to the Company. If the stock is sold prior to such time, the optionee will recognize at the time of sale ordinary income equal to the lesser of the gain on the sale or the difference between the option price and the fair market value of the stock on the date of exercise, and any additional gain will be long term or short term capital gain, depending upon the holding period. The Company may have a tax deduction equal to the ordinary income recognized by the optionee.</w:t>
      </w:r>
    </w:p>
    <w:p>
      <w:pPr>
        <w:spacing w:after="0" w:line="190"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BOARD RECOMMENDS APPROVAL</w:t>
      </w:r>
    </w:p>
    <w:p>
      <w:pPr>
        <w:spacing w:after="0" w:line="5" w:lineRule="exact"/>
        <w:rPr>
          <w:sz w:val="20"/>
          <w:szCs w:val="20"/>
          <w:color w:val="auto"/>
        </w:rPr>
      </w:pPr>
    </w:p>
    <w:p>
      <w:pPr>
        <w:ind w:left="1" w:right="2819" w:firstLine="481"/>
        <w:spacing w:after="0" w:line="244" w:lineRule="auto"/>
        <w:rPr>
          <w:sz w:val="20"/>
          <w:szCs w:val="20"/>
          <w:color w:val="auto"/>
        </w:rPr>
      </w:pPr>
      <w:r>
        <w:rPr>
          <w:rFonts w:ascii="Courier New" w:cs="Courier New" w:eastAsia="Courier New" w:hAnsi="Courier New"/>
          <w:sz w:val="16"/>
          <w:szCs w:val="16"/>
          <w:color w:val="auto"/>
        </w:rPr>
        <w:t>The Board of Directors has adopted and recommends that the stockholders approve the 1994 Plan. THE AFFIRMATIVE VOTE OF THE HOLDERS OF A MAJORITY OF THE COMPANY'S OUTSTANDING COMMON STOCK VOTING IN PERSON OR BY PROXY AT THE MEETING (PROVIDED A QUORUM IS PRESENT) IS REQUIRED TO APPROVE THE 1994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761"/>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141"/>
          </w:cols>
          <w:pgMar w:left="319" w:top="300"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13</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INDEPENDENT AUDITORS</w:t>
      </w:r>
    </w:p>
    <w:p>
      <w:pPr>
        <w:spacing w:after="0" w:line="190" w:lineRule="exact"/>
        <w:rPr>
          <w:sz w:val="20"/>
          <w:szCs w:val="20"/>
          <w:color w:val="auto"/>
        </w:rPr>
      </w:pPr>
    </w:p>
    <w:p>
      <w:pPr>
        <w:ind w:right="2639" w:firstLine="481"/>
        <w:spacing w:after="0" w:line="244" w:lineRule="auto"/>
        <w:rPr>
          <w:sz w:val="20"/>
          <w:szCs w:val="20"/>
          <w:color w:val="auto"/>
        </w:rPr>
      </w:pPr>
      <w:r>
        <w:rPr>
          <w:rFonts w:ascii="Courier New" w:cs="Courier New" w:eastAsia="Courier New" w:hAnsi="Courier New"/>
          <w:sz w:val="16"/>
          <w:szCs w:val="16"/>
          <w:color w:val="auto"/>
        </w:rPr>
        <w:t>Ernst &amp; Young LLP served as the Company's auditors continuously since 1957. A representative of Ernst &amp; Young LLP will be present at the stockholders' meeting and be available for appropriate questions, and may make a statement if he desires to do so.</w:t>
      </w:r>
    </w:p>
    <w:p>
      <w:pPr>
        <w:spacing w:after="0" w:line="186"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OTHER MATTERS</w:t>
      </w:r>
    </w:p>
    <w:p>
      <w:pPr>
        <w:spacing w:after="0" w:line="190" w:lineRule="exact"/>
        <w:rPr>
          <w:sz w:val="20"/>
          <w:szCs w:val="20"/>
          <w:color w:val="auto"/>
        </w:rPr>
      </w:pPr>
    </w:p>
    <w:p>
      <w:pPr>
        <w:ind w:right="2539" w:firstLine="481"/>
        <w:spacing w:after="0" w:line="244" w:lineRule="auto"/>
        <w:rPr>
          <w:sz w:val="20"/>
          <w:szCs w:val="20"/>
          <w:color w:val="auto"/>
        </w:rPr>
      </w:pPr>
      <w:r>
        <w:rPr>
          <w:rFonts w:ascii="Courier New" w:cs="Courier New" w:eastAsia="Courier New" w:hAnsi="Courier New"/>
          <w:sz w:val="16"/>
          <w:szCs w:val="16"/>
          <w:color w:val="auto"/>
        </w:rPr>
        <w:t>The Board of Directors is unaware of any other business to be presented for consideration at the stockholders' meeting. If, however, such other business should properly come before the meeting, the proxies will be voted in accordance with the best judgment of the proxy holders. The shares represented by proxies received in time for the meeting will be voted, and if any choice has been specified the vote will be in accordance with such specification.</w:t>
      </w:r>
    </w:p>
    <w:p>
      <w:pPr>
        <w:spacing w:after="0" w:line="5" w:lineRule="exact"/>
        <w:rPr>
          <w:sz w:val="20"/>
          <w:szCs w:val="20"/>
          <w:color w:val="auto"/>
        </w:rPr>
      </w:pPr>
    </w:p>
    <w:p>
      <w:pPr>
        <w:ind w:right="2539" w:firstLine="481"/>
        <w:spacing w:after="0" w:line="243" w:lineRule="auto"/>
        <w:rPr>
          <w:sz w:val="20"/>
          <w:szCs w:val="20"/>
          <w:color w:val="auto"/>
        </w:rPr>
      </w:pPr>
      <w:r>
        <w:rPr>
          <w:rFonts w:ascii="Courier New" w:cs="Courier New" w:eastAsia="Courier New" w:hAnsi="Courier New"/>
          <w:sz w:val="16"/>
          <w:szCs w:val="16"/>
          <w:color w:val="auto"/>
        </w:rPr>
        <w:t>All stockholder proposals must be submitted to the Secretary of the Company no later than November 30, 1995 in order to be considered for inclusion in the Company's 1996 proxy materials.</w:t>
      </w:r>
    </w:p>
    <w:p>
      <w:pPr>
        <w:spacing w:after="0" w:line="5" w:lineRule="exact"/>
        <w:rPr>
          <w:sz w:val="20"/>
          <w:szCs w:val="20"/>
          <w:color w:val="auto"/>
        </w:rPr>
      </w:pPr>
    </w:p>
    <w:p>
      <w:pPr>
        <w:ind w:right="2739" w:firstLine="481"/>
        <w:spacing w:after="0" w:line="244" w:lineRule="auto"/>
        <w:rPr>
          <w:sz w:val="20"/>
          <w:szCs w:val="20"/>
          <w:color w:val="auto"/>
        </w:rPr>
      </w:pPr>
      <w:r>
        <w:rPr>
          <w:rFonts w:ascii="Courier New" w:cs="Courier New" w:eastAsia="Courier New" w:hAnsi="Courier New"/>
          <w:sz w:val="16"/>
          <w:szCs w:val="16"/>
          <w:color w:val="auto"/>
        </w:rPr>
        <w:t>THIS SOLICITATION IS MADE BY THE BOARD OF DIRECTORS OF THE COMPANY. Proxies will be solicited by mail and may be solicited in person or by telephone or telegraph. Directors and officers may engage in such solicitation. The Company has retained Georgeson &amp; Co. in New York to aid in the solicitation of proxies at an anticipated cost of $6,000, including expenses. The Company will bear the entire cost of the solicitation.</w:t>
      </w:r>
    </w:p>
    <w:p>
      <w:pPr>
        <w:spacing w:after="0" w:line="5" w:lineRule="exact"/>
        <w:rPr>
          <w:sz w:val="20"/>
          <w:szCs w:val="20"/>
          <w:color w:val="auto"/>
        </w:rPr>
      </w:pPr>
    </w:p>
    <w:p>
      <w:pPr>
        <w:ind w:right="2639" w:firstLine="481"/>
        <w:spacing w:after="0" w:line="243" w:lineRule="auto"/>
        <w:rPr>
          <w:sz w:val="20"/>
          <w:szCs w:val="20"/>
          <w:color w:val="auto"/>
        </w:rPr>
      </w:pPr>
      <w:r>
        <w:rPr>
          <w:rFonts w:ascii="Courier New" w:cs="Courier New" w:eastAsia="Courier New" w:hAnsi="Courier New"/>
          <w:sz w:val="16"/>
          <w:szCs w:val="16"/>
          <w:color w:val="auto"/>
        </w:rPr>
        <w:t>The Board of Directors invites you to attend the meeting in person. However, if you are unable to do so, please sign, date and return the enclosed proxy promptly.</w:t>
      </w:r>
    </w:p>
    <w:p>
      <w:pPr>
        <w:spacing w:after="0" w:line="18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89"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/s/ Charles A. Schwan</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__________________________________</w:t>
      </w:r>
    </w:p>
    <w:p>
      <w:pPr>
        <w:spacing w:after="0" w:line="189"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Charles A. Schwan</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Secretary</w:t>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San Diego, California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30,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139"/>
          </w:cols>
          <w:pgMar w:left="320" w:top="300"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14</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EXHIBIT A</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COHU, INC.</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1994 STOCK OPTION PLAN</w:t>
      </w:r>
    </w:p>
    <w:p>
      <w:pPr>
        <w:spacing w:after="0" w:line="190" w:lineRule="exact"/>
        <w:rPr>
          <w:sz w:val="20"/>
          <w:szCs w:val="20"/>
          <w:color w:val="auto"/>
        </w:rPr>
      </w:pPr>
    </w:p>
    <w:p>
      <w:pPr>
        <w:ind w:right="2539" w:firstLine="674"/>
        <w:spacing w:after="0" w:line="244" w:lineRule="auto"/>
        <w:rPr>
          <w:sz w:val="20"/>
          <w:szCs w:val="20"/>
          <w:color w:val="auto"/>
        </w:rPr>
      </w:pPr>
      <w:r>
        <w:rPr>
          <w:rFonts w:ascii="Courier New" w:cs="Courier New" w:eastAsia="Courier New" w:hAnsi="Courier New"/>
          <w:sz w:val="16"/>
          <w:szCs w:val="16"/>
          <w:color w:val="auto"/>
        </w:rPr>
        <w:t>The Cohu, Inc. 1994 Stock Option Plan is hereby adopted for the benefit of officers, directors (who are also employees), service providers and key employees of Cohu, Inc., a Delaware corporation and its parent or subsidiaries, if any.</w:t>
      </w:r>
    </w:p>
    <w:p>
      <w:pPr>
        <w:spacing w:after="0" w:line="188" w:lineRule="exact"/>
        <w:rPr>
          <w:sz w:val="20"/>
          <w:szCs w:val="20"/>
          <w:color w:val="auto"/>
        </w:rPr>
      </w:pPr>
    </w:p>
    <w:p>
      <w:pPr>
        <w:ind w:right="2639" w:firstLine="480"/>
        <w:spacing w:after="0" w:line="244" w:lineRule="auto"/>
        <w:tabs>
          <w:tab w:leader="none" w:pos="866"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 The purpose of the Plan is to advance the growth and prosperity of the Corporation and its stockholders by providing to officers, directors, service providers and key employees of the Corporation an incentive to serve the Corporation. By encouraging and enabling such persons to become owners of capital stock of the Corporation, the Corporation seeks to attract and retain persons of training, experience and ability and to furnish additional incentives to those persons upon whose judgment, initiative and efforts the successful conduct of the Corporation's business depends. It is the intention of the Corporation that this objective will be accomplished through the granting of incentive stock options and nonqualified stock options to certain officers, directors, service providers and key employees of the Corporation.</w:t>
      </w:r>
    </w:p>
    <w:p>
      <w:pPr>
        <w:spacing w:after="0" w:line="194" w:lineRule="exact"/>
        <w:rPr>
          <w:rFonts w:ascii="Courier New" w:cs="Courier New" w:eastAsia="Courier New" w:hAnsi="Courier New"/>
          <w:sz w:val="16"/>
          <w:szCs w:val="16"/>
          <w:color w:val="auto"/>
        </w:rPr>
      </w:pPr>
    </w:p>
    <w:p>
      <w:pPr>
        <w:ind w:left="860" w:right="3119" w:hanging="380"/>
        <w:spacing w:after="0" w:line="242" w:lineRule="auto"/>
        <w:tabs>
          <w:tab w:leader="none" w:pos="8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 As used herein, the following terms shall have the corresponding meanings.</w:t>
      </w:r>
    </w:p>
    <w:p>
      <w:pPr>
        <w:spacing w:after="0" w:line="2"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2.1</w:t>
      </w:r>
      <w:r>
        <w:rPr>
          <w:rFonts w:ascii="Courier New" w:cs="Courier New" w:eastAsia="Courier New" w:hAnsi="Courier New"/>
          <w:sz w:val="15"/>
          <w:szCs w:val="15"/>
          <w:color w:val="auto"/>
        </w:rPr>
        <w:t>"Committee" shall mean the Cohu, Inc. Executive Compensation</w:t>
      </w:r>
    </w:p>
    <w:p>
      <w:pPr>
        <w:spacing w:after="0" w:line="5" w:lineRule="exact"/>
        <w:rPr>
          <w:sz w:val="20"/>
          <w:szCs w:val="20"/>
          <w:color w:val="auto"/>
        </w:rPr>
      </w:pPr>
    </w:p>
    <w:p>
      <w:pPr>
        <w:jc w:val="both"/>
        <w:ind w:right="2639"/>
        <w:spacing w:after="0" w:line="243" w:lineRule="auto"/>
        <w:rPr>
          <w:sz w:val="20"/>
          <w:szCs w:val="20"/>
          <w:color w:val="auto"/>
        </w:rPr>
      </w:pPr>
      <w:r>
        <w:rPr>
          <w:rFonts w:ascii="Courier New" w:cs="Courier New" w:eastAsia="Courier New" w:hAnsi="Courier New"/>
          <w:sz w:val="16"/>
          <w:szCs w:val="16"/>
          <w:color w:val="auto"/>
        </w:rPr>
        <w:t>Committee, appointed by the Board of Directors of the Corporation. If no such Committee is appointed, the entire Board of Directors of the Corporation shall be deemed to constitute the Committee.</w:t>
      </w:r>
    </w:p>
    <w:p>
      <w:pPr>
        <w:spacing w:after="0" w:line="5" w:lineRule="exact"/>
        <w:rPr>
          <w:sz w:val="20"/>
          <w:szCs w:val="20"/>
          <w:color w:val="auto"/>
        </w:rPr>
      </w:pPr>
    </w:p>
    <w:p>
      <w:pPr>
        <w:ind w:right="2639" w:firstLine="866"/>
        <w:spacing w:after="0" w:line="244" w:lineRule="auto"/>
        <w:rPr>
          <w:sz w:val="20"/>
          <w:szCs w:val="20"/>
          <w:color w:val="auto"/>
        </w:rPr>
      </w:pPr>
      <w:r>
        <w:rPr>
          <w:rFonts w:ascii="Courier New" w:cs="Courier New" w:eastAsia="Courier New" w:hAnsi="Courier New"/>
          <w:sz w:val="16"/>
          <w:szCs w:val="16"/>
          <w:color w:val="auto"/>
        </w:rPr>
        <w:t>2.2 "Corporation" shall mean Cohu, Inc. and any successor corporation thereto and/or its parent or subsidiaries, if any, as the context requires. The terms "parent" and "subsidiary" shall mean any existing or future corporation which would be a parent or subsidiary corporation of the Corporation, as those terms are defined in Section 424 of the Internal Revenue Code of 1986, as amended, and the Treasury Regulations promulgated thereunder (the "Code").</w:t>
      </w:r>
    </w:p>
    <w:p>
      <w:pPr>
        <w:spacing w:after="0" w:line="5" w:lineRule="exact"/>
        <w:rPr>
          <w:sz w:val="20"/>
          <w:szCs w:val="20"/>
          <w:color w:val="auto"/>
        </w:rPr>
      </w:pPr>
    </w:p>
    <w:p>
      <w:pPr>
        <w:ind w:right="2539" w:firstLine="866"/>
        <w:spacing w:after="0" w:line="244" w:lineRule="auto"/>
        <w:rPr>
          <w:sz w:val="20"/>
          <w:szCs w:val="20"/>
          <w:color w:val="auto"/>
        </w:rPr>
      </w:pPr>
      <w:r>
        <w:rPr>
          <w:rFonts w:ascii="Courier New" w:cs="Courier New" w:eastAsia="Courier New" w:hAnsi="Courier New"/>
          <w:sz w:val="16"/>
          <w:szCs w:val="16"/>
          <w:color w:val="auto"/>
        </w:rPr>
        <w:t>2.3 "Date of Grant" shall mean the date of grant of a Stock Option granted hereunder as set forth in the Stock Option Agreement. In the event of a grant conditioned, among other things, upon stockholder ratification of this Plan, the date of such conditional grant shall be the Date of Grant for purposes of this Plan.</w:t>
      </w:r>
    </w:p>
    <w:p>
      <w:pPr>
        <w:spacing w:after="0" w:line="4" w:lineRule="exact"/>
        <w:rPr>
          <w:sz w:val="20"/>
          <w:szCs w:val="20"/>
          <w:color w:val="auto"/>
        </w:rPr>
      </w:pPr>
    </w:p>
    <w:p>
      <w:pPr>
        <w:ind w:right="2819" w:firstLine="866"/>
        <w:spacing w:after="0" w:line="244" w:lineRule="auto"/>
        <w:rPr>
          <w:sz w:val="20"/>
          <w:szCs w:val="20"/>
          <w:color w:val="auto"/>
        </w:rPr>
      </w:pPr>
      <w:r>
        <w:rPr>
          <w:rFonts w:ascii="Courier New" w:cs="Courier New" w:eastAsia="Courier New" w:hAnsi="Courier New"/>
          <w:sz w:val="16"/>
          <w:szCs w:val="16"/>
          <w:color w:val="auto"/>
        </w:rPr>
        <w:t>2.4 "Employee" shall mean any common-law employee of the Corporation. The determination of whether or not a person is an Employee of the Corporation with respect to the grant or exercise of an Incentive Stock Option shall be made in accordance with the rule of Income Tax Regulation Section 1.421-7(h) (or successor regulation).</w:t>
      </w:r>
    </w:p>
    <w:p>
      <w:pPr>
        <w:spacing w:after="0" w:line="4" w:lineRule="exact"/>
        <w:rPr>
          <w:sz w:val="20"/>
          <w:szCs w:val="20"/>
          <w:color w:val="auto"/>
        </w:rPr>
      </w:pPr>
    </w:p>
    <w:p>
      <w:pPr>
        <w:ind w:right="2539" w:firstLine="866"/>
        <w:spacing w:after="0" w:line="244" w:lineRule="auto"/>
        <w:rPr>
          <w:sz w:val="20"/>
          <w:szCs w:val="20"/>
          <w:color w:val="auto"/>
        </w:rPr>
      </w:pPr>
      <w:r>
        <w:rPr>
          <w:rFonts w:ascii="Courier New" w:cs="Courier New" w:eastAsia="Courier New" w:hAnsi="Courier New"/>
          <w:sz w:val="16"/>
          <w:szCs w:val="16"/>
          <w:color w:val="auto"/>
        </w:rPr>
        <w:t>2.5 "Fair Market Value" shall mean, with respect to the exercise of an option under the Plan, (a) if the Common Stock is listed on a national securities exchange, the closing price of the Common Stock for the business day immediately preceding the day for which the determination is being made, or (b) if the Common Stock is not then listed on an exchange, the average of the closing bid and asked prices per share for the Common Stock in the over-the-counter market as quoted on NASDAQ for the business day immediately preceding the day for which the determination is being made, or (c) if the Common Stock is not then listed on any exchange or quoted on NASDAQ, an amount determined in good faith by the Board of Directors to be the fair market value of the Common Stock, after consideration of all relevant factors.</w:t>
      </w:r>
    </w:p>
    <w:p>
      <w:pPr>
        <w:spacing w:after="0" w:line="8" w:lineRule="exact"/>
        <w:rPr>
          <w:sz w:val="20"/>
          <w:szCs w:val="20"/>
          <w:color w:val="auto"/>
        </w:rPr>
      </w:pPr>
    </w:p>
    <w:p>
      <w:pPr>
        <w:ind w:right="2639" w:firstLine="866"/>
        <w:spacing w:after="0" w:line="243" w:lineRule="auto"/>
        <w:rPr>
          <w:sz w:val="20"/>
          <w:szCs w:val="20"/>
          <w:color w:val="auto"/>
        </w:rPr>
      </w:pPr>
      <w:r>
        <w:rPr>
          <w:rFonts w:ascii="Courier New" w:cs="Courier New" w:eastAsia="Courier New" w:hAnsi="Courier New"/>
          <w:sz w:val="16"/>
          <w:szCs w:val="16"/>
          <w:color w:val="auto"/>
        </w:rPr>
        <w:t>2.6 "Holder" shall mean any person entitled to exercise a Stock Option pursuant to the terms of the Plan, provided that no director who is not also an Employee may be a Holder.</w:t>
      </w:r>
    </w:p>
    <w:p>
      <w:pPr>
        <w:spacing w:after="0" w:line="5" w:lineRule="exact"/>
        <w:rPr>
          <w:sz w:val="20"/>
          <w:szCs w:val="20"/>
          <w:color w:val="auto"/>
        </w:rPr>
      </w:pPr>
    </w:p>
    <w:p>
      <w:pPr>
        <w:ind w:right="2739" w:firstLine="866"/>
        <w:spacing w:after="0" w:line="244" w:lineRule="auto"/>
        <w:rPr>
          <w:sz w:val="20"/>
          <w:szCs w:val="20"/>
          <w:color w:val="auto"/>
        </w:rPr>
      </w:pPr>
      <w:r>
        <w:rPr>
          <w:rFonts w:ascii="Courier New" w:cs="Courier New" w:eastAsia="Courier New" w:hAnsi="Courier New"/>
          <w:sz w:val="16"/>
          <w:szCs w:val="16"/>
          <w:color w:val="auto"/>
        </w:rPr>
        <w:t>2.7 "Incentive Stock Option" shall mean a Stock Option which is intended to qualify for tax treatment as an incentive stock option under Section 422 of the Code. An Incentive Stock Option may only be granted to an Employee.</w:t>
      </w:r>
    </w:p>
    <w:p>
      <w:pPr>
        <w:spacing w:after="0" w:line="3" w:lineRule="exact"/>
        <w:rPr>
          <w:sz w:val="20"/>
          <w:szCs w:val="20"/>
          <w:color w:val="auto"/>
        </w:rPr>
      </w:pPr>
    </w:p>
    <w:p>
      <w:pPr>
        <w:ind w:right="2539" w:firstLine="866"/>
        <w:spacing w:after="0" w:line="243" w:lineRule="auto"/>
        <w:rPr>
          <w:sz w:val="20"/>
          <w:szCs w:val="20"/>
          <w:color w:val="auto"/>
        </w:rPr>
      </w:pPr>
      <w:r>
        <w:rPr>
          <w:rFonts w:ascii="Courier New" w:cs="Courier New" w:eastAsia="Courier New" w:hAnsi="Courier New"/>
          <w:sz w:val="16"/>
          <w:szCs w:val="16"/>
          <w:color w:val="auto"/>
        </w:rPr>
        <w:t>2.8 "Nonqualified Stock Option" shall mean a Stock Option which is not intended to qualify for tax treatment as an Incentive Stock Option under Section 422 of the Code.</w:t>
      </w:r>
    </w:p>
    <w:p>
      <w:pPr>
        <w:spacing w:after="0" w:line="5" w:lineRule="exact"/>
        <w:rPr>
          <w:sz w:val="20"/>
          <w:szCs w:val="20"/>
          <w:color w:val="auto"/>
        </w:rPr>
      </w:pPr>
    </w:p>
    <w:p>
      <w:pPr>
        <w:ind w:left="1060" w:right="2819" w:hanging="192"/>
        <w:spacing w:after="0" w:line="242" w:lineRule="auto"/>
        <w:rPr>
          <w:sz w:val="20"/>
          <w:szCs w:val="20"/>
          <w:color w:val="auto"/>
        </w:rPr>
      </w:pPr>
      <w:r>
        <w:rPr>
          <w:rFonts w:ascii="Courier New" w:cs="Courier New" w:eastAsia="Courier New" w:hAnsi="Courier New"/>
          <w:sz w:val="16"/>
          <w:szCs w:val="16"/>
          <w:color w:val="auto"/>
        </w:rPr>
        <w:t>2.9</w:t>
      </w:r>
      <w:r>
        <w:rPr>
          <w:sz w:val="20"/>
          <w:szCs w:val="20"/>
          <w:color w:val="auto"/>
        </w:rPr>
        <w:t xml:space="preserve"> </w:t>
      </w:r>
      <w:r>
        <w:rPr>
          <w:rFonts w:ascii="Courier New" w:cs="Courier New" w:eastAsia="Courier New" w:hAnsi="Courier New"/>
          <w:sz w:val="16"/>
          <w:szCs w:val="16"/>
          <w:color w:val="auto"/>
        </w:rPr>
        <w:t>"Plan" shall mean the Cohu, Inc. 1994 Stock Option Plan, as herein adopted and as may be amended from time to time.</w:t>
      </w:r>
    </w:p>
    <w:p>
      <w:pPr>
        <w:sectPr>
          <w:pgSz w:w="11900" w:h="16838" w:orient="portrait"/>
          <w:cols w:equalWidth="0" w:num="1">
            <w:col w:w="10139"/>
          </w:cols>
          <w:pgMar w:left="320" w:top="3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139"/>
          </w:cols>
          <w:pgMar w:left="320" w:top="300" w:right="1440" w:bottom="1440" w:gutter="0" w:footer="0" w:header="0"/>
          <w:type w:val="continuous"/>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15</w:t>
      </w:r>
    </w:p>
    <w:p>
      <w:pPr>
        <w:spacing w:after="0" w:line="5" w:lineRule="exact"/>
        <w:rPr>
          <w:sz w:val="20"/>
          <w:szCs w:val="20"/>
          <w:color w:val="auto"/>
        </w:rPr>
      </w:pPr>
    </w:p>
    <w:p>
      <w:pPr>
        <w:ind w:left="1060" w:right="2539" w:hanging="192"/>
        <w:spacing w:after="0" w:line="242" w:lineRule="auto"/>
        <w:rPr>
          <w:sz w:val="20"/>
          <w:szCs w:val="20"/>
          <w:color w:val="auto"/>
        </w:rPr>
      </w:pPr>
      <w:r>
        <w:rPr>
          <w:rFonts w:ascii="Courier New" w:cs="Courier New" w:eastAsia="Courier New" w:hAnsi="Courier New"/>
          <w:sz w:val="16"/>
          <w:szCs w:val="16"/>
          <w:color w:val="auto"/>
        </w:rPr>
        <w:t>2.10</w:t>
      </w:r>
      <w:r>
        <w:rPr>
          <w:sz w:val="20"/>
          <w:szCs w:val="20"/>
          <w:color w:val="auto"/>
        </w:rPr>
        <w:t xml:space="preserve"> </w:t>
      </w:r>
      <w:r>
        <w:rPr>
          <w:rFonts w:ascii="Courier New" w:cs="Courier New" w:eastAsia="Courier New" w:hAnsi="Courier New"/>
          <w:sz w:val="16"/>
          <w:szCs w:val="16"/>
          <w:color w:val="auto"/>
        </w:rPr>
        <w:t>"Purchase Price" shall mean the price paid for Shares upon the exercise of a Stock Option granted hereunder.</w:t>
      </w:r>
    </w:p>
    <w:p>
      <w:pPr>
        <w:spacing w:after="0" w:line="5" w:lineRule="exact"/>
        <w:rPr>
          <w:sz w:val="20"/>
          <w:szCs w:val="20"/>
          <w:color w:val="auto"/>
        </w:rPr>
      </w:pPr>
    </w:p>
    <w:p>
      <w:pPr>
        <w:ind w:right="2539" w:firstLine="866"/>
        <w:spacing w:after="0" w:line="242" w:lineRule="auto"/>
        <w:rPr>
          <w:sz w:val="20"/>
          <w:szCs w:val="20"/>
          <w:color w:val="auto"/>
        </w:rPr>
      </w:pPr>
      <w:r>
        <w:rPr>
          <w:rFonts w:ascii="Courier New" w:cs="Courier New" w:eastAsia="Courier New" w:hAnsi="Courier New"/>
          <w:sz w:val="16"/>
          <w:szCs w:val="16"/>
          <w:color w:val="auto"/>
        </w:rPr>
        <w:t>2.11 "Shares" shall mean those shares of Common Stock of the Corporation which are available for issuance pursuant to the terms of the Plan.</w:t>
      </w:r>
    </w:p>
    <w:p>
      <w:pPr>
        <w:spacing w:after="0" w:line="5" w:lineRule="exact"/>
        <w:rPr>
          <w:sz w:val="20"/>
          <w:szCs w:val="20"/>
          <w:color w:val="auto"/>
        </w:rPr>
      </w:pPr>
    </w:p>
    <w:p>
      <w:pPr>
        <w:ind w:right="2539" w:firstLine="866"/>
        <w:spacing w:after="0" w:line="243" w:lineRule="auto"/>
        <w:rPr>
          <w:sz w:val="20"/>
          <w:szCs w:val="20"/>
          <w:color w:val="auto"/>
        </w:rPr>
      </w:pPr>
      <w:r>
        <w:rPr>
          <w:rFonts w:ascii="Courier New" w:cs="Courier New" w:eastAsia="Courier New" w:hAnsi="Courier New"/>
          <w:sz w:val="16"/>
          <w:szCs w:val="16"/>
          <w:color w:val="auto"/>
        </w:rPr>
        <w:t>2.12 "Stock Option" shall mean a stock option giving a Holder the right to purchase Shares. A Stock Option may be an Incentive Stock Option or a Nonqualified Stock Option.</w:t>
      </w:r>
    </w:p>
    <w:p>
      <w:pPr>
        <w:spacing w:after="0" w:line="190" w:lineRule="exact"/>
        <w:rPr>
          <w:sz w:val="20"/>
          <w:szCs w:val="20"/>
          <w:color w:val="auto"/>
        </w:rPr>
      </w:pPr>
    </w:p>
    <w:p>
      <w:pPr>
        <w:ind w:right="2639" w:firstLine="480"/>
        <w:spacing w:after="0" w:line="244" w:lineRule="auto"/>
        <w:tabs>
          <w:tab w:leader="none" w:pos="866"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 All Stock Options shall be granted, if at all, within ten (10) years from the earlier of the date the Plan is adopted by the Board of Directors of the Corporation and the date the Plan is duly approved by the stockholders of the Corporation.</w:t>
      </w:r>
    </w:p>
    <w:p>
      <w:pPr>
        <w:spacing w:after="0" w:line="188" w:lineRule="exact"/>
        <w:rPr>
          <w:rFonts w:ascii="Courier New" w:cs="Courier New" w:eastAsia="Courier New" w:hAnsi="Courier New"/>
          <w:sz w:val="16"/>
          <w:szCs w:val="16"/>
          <w:color w:val="auto"/>
        </w:rPr>
      </w:pPr>
    </w:p>
    <w:p>
      <w:pPr>
        <w:ind w:right="2539" w:firstLine="480"/>
        <w:spacing w:after="0" w:line="244" w:lineRule="auto"/>
        <w:tabs>
          <w:tab w:leader="none" w:pos="866"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 Stock Options may be granted only to employees (including officers and directors who are also employees) of the Corporation or its parent or subsidiaries or to individuals who are rendering services as consultants, advisors, or other independent contractors to the Corporation or its parent or subsidiaries. For purposes of the foregoing sentence, "employees" shall include prospective employees to whom Stock Options are granted in connection with written offers of employment with the Corporation or its parent or subsidiaries and "consultants" or "advisors" shall include prospective consultants or advisors to whom Stock Options are granted in connection with written consulting or advising offers with the Corporation or its parent or subsidiaries. The Committee shall, in the Committee's sole discretion, determine which persons shall be granted Stock Options. An individual who is rendering services as a consultant, advisor, or other independent contractor or who is a prospective employee, consultant or advisor shall be eligible to be granted only a Nonqualified Stock Option. A Holder may, if otherwise eligible, be granted more than one Stock Option.</w:t>
      </w:r>
    </w:p>
    <w:p>
      <w:pPr>
        <w:spacing w:after="0" w:line="197" w:lineRule="exact"/>
        <w:rPr>
          <w:rFonts w:ascii="Courier New" w:cs="Courier New" w:eastAsia="Courier New" w:hAnsi="Courier New"/>
          <w:sz w:val="16"/>
          <w:szCs w:val="16"/>
          <w:color w:val="auto"/>
        </w:rPr>
      </w:pPr>
    </w:p>
    <w:p>
      <w:pPr>
        <w:ind w:right="2639" w:firstLine="480"/>
        <w:spacing w:after="0" w:line="244" w:lineRule="auto"/>
        <w:tabs>
          <w:tab w:leader="none" w:pos="866"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of Stock Subject to the Plan. Subject to the adjustments set forth in the Plan, the Shares which may be issued pursuant to the Plan shall not exceed in the aggregate 220,000 shares of the Corporation's Common Stock, $1.00 par value. Such Shares shall be authorized and unissued shares. Any Shares subject to a Stock Option granted under this Plan which for any reason expires or is terminated unexercised and/or Shares subject to repurchase which are repurchased by the Corporation shall again be subject to and be available for issuance pursuant to the terms of this Plan. Notwithstanding the foregoing, any such shares shall be made subject to a new Stock Option only if the grant of such new Stock Option and the issuance of such shares pursuant to such new Stock Option would not cause the Plan or any Stock Option granted under the Plan to contravene Rule 16b-3, as promulgated under the Securities Exchange Act of 1934, as amended (the "Exchange Act") and as amended from time to time or any successor rule or regulation ("Rule 16b-3").</w:t>
      </w:r>
    </w:p>
    <w:p>
      <w:pPr>
        <w:spacing w:after="0" w:line="195" w:lineRule="exact"/>
        <w:rPr>
          <w:rFonts w:ascii="Courier New" w:cs="Courier New" w:eastAsia="Courier New" w:hAnsi="Courier New"/>
          <w:sz w:val="16"/>
          <w:szCs w:val="16"/>
          <w:color w:val="auto"/>
        </w:rPr>
      </w:pPr>
    </w:p>
    <w:p>
      <w:pPr>
        <w:ind w:right="2639" w:firstLine="480"/>
        <w:spacing w:after="0" w:line="244" w:lineRule="auto"/>
        <w:tabs>
          <w:tab w:leader="none" w:pos="866"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of the Plan. Within the limitations described herein, the Committee shall administer the Plan, select the officers, directors, service providers and Employees of the Corporation to whom Stock Options shall be granted, determine the number of Shares to be subject to each grant, determine the method of payment upon exercise of each Stock Option, determine all other terms of Stock Options granted hereunder and interpret, construe and</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40" w:type="dxa"/>
            <w:vAlign w:val="bottom"/>
          </w:tcPr>
          <w:p>
            <w:pPr>
              <w:spacing w:after="0"/>
              <w:rPr>
                <w:sz w:val="20"/>
                <w:szCs w:val="20"/>
                <w:color w:val="auto"/>
              </w:rPr>
            </w:pPr>
            <w:r>
              <w:rPr>
                <w:rFonts w:ascii="Courier New" w:cs="Courier New" w:eastAsia="Courier New" w:hAnsi="Courier New"/>
                <w:sz w:val="16"/>
                <w:szCs w:val="16"/>
                <w:color w:val="auto"/>
              </w:rPr>
              <w:t>implement the provisions of</w:t>
            </w:r>
          </w:p>
        </w:tc>
        <w:tc>
          <w:tcPr>
            <w:tcW w:w="1020" w:type="dxa"/>
            <w:vAlign w:val="bottom"/>
          </w:tcPr>
          <w:p>
            <w:pPr>
              <w:ind w:left="60"/>
              <w:spacing w:after="0"/>
              <w:rPr>
                <w:sz w:val="20"/>
                <w:szCs w:val="20"/>
                <w:color w:val="auto"/>
              </w:rPr>
            </w:pPr>
            <w:r>
              <w:rPr>
                <w:rFonts w:ascii="Courier New" w:cs="Courier New" w:eastAsia="Courier New" w:hAnsi="Courier New"/>
                <w:sz w:val="16"/>
                <w:szCs w:val="16"/>
                <w:color w:val="auto"/>
              </w:rPr>
              <w:t>the Plan.</w:t>
            </w:r>
          </w:p>
        </w:tc>
        <w:tc>
          <w:tcPr>
            <w:tcW w:w="3840" w:type="dxa"/>
            <w:vAlign w:val="bottom"/>
          </w:tcPr>
          <w:p>
            <w:pPr>
              <w:ind w:left="100"/>
              <w:spacing w:after="0"/>
              <w:rPr>
                <w:sz w:val="20"/>
                <w:szCs w:val="20"/>
                <w:color w:val="auto"/>
              </w:rPr>
            </w:pPr>
            <w:r>
              <w:rPr>
                <w:rFonts w:ascii="Courier New" w:cs="Courier New" w:eastAsia="Courier New" w:hAnsi="Courier New"/>
                <w:sz w:val="16"/>
                <w:szCs w:val="16"/>
                <w:color w:val="auto"/>
              </w:rPr>
              <w:t>By   the adoption of this Plan, the</w:t>
            </w:r>
          </w:p>
        </w:tc>
      </w:tr>
      <w:tr>
        <w:trPr>
          <w:trHeight w:val="185"/>
        </w:trPr>
        <w:tc>
          <w:tcPr>
            <w:tcW w:w="3660" w:type="dxa"/>
            <w:vAlign w:val="bottom"/>
            <w:gridSpan w:val="2"/>
          </w:tcPr>
          <w:p>
            <w:pPr>
              <w:spacing w:after="0"/>
              <w:rPr>
                <w:sz w:val="20"/>
                <w:szCs w:val="20"/>
                <w:color w:val="auto"/>
              </w:rPr>
            </w:pPr>
            <w:r>
              <w:rPr>
                <w:rFonts w:ascii="Courier New" w:cs="Courier New" w:eastAsia="Courier New" w:hAnsi="Courier New"/>
                <w:sz w:val="16"/>
                <w:szCs w:val="16"/>
                <w:color w:val="auto"/>
              </w:rPr>
              <w:t>Board of Directors of the Corporation</w:t>
            </w:r>
          </w:p>
        </w:tc>
        <w:tc>
          <w:tcPr>
            <w:tcW w:w="3840" w:type="dxa"/>
            <w:vAlign w:val="bottom"/>
          </w:tcPr>
          <w:p>
            <w:pPr>
              <w:spacing w:after="0"/>
              <w:rPr>
                <w:sz w:val="20"/>
                <w:szCs w:val="20"/>
                <w:color w:val="auto"/>
              </w:rPr>
            </w:pPr>
            <w:r>
              <w:rPr>
                <w:rFonts w:ascii="Courier New" w:cs="Courier New" w:eastAsia="Courier New" w:hAnsi="Courier New"/>
                <w:sz w:val="16"/>
                <w:szCs w:val="16"/>
                <w:color w:val="auto"/>
              </w:rPr>
              <w:t>is delegating to the Committee plenary</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authority to administer the</w:t>
            </w:r>
          </w:p>
        </w:tc>
        <w:tc>
          <w:tcPr>
            <w:tcW w:w="1020" w:type="dxa"/>
            <w:vAlign w:val="bottom"/>
          </w:tcPr>
          <w:p>
            <w:pPr>
              <w:ind w:left="60"/>
              <w:spacing w:after="0"/>
              <w:rPr>
                <w:sz w:val="20"/>
                <w:szCs w:val="20"/>
                <w:color w:val="auto"/>
              </w:rPr>
            </w:pPr>
            <w:r>
              <w:rPr>
                <w:rFonts w:ascii="Courier New" w:cs="Courier New" w:eastAsia="Courier New" w:hAnsi="Courier New"/>
                <w:sz w:val="16"/>
                <w:szCs w:val="16"/>
                <w:color w:val="auto"/>
                <w:w w:val="97"/>
              </w:rPr>
              <w:t>Plan.  All</w:t>
            </w:r>
          </w:p>
        </w:tc>
        <w:tc>
          <w:tcPr>
            <w:tcW w:w="3840" w:type="dxa"/>
            <w:vAlign w:val="bottom"/>
          </w:tcPr>
          <w:p>
            <w:pPr>
              <w:ind w:left="100"/>
              <w:spacing w:after="0"/>
              <w:rPr>
                <w:sz w:val="20"/>
                <w:szCs w:val="20"/>
                <w:color w:val="auto"/>
              </w:rPr>
            </w:pPr>
            <w:r>
              <w:rPr>
                <w:rFonts w:ascii="Courier New" w:cs="Courier New" w:eastAsia="Courier New" w:hAnsi="Courier New"/>
                <w:sz w:val="16"/>
                <w:szCs w:val="16"/>
                <w:color w:val="auto"/>
                <w:w w:val="99"/>
              </w:rPr>
              <w:t>questions of interpretation of the Plan</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or any Stock Option granted</w:t>
            </w:r>
          </w:p>
        </w:tc>
        <w:tc>
          <w:tcPr>
            <w:tcW w:w="1020" w:type="dxa"/>
            <w:vAlign w:val="bottom"/>
          </w:tcPr>
          <w:p>
            <w:pPr>
              <w:ind w:left="60"/>
              <w:spacing w:after="0"/>
              <w:rPr>
                <w:sz w:val="20"/>
                <w:szCs w:val="20"/>
                <w:color w:val="auto"/>
              </w:rPr>
            </w:pPr>
            <w:r>
              <w:rPr>
                <w:rFonts w:ascii="Courier New" w:cs="Courier New" w:eastAsia="Courier New" w:hAnsi="Courier New"/>
                <w:sz w:val="16"/>
                <w:szCs w:val="16"/>
                <w:color w:val="auto"/>
              </w:rPr>
              <w:t>under the</w:t>
            </w:r>
          </w:p>
        </w:tc>
        <w:tc>
          <w:tcPr>
            <w:tcW w:w="3840" w:type="dxa"/>
            <w:vAlign w:val="bottom"/>
          </w:tcPr>
          <w:p>
            <w:pPr>
              <w:spacing w:after="0"/>
              <w:rPr>
                <w:sz w:val="20"/>
                <w:szCs w:val="20"/>
                <w:color w:val="auto"/>
              </w:rPr>
            </w:pPr>
            <w:r>
              <w:rPr>
                <w:rFonts w:ascii="Courier New" w:cs="Courier New" w:eastAsia="Courier New" w:hAnsi="Courier New"/>
                <w:sz w:val="16"/>
                <w:szCs w:val="16"/>
                <w:color w:val="auto"/>
              </w:rPr>
              <w:t>Plan shall be determined by the</w:t>
            </w:r>
          </w:p>
        </w:tc>
      </w:tr>
      <w:tr>
        <w:trPr>
          <w:trHeight w:val="185"/>
        </w:trPr>
        <w:tc>
          <w:tcPr>
            <w:tcW w:w="3660" w:type="dxa"/>
            <w:vAlign w:val="bottom"/>
            <w:gridSpan w:val="2"/>
          </w:tcPr>
          <w:p>
            <w:pPr>
              <w:spacing w:after="0"/>
              <w:rPr>
                <w:sz w:val="20"/>
                <w:szCs w:val="20"/>
                <w:color w:val="auto"/>
              </w:rPr>
            </w:pPr>
            <w:r>
              <w:rPr>
                <w:rFonts w:ascii="Courier New" w:cs="Courier New" w:eastAsia="Courier New" w:hAnsi="Courier New"/>
                <w:sz w:val="16"/>
                <w:szCs w:val="16"/>
                <w:color w:val="auto"/>
                <w:w w:val="99"/>
              </w:rPr>
              <w:t>Committee, and such decisions shall be</w:t>
            </w:r>
          </w:p>
        </w:tc>
        <w:tc>
          <w:tcPr>
            <w:tcW w:w="3840" w:type="dxa"/>
            <w:vAlign w:val="bottom"/>
          </w:tcPr>
          <w:p>
            <w:pPr>
              <w:ind w:left="100"/>
              <w:spacing w:after="0"/>
              <w:rPr>
                <w:sz w:val="20"/>
                <w:szCs w:val="20"/>
                <w:color w:val="auto"/>
              </w:rPr>
            </w:pPr>
            <w:r>
              <w:rPr>
                <w:rFonts w:ascii="Courier New" w:cs="Courier New" w:eastAsia="Courier New" w:hAnsi="Courier New"/>
                <w:sz w:val="16"/>
                <w:szCs w:val="16"/>
                <w:color w:val="auto"/>
              </w:rPr>
              <w:t>binding upon all persons having an</w:t>
            </w:r>
          </w:p>
        </w:tc>
      </w:tr>
      <w:tr>
        <w:trPr>
          <w:trHeight w:val="185"/>
        </w:trPr>
        <w:tc>
          <w:tcPr>
            <w:tcW w:w="2640" w:type="dxa"/>
            <w:vAlign w:val="bottom"/>
          </w:tcPr>
          <w:p>
            <w:pPr>
              <w:spacing w:after="0"/>
              <w:rPr>
                <w:sz w:val="20"/>
                <w:szCs w:val="20"/>
                <w:color w:val="auto"/>
              </w:rPr>
            </w:pPr>
            <w:r>
              <w:rPr>
                <w:rFonts w:ascii="Courier New" w:cs="Courier New" w:eastAsia="Courier New" w:hAnsi="Courier New"/>
                <w:sz w:val="16"/>
                <w:szCs w:val="16"/>
                <w:color w:val="auto"/>
              </w:rPr>
              <w:t>interest in the Plan and/or</w:t>
            </w:r>
          </w:p>
        </w:tc>
        <w:tc>
          <w:tcPr>
            <w:tcW w:w="1020" w:type="dxa"/>
            <w:vAlign w:val="bottom"/>
          </w:tcPr>
          <w:p>
            <w:pPr>
              <w:ind w:left="60"/>
              <w:spacing w:after="0"/>
              <w:rPr>
                <w:sz w:val="20"/>
                <w:szCs w:val="20"/>
                <w:color w:val="auto"/>
              </w:rPr>
            </w:pPr>
            <w:r>
              <w:rPr>
                <w:rFonts w:ascii="Courier New" w:cs="Courier New" w:eastAsia="Courier New" w:hAnsi="Courier New"/>
                <w:sz w:val="16"/>
                <w:szCs w:val="16"/>
                <w:color w:val="auto"/>
              </w:rPr>
              <w:t>any Stock</w:t>
            </w:r>
          </w:p>
        </w:tc>
        <w:tc>
          <w:tcPr>
            <w:tcW w:w="3840" w:type="dxa"/>
            <w:vAlign w:val="bottom"/>
          </w:tcPr>
          <w:p>
            <w:pPr>
              <w:spacing w:after="0"/>
              <w:rPr>
                <w:sz w:val="20"/>
                <w:szCs w:val="20"/>
                <w:color w:val="auto"/>
              </w:rPr>
            </w:pPr>
            <w:r>
              <w:rPr>
                <w:rFonts w:ascii="Courier New" w:cs="Courier New" w:eastAsia="Courier New" w:hAnsi="Courier New"/>
                <w:sz w:val="16"/>
                <w:szCs w:val="16"/>
                <w:color w:val="auto"/>
              </w:rPr>
              <w:t>Option.</w:t>
            </w:r>
          </w:p>
        </w:tc>
      </w:tr>
    </w:tbl>
    <w:p>
      <w:pPr>
        <w:spacing w:after="0" w:line="190" w:lineRule="exact"/>
        <w:rPr>
          <w:sz w:val="20"/>
          <w:szCs w:val="20"/>
          <w:color w:val="auto"/>
        </w:rPr>
      </w:pPr>
    </w:p>
    <w:p>
      <w:pPr>
        <w:ind w:right="3119" w:firstLine="866"/>
        <w:spacing w:after="0" w:line="244" w:lineRule="auto"/>
        <w:rPr>
          <w:sz w:val="20"/>
          <w:szCs w:val="20"/>
          <w:color w:val="auto"/>
        </w:rPr>
      </w:pPr>
      <w:r>
        <w:rPr>
          <w:rFonts w:ascii="Courier New" w:cs="Courier New" w:eastAsia="Courier New" w:hAnsi="Courier New"/>
          <w:sz w:val="16"/>
          <w:szCs w:val="16"/>
          <w:color w:val="auto"/>
        </w:rPr>
        <w:t>With respect to the participation of any Employees who are also officers or directors of the Corporation subject to Section 16(b) of the Exchange Act, the Plan shall be administered in compliance with the "disinterested administration" requirement of Rule 16b-3. In the case of officers or other Employees or persons who are not directors of the Corporation, grants may be approved by the Committee or by a majority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139"/>
          </w:cols>
          <w:pgMar w:left="320" w:top="300" w:right="1440" w:bottom="1440" w:gutter="0" w:footer="0" w:header="0"/>
        </w:sectPr>
      </w:pPr>
    </w:p>
    <w:bookmarkStart w:id="16" w:name="page17"/>
    <w:bookmarkEnd w:id="16"/>
    <w:p>
      <w:pPr>
        <w:ind w:left="281"/>
        <w:spacing w:after="0"/>
        <w:rPr>
          <w:sz w:val="20"/>
          <w:szCs w:val="20"/>
          <w:color w:val="auto"/>
        </w:rPr>
      </w:pPr>
      <w:r>
        <w:rPr>
          <w:rFonts w:ascii="Courier New" w:cs="Courier New" w:eastAsia="Courier New" w:hAnsi="Courier New"/>
          <w:sz w:val="16"/>
          <w:szCs w:val="16"/>
          <w:color w:val="auto"/>
        </w:rPr>
        <w:t>16</w:t>
      </w:r>
    </w:p>
    <w:p>
      <w:pPr>
        <w:spacing w:after="0" w:line="5"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of the members of the Board of Directors. Notwithstanding the above, the Committee, in its sole discretion, may delegate its powers hereunder to grant Stock Options to persons who are not subject to Section 16(b) of the Exchange Act, to certain officers of the Corporation. Any such delegation shall be in writing and shall clearly describe any limitations to which such delegation of authority is subject.</w:t>
      </w:r>
    </w:p>
    <w:p>
      <w:pPr>
        <w:spacing w:after="0" w:line="190" w:lineRule="exact"/>
        <w:rPr>
          <w:sz w:val="20"/>
          <w:szCs w:val="20"/>
          <w:color w:val="auto"/>
        </w:rPr>
      </w:pPr>
    </w:p>
    <w:p>
      <w:pPr>
        <w:ind w:left="1" w:right="2639" w:firstLine="866"/>
        <w:spacing w:after="0" w:line="244" w:lineRule="auto"/>
        <w:rPr>
          <w:sz w:val="20"/>
          <w:szCs w:val="20"/>
          <w:color w:val="auto"/>
        </w:rPr>
      </w:pPr>
      <w:r>
        <w:rPr>
          <w:rFonts w:ascii="Courier New" w:cs="Courier New" w:eastAsia="Courier New" w:hAnsi="Courier New"/>
          <w:sz w:val="16"/>
          <w:szCs w:val="16"/>
          <w:color w:val="auto"/>
        </w:rPr>
        <w:t>In the event the Corporation is a "publicly held corporation" as defined in paragraph (2) of section 162(m) of the Code, as amended by the Revenue Reconciliation Act of 1993 (P.L. 103-66), and the regulations promulgated thereunder ("Section 162(m)"), the Corporation may establish a committee of outside directors meeting the requirements of Section 162(m) to approve the grant of Stock Options which might reasonably be anticipated to result in the payment of employee remuneration that would otherwise exceed the limit on employee remuneration deductible for income tax purposes pursuant to Section 162(m).</w:t>
      </w:r>
    </w:p>
    <w:p>
      <w:pPr>
        <w:spacing w:after="0" w:line="192" w:lineRule="exact"/>
        <w:rPr>
          <w:sz w:val="20"/>
          <w:szCs w:val="20"/>
          <w:color w:val="auto"/>
        </w:rPr>
      </w:pPr>
    </w:p>
    <w:p>
      <w:pPr>
        <w:ind w:left="1" w:right="2639" w:firstLine="480"/>
        <w:spacing w:after="0" w:line="244" w:lineRule="auto"/>
        <w:tabs>
          <w:tab w:leader="none" w:pos="867"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In addition to such other rights of indemnification as they may have as directors or as members of the Committee, members of the Board of Directors of the Corporation, members of the Committee and any officers to whom authority to act for the Committee is delegated shall be indemnified by the Corporation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thereunder, and against all amounts paid by them in settlement thereof (provided such settlement is approved by independent legal counsel selected by the Corporation) or paid by them in satisfaction of a judgment in any such action, suit or proceeding, except in relation to matters as to which it shall be adjudged in such action, suit or proceeding that such person is liable for gross negligence or misconduct in duties; provided, however, that within sixty</w:t>
      </w:r>
    </w:p>
    <w:p>
      <w:pPr>
        <w:spacing w:after="0" w:line="11" w:lineRule="exact"/>
        <w:rPr>
          <w:rFonts w:ascii="Courier New" w:cs="Courier New" w:eastAsia="Courier New" w:hAnsi="Courier New"/>
          <w:sz w:val="16"/>
          <w:szCs w:val="16"/>
          <w:color w:val="auto"/>
        </w:rPr>
      </w:pPr>
    </w:p>
    <w:p>
      <w:pPr>
        <w:ind w:left="1" w:right="2539" w:hanging="1"/>
        <w:spacing w:after="0" w:line="243" w:lineRule="auto"/>
        <w:tabs>
          <w:tab w:leader="none" w:pos="48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after the institution of such action, suit or proceeding, such person shall offer to the Corporation, in writing, the opportunity at its own expense to handle and defend the same.</w:t>
      </w:r>
    </w:p>
    <w:p>
      <w:pPr>
        <w:spacing w:after="0" w:line="189" w:lineRule="exact"/>
        <w:rPr>
          <w:rFonts w:ascii="Courier New" w:cs="Courier New" w:eastAsia="Courier New" w:hAnsi="Courier New"/>
          <w:sz w:val="16"/>
          <w:szCs w:val="16"/>
          <w:color w:val="auto"/>
        </w:rPr>
      </w:pPr>
    </w:p>
    <w:p>
      <w:pPr>
        <w:ind w:left="1" w:right="2539" w:firstLine="480"/>
        <w:spacing w:after="0" w:line="244" w:lineRule="auto"/>
        <w:tabs>
          <w:tab w:leader="none" w:pos="867"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 The granting of a Stock Option shall be evidenced by a stock option agreement ("Stock Option Agreement"), in such form and not inconsistent with this Plan, as the Committee shall approve from time to time. The Committee shall determine for each Stock Option (which need not be identical), the exercise price of the Stock Option, the timing and terms of exercisability and vesting of the Stock Option, the time of expiration of the Stock Option, the effect of the Holder's termination of employment or service, whether the Stock Option is to be treated as an Incentive Stock Option or as a Nonqualified Stock Option, the method for satisfaction of any tax withholding obligation arising in connection with the Stock Option, including by the withholding or delivery of shares of Common Stock, and all other terms and conditions of the Stock Option not inconsistent with the Plan. Each Stock Option Agreement shall contain in substance the following terms and conditions:</w:t>
      </w:r>
    </w:p>
    <w:p>
      <w:pPr>
        <w:spacing w:after="0" w:line="195" w:lineRule="exact"/>
        <w:rPr>
          <w:sz w:val="20"/>
          <w:szCs w:val="20"/>
          <w:color w:val="auto"/>
        </w:rPr>
      </w:pPr>
    </w:p>
    <w:p>
      <w:pPr>
        <w:ind w:left="1" w:right="2539" w:firstLine="866"/>
        <w:spacing w:after="0" w:line="244" w:lineRule="auto"/>
        <w:rPr>
          <w:sz w:val="20"/>
          <w:szCs w:val="20"/>
          <w:color w:val="auto"/>
        </w:rPr>
      </w:pPr>
      <w:r>
        <w:rPr>
          <w:rFonts w:ascii="Courier New" w:cs="Courier New" w:eastAsia="Courier New" w:hAnsi="Courier New"/>
          <w:sz w:val="16"/>
          <w:szCs w:val="16"/>
          <w:color w:val="auto"/>
        </w:rPr>
        <w:t>8.1 Price. The Stock Option Agreement shall specify the Purchase Price per Share. The Purchase Price per Share deliverable upon the exercise of an Incentive Stock Option shall not be less than the Fair Market Value of a Share on the Date of Grant of the Incentive Stock Option. In the case of a grant of an Incentive Stock Option to an Employee who, at the time the Incentive Stock Option is granted, owns stock possessing more than ten percent (10%) of the total combined voting power of all classes of stock of the Corporation, or of any parent or subsidiary corporation, the Purchase Price per Share deliverable upon the exercise of the Incentive Stock Option shall not be less than one hundred ten percent (110%) of the Fair Market Value of such Share on the Date of Grant of the Incentive Stock Option. Notwithstanding the foregoing, an Incentive Stock Option may be granted with a Purchase Price lower than the minimum price set forth above if such Stock Option is granted pursuant to an assumption or substitution for another Stock Option in a manner qualifying with the provisions of Section 424(a) of the Code. The Purchase Price per Share deliverable upon exercise of a Nonqualified Stock Option shall be determined by the Committee in its sole discretion.</w:t>
      </w:r>
    </w:p>
    <w:p>
      <w:pPr>
        <w:sectPr>
          <w:pgSz w:w="11900" w:h="16838" w:orient="portrait"/>
          <w:cols w:equalWidth="0" w:num="1">
            <w:col w:w="10141"/>
          </w:cols>
          <w:pgMar w:left="319" w:top="3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761"/>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141"/>
          </w:cols>
          <w:pgMar w:left="319" w:top="300" w:right="1440" w:bottom="1440" w:gutter="0" w:footer="0" w:header="0"/>
          <w:type w:val="continuous"/>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17</w:t>
      </w:r>
    </w:p>
    <w:p>
      <w:pPr>
        <w:spacing w:after="0" w:line="5" w:lineRule="exact"/>
        <w:rPr>
          <w:sz w:val="20"/>
          <w:szCs w:val="20"/>
          <w:color w:val="auto"/>
        </w:rPr>
      </w:pPr>
    </w:p>
    <w:p>
      <w:pPr>
        <w:ind w:left="1060" w:right="2739" w:hanging="192"/>
        <w:spacing w:after="0" w:line="242" w:lineRule="auto"/>
        <w:rPr>
          <w:sz w:val="20"/>
          <w:szCs w:val="20"/>
          <w:color w:val="auto"/>
        </w:rPr>
      </w:pPr>
      <w:r>
        <w:rPr>
          <w:rFonts w:ascii="Courier New" w:cs="Courier New" w:eastAsia="Courier New" w:hAnsi="Courier New"/>
          <w:sz w:val="16"/>
          <w:szCs w:val="16"/>
          <w:color w:val="auto"/>
        </w:rPr>
        <w:t>8.2</w:t>
      </w:r>
      <w:r>
        <w:rPr>
          <w:sz w:val="20"/>
          <w:szCs w:val="20"/>
          <w:color w:val="auto"/>
        </w:rPr>
        <w:t xml:space="preserve"> </w:t>
      </w:r>
      <w:r>
        <w:rPr>
          <w:rFonts w:ascii="Courier New" w:cs="Courier New" w:eastAsia="Courier New" w:hAnsi="Courier New"/>
          <w:sz w:val="16"/>
          <w:szCs w:val="16"/>
          <w:color w:val="auto"/>
        </w:rPr>
        <w:t>Number of Shares. The Stock Option Agreement shall specify the number of Shares subject to the Stock Option.</w:t>
      </w:r>
    </w:p>
    <w:p>
      <w:pPr>
        <w:spacing w:after="0" w:line="5" w:lineRule="exact"/>
        <w:rPr>
          <w:sz w:val="20"/>
          <w:szCs w:val="20"/>
          <w:color w:val="auto"/>
        </w:rPr>
      </w:pPr>
    </w:p>
    <w:p>
      <w:pPr>
        <w:ind w:right="2539" w:firstLine="866"/>
        <w:spacing w:after="0" w:line="244" w:lineRule="auto"/>
        <w:rPr>
          <w:sz w:val="20"/>
          <w:szCs w:val="20"/>
          <w:color w:val="auto"/>
        </w:rPr>
      </w:pPr>
      <w:r>
        <w:rPr>
          <w:rFonts w:ascii="Courier New" w:cs="Courier New" w:eastAsia="Courier New" w:hAnsi="Courier New"/>
          <w:sz w:val="16"/>
          <w:szCs w:val="16"/>
          <w:color w:val="auto"/>
        </w:rPr>
        <w:t>8.3 Exercisability of Stock Options. A Stock Option may be exercisable, in part or in full, at any time and from time to time during an exercise period, and subject to such performance criteria, conditions and restrictions as determined by the Committee on a case-by-case basis for each Stock Option, and as set forth in the Stock Option Agreement. In no event shall the exercise period of any Incentive Stock Option granted hereunder exceed ten (10) years from the Date of Grant of such Option; provided, however, that in the case of a grant of an Incentive Stock Option to an Employee, who, at the time the Incentive Stock Option is granted, owns stock possessing more than ten percent (10%) of the total combined voting stock of the Corporation or of any parent or subsidiary corporation, such Incentive Stock Option shall not be exercisable after the expiration of five (5) years from its Date of Grant.</w:t>
      </w:r>
    </w:p>
    <w:p>
      <w:pPr>
        <w:spacing w:after="0" w:line="9" w:lineRule="exact"/>
        <w:rPr>
          <w:sz w:val="20"/>
          <w:szCs w:val="20"/>
          <w:color w:val="auto"/>
        </w:rPr>
      </w:pPr>
    </w:p>
    <w:p>
      <w:pPr>
        <w:ind w:right="2739" w:firstLine="866"/>
        <w:spacing w:after="0" w:line="244" w:lineRule="auto"/>
        <w:rPr>
          <w:sz w:val="20"/>
          <w:szCs w:val="20"/>
          <w:color w:val="auto"/>
        </w:rPr>
      </w:pPr>
      <w:r>
        <w:rPr>
          <w:rFonts w:ascii="Courier New" w:cs="Courier New" w:eastAsia="Courier New" w:hAnsi="Courier New"/>
          <w:sz w:val="16"/>
          <w:szCs w:val="16"/>
          <w:color w:val="auto"/>
        </w:rPr>
        <w:t>In the event that the aggregate Fair Market Value (determined as of the Date of Grant) of stock with respect to which Incentive Stock Options are exercisable for the first time by an Employee during any calendar year (under all stock option plans of the Corporation and its parent or subsidiary corporations) exceeds $100,000, the excess shall be treated as a Nonqualified Stock Option. This paragraph shall be applied by taking Incentive Stock Options into account in the order in which they were granted.</w:t>
      </w:r>
    </w:p>
    <w:p>
      <w:pPr>
        <w:spacing w:after="0" w:line="4" w:lineRule="exact"/>
        <w:rPr>
          <w:sz w:val="20"/>
          <w:szCs w:val="20"/>
          <w:color w:val="auto"/>
        </w:rPr>
      </w:pPr>
    </w:p>
    <w:p>
      <w:pPr>
        <w:ind w:left="860"/>
        <w:spacing w:after="0"/>
        <w:tabs>
          <w:tab w:leader="none" w:pos="1320" w:val="left"/>
        </w:tabs>
        <w:rPr>
          <w:sz w:val="20"/>
          <w:szCs w:val="20"/>
          <w:color w:val="auto"/>
        </w:rPr>
      </w:pPr>
      <w:r>
        <w:rPr>
          <w:rFonts w:ascii="Courier New" w:cs="Courier New" w:eastAsia="Courier New" w:hAnsi="Courier New"/>
          <w:sz w:val="16"/>
          <w:szCs w:val="16"/>
          <w:color w:val="auto"/>
        </w:rPr>
        <w:t>8.4</w:t>
        <w:tab/>
        <w:t>Payment of Purchase Price.</w:t>
      </w:r>
    </w:p>
    <w:p>
      <w:pPr>
        <w:spacing w:after="0" w:line="5" w:lineRule="exact"/>
        <w:rPr>
          <w:sz w:val="20"/>
          <w:szCs w:val="20"/>
          <w:color w:val="auto"/>
        </w:rPr>
      </w:pPr>
    </w:p>
    <w:p>
      <w:pPr>
        <w:ind w:right="2539" w:firstLine="1346"/>
        <w:spacing w:after="0" w:line="244" w:lineRule="auto"/>
        <w:tabs>
          <w:tab w:leader="none" w:pos="1828"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Forms of Payment Authorized. Payment of the Purchase Price for the number of Shares being purchased pursuant to any Stock Option shall be made (1) in cash, by check, or cash equivalent, (2) by tender to the Corporation of shares of the Corporation's Common Stock owned by the Holder having a value, as determined by the Committee (but without regard to any restrictions on transferability applicable to such stock by reason of federal or state securities laws or agreements with an underwriter for the Corporation), not less than the option price, (3) if specifically permitted by the Committee and set forth in the Holder's Stock Option Agreement, by the Holder's recourse promissory note, (4) by the assignment of the proceeds of a sale of some or all of the shares being acquired upon the exercise of a Stock Option (including, without limitation, through an exercise complying with the provisions of Regulation T as promulgated from time to time by the Committee of Governors of the Federal Reserve System), or (5) by any combination thereof. The Committee may at any time or from time to time, grant Stock Options which do not permit all of the foregoing forms of consideration to be used in payment of the option price and/or which otherwise restrict one (1) or more forms of consideration.</w:t>
      </w:r>
    </w:p>
    <w:p>
      <w:pPr>
        <w:spacing w:after="0" w:line="13" w:lineRule="exact"/>
        <w:rPr>
          <w:rFonts w:ascii="Courier New" w:cs="Courier New" w:eastAsia="Courier New" w:hAnsi="Courier New"/>
          <w:sz w:val="16"/>
          <w:szCs w:val="16"/>
          <w:color w:val="auto"/>
        </w:rPr>
      </w:pPr>
    </w:p>
    <w:p>
      <w:pPr>
        <w:ind w:right="2539" w:firstLine="1346"/>
        <w:spacing w:after="0" w:line="244" w:lineRule="auto"/>
        <w:tabs>
          <w:tab w:leader="none" w:pos="1828"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Tender of Corporation Stock. Notwithstanding the foregoing, a Stock Option may not be exercised by tender to the Corporation of shares of the Corporation's Common Stock to the extent such tender of stock would constitute a violation of the provisions of any law, regulation and/or agreement restricting the redemption of the Corporation's stock. Unless otherwise provided by the Committee, a Stock Option may not be exercised by tender to the Corporation of shares of the Corporation's Common Stock unless such shares of the Corporation's common stock either have been owned by the Holder for more than six (6) months or were not acquired, directly or indirectly, from the Corporation.</w:t>
      </w:r>
    </w:p>
    <w:p>
      <w:pPr>
        <w:spacing w:after="0" w:line="7" w:lineRule="exact"/>
        <w:rPr>
          <w:rFonts w:ascii="Courier New" w:cs="Courier New" w:eastAsia="Courier New" w:hAnsi="Courier New"/>
          <w:sz w:val="16"/>
          <w:szCs w:val="16"/>
          <w:color w:val="auto"/>
        </w:rPr>
      </w:pPr>
    </w:p>
    <w:p>
      <w:pPr>
        <w:ind w:right="2539" w:firstLine="1346"/>
        <w:spacing w:after="0" w:line="244" w:lineRule="auto"/>
        <w:tabs>
          <w:tab w:leader="none" w:pos="1828"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Promissory Notes. No promissory note shall be permitted if an exercise using a promissory note would be a violation of any law. Any permitted promissory note shall be due and payable not more than five (5) years after the Stock Option is exercised, and interest shall be payable at least annually and be at least equal to the minimum interest rate necessary to avoid imputed interest pursuant to all applicable sections of the Code. The Committee shall have the authority to permit or require the Holder to secure any promissory note used to exercise a Stock Option with the Shares acquired on exercise of the Stock Option and/or with other collateral acceptable to the Corporation. Unless otherwise provided by the Committee, in the event the Corporation at any time becomes subject to the regulations promulgated by the Board of Governors of the Federal Reserve System or any other governmental entity affecting the extension of credit in connection with the Corporation's securities, any promissory note shall comply with such applicable regulations, and the Holder shall pay the unpaid principal and accrued interest, if any, to the extent necessary to comply with such applicable regulations.</w:t>
      </w:r>
    </w:p>
    <w:p>
      <w:pPr>
        <w:sectPr>
          <w:pgSz w:w="11900" w:h="16838" w:orient="portrait"/>
          <w:cols w:equalWidth="0" w:num="1">
            <w:col w:w="10139"/>
          </w:cols>
          <w:pgMar w:left="320" w:top="3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139"/>
          </w:cols>
          <w:pgMar w:left="320" w:top="300" w:right="1440" w:bottom="1440" w:gutter="0" w:footer="0" w:header="0"/>
          <w:type w:val="continuous"/>
        </w:sectPr>
      </w:pPr>
    </w:p>
    <w:bookmarkStart w:id="18" w:name="page19"/>
    <w:bookmarkEnd w:id="18"/>
    <w:p>
      <w:pPr>
        <w:ind w:left="280"/>
        <w:spacing w:after="0"/>
        <w:rPr>
          <w:sz w:val="20"/>
          <w:szCs w:val="20"/>
          <w:color w:val="auto"/>
        </w:rPr>
      </w:pPr>
      <w:r>
        <w:rPr>
          <w:rFonts w:ascii="Courier New" w:cs="Courier New" w:eastAsia="Courier New" w:hAnsi="Courier New"/>
          <w:sz w:val="16"/>
          <w:szCs w:val="16"/>
          <w:color w:val="auto"/>
        </w:rPr>
        <w:t>18</w:t>
      </w:r>
    </w:p>
    <w:p>
      <w:pPr>
        <w:spacing w:after="0" w:line="5" w:lineRule="exact"/>
        <w:rPr>
          <w:sz w:val="20"/>
          <w:szCs w:val="20"/>
          <w:color w:val="auto"/>
        </w:rPr>
      </w:pPr>
    </w:p>
    <w:p>
      <w:pPr>
        <w:ind w:right="2539" w:firstLine="1346"/>
        <w:spacing w:after="0" w:line="244" w:lineRule="auto"/>
        <w:tabs>
          <w:tab w:leader="none" w:pos="1828"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of Proceeds of Sale. The Corporation reserves, at any and all times, the right, in the Corporation's sole and absolute discretion, to establish, decline to approve and/or terminate any program and/or procedures for the exercise of Stock Options by means of an assignment of the proceeds of a sale of some or all of the Shares to be acquired upon such exercise.</w:t>
      </w:r>
    </w:p>
    <w:p>
      <w:pPr>
        <w:spacing w:after="0" w:line="189" w:lineRule="exact"/>
        <w:rPr>
          <w:rFonts w:ascii="Courier New" w:cs="Courier New" w:eastAsia="Courier New" w:hAnsi="Courier New"/>
          <w:sz w:val="16"/>
          <w:szCs w:val="16"/>
          <w:color w:val="auto"/>
        </w:rPr>
      </w:pPr>
    </w:p>
    <w:p>
      <w:pPr>
        <w:ind w:right="2539" w:firstLine="480"/>
        <w:spacing w:after="0" w:line="244" w:lineRule="auto"/>
        <w:tabs>
          <w:tab w:leader="none" w:pos="866"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Recapitalization. Appropriate adjustments shall be made in the number and class of Shares subject to the Plan, and to any outstanding Stock Options and in the Purchase Price per Share of any outstanding Stock Options in the event of a stock dividend, stock split, reverse stock split, combination, reclassification, or like change in the capital structure of the Corporation.</w:t>
      </w:r>
    </w:p>
    <w:p>
      <w:pPr>
        <w:spacing w:after="0" w:line="188" w:lineRule="exact"/>
        <w:rPr>
          <w:rFonts w:ascii="Courier New" w:cs="Courier New" w:eastAsia="Courier New" w:hAnsi="Courier New"/>
          <w:sz w:val="16"/>
          <w:szCs w:val="16"/>
          <w:color w:val="auto"/>
        </w:rPr>
      </w:pPr>
    </w:p>
    <w:p>
      <w:pPr>
        <w:ind w:right="2639" w:firstLine="384"/>
        <w:spacing w:after="0" w:line="244" w:lineRule="auto"/>
        <w:tabs>
          <w:tab w:leader="none" w:pos="866"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Reorganization. A "Reorganization" shall be deemed to have occurred in the event any of the following occurs with respect to the Corporation: (a) the direct or indirect sale or exchange by the stockholders of the Corporation of all or substantially all of the stock of the Corporation where the stockholders of the Corporation before such sale or exchange do not retain, directly or indirectly, at least a majority of the beneficial interest in the voting stock of the Corporation after such sale or exchange; (b) a merger or consolidation in which the Corporation is not the surviving corporation; (c) a merger or consolidation in which the Corporation is the surviving corporation where the stockholders of the Corporation before such merger or consolidation do not retain, directly or indirectly, at least a majority of the beneficial interest in the voting stock of the Corporation after such merger or consolidation; (d) the sale, exchange, or transfer of all or substantially all of the assets of the Corporation (other than a sale, exchange, or transfer to one (1) or more subsidiary corporations (as defined in paragraph 2.2 above) of the Corporation); or (e) a liquidation or dissolution of the Corporation.</w:t>
      </w:r>
    </w:p>
    <w:p>
      <w:pPr>
        <w:spacing w:after="0" w:line="197" w:lineRule="exact"/>
        <w:rPr>
          <w:sz w:val="20"/>
          <w:szCs w:val="20"/>
          <w:color w:val="auto"/>
        </w:rPr>
      </w:pPr>
    </w:p>
    <w:p>
      <w:pPr>
        <w:ind w:right="2539" w:firstLine="866"/>
        <w:spacing w:after="0" w:line="244" w:lineRule="auto"/>
        <w:rPr>
          <w:sz w:val="20"/>
          <w:szCs w:val="20"/>
          <w:color w:val="auto"/>
        </w:rPr>
      </w:pPr>
      <w:r>
        <w:rPr>
          <w:rFonts w:ascii="Courier New" w:cs="Courier New" w:eastAsia="Courier New" w:hAnsi="Courier New"/>
          <w:sz w:val="16"/>
          <w:szCs w:val="16"/>
          <w:color w:val="auto"/>
        </w:rPr>
        <w:t>In the event of a Reorganization, the surviving, continuing, successor, or purchasing corporation or parent corporation thereof, as the case may be (the "Acquiring Corporation"), may assume the Corporation's rights and obligations under outstanding Stock Options or substitute options for the Acquiring Corporation's stock for such outstanding Stock Options. In the event the Acquiring Corporation elects not to assume or substitute for such outstanding Stock Options in connection with the Reorganization, any unexercisable and/or unvested portion of the outstanding Stock Options shall be immediately exercisable and vested as of the date thirty (30) days prior to the date of the Reorganization. The exercise and/or vesting of any Stock Option that was permissible solely by reason of this paragraph 10 shall be conditioned upon the consummation of the Reorganization. Any Stock Options which are neither assumed or substituted for by the Acquiring Corporation in connection with the Reorganization nor exercised as of the date of the Reorganization shall terminate and cease to be outstanding effective as of the date of the Reorganization.</w:t>
      </w:r>
    </w:p>
    <w:p>
      <w:pPr>
        <w:spacing w:after="0" w:line="196" w:lineRule="exact"/>
        <w:rPr>
          <w:sz w:val="20"/>
          <w:szCs w:val="20"/>
          <w:color w:val="auto"/>
        </w:rPr>
      </w:pPr>
    </w:p>
    <w:p>
      <w:pPr>
        <w:ind w:left="960" w:hanging="480"/>
        <w:spacing w:after="0"/>
        <w:tabs>
          <w:tab w:leader="none" w:pos="9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Representations.  The Committee may require a</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Holder to whom a Stock Option is granted, as a condition of receipt and/or exercise of the Stock Option, to give written assurances in substance and form satisfactory to the Committee to the effect that the Holder is acquiring the Stock Option granted hereunder or the Shares issuable upon exercise thereof for the Holder's own account and not with any present intention of selling or otherwise distributing the same, and to such other effects as the Committee deems necessary or appropriate in order to comply with federal and applicable state securities laws. Appropriate legends may be placed on any Shares issued under the Plan evidencing such representations.</w:t>
      </w:r>
    </w:p>
    <w:p>
      <w:pPr>
        <w:spacing w:after="0" w:line="192" w:lineRule="exact"/>
        <w:rPr>
          <w:sz w:val="20"/>
          <w:szCs w:val="20"/>
          <w:color w:val="auto"/>
        </w:rPr>
      </w:pPr>
    </w:p>
    <w:p>
      <w:pPr>
        <w:ind w:right="2539" w:firstLine="480"/>
        <w:spacing w:after="0" w:line="244" w:lineRule="auto"/>
        <w:tabs>
          <w:tab w:leader="none" w:pos="962"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Compliance With Securities Laws. Each Stock Option granted hereunder shall be subject to the requirement that, if at any time the Committee, in its discretion, shall determine that the listing, registration or qualification of the Shares subject to such Stock Option upon any securities exchange or under any state or federal law, or the consent or approval of any government or regulatory body, is necessary or desirable as a condition of, or in connection with, the granting of such Stock Option granted hereunder or the issue of Shares, such Stock Option may not be granted or exercised in whole or in part unless such listing, registration, qualification, consent or approval shall have been effected or obtained free of any conditions not acceptable to the Committee. Nothing in the Plan or related Stock Option Agreements shall be deemed</w:t>
      </w:r>
    </w:p>
    <w:p>
      <w:pPr>
        <w:sectPr>
          <w:pgSz w:w="11900" w:h="16838" w:orient="portrait"/>
          <w:cols w:equalWidth="0" w:num="1">
            <w:col w:w="10139"/>
          </w:cols>
          <w:pgMar w:left="320" w:top="30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139"/>
          </w:cols>
          <w:pgMar w:left="320" w:top="300" w:right="1440" w:bottom="1440" w:gutter="0" w:footer="0" w:header="0"/>
          <w:type w:val="continuous"/>
        </w:sectPr>
      </w:pPr>
    </w:p>
    <w:bookmarkStart w:id="19" w:name="page20"/>
    <w:bookmarkEnd w:id="19"/>
    <w:p>
      <w:pPr>
        <w:ind w:left="280"/>
        <w:spacing w:after="0"/>
        <w:rPr>
          <w:sz w:val="20"/>
          <w:szCs w:val="20"/>
          <w:color w:val="auto"/>
        </w:rPr>
      </w:pPr>
      <w:r>
        <w:rPr>
          <w:rFonts w:ascii="Courier New" w:cs="Courier New" w:eastAsia="Courier New" w:hAnsi="Courier New"/>
          <w:sz w:val="16"/>
          <w:szCs w:val="16"/>
          <w:color w:val="auto"/>
        </w:rPr>
        <w:t>19</w:t>
      </w:r>
    </w:p>
    <w:p>
      <w:pPr>
        <w:spacing w:after="0" w:line="5" w:lineRule="exact"/>
        <w:rPr>
          <w:sz w:val="20"/>
          <w:szCs w:val="20"/>
          <w:color w:val="auto"/>
        </w:rPr>
      </w:pPr>
    </w:p>
    <w:p>
      <w:pPr>
        <w:ind w:right="2539"/>
        <w:spacing w:after="0" w:line="242" w:lineRule="auto"/>
        <w:rPr>
          <w:sz w:val="20"/>
          <w:szCs w:val="20"/>
          <w:color w:val="auto"/>
        </w:rPr>
      </w:pPr>
      <w:r>
        <w:rPr>
          <w:rFonts w:ascii="Courier New" w:cs="Courier New" w:eastAsia="Courier New" w:hAnsi="Courier New"/>
          <w:sz w:val="16"/>
          <w:szCs w:val="16"/>
          <w:color w:val="auto"/>
        </w:rPr>
        <w:t>to require the Corporation to apply for or obtain such listing, registration or qualification.</w:t>
      </w:r>
    </w:p>
    <w:p>
      <w:pPr>
        <w:spacing w:after="0" w:line="190" w:lineRule="exact"/>
        <w:rPr>
          <w:sz w:val="20"/>
          <w:szCs w:val="20"/>
          <w:color w:val="auto"/>
        </w:rPr>
      </w:pPr>
    </w:p>
    <w:p>
      <w:pPr>
        <w:ind w:right="2539" w:firstLine="480"/>
        <w:spacing w:after="0" w:line="244" w:lineRule="auto"/>
        <w:tabs>
          <w:tab w:leader="none" w:pos="962"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as a Stockholder. A Holder shall have no rights as a stockholder of the Corporation with respect to any Shares covered by a Stock Option granted hereunder until said Holder tenders an effective and unconditional notice of exercise of the Stock Option to the Corporation, complies with all other terms and conditions of exercise and, if applicable, pays the Purchase Price. Except as otherwise expressly provided in the Plan, no adjustment shall be made for dividends or other rights for which the record date is prior to the date on which the Holder tenders notice of exercise, complies with all other terms and conditions of exercise, and pays any applicable Purchase Price. The Committee shall use its best efforts to secure prompt issuance of stock certificates following full performance of exercise by any Holder.</w:t>
      </w:r>
    </w:p>
    <w:p>
      <w:pPr>
        <w:spacing w:after="0" w:line="192" w:lineRule="exact"/>
        <w:rPr>
          <w:rFonts w:ascii="Courier New" w:cs="Courier New" w:eastAsia="Courier New" w:hAnsi="Courier New"/>
          <w:sz w:val="16"/>
          <w:szCs w:val="16"/>
          <w:color w:val="auto"/>
        </w:rPr>
      </w:pPr>
    </w:p>
    <w:p>
      <w:pPr>
        <w:ind w:left="960" w:hanging="480"/>
        <w:spacing w:after="0"/>
        <w:tabs>
          <w:tab w:leader="none" w:pos="96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Non-Assignability of Options.  No Incentive Stock Option shall</w:t>
      </w:r>
    </w:p>
    <w:p>
      <w:pPr>
        <w:spacing w:after="0" w:line="5" w:lineRule="exact"/>
        <w:rPr>
          <w:sz w:val="20"/>
          <w:szCs w:val="20"/>
          <w:color w:val="auto"/>
        </w:rPr>
      </w:pPr>
    </w:p>
    <w:p>
      <w:pPr>
        <w:ind w:right="2739"/>
        <w:spacing w:after="0" w:line="244" w:lineRule="auto"/>
        <w:rPr>
          <w:sz w:val="20"/>
          <w:szCs w:val="20"/>
          <w:color w:val="auto"/>
        </w:rPr>
      </w:pPr>
      <w:r>
        <w:rPr>
          <w:rFonts w:ascii="Courier New" w:cs="Courier New" w:eastAsia="Courier New" w:hAnsi="Courier New"/>
          <w:sz w:val="16"/>
          <w:szCs w:val="16"/>
          <w:color w:val="auto"/>
        </w:rPr>
        <w:t>be assignable or transferable by the Holder except by will or by the laws of descent and distribution. During the life of the Holder, an Incentive Stock Option shall be exercisable only by the Holder or by the duly appointed legal representative of an incompetent Holder. A Nonqualified Stock Option may be assignable or transferable to the extent set forth in the Stock Option Agreement governing such Stock Option.</w:t>
      </w:r>
    </w:p>
    <w:p>
      <w:pPr>
        <w:spacing w:after="0" w:line="188" w:lineRule="exact"/>
        <w:rPr>
          <w:sz w:val="20"/>
          <w:szCs w:val="20"/>
          <w:color w:val="auto"/>
        </w:rPr>
      </w:pPr>
    </w:p>
    <w:p>
      <w:pPr>
        <w:ind w:left="960" w:hanging="480"/>
        <w:spacing w:after="0"/>
        <w:tabs>
          <w:tab w:leader="none" w:pos="9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Taxes.  The Corporation shall have the right to</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deduct from amounts otherwise due Holder under a Stock Option granted hereunder or from any wages or other compensation to be paid to Holder any sums required by federal, state and local tax law to be withheld with respect to the exercise of any Stock Option or with respect to the disposition of Shares issued hereunder or, in the alternative, to require the Holder to pay such sums to the Corporation. The Corporation may, in its discretion and upon request by Holder, withhold from the Shares to be issued to Holder under this Plan a number of Shares (based on the Fair Market Value of the Shares on the date of exercise of the Stock Option) necessary to satisfy any tax withholding requirements.</w:t>
      </w:r>
    </w:p>
    <w:p>
      <w:pPr>
        <w:spacing w:after="0" w:line="377" w:lineRule="exact"/>
        <w:rPr>
          <w:sz w:val="20"/>
          <w:szCs w:val="20"/>
          <w:color w:val="auto"/>
        </w:rPr>
      </w:pPr>
    </w:p>
    <w:p>
      <w:pPr>
        <w:ind w:right="2439" w:firstLine="480"/>
        <w:spacing w:after="0" w:line="244" w:lineRule="auto"/>
        <w:tabs>
          <w:tab w:leader="none" w:pos="962"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or Amendment of the Plan and Stock Options. The Committee may terminate or amend the Plan or any Stock Option at any time; except that, without stockholder approval, the Committee may not increase the number of Shares which may be issued under the Plan (except by operation of paragraph 9) or modify the requirements as to eligibility for participation in the Plan. In addition, the approval of the Corporation's stockholders shall be sought for any amendment to the Plan or a Stock Option for which the Committee deems stockholder approval necessary in order to comply with Rule 16b-3. In any event, no amendment may adversely affect any then outstanding Stock Option or any unexercised portion thereof, without the consent of the Holder, unless such amendment is required to enable a Stock Option designated as an Incentive Stock Option to qualify as an Incentive Stock Option.</w:t>
      </w:r>
    </w:p>
    <w:p>
      <w:pPr>
        <w:spacing w:after="0" w:line="192" w:lineRule="exact"/>
        <w:rPr>
          <w:rFonts w:ascii="Courier New" w:cs="Courier New" w:eastAsia="Courier New" w:hAnsi="Courier New"/>
          <w:sz w:val="16"/>
          <w:szCs w:val="16"/>
          <w:color w:val="auto"/>
        </w:rPr>
      </w:pPr>
    </w:p>
    <w:p>
      <w:pPr>
        <w:ind w:left="960" w:hanging="480"/>
        <w:spacing w:after="0"/>
        <w:tabs>
          <w:tab w:leader="none" w:pos="9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Special Employment Rights.  Nothing contained in this Plan</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or in any Stock Option granted hereunder shall confer upon any Holder any right with respect to continued employment or engagement with the Corporation or interfere in any way with the right of the Corporation, subject to the terms of any separate agreement with the Holder to the contrary, at any time to terminate such employment or engagement or to increase or decrease the compensation or other benefits paid to the Holder.</w:t>
      </w:r>
    </w:p>
    <w:p>
      <w:pPr>
        <w:spacing w:after="0" w:line="188" w:lineRule="exact"/>
        <w:rPr>
          <w:sz w:val="20"/>
          <w:szCs w:val="20"/>
          <w:color w:val="auto"/>
        </w:rPr>
      </w:pPr>
    </w:p>
    <w:p>
      <w:pPr>
        <w:ind w:left="960" w:hanging="480"/>
        <w:spacing w:after="0"/>
        <w:tabs>
          <w:tab w:leader="none" w:pos="96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Plan and any Stock Options issued</w:t>
      </w:r>
    </w:p>
    <w:p>
      <w:pPr>
        <w:spacing w:after="0" w:line="5" w:lineRule="exact"/>
        <w:rPr>
          <w:sz w:val="20"/>
          <w:szCs w:val="20"/>
          <w:color w:val="auto"/>
        </w:rPr>
      </w:pPr>
    </w:p>
    <w:p>
      <w:pPr>
        <w:ind w:right="2539"/>
        <w:spacing w:after="0" w:line="242" w:lineRule="auto"/>
        <w:rPr>
          <w:sz w:val="20"/>
          <w:szCs w:val="20"/>
          <w:color w:val="auto"/>
        </w:rPr>
      </w:pPr>
      <w:r>
        <w:rPr>
          <w:rFonts w:ascii="Courier New" w:cs="Courier New" w:eastAsia="Courier New" w:hAnsi="Courier New"/>
          <w:sz w:val="16"/>
          <w:szCs w:val="16"/>
          <w:color w:val="auto"/>
        </w:rPr>
        <w:t>hereunder shall be governed by and construed in accordance with the laws of the State of California.</w:t>
      </w:r>
    </w:p>
    <w:p>
      <w:pPr>
        <w:spacing w:after="0" w:line="190" w:lineRule="exact"/>
        <w:rPr>
          <w:sz w:val="20"/>
          <w:szCs w:val="20"/>
          <w:color w:val="auto"/>
        </w:rPr>
      </w:pPr>
    </w:p>
    <w:p>
      <w:pPr>
        <w:ind w:right="2539" w:firstLine="866"/>
        <w:spacing w:after="0" w:line="243" w:lineRule="auto"/>
        <w:rPr>
          <w:sz w:val="20"/>
          <w:szCs w:val="20"/>
          <w:color w:val="auto"/>
        </w:rPr>
      </w:pPr>
      <w:r>
        <w:rPr>
          <w:rFonts w:ascii="Courier New" w:cs="Courier New" w:eastAsia="Courier New" w:hAnsi="Courier New"/>
          <w:sz w:val="16"/>
          <w:szCs w:val="16"/>
          <w:color w:val="auto"/>
        </w:rPr>
        <w:t>IN WITNESS WHEREOF, the undersigned Secretary of the Corporation certifies that the foregoing Cohu, Inc. 1994 Stock Option Plan was duly adopted by the Board of Directors of the Corporation on July 21, 1994.</w:t>
      </w:r>
    </w:p>
    <w:p>
      <w:pPr>
        <w:spacing w:after="0" w:line="188" w:lineRule="exact"/>
        <w:rPr>
          <w:sz w:val="20"/>
          <w:szCs w:val="20"/>
          <w:color w:val="auto"/>
        </w:rPr>
      </w:pPr>
    </w:p>
    <w:p>
      <w:pPr>
        <w:ind w:left="4900"/>
        <w:spacing w:after="0"/>
        <w:rPr>
          <w:sz w:val="20"/>
          <w:szCs w:val="20"/>
          <w:color w:val="auto"/>
        </w:rPr>
      </w:pPr>
      <w:r>
        <w:rPr>
          <w:rFonts w:ascii="Courier New" w:cs="Courier New" w:eastAsia="Courier New" w:hAnsi="Courier New"/>
          <w:sz w:val="16"/>
          <w:szCs w:val="16"/>
          <w:color w:val="auto"/>
        </w:rPr>
        <w:t>/s/ Charles A. Schwan</w:t>
      </w:r>
    </w:p>
    <w:p>
      <w:pPr>
        <w:spacing w:after="0" w:line="4" w:lineRule="exact"/>
        <w:rPr>
          <w:sz w:val="20"/>
          <w:szCs w:val="20"/>
          <w:color w:val="auto"/>
        </w:rPr>
      </w:pPr>
    </w:p>
    <w:p>
      <w:pPr>
        <w:ind w:left="49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76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139"/>
          </w:cols>
          <w:pgMar w:left="320" w:top="300" w:right="1440" w:bottom="1440" w:gutter="0" w:footer="0" w:header="0"/>
        </w:sectPr>
      </w:pPr>
    </w:p>
    <w:bookmarkStart w:id="20" w:name="page21"/>
    <w:bookmarkEnd w:id="20"/>
    <w:p>
      <w:pPr>
        <w:ind w:left="281"/>
        <w:spacing w:after="0"/>
        <w:rPr>
          <w:sz w:val="20"/>
          <w:szCs w:val="20"/>
          <w:color w:val="auto"/>
        </w:rPr>
      </w:pPr>
      <w:r>
        <w:rPr>
          <w:rFonts w:ascii="Courier New" w:cs="Courier New" w:eastAsia="Courier New" w:hAnsi="Courier New"/>
          <w:sz w:val="16"/>
          <w:szCs w:val="16"/>
          <w:color w:val="auto"/>
        </w:rPr>
        <w:t>20</w:t>
      </w:r>
    </w:p>
    <w:p>
      <w:pPr>
        <w:spacing w:after="0" w:line="4" w:lineRule="exact"/>
        <w:rPr>
          <w:sz w:val="20"/>
          <w:szCs w:val="20"/>
          <w:color w:val="auto"/>
        </w:rPr>
      </w:pPr>
    </w:p>
    <w:p>
      <w:pPr>
        <w:jc w:val="center"/>
        <w:ind w:right="2638"/>
        <w:spacing w:after="0"/>
        <w:rPr>
          <w:sz w:val="20"/>
          <w:szCs w:val="20"/>
          <w:color w:val="auto"/>
        </w:rPr>
      </w:pPr>
      <w:r>
        <w:rPr>
          <w:rFonts w:ascii="Courier New" w:cs="Courier New" w:eastAsia="Courier New" w:hAnsi="Courier New"/>
          <w:sz w:val="16"/>
          <w:szCs w:val="16"/>
          <w:color w:val="auto"/>
        </w:rPr>
        <w:t>COHU, INC.</w:t>
      </w:r>
    </w:p>
    <w:p>
      <w:pPr>
        <w:spacing w:after="0" w:line="5" w:lineRule="exact"/>
        <w:rPr>
          <w:sz w:val="20"/>
          <w:szCs w:val="20"/>
          <w:color w:val="auto"/>
        </w:rPr>
      </w:pPr>
    </w:p>
    <w:p>
      <w:pPr>
        <w:ind w:left="861" w:right="3219" w:hanging="95"/>
        <w:spacing w:after="0" w:line="242" w:lineRule="auto"/>
        <w:rPr>
          <w:sz w:val="20"/>
          <w:szCs w:val="20"/>
          <w:color w:val="auto"/>
        </w:rPr>
      </w:pPr>
      <w:r>
        <w:rPr>
          <w:rFonts w:ascii="Courier New" w:cs="Courier New" w:eastAsia="Courier New" w:hAnsi="Courier New"/>
          <w:sz w:val="16"/>
          <w:szCs w:val="16"/>
          <w:color w:val="auto"/>
        </w:rPr>
        <w:t>THIS PROXY IS SOLICITED BY THE BOARD OF DIRECTORS OF THE COMPANY FOR THE ANNUAL MEETING OF STOCKHOLDERS TO BE HELD MAY 2, 1995</w:t>
      </w:r>
    </w:p>
    <w:p>
      <w:pPr>
        <w:spacing w:after="0" w:line="5" w:lineRule="exact"/>
        <w:rPr>
          <w:sz w:val="20"/>
          <w:szCs w:val="20"/>
          <w:color w:val="auto"/>
        </w:rPr>
      </w:pPr>
    </w:p>
    <w:p>
      <w:pPr>
        <w:jc w:val="both"/>
        <w:ind w:left="1" w:right="2639" w:firstLine="289"/>
        <w:spacing w:after="0" w:line="243" w:lineRule="auto"/>
        <w:rPr>
          <w:sz w:val="20"/>
          <w:szCs w:val="20"/>
          <w:color w:val="auto"/>
        </w:rPr>
      </w:pPr>
      <w:r>
        <w:rPr>
          <w:rFonts w:ascii="Courier New" w:cs="Courier New" w:eastAsia="Courier New" w:hAnsi="Courier New"/>
          <w:sz w:val="16"/>
          <w:szCs w:val="16"/>
          <w:color w:val="auto"/>
        </w:rPr>
        <w:t>The undersigned hereby (i) acknowledge(s) receipt of the Notice and Proxy Statement dated March 30, 1995 relating to the Annual Meeting of Stockholders of Cohu, Inc. (the "Company") to be held May 2, 1995 and (ii) appoint(s)</w:t>
      </w:r>
    </w:p>
    <w:p>
      <w:pPr>
        <w:spacing w:after="0" w:line="5"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color w:val="auto"/>
        </w:rPr>
        <w:t>WILLIAM S. IVANS, JAMES W. BARNES and CHARLES A. SCHWAN as proxies, with full power of substitution, and authorizes them, or any of them, to vote all the shares of common stock of the Company standing in the name of the undersigned at said meeting or any adjournment thereof upon the matter specified below and upon such other matters as may be properly brought before the meeting, conferring discretionary authority upon such proxies as to such other matters.</w:t>
      </w:r>
    </w:p>
    <w:p>
      <w:pPr>
        <w:spacing w:after="0" w:line="5" w:lineRule="exact"/>
        <w:rPr>
          <w:sz w:val="20"/>
          <w:szCs w:val="20"/>
          <w:color w:val="auto"/>
        </w:rPr>
      </w:pPr>
    </w:p>
    <w:p>
      <w:pPr>
        <w:jc w:val="both"/>
        <w:ind w:left="1" w:right="2919" w:firstLine="289"/>
        <w:spacing w:after="0" w:line="243" w:lineRule="auto"/>
        <w:rPr>
          <w:sz w:val="20"/>
          <w:szCs w:val="20"/>
          <w:color w:val="auto"/>
        </w:rPr>
      </w:pPr>
      <w:r>
        <w:rPr>
          <w:rFonts w:ascii="Courier New" w:cs="Courier New" w:eastAsia="Courier New" w:hAnsi="Courier New"/>
          <w:sz w:val="16"/>
          <w:szCs w:val="16"/>
          <w:color w:val="auto"/>
        </w:rPr>
        <w:t>THIS PROXY, WHEN PROPERLY EXECUTED, WILL BE VOTED IN THE MANNER DIRECTED HEREIN BY THE UNDERSIGNED STOCKHOLDER. IF NO DIRECTION IS MADE, THIS PROXY WILL BE VOTED FOR PROPOSAL 1, 2 AND 3.</w:t>
      </w:r>
    </w:p>
    <w:p>
      <w:pPr>
        <w:sectPr>
          <w:pgSz w:w="11900" w:h="16838" w:orient="portrait"/>
          <w:cols w:equalWidth="0" w:num="1">
            <w:col w:w="10141"/>
          </w:cols>
          <w:pgMar w:left="319" w:top="300" w:right="1440" w:bottom="1440" w:gutter="0" w:footer="0" w:header="0"/>
        </w:sectPr>
      </w:pPr>
    </w:p>
    <w:p>
      <w:pPr>
        <w:spacing w:after="0" w:line="200" w:lineRule="exact"/>
        <w:rPr>
          <w:sz w:val="20"/>
          <w:szCs w:val="20"/>
          <w:color w:val="auto"/>
        </w:rPr>
      </w:pPr>
    </w:p>
    <w:p>
      <w:pPr>
        <w:spacing w:after="0" w:line="360"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1. ELECTION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all nominees listed below</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(except as marked to the contrary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WITHHOLD AUTHORITY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vote for all nominees listed</w:t>
      </w:r>
    </w:p>
    <w:p>
      <w:pPr>
        <w:spacing w:after="0" w:line="200" w:lineRule="exact"/>
        <w:rPr>
          <w:sz w:val="20"/>
          <w:szCs w:val="20"/>
          <w:color w:val="auto"/>
        </w:rPr>
      </w:pPr>
    </w:p>
    <w:p>
      <w:pPr>
        <w:sectPr>
          <w:pgSz w:w="11900" w:h="16838" w:orient="portrait"/>
          <w:cols w:equalWidth="0" w:num="3">
            <w:col w:w="2401" w:space="380"/>
            <w:col w:w="3860" w:space="380"/>
            <w:col w:w="3119"/>
          </w:cols>
          <w:pgMar w:left="319" w:top="300" w:right="1440" w:bottom="1440" w:gutter="0" w:footer="0" w:header="0"/>
          <w:type w:val="continuous"/>
        </w:sectPr>
      </w:pPr>
    </w:p>
    <w:p>
      <w:pPr>
        <w:spacing w:after="0" w:line="176" w:lineRule="exact"/>
        <w:rPr>
          <w:sz w:val="20"/>
          <w:szCs w:val="20"/>
          <w:color w:val="auto"/>
        </w:rPr>
      </w:pPr>
    </w:p>
    <w:p>
      <w:pPr>
        <w:ind w:left="581"/>
        <w:spacing w:after="0"/>
        <w:rPr>
          <w:sz w:val="20"/>
          <w:szCs w:val="20"/>
          <w:color w:val="auto"/>
        </w:rPr>
      </w:pPr>
      <w:r>
        <w:rPr>
          <w:rFonts w:ascii="Courier New" w:cs="Courier New" w:eastAsia="Courier New" w:hAnsi="Courier New"/>
          <w:sz w:val="15"/>
          <w:szCs w:val="15"/>
          <w:color w:val="auto"/>
        </w:rPr>
        <w:t>JAMES W. BARNES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S. IVANS</w:t>
      </w:r>
    </w:p>
    <w:p>
      <w:pPr>
        <w:spacing w:after="0" w:line="190" w:lineRule="exact"/>
        <w:rPr>
          <w:sz w:val="20"/>
          <w:szCs w:val="20"/>
          <w:color w:val="auto"/>
        </w:rPr>
      </w:pPr>
    </w:p>
    <w:p>
      <w:pPr>
        <w:sectPr>
          <w:pgSz w:w="11900" w:h="16838" w:orient="portrait"/>
          <w:cols w:equalWidth="0" w:num="2">
            <w:col w:w="4761" w:space="720"/>
            <w:col w:w="4659"/>
          </w:cols>
          <w:pgMar w:left="319" w:top="300" w:right="1440" w:bottom="1440" w:gutter="0" w:footer="0" w:header="0"/>
          <w:type w:val="continuous"/>
        </w:sectPr>
      </w:pPr>
    </w:p>
    <w:p>
      <w:pPr>
        <w:ind w:left="1" w:right="2739"/>
        <w:spacing w:after="0" w:line="242" w:lineRule="auto"/>
        <w:rPr>
          <w:sz w:val="20"/>
          <w:szCs w:val="20"/>
          <w:color w:val="auto"/>
        </w:rPr>
      </w:pPr>
      <w:r>
        <w:rPr>
          <w:rFonts w:ascii="Courier New" w:cs="Courier New" w:eastAsia="Courier New" w:hAnsi="Courier New"/>
          <w:sz w:val="16"/>
          <w:szCs w:val="16"/>
          <w:color w:val="auto"/>
        </w:rPr>
        <w:t>(INSTRUCTION: To withhold authority to vote for any individual nominee, write that nominee's name on the space provided below.)</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89" w:lineRule="exact"/>
        <w:rPr>
          <w:sz w:val="20"/>
          <w:szCs w:val="20"/>
          <w:color w:val="auto"/>
        </w:rPr>
      </w:pPr>
    </w:p>
    <w:p>
      <w:pPr>
        <w:ind w:left="1821"/>
        <w:spacing w:after="0"/>
        <w:rPr>
          <w:sz w:val="20"/>
          <w:szCs w:val="20"/>
          <w:color w:val="auto"/>
        </w:rPr>
      </w:pPr>
      <w:r>
        <w:rPr>
          <w:rFonts w:ascii="Courier New" w:cs="Courier New" w:eastAsia="Courier New" w:hAnsi="Courier New"/>
          <w:sz w:val="16"/>
          <w:szCs w:val="16"/>
          <w:color w:val="auto"/>
        </w:rPr>
        <w:t>(Please sign and date on the reverse side)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81" w:hanging="381"/>
        <w:spacing w:after="0"/>
        <w:tabs>
          <w:tab w:leader="none" w:pos="38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ADOPTION OF THE COHU, INC. 1994 EMPLOYEE STOCK OPTION PLAN.</w:t>
      </w:r>
    </w:p>
    <w:p>
      <w:pPr>
        <w:spacing w:after="0" w:line="4" w:lineRule="exact"/>
        <w:rPr>
          <w:sz w:val="20"/>
          <w:szCs w:val="20"/>
          <w:color w:val="auto"/>
        </w:rPr>
      </w:pPr>
    </w:p>
    <w:p>
      <w:pPr>
        <w:jc w:val="right"/>
        <w:ind w:right="2439"/>
        <w:spacing w:after="0"/>
        <w:tabs>
          <w:tab w:leader="none" w:pos="3640" w:val="left"/>
          <w:tab w:leader="none" w:pos="1040" w:val="left"/>
        </w:tabs>
        <w:rPr>
          <w:sz w:val="20"/>
          <w:szCs w:val="20"/>
          <w:color w:val="auto"/>
        </w:rPr>
      </w:pPr>
      <w:r>
        <w:rPr>
          <w:rFonts w:ascii="Courier New" w:cs="Courier New" w:eastAsia="Courier New" w:hAnsi="Courier New"/>
          <w:sz w:val="16"/>
          <w:szCs w:val="16"/>
          <w:color w:val="auto"/>
        </w:rPr>
        <w:t>FOR / /</w:t>
      </w:r>
      <w:r>
        <w:rPr>
          <w:sz w:val="20"/>
          <w:szCs w:val="20"/>
          <w:color w:val="auto"/>
        </w:rPr>
        <w:tab/>
      </w:r>
      <w:r>
        <w:rPr>
          <w:rFonts w:ascii="Courier New" w:cs="Courier New" w:eastAsia="Courier New" w:hAnsi="Courier New"/>
          <w:sz w:val="16"/>
          <w:szCs w:val="16"/>
          <w:color w:val="auto"/>
        </w:rPr>
        <w:t>AGAINST / /</w:t>
      </w:r>
      <w:r>
        <w:rPr>
          <w:sz w:val="20"/>
          <w:szCs w:val="20"/>
          <w:color w:val="auto"/>
        </w:rPr>
        <w:tab/>
      </w:r>
      <w:r>
        <w:rPr>
          <w:rFonts w:ascii="Courier New" w:cs="Courier New" w:eastAsia="Courier New" w:hAnsi="Courier New"/>
          <w:sz w:val="16"/>
          <w:szCs w:val="16"/>
          <w:color w:val="auto"/>
        </w:rPr>
        <w:t>ABSTAIN / /</w:t>
      </w:r>
    </w:p>
    <w:p>
      <w:pPr>
        <w:spacing w:after="0" w:line="190" w:lineRule="exact"/>
        <w:rPr>
          <w:sz w:val="20"/>
          <w:szCs w:val="20"/>
          <w:color w:val="auto"/>
        </w:rPr>
      </w:pPr>
    </w:p>
    <w:p>
      <w:pPr>
        <w:ind w:left="381" w:right="3299" w:hanging="381"/>
        <w:spacing w:after="0" w:line="242" w:lineRule="auto"/>
        <w:tabs>
          <w:tab w:leader="none" w:pos="38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THEIR DISCRETION, UPON SUCH OTHER MATTERS AS MAY COME BEFORE THE MEETING.</w:t>
      </w:r>
    </w:p>
    <w:p>
      <w:pPr>
        <w:spacing w:after="0" w:line="189" w:lineRule="exact"/>
        <w:rPr>
          <w:rFonts w:ascii="Courier New" w:cs="Courier New" w:eastAsia="Courier New" w:hAnsi="Courier New"/>
          <w:sz w:val="16"/>
          <w:szCs w:val="16"/>
          <w:color w:val="auto"/>
        </w:rPr>
      </w:pPr>
    </w:p>
    <w:p>
      <w:pPr>
        <w:ind w:left="381" w:right="243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STOCKHOLDERS WHO ATTEND THE MEETING MAY VOTE IN PERSON EVEN THOUGH THEY HAVE PREVIOUSLY MAILED THIS PROXY.</w:t>
      </w:r>
    </w:p>
    <w:p>
      <w:pPr>
        <w:sectPr>
          <w:pgSz w:w="11900" w:h="16838" w:orient="portrait"/>
          <w:cols w:equalWidth="0" w:num="1">
            <w:col w:w="10141"/>
          </w:cols>
          <w:pgMar w:left="319" w:top="300" w:right="1440" w:bottom="1440" w:gutter="0" w:footer="0" w:header="0"/>
          <w:type w:val="continuous"/>
        </w:sectPr>
      </w:pP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Dated: _____________________ 1995</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Signature of Stockholder</w:t>
      </w:r>
    </w:p>
    <w:p>
      <w:pPr>
        <w:spacing w:after="0" w:line="189" w:lineRule="exact"/>
        <w:rPr>
          <w:sz w:val="20"/>
          <w:szCs w:val="20"/>
          <w:color w:val="auto"/>
        </w:rPr>
      </w:pPr>
    </w:p>
    <w:p>
      <w:pPr>
        <w:sectPr>
          <w:pgSz w:w="11900" w:h="16838" w:orient="portrait"/>
          <w:cols w:equalWidth="0" w:num="2">
            <w:col w:w="3421" w:space="720"/>
            <w:col w:w="5999"/>
          </w:cols>
          <w:pgMar w:left="319" w:top="300" w:right="1440" w:bottom="1440" w:gutter="0" w:footer="0" w:header="0"/>
          <w:type w:val="continuous"/>
        </w:sectPr>
      </w:pPr>
    </w:p>
    <w:p>
      <w:pPr>
        <w:ind w:left="4141"/>
        <w:spacing w:after="0"/>
        <w:rPr>
          <w:sz w:val="20"/>
          <w:szCs w:val="20"/>
          <w:color w:val="auto"/>
        </w:rPr>
      </w:pPr>
      <w:r>
        <w:rPr>
          <w:rFonts w:ascii="Courier New" w:cs="Courier New" w:eastAsia="Courier New" w:hAnsi="Courier New"/>
          <w:sz w:val="16"/>
          <w:szCs w:val="16"/>
          <w:color w:val="auto"/>
        </w:rPr>
        <w:t>_________________________________</w:t>
      </w:r>
    </w:p>
    <w:p>
      <w:pPr>
        <w:spacing w:after="0" w:line="4" w:lineRule="exact"/>
        <w:rPr>
          <w:sz w:val="20"/>
          <w:szCs w:val="20"/>
          <w:color w:val="auto"/>
        </w:rPr>
      </w:pPr>
    </w:p>
    <w:p>
      <w:pPr>
        <w:ind w:left="4621"/>
        <w:spacing w:after="0"/>
        <w:rPr>
          <w:sz w:val="20"/>
          <w:szCs w:val="20"/>
          <w:color w:val="auto"/>
        </w:rPr>
      </w:pPr>
      <w:r>
        <w:rPr>
          <w:rFonts w:ascii="Courier New" w:cs="Courier New" w:eastAsia="Courier New" w:hAnsi="Courier New"/>
          <w:sz w:val="16"/>
          <w:szCs w:val="16"/>
          <w:color w:val="auto"/>
        </w:rPr>
        <w:t>Signature of Stockholder</w:t>
      </w:r>
    </w:p>
    <w:p>
      <w:pPr>
        <w:spacing w:after="0" w:line="189"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IMPORTANT: Please date this Proxy and</w:t>
      </w:r>
    </w:p>
    <w:p>
      <w:pPr>
        <w:spacing w:after="0" w:line="4"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sign exactly as your name(s) appears</w:t>
      </w:r>
    </w:p>
    <w:p>
      <w:pPr>
        <w:spacing w:after="0" w:line="4" w:lineRule="exact"/>
        <w:rPr>
          <w:sz w:val="20"/>
          <w:szCs w:val="20"/>
          <w:color w:val="auto"/>
        </w:rPr>
      </w:pPr>
    </w:p>
    <w:p>
      <w:pPr>
        <w:ind w:left="3841"/>
        <w:spacing w:after="0"/>
        <w:tabs>
          <w:tab w:leader="none" w:pos="4701" w:val="left"/>
        </w:tabs>
        <w:rPr>
          <w:sz w:val="20"/>
          <w:szCs w:val="20"/>
          <w:color w:val="auto"/>
        </w:rPr>
      </w:pPr>
      <w:r>
        <w:rPr>
          <w:rFonts w:ascii="Courier New" w:cs="Courier New" w:eastAsia="Courier New" w:hAnsi="Courier New"/>
          <w:sz w:val="16"/>
          <w:szCs w:val="16"/>
          <w:color w:val="auto"/>
        </w:rPr>
        <w:t>hereon.</w:t>
      </w:r>
      <w:r>
        <w:rPr>
          <w:sz w:val="20"/>
          <w:szCs w:val="20"/>
          <w:color w:val="auto"/>
        </w:rPr>
        <w:tab/>
      </w:r>
      <w:r>
        <w:rPr>
          <w:rFonts w:ascii="Courier New" w:cs="Courier New" w:eastAsia="Courier New" w:hAnsi="Courier New"/>
          <w:sz w:val="15"/>
          <w:szCs w:val="15"/>
          <w:color w:val="auto"/>
        </w:rPr>
        <w:t>When signing as a fiduciary,</w:t>
      </w:r>
    </w:p>
    <w:p>
      <w:pPr>
        <w:spacing w:after="0" w:line="4" w:lineRule="exact"/>
        <w:rPr>
          <w:sz w:val="20"/>
          <w:szCs w:val="20"/>
          <w:color w:val="auto"/>
        </w:rPr>
      </w:pPr>
    </w:p>
    <w:p>
      <w:pPr>
        <w:ind w:left="3841"/>
        <w:spacing w:after="0"/>
        <w:tabs>
          <w:tab w:leader="none" w:pos="6721" w:val="left"/>
        </w:tabs>
        <w:rPr>
          <w:sz w:val="20"/>
          <w:szCs w:val="20"/>
          <w:color w:val="auto"/>
        </w:rPr>
      </w:pPr>
      <w:r>
        <w:rPr>
          <w:rFonts w:ascii="Courier New" w:cs="Courier New" w:eastAsia="Courier New" w:hAnsi="Courier New"/>
          <w:sz w:val="16"/>
          <w:szCs w:val="16"/>
          <w:color w:val="auto"/>
        </w:rPr>
        <w:t>please give your full title.</w:t>
      </w:r>
      <w:r>
        <w:rPr>
          <w:sz w:val="20"/>
          <w:szCs w:val="20"/>
          <w:color w:val="auto"/>
        </w:rPr>
        <w:tab/>
      </w:r>
      <w:r>
        <w:rPr>
          <w:rFonts w:ascii="Courier New" w:cs="Courier New" w:eastAsia="Courier New" w:hAnsi="Courier New"/>
          <w:sz w:val="15"/>
          <w:szCs w:val="15"/>
          <w:color w:val="auto"/>
        </w:rPr>
        <w:t>If shares</w:t>
      </w:r>
    </w:p>
    <w:p>
      <w:pPr>
        <w:spacing w:after="0" w:line="4"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are held in the names of two or more</w:t>
      </w:r>
    </w:p>
    <w:p>
      <w:pPr>
        <w:spacing w:after="0" w:line="4" w:lineRule="exact"/>
        <w:rPr>
          <w:sz w:val="20"/>
          <w:szCs w:val="20"/>
          <w:color w:val="auto"/>
        </w:rPr>
      </w:pPr>
    </w:p>
    <w:p>
      <w:pPr>
        <w:ind w:left="3841"/>
        <w:spacing w:after="0"/>
        <w:rPr>
          <w:sz w:val="20"/>
          <w:szCs w:val="20"/>
          <w:color w:val="auto"/>
        </w:rPr>
      </w:pPr>
      <w:r>
        <w:rPr>
          <w:rFonts w:ascii="Courier New" w:cs="Courier New" w:eastAsia="Courier New" w:hAnsi="Courier New"/>
          <w:sz w:val="16"/>
          <w:szCs w:val="16"/>
          <w:color w:val="auto"/>
        </w:rPr>
        <w:t>persons, any one may sign.</w:t>
      </w:r>
    </w:p>
    <w:p>
      <w:pPr>
        <w:sectPr>
          <w:pgSz w:w="11900" w:h="16838" w:orient="portrait"/>
          <w:cols w:equalWidth="0" w:num="1">
            <w:col w:w="10141"/>
          </w:cols>
          <w:pgMar w:left="319" w:top="300" w:right="1440" w:bottom="1440" w:gutter="0" w:footer="0" w:header="0"/>
          <w:type w:val="continuous"/>
        </w:sectPr>
      </w:pPr>
    </w:p>
    <w:p>
      <w:pPr>
        <w:spacing w:after="0" w:line="190" w:lineRule="exact"/>
        <w:rPr>
          <w:sz w:val="20"/>
          <w:szCs w:val="20"/>
          <w:color w:val="auto"/>
        </w:rPr>
      </w:pPr>
    </w:p>
    <w:p>
      <w:pPr>
        <w:ind w:left="1" w:right="3019"/>
        <w:spacing w:after="0" w:line="242" w:lineRule="auto"/>
        <w:rPr>
          <w:sz w:val="20"/>
          <w:szCs w:val="20"/>
          <w:color w:val="auto"/>
        </w:rPr>
      </w:pPr>
      <w:r>
        <w:rPr>
          <w:rFonts w:ascii="Courier New" w:cs="Courier New" w:eastAsia="Courier New" w:hAnsi="Courier New"/>
          <w:sz w:val="16"/>
          <w:szCs w:val="16"/>
          <w:color w:val="auto"/>
        </w:rPr>
        <w:t>PLEASE DATE, SIGN AND MAIL THIS PROXY CARD IN THE ENVELOPE. NO POSTAGE IS REQUIRED FOR DOMESTIC MAILING.</w:t>
      </w:r>
    </w:p>
    <w:sectPr>
      <w:pgSz w:w="11900" w:h="16838" w:orient="portrait"/>
      <w:cols w:equalWidth="0" w:num="1">
        <w:col w:w="10141"/>
      </w:cols>
      <w:pgMar w:left="319" w:top="30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lvl w:ilvl="1">
      <w:lvlJc w:val="left"/>
      <w:lvlText w:val="(%2)"/>
      <w:numFmt w:val="decimal"/>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lowerLetter"/>
      <w:start w:val="1"/>
    </w:lvl>
  </w:abstractNum>
  <w:abstractNum w:abstractNumId="10">
    <w:nsid w:val="7C83E458"/>
    <w:multiLevelType w:val="hybridMultilevel"/>
    <w:lvl w:ilvl="0">
      <w:lvlJc w:val="left"/>
      <w:lvlText w:val="(%1)"/>
      <w:numFmt w:val="decimal"/>
      <w:start w:val="30"/>
    </w:lvl>
  </w:abstractNum>
  <w:abstractNum w:abstractNumId="11">
    <w:nsid w:val="257130A3"/>
    <w:multiLevelType w:val="hybridMultilevel"/>
    <w:lvl w:ilvl="0">
      <w:lvlJc w:val="left"/>
      <w:lvlText w:val="(%1)"/>
      <w:numFmt w:val="decimal"/>
      <w:start w:val="2"/>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3"/>
    </w:lvl>
  </w:abstractNum>
  <w:abstractNum w:abstractNumId="14">
    <w:nsid w:val="628C895D"/>
    <w:multiLevelType w:val="hybridMultilevel"/>
    <w:lvl w:ilvl="0">
      <w:lvlJc w:val="left"/>
      <w:lvlText w:val="%1"/>
      <w:numFmt w:val="decimal"/>
      <w:start w:val="1"/>
    </w:lvl>
    <w:lvl w:ilvl="1">
      <w:lvlJc w:val="left"/>
      <w:lvlText w:val="%2."/>
      <w:numFmt w:val="decimal"/>
      <w:start w:val="7"/>
    </w:lvl>
  </w:abstractNum>
  <w:abstractNum w:abstractNumId="15">
    <w:nsid w:val="333AB105"/>
    <w:multiLevelType w:val="hybridMultilevel"/>
    <w:lvl w:ilvl="0">
      <w:lvlJc w:val="left"/>
      <w:lvlText w:val="(%1)"/>
      <w:numFmt w:val="decimal"/>
      <w:start w:val="60"/>
    </w:lvl>
    <w:lvl w:ilvl="1">
      <w:lvlJc w:val="left"/>
      <w:lvlText w:val="%2."/>
      <w:numFmt w:val="decimal"/>
      <w:start w:val="8"/>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1"/>
      <w:numFmt w:val="decimal"/>
      <w:start w:val="1"/>
    </w:lvl>
    <w:lvl w:ilvl="1">
      <w:lvlJc w:val="left"/>
      <w:lvlText w:val="(%2)"/>
      <w:numFmt w:val="lowerLetter"/>
      <w:start w:val="4"/>
    </w:lvl>
  </w:abstractNum>
  <w:abstractNum w:abstractNumId="18">
    <w:nsid w:val="2D1D5AE9"/>
    <w:multiLevelType w:val="hybridMultilevel"/>
    <w:lvl w:ilvl="0">
      <w:lvlJc w:val="left"/>
      <w:lvlText w:val="%1."/>
      <w:numFmt w:val="decimal"/>
      <w:start w:val="9"/>
    </w:lvl>
    <w:lvl w:ilvl="1">
      <w:lvlJc w:val="left"/>
      <w:lvlText w:val="%2"/>
      <w:numFmt w:val="lowerLetter"/>
      <w:start w:val="1"/>
    </w:lvl>
  </w:abstractNum>
  <w:abstractNum w:abstractNumId="19">
    <w:nsid w:val="6763845E"/>
    <w:multiLevelType w:val="hybridMultilevel"/>
    <w:lvl w:ilvl="0">
      <w:lvlJc w:val="left"/>
      <w:lvlText w:val="%1."/>
      <w:numFmt w:val="decimal"/>
      <w:start w:val="11"/>
    </w:lvl>
  </w:abstractNum>
  <w:abstractNum w:abstractNumId="20">
    <w:nsid w:val="75A2A8D4"/>
    <w:multiLevelType w:val="hybridMultilevel"/>
    <w:lvl w:ilvl="0">
      <w:lvlJc w:val="left"/>
      <w:lvlText w:val="%1."/>
      <w:numFmt w:val="decimal"/>
      <w:start w:val="12"/>
    </w:lvl>
  </w:abstractNum>
  <w:abstractNum w:abstractNumId="21">
    <w:nsid w:val="8EDBDAB"/>
    <w:multiLevelType w:val="hybridMultilevel"/>
    <w:lvl w:ilvl="0">
      <w:lvlJc w:val="left"/>
      <w:lvlText w:val="%1."/>
      <w:numFmt w:val="decimal"/>
      <w:start w:val="13"/>
    </w:lvl>
  </w:abstractNum>
  <w:abstractNum w:abstractNumId="22">
    <w:nsid w:val="79838CB2"/>
    <w:multiLevelType w:val="hybridMultilevel"/>
    <w:lvl w:ilvl="0">
      <w:lvlJc w:val="left"/>
      <w:lvlText w:val="%1."/>
      <w:numFmt w:val="decimal"/>
      <w:start w:val="15"/>
    </w:lvl>
  </w:abstractNum>
  <w:abstractNum w:abstractNumId="23">
    <w:nsid w:val="4353D0CD"/>
    <w:multiLevelType w:val="hybridMultilevel"/>
    <w:lvl w:ilvl="0">
      <w:lvlJc w:val="left"/>
      <w:lvlText w:val="%1."/>
      <w:numFmt w:val="decimal"/>
      <w:start w:val="16"/>
    </w:lvl>
  </w:abstractNum>
  <w:abstractNum w:abstractNumId="24">
    <w:nsid w:val="B03E0C6"/>
    <w:multiLevelType w:val="hybridMultilevel"/>
    <w:lvl w:ilvl="0">
      <w:lvlJc w:val="left"/>
      <w:lvlText w:val="%1."/>
      <w:numFmt w:val="decimal"/>
      <w:start w:val="18"/>
    </w:lvl>
  </w:abstractNum>
  <w:abstractNum w:abstractNumId="25">
    <w:nsid w:val="189A769B"/>
    <w:multiLevelType w:val="hybridMultilevel"/>
    <w:lvl w:ilvl="0">
      <w:lvlJc w:val="left"/>
      <w:lvlText w:val="%1."/>
      <w:numFmt w:val="decimal"/>
      <w:start w:val="2"/>
    </w:lvl>
  </w:abstractNum>
  <w:abstractNum w:abstractNumId="26">
    <w:nsid w:val="54E49EB4"/>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2021-08-19T21:58:31Z</dcterms:created>
  <dcterms:modified xsi:type="dcterms:W3CDTF">2021-08-19T21:58:31Z</dcterms:modified>
</cp:coreProperties>
</file>