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UNITED STATES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right="1879" w:firstLine="8"/>
        <w:spacing w:after="0" w:line="235"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 THE QUARTERLY PERIOD ENDED SEPTEMBER 30, 1997</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right="177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1934 ------</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1-4298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DELAWARE</w:t>
            </w:r>
          </w:p>
        </w:tc>
        <w:tc>
          <w:tcPr>
            <w:tcW w:w="1060" w:type="dxa"/>
            <w:vAlign w:val="bottom"/>
          </w:tcPr>
          <w:p>
            <w:pPr>
              <w:spacing w:after="0"/>
              <w:rPr>
                <w:sz w:val="17"/>
                <w:szCs w:val="17"/>
                <w:color w:val="auto"/>
              </w:rPr>
            </w:pPr>
          </w:p>
        </w:tc>
        <w:tc>
          <w:tcPr>
            <w:tcW w:w="284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95-1934119</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(I.R.S. Employer Identification No.)</w:t>
            </w:r>
          </w:p>
        </w:tc>
      </w:tr>
      <w:tr>
        <w:trPr>
          <w:trHeight w:val="203"/>
        </w:trPr>
        <w:tc>
          <w:tcPr>
            <w:tcW w:w="4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106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5755 KEARNY</w:t>
            </w:r>
          </w:p>
        </w:tc>
        <w:tc>
          <w:tcPr>
            <w:tcW w:w="4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VILLA ROAD, SAN DIEGO, CALIFORNIA</w:t>
            </w:r>
          </w:p>
        </w:tc>
        <w:tc>
          <w:tcPr>
            <w:tcW w:w="284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92123</w:t>
            </w:r>
          </w:p>
        </w:tc>
      </w:tr>
      <w:tr>
        <w:trPr>
          <w:trHeight w:val="203"/>
        </w:trPr>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(Address</w:t>
            </w: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 principal executive office)</w:t>
            </w:r>
          </w:p>
        </w:tc>
        <w:tc>
          <w:tcPr>
            <w:tcW w:w="1060" w:type="dxa"/>
            <w:vAlign w:val="bottom"/>
          </w:tcPr>
          <w:p>
            <w:pPr>
              <w:spacing w:after="0"/>
              <w:rPr>
                <w:sz w:val="17"/>
                <w:szCs w:val="17"/>
                <w:color w:val="auto"/>
              </w:rPr>
            </w:pPr>
          </w:p>
        </w:tc>
        <w:tc>
          <w:tcPr>
            <w:tcW w:w="284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(Zip Code)</w:t>
            </w:r>
          </w:p>
        </w:tc>
      </w:tr>
      <w:tr>
        <w:trPr>
          <w:trHeight w:val="405"/>
        </w:trPr>
        <w:tc>
          <w:tcPr>
            <w:tcW w:w="5600" w:type="dxa"/>
            <w:vAlign w:val="bottom"/>
            <w:gridSpan w:val="3"/>
          </w:tcPr>
          <w:p>
            <w:pPr>
              <w:spacing w:after="0"/>
              <w:rPr>
                <w:sz w:val="20"/>
                <w:szCs w:val="20"/>
                <w:color w:val="auto"/>
              </w:rPr>
            </w:pPr>
            <w:r>
              <w:rPr>
                <w:rFonts w:ascii="Courier New" w:cs="Courier New" w:eastAsia="Courier New" w:hAnsi="Courier New"/>
                <w:sz w:val="18"/>
                <w:szCs w:val="18"/>
                <w:color w:val="auto"/>
              </w:rPr>
              <w:t>Registrant's telephone number, including area code</w:t>
            </w:r>
          </w:p>
        </w:tc>
        <w:tc>
          <w:tcPr>
            <w:tcW w:w="284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619-277-6700</w:t>
            </w:r>
          </w:p>
        </w:tc>
      </w:tr>
    </w:tbl>
    <w:p>
      <w:pPr>
        <w:spacing w:after="0" w:line="200" w:lineRule="exact"/>
        <w:rPr>
          <w:sz w:val="24"/>
          <w:szCs w:val="24"/>
          <w:color w:val="auto"/>
        </w:rPr>
      </w:pP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244" w:right="1440" w:bottom="1440" w:gutter="0" w:footer="0" w:header="0"/>
        </w:sectPr>
      </w:pPr>
    </w:p>
    <w:p>
      <w:pPr>
        <w:spacing w:after="0" w:line="209" w:lineRule="exact"/>
        <w:rPr>
          <w:sz w:val="24"/>
          <w:szCs w:val="24"/>
          <w:color w:val="auto"/>
        </w:rPr>
      </w:pPr>
    </w:p>
    <w:p>
      <w:pPr>
        <w:ind w:left="622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4">
            <w:col w:w="6540" w:space="0"/>
            <w:col w:w="520" w:space="420"/>
            <w:col w:w="220" w:space="0"/>
            <w:col w:w="2519"/>
          </w:cols>
          <w:pgMar w:left="240" w:top="244" w:right="1440" w:bottom="1440" w:gutter="0" w:footer="0" w:header="0"/>
          <w:type w:val="continuous"/>
        </w:sectPr>
      </w:pPr>
    </w:p>
    <w:p>
      <w:pPr>
        <w:spacing w:after="0" w:line="24"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As of September 30, 1997, the Registrant had 9,492,405 shares of its $1.00 par value common stock outstanding.</w:t>
      </w:r>
    </w:p>
    <w:p>
      <w:pPr>
        <w:sectPr>
          <w:pgSz w:w="11900" w:h="16838" w:orient="portrait"/>
          <w:cols w:equalWidth="0" w:num="1">
            <w:col w:w="10219"/>
          </w:cols>
          <w:pgMar w:left="240" w:top="244"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2</w:t>
            </w:r>
          </w:p>
        </w:tc>
        <w:tc>
          <w:tcPr>
            <w:tcW w:w="72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013"/>
        </w:trPr>
        <w:tc>
          <w:tcPr>
            <w:tcW w:w="1060" w:type="dxa"/>
            <w:vAlign w:val="bottom"/>
          </w:tcPr>
          <w:p>
            <w:pPr>
              <w:spacing w:after="0"/>
              <w:rPr>
                <w:sz w:val="24"/>
                <w:szCs w:val="24"/>
                <w:color w:val="auto"/>
              </w:rPr>
            </w:pPr>
          </w:p>
        </w:tc>
        <w:tc>
          <w:tcPr>
            <w:tcW w:w="7280" w:type="dxa"/>
            <w:vAlign w:val="bottom"/>
          </w:tcPr>
          <w:p>
            <w:pPr>
              <w:jc w:val="right"/>
              <w:ind w:right="3512"/>
              <w:spacing w:after="0"/>
              <w:rPr>
                <w:sz w:val="20"/>
                <w:szCs w:val="20"/>
                <w:color w:val="auto"/>
              </w:rPr>
            </w:pPr>
            <w:r>
              <w:rPr>
                <w:rFonts w:ascii="Courier New" w:cs="Courier New" w:eastAsia="Courier New" w:hAnsi="Courier New"/>
                <w:sz w:val="18"/>
                <w:szCs w:val="18"/>
                <w:color w:val="auto"/>
              </w:rPr>
              <w:t>COHU, INC.</w:t>
            </w:r>
          </w:p>
        </w:tc>
        <w:tc>
          <w:tcPr>
            <w:tcW w:w="20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7280" w:type="dxa"/>
            <w:vAlign w:val="bottom"/>
          </w:tcPr>
          <w:p>
            <w:pPr>
              <w:ind w:left="2960"/>
              <w:spacing w:after="0" w:line="203" w:lineRule="exact"/>
              <w:rPr>
                <w:sz w:val="20"/>
                <w:szCs w:val="20"/>
                <w:color w:val="auto"/>
              </w:rPr>
            </w:pPr>
            <w:r>
              <w:rPr>
                <w:rFonts w:ascii="Courier New" w:cs="Courier New" w:eastAsia="Courier New" w:hAnsi="Courier New"/>
                <w:sz w:val="18"/>
                <w:szCs w:val="18"/>
                <w:color w:val="auto"/>
              </w:rPr>
              <w:t>INDEX</w:t>
            </w:r>
          </w:p>
        </w:tc>
        <w:tc>
          <w:tcPr>
            <w:tcW w:w="20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7280" w:type="dxa"/>
            <w:vAlign w:val="bottom"/>
          </w:tcPr>
          <w:p>
            <w:pPr>
              <w:jc w:val="right"/>
              <w:ind w:right="3512"/>
              <w:spacing w:after="0" w:line="203" w:lineRule="exact"/>
              <w:rPr>
                <w:sz w:val="20"/>
                <w:szCs w:val="20"/>
                <w:color w:val="auto"/>
              </w:rPr>
            </w:pPr>
            <w:r>
              <w:rPr>
                <w:rFonts w:ascii="Courier New" w:cs="Courier New" w:eastAsia="Courier New" w:hAnsi="Courier New"/>
                <w:sz w:val="18"/>
                <w:szCs w:val="18"/>
                <w:color w:val="auto"/>
              </w:rPr>
              <w:t>FORM 10-Q</w:t>
            </w:r>
          </w:p>
        </w:tc>
        <w:tc>
          <w:tcPr>
            <w:tcW w:w="20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728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rPr>
              <w:t>SEPTEMBER 30, 1997</w:t>
            </w:r>
          </w:p>
        </w:tc>
        <w:tc>
          <w:tcPr>
            <w:tcW w:w="200" w:type="dxa"/>
            <w:vAlign w:val="bottom"/>
          </w:tcPr>
          <w:p>
            <w:pPr>
              <w:spacing w:after="0"/>
              <w:rPr>
                <w:sz w:val="17"/>
                <w:szCs w:val="17"/>
                <w:color w:val="auto"/>
              </w:rPr>
            </w:pPr>
          </w:p>
        </w:tc>
      </w:tr>
      <w:tr>
        <w:trPr>
          <w:trHeight w:val="1013"/>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7280" w:type="dxa"/>
            <w:vAlign w:val="bottom"/>
          </w:tcPr>
          <w:p>
            <w:pPr>
              <w:spacing w:after="0"/>
              <w:rPr>
                <w:sz w:val="20"/>
                <w:szCs w:val="20"/>
                <w:color w:val="auto"/>
              </w:rPr>
            </w:pPr>
            <w:r>
              <w:rPr>
                <w:rFonts w:ascii="Courier New" w:cs="Courier New" w:eastAsia="Courier New" w:hAnsi="Courier New"/>
                <w:sz w:val="18"/>
                <w:szCs w:val="18"/>
                <w:color w:val="auto"/>
              </w:rPr>
              <w:t>FINANCIAL INFORMATION</w:t>
            </w:r>
          </w:p>
        </w:tc>
        <w:tc>
          <w:tcPr>
            <w:tcW w:w="200" w:type="dxa"/>
            <w:vAlign w:val="bottom"/>
          </w:tcPr>
          <w:p>
            <w:pPr>
              <w:spacing w:after="0"/>
              <w:rPr>
                <w:sz w:val="24"/>
                <w:szCs w:val="24"/>
                <w:color w:val="auto"/>
              </w:rPr>
            </w:pPr>
          </w:p>
        </w:tc>
      </w:tr>
      <w:tr>
        <w:trPr>
          <w:trHeight w:val="1013"/>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280" w:type="dxa"/>
            <w:vAlign w:val="bottom"/>
          </w:tcPr>
          <w:p>
            <w:pPr>
              <w:spacing w:after="0"/>
              <w:rPr>
                <w:sz w:val="20"/>
                <w:szCs w:val="20"/>
                <w:color w:val="auto"/>
              </w:rPr>
            </w:pPr>
            <w:r>
              <w:rPr>
                <w:rFonts w:ascii="Courier New" w:cs="Courier New" w:eastAsia="Courier New" w:hAnsi="Courier New"/>
                <w:sz w:val="18"/>
                <w:szCs w:val="18"/>
                <w:color w:val="auto"/>
              </w:rPr>
              <w:t>Condensed Consolidated Balance Sheets</w:t>
            </w:r>
          </w:p>
        </w:tc>
        <w:tc>
          <w:tcPr>
            <w:tcW w:w="20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September 30, 1997 (Unaudited) and December 31, 1996..................</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608"/>
        </w:trPr>
        <w:tc>
          <w:tcPr>
            <w:tcW w:w="1060" w:type="dxa"/>
            <w:vAlign w:val="bottom"/>
          </w:tcPr>
          <w:p>
            <w:pPr>
              <w:spacing w:after="0"/>
              <w:rPr>
                <w:sz w:val="24"/>
                <w:szCs w:val="24"/>
                <w:color w:val="auto"/>
              </w:rPr>
            </w:pPr>
          </w:p>
        </w:tc>
        <w:tc>
          <w:tcPr>
            <w:tcW w:w="7280" w:type="dxa"/>
            <w:vAlign w:val="bottom"/>
          </w:tcPr>
          <w:p>
            <w:pPr>
              <w:spacing w:after="0"/>
              <w:rPr>
                <w:sz w:val="20"/>
                <w:szCs w:val="20"/>
                <w:color w:val="auto"/>
              </w:rPr>
            </w:pPr>
            <w:r>
              <w:rPr>
                <w:rFonts w:ascii="Courier New" w:cs="Courier New" w:eastAsia="Courier New" w:hAnsi="Courier New"/>
                <w:sz w:val="18"/>
                <w:szCs w:val="18"/>
                <w:color w:val="auto"/>
              </w:rPr>
              <w:t>Condensed Consolidated Statements of Income (Unaudited)</w:t>
            </w:r>
          </w:p>
        </w:tc>
        <w:tc>
          <w:tcPr>
            <w:tcW w:w="20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Three and Nine Months Ended September 30, 1997 and 1996...............</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608"/>
        </w:trPr>
        <w:tc>
          <w:tcPr>
            <w:tcW w:w="1060" w:type="dxa"/>
            <w:vAlign w:val="bottom"/>
          </w:tcPr>
          <w:p>
            <w:pPr>
              <w:spacing w:after="0"/>
              <w:rPr>
                <w:sz w:val="24"/>
                <w:szCs w:val="24"/>
                <w:color w:val="auto"/>
              </w:rPr>
            </w:pPr>
          </w:p>
        </w:tc>
        <w:tc>
          <w:tcPr>
            <w:tcW w:w="7280" w:type="dxa"/>
            <w:vAlign w:val="bottom"/>
          </w:tcPr>
          <w:p>
            <w:pPr>
              <w:spacing w:after="0"/>
              <w:rPr>
                <w:sz w:val="20"/>
                <w:szCs w:val="20"/>
                <w:color w:val="auto"/>
              </w:rPr>
            </w:pPr>
            <w:r>
              <w:rPr>
                <w:rFonts w:ascii="Courier New" w:cs="Courier New" w:eastAsia="Courier New" w:hAnsi="Courier New"/>
                <w:sz w:val="18"/>
                <w:szCs w:val="18"/>
                <w:color w:val="auto"/>
              </w:rPr>
              <w:t>Condensed Consolidated Statements of Cash Flows (Unaudited)</w:t>
            </w:r>
          </w:p>
        </w:tc>
        <w:tc>
          <w:tcPr>
            <w:tcW w:w="20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Nine Months Ended September 30, 1997 and 1996.........................</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608"/>
        </w:trPr>
        <w:tc>
          <w:tcPr>
            <w:tcW w:w="1060" w:type="dxa"/>
            <w:vAlign w:val="bottom"/>
          </w:tcPr>
          <w:p>
            <w:pPr>
              <w:spacing w:after="0"/>
              <w:rPr>
                <w:sz w:val="24"/>
                <w:szCs w:val="24"/>
                <w:color w:val="auto"/>
              </w:rPr>
            </w:pPr>
          </w:p>
        </w:tc>
        <w:tc>
          <w:tcPr>
            <w:tcW w:w="7280" w:type="dxa"/>
            <w:vAlign w:val="bottom"/>
          </w:tcPr>
          <w:p>
            <w:pPr>
              <w:spacing w:after="0"/>
              <w:rPr>
                <w:sz w:val="20"/>
                <w:szCs w:val="20"/>
                <w:color w:val="auto"/>
              </w:rPr>
            </w:pPr>
            <w:r>
              <w:rPr>
                <w:rFonts w:ascii="Courier New" w:cs="Courier New" w:eastAsia="Courier New" w:hAnsi="Courier New"/>
                <w:sz w:val="18"/>
                <w:szCs w:val="18"/>
                <w:color w:val="auto"/>
                <w:w w:val="96"/>
              </w:rPr>
              <w:t>Notes to Unaudited Condensed Consolidated Financial Statements........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280" w:type="dxa"/>
            <w:vAlign w:val="bottom"/>
          </w:tcPr>
          <w:p>
            <w:pPr>
              <w:spacing w:after="0"/>
              <w:rPr>
                <w:sz w:val="20"/>
                <w:szCs w:val="20"/>
                <w:color w:val="auto"/>
              </w:rPr>
            </w:pPr>
            <w:r>
              <w:rPr>
                <w:rFonts w:ascii="Courier New" w:cs="Courier New" w:eastAsia="Courier New" w:hAnsi="Courier New"/>
                <w:sz w:val="18"/>
                <w:szCs w:val="18"/>
                <w:color w:val="auto"/>
              </w:rPr>
              <w:t>Management's Discussion and Analysis of</w:t>
            </w:r>
          </w:p>
        </w:tc>
        <w:tc>
          <w:tcPr>
            <w:tcW w:w="20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Financial Condition and Results of Operations.........................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810"/>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7280" w:type="dxa"/>
            <w:vAlign w:val="bottom"/>
          </w:tcPr>
          <w:p>
            <w:pPr>
              <w:spacing w:after="0"/>
              <w:rPr>
                <w:sz w:val="20"/>
                <w:szCs w:val="20"/>
                <w:color w:val="auto"/>
              </w:rPr>
            </w:pPr>
            <w:r>
              <w:rPr>
                <w:rFonts w:ascii="Courier New" w:cs="Courier New" w:eastAsia="Courier New" w:hAnsi="Courier New"/>
                <w:sz w:val="18"/>
                <w:szCs w:val="18"/>
                <w:color w:val="auto"/>
              </w:rPr>
              <w:t>OTHER INFORMATION</w:t>
            </w:r>
          </w:p>
        </w:tc>
        <w:tc>
          <w:tcPr>
            <w:tcW w:w="200" w:type="dxa"/>
            <w:vAlign w:val="bottom"/>
          </w:tcPr>
          <w:p>
            <w:pPr>
              <w:spacing w:after="0"/>
              <w:rPr>
                <w:sz w:val="24"/>
                <w:szCs w:val="24"/>
                <w:color w:val="auto"/>
              </w:rPr>
            </w:pPr>
          </w:p>
        </w:tc>
      </w:tr>
      <w:tr>
        <w:trPr>
          <w:trHeight w:val="810"/>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280" w:type="dxa"/>
            <w:vAlign w:val="bottom"/>
          </w:tcPr>
          <w:p>
            <w:pPr>
              <w:spacing w:after="0"/>
              <w:rPr>
                <w:sz w:val="20"/>
                <w:szCs w:val="20"/>
                <w:color w:val="auto"/>
              </w:rPr>
            </w:pPr>
            <w:r>
              <w:rPr>
                <w:rFonts w:ascii="Courier New" w:cs="Courier New" w:eastAsia="Courier New" w:hAnsi="Courier New"/>
                <w:sz w:val="18"/>
                <w:szCs w:val="18"/>
                <w:color w:val="auto"/>
                <w:w w:val="97"/>
              </w:rPr>
              <w:t>Exhibits and Reports on Form 8-K.....................................</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10</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Signatures</w:t>
            </w:r>
          </w:p>
        </w:tc>
        <w:tc>
          <w:tcPr>
            <w:tcW w:w="7280" w:type="dxa"/>
            <w:vAlign w:val="bottom"/>
          </w:tcPr>
          <w:p>
            <w:pPr>
              <w:ind w:left="100"/>
              <w:spacing w:after="0"/>
              <w:rPr>
                <w:sz w:val="20"/>
                <w:szCs w:val="20"/>
                <w:color w:val="auto"/>
              </w:rPr>
            </w:pPr>
            <w:r>
              <w:rPr>
                <w:rFonts w:ascii="Courier New" w:cs="Courier New" w:eastAsia="Courier New" w:hAnsi="Courier New"/>
                <w:sz w:val="18"/>
                <w:szCs w:val="18"/>
                <w:color w:val="auto"/>
                <w:w w:val="97"/>
              </w:rPr>
              <w:t>....................................................................</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11</w:t>
            </w:r>
          </w:p>
        </w:tc>
      </w:tr>
    </w:tbl>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CONDENSED CONSOLIDATED BALANCE SHEETS</w:t>
      </w: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3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5900" w:type="dxa"/>
            <w:vAlign w:val="bottom"/>
          </w:tcPr>
          <w:p>
            <w:pPr>
              <w:spacing w:after="0"/>
              <w:rPr>
                <w:sz w:val="17"/>
                <w:szCs w:val="17"/>
                <w:color w:val="auto"/>
              </w:rPr>
            </w:pPr>
          </w:p>
        </w:tc>
        <w:tc>
          <w:tcPr>
            <w:tcW w:w="2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SEPTEMBER 30, 1997</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 31, 1996</w:t>
            </w:r>
          </w:p>
        </w:tc>
      </w:tr>
      <w:tr>
        <w:trPr>
          <w:trHeight w:val="203"/>
        </w:trPr>
        <w:tc>
          <w:tcPr>
            <w:tcW w:w="5900" w:type="dxa"/>
            <w:vAlign w:val="bottom"/>
          </w:tcPr>
          <w:p>
            <w:pPr>
              <w:spacing w:after="0"/>
              <w:rPr>
                <w:sz w:val="17"/>
                <w:szCs w:val="17"/>
                <w:color w:val="auto"/>
              </w:rPr>
            </w:pPr>
          </w:p>
        </w:tc>
        <w:tc>
          <w:tcPr>
            <w:tcW w:w="2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rPr>
                <w:sz w:val="17"/>
                <w:szCs w:val="17"/>
                <w:color w:val="auto"/>
              </w:rPr>
            </w:pP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(Unaudited)</w:t>
            </w:r>
          </w:p>
        </w:tc>
        <w:tc>
          <w:tcPr>
            <w:tcW w:w="1900" w:type="dxa"/>
            <w:vAlign w:val="bottom"/>
          </w:tcPr>
          <w:p>
            <w:pPr>
              <w:spacing w:after="0"/>
              <w:rPr>
                <w:sz w:val="17"/>
                <w:szCs w:val="17"/>
                <w:color w:val="auto"/>
              </w:rPr>
            </w:pP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3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$ 23,093</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$ 24,660</w:t>
            </w: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29,426</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28,326</w:t>
            </w: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receivable, less allowance</w:t>
            </w:r>
          </w:p>
        </w:tc>
        <w:tc>
          <w:tcPr>
            <w:tcW w:w="23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5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for doubtful accounts</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35,584</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19,170</w:t>
            </w: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Inventories, at lower of average cost or market:</w:t>
            </w:r>
          </w:p>
        </w:tc>
        <w:tc>
          <w:tcPr>
            <w:tcW w:w="23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Finished goods</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3,695</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2,395</w:t>
            </w: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Work in process</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11,866</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6,012</w:t>
            </w: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Raw materials</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16,726</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7,175</w:t>
            </w:r>
          </w:p>
        </w:tc>
      </w:tr>
      <w:tr>
        <w:trPr>
          <w:trHeight w:val="203"/>
        </w:trPr>
        <w:tc>
          <w:tcPr>
            <w:tcW w:w="5900" w:type="dxa"/>
            <w:vAlign w:val="bottom"/>
          </w:tcPr>
          <w:p>
            <w:pPr>
              <w:spacing w:after="0"/>
              <w:rPr>
                <w:sz w:val="17"/>
                <w:szCs w:val="17"/>
                <w:color w:val="auto"/>
              </w:rPr>
            </w:pP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rPr>
                <w:sz w:val="17"/>
                <w:szCs w:val="17"/>
                <w:color w:val="auto"/>
              </w:rPr>
            </w:pP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32,287</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15,582</w:t>
            </w: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9,681</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9,681</w:t>
            </w: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expenses</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987</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1,166</w:t>
            </w:r>
          </w:p>
        </w:tc>
      </w:tr>
      <w:tr>
        <w:trPr>
          <w:trHeight w:val="203"/>
        </w:trPr>
        <w:tc>
          <w:tcPr>
            <w:tcW w:w="5900" w:type="dxa"/>
            <w:vAlign w:val="bottom"/>
          </w:tcPr>
          <w:p>
            <w:pPr>
              <w:spacing w:after="0"/>
              <w:rPr>
                <w:sz w:val="17"/>
                <w:szCs w:val="17"/>
                <w:color w:val="auto"/>
              </w:rPr>
            </w:pP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131,058</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98,585</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23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Land and land improvements</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2,114</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2,114</w:t>
            </w: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Buildings and building improvements</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12,237</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11,932</w:t>
            </w: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15,704</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14,069</w:t>
            </w:r>
          </w:p>
        </w:tc>
      </w:tr>
      <w:tr>
        <w:trPr>
          <w:trHeight w:val="203"/>
        </w:trPr>
        <w:tc>
          <w:tcPr>
            <w:tcW w:w="5900" w:type="dxa"/>
            <w:vAlign w:val="bottom"/>
          </w:tcPr>
          <w:p>
            <w:pPr>
              <w:spacing w:after="0"/>
              <w:rPr>
                <w:sz w:val="17"/>
                <w:szCs w:val="17"/>
                <w:color w:val="auto"/>
              </w:rPr>
            </w:pP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rPr>
                <w:sz w:val="17"/>
                <w:szCs w:val="17"/>
                <w:color w:val="auto"/>
              </w:rPr>
            </w:pP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30,055</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28,115</w:t>
            </w: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Less accumulated depreciation and amortization</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12,344</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11,304</w:t>
            </w:r>
          </w:p>
        </w:tc>
      </w:tr>
      <w:tr>
        <w:trPr>
          <w:trHeight w:val="203"/>
        </w:trPr>
        <w:tc>
          <w:tcPr>
            <w:tcW w:w="5900" w:type="dxa"/>
            <w:vAlign w:val="bottom"/>
          </w:tcPr>
          <w:p>
            <w:pPr>
              <w:spacing w:after="0"/>
              <w:rPr>
                <w:sz w:val="17"/>
                <w:szCs w:val="17"/>
                <w:color w:val="auto"/>
              </w:rPr>
            </w:pP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property, plant and equipment</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17,711</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16,811</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2,351</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2,469</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105</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5900" w:type="dxa"/>
            <w:vAlign w:val="bottom"/>
          </w:tcPr>
          <w:p>
            <w:pPr>
              <w:spacing w:after="0"/>
              <w:rPr>
                <w:sz w:val="17"/>
                <w:szCs w:val="17"/>
                <w:color w:val="auto"/>
              </w:rPr>
            </w:pP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rPr>
                <w:sz w:val="17"/>
                <w:szCs w:val="17"/>
                <w:color w:val="auto"/>
              </w:rPr>
            </w:pP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$151,225</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$117,926</w:t>
            </w:r>
          </w:p>
        </w:tc>
      </w:tr>
      <w:tr>
        <w:trPr>
          <w:trHeight w:val="203"/>
        </w:trPr>
        <w:tc>
          <w:tcPr>
            <w:tcW w:w="5900" w:type="dxa"/>
            <w:vAlign w:val="bottom"/>
          </w:tcPr>
          <w:p>
            <w:pPr>
              <w:spacing w:after="0"/>
              <w:rPr>
                <w:sz w:val="17"/>
                <w:szCs w:val="17"/>
                <w:color w:val="auto"/>
              </w:rPr>
            </w:pP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23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3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$ 14,144</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4,464</w:t>
            </w: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4,626</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1,552</w:t>
            </w: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15,437</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14,566</w:t>
            </w:r>
          </w:p>
        </w:tc>
      </w:tr>
      <w:tr>
        <w:trPr>
          <w:trHeight w:val="203"/>
        </w:trPr>
        <w:tc>
          <w:tcPr>
            <w:tcW w:w="5900" w:type="dxa"/>
            <w:vAlign w:val="bottom"/>
          </w:tcPr>
          <w:p>
            <w:pPr>
              <w:spacing w:after="0"/>
              <w:rPr>
                <w:sz w:val="17"/>
                <w:szCs w:val="17"/>
                <w:color w:val="auto"/>
              </w:rPr>
            </w:pP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34,207</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20,582</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Accrued retiree medical benefits</w:t>
            </w:r>
          </w:p>
        </w:tc>
        <w:tc>
          <w:tcPr>
            <w:tcW w:w="23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983</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916</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156</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156</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3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Preferred stock</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Common stock</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9,492</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9,341</w:t>
            </w: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Paid in excess of par</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6,850</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5,863</w:t>
            </w: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99,537</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81,068</w:t>
            </w:r>
          </w:p>
        </w:tc>
      </w:tr>
      <w:tr>
        <w:trPr>
          <w:trHeight w:val="203"/>
        </w:trPr>
        <w:tc>
          <w:tcPr>
            <w:tcW w:w="5900" w:type="dxa"/>
            <w:vAlign w:val="bottom"/>
          </w:tcPr>
          <w:p>
            <w:pPr>
              <w:spacing w:after="0"/>
              <w:rPr>
                <w:sz w:val="17"/>
                <w:szCs w:val="17"/>
                <w:color w:val="auto"/>
              </w:rPr>
            </w:pP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115,879</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96,272</w:t>
            </w:r>
          </w:p>
        </w:tc>
      </w:tr>
      <w:tr>
        <w:trPr>
          <w:trHeight w:val="203"/>
        </w:trPr>
        <w:tc>
          <w:tcPr>
            <w:tcW w:w="5900" w:type="dxa"/>
            <w:vAlign w:val="bottom"/>
          </w:tcPr>
          <w:p>
            <w:pPr>
              <w:spacing w:after="0"/>
              <w:rPr>
                <w:sz w:val="17"/>
                <w:szCs w:val="17"/>
                <w:color w:val="auto"/>
              </w:rPr>
            </w:pP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rPr>
                <w:sz w:val="17"/>
                <w:szCs w:val="17"/>
                <w:color w:val="auto"/>
              </w:rPr>
            </w:pP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$151,225</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$117,926</w:t>
            </w:r>
          </w:p>
        </w:tc>
      </w:tr>
      <w:tr>
        <w:trPr>
          <w:trHeight w:val="203"/>
        </w:trPr>
        <w:tc>
          <w:tcPr>
            <w:tcW w:w="5900" w:type="dxa"/>
            <w:vAlign w:val="bottom"/>
          </w:tcPr>
          <w:p>
            <w:pPr>
              <w:spacing w:after="0"/>
              <w:rPr>
                <w:sz w:val="17"/>
                <w:szCs w:val="17"/>
                <w:color w:val="auto"/>
              </w:rPr>
            </w:pP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CONDENSED CONSOLIDATED STATEMENTS OF INCOME</w:t>
      </w:r>
    </w:p>
    <w:p>
      <w:pPr>
        <w:jc w:val="center"/>
        <w:ind w:right="1679"/>
        <w:spacing w:after="0"/>
        <w:rPr>
          <w:sz w:val="20"/>
          <w:szCs w:val="20"/>
          <w:color w:val="auto"/>
        </w:rPr>
      </w:pPr>
      <w:r>
        <w:rPr>
          <w:rFonts w:ascii="Courier New" w:cs="Courier New" w:eastAsia="Courier New" w:hAnsi="Courier New"/>
          <w:sz w:val="18"/>
          <w:szCs w:val="18"/>
          <w:color w:val="auto"/>
        </w:rPr>
        <w:t>(Unaudited)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17"/>
                <w:szCs w:val="17"/>
                <w:color w:val="auto"/>
              </w:rPr>
            </w:pPr>
          </w:p>
        </w:tc>
        <w:tc>
          <w:tcPr>
            <w:tcW w:w="232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THREE MONTHS ENDED</w:t>
            </w:r>
          </w:p>
        </w:tc>
        <w:tc>
          <w:tcPr>
            <w:tcW w:w="14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NINE MONTHS</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ENDED</w:t>
            </w:r>
          </w:p>
        </w:tc>
      </w:tr>
      <w:tr>
        <w:trPr>
          <w:trHeight w:val="203"/>
        </w:trPr>
        <w:tc>
          <w:tcPr>
            <w:tcW w:w="4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SEPTEMBER</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w:t>
            </w:r>
          </w:p>
        </w:tc>
        <w:tc>
          <w:tcPr>
            <w:tcW w:w="216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1997</w:t>
            </w:r>
          </w:p>
        </w:tc>
        <w:tc>
          <w:tcPr>
            <w:tcW w:w="36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1996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1997</w:t>
            </w:r>
          </w:p>
        </w:tc>
        <w:tc>
          <w:tcPr>
            <w:tcW w:w="300" w:type="dxa"/>
            <w:vAlign w:val="bottom"/>
          </w:tcPr>
          <w:p>
            <w:pPr>
              <w:spacing w:after="0"/>
              <w:rPr>
                <w:sz w:val="17"/>
                <w:szCs w:val="17"/>
                <w:color w:val="auto"/>
              </w:rPr>
            </w:pP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28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1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$ 52,769</w:t>
            </w:r>
          </w:p>
        </w:tc>
        <w:tc>
          <w:tcPr>
            <w:tcW w:w="11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$ 34,763</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$132,173</w:t>
            </w:r>
          </w:p>
        </w:tc>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$130,859</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and expenses: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Cost of sales</w:t>
            </w:r>
          </w:p>
        </w:tc>
        <w:tc>
          <w:tcPr>
            <w:tcW w:w="3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29,524</w:t>
            </w:r>
          </w:p>
        </w:tc>
        <w:tc>
          <w:tcPr>
            <w:tcW w:w="3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19,887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74,532</w:t>
            </w:r>
          </w:p>
        </w:tc>
        <w:tc>
          <w:tcPr>
            <w:tcW w:w="3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72,033</w:t>
            </w: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3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4,744</w:t>
            </w:r>
          </w:p>
        </w:tc>
        <w:tc>
          <w:tcPr>
            <w:tcW w:w="3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3,340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12,269</w:t>
            </w:r>
          </w:p>
        </w:tc>
        <w:tc>
          <w:tcPr>
            <w:tcW w:w="3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10,691</w:t>
            </w: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3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5,700</w:t>
            </w:r>
          </w:p>
        </w:tc>
        <w:tc>
          <w:tcPr>
            <w:tcW w:w="3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3,758</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15,686</w:t>
            </w:r>
          </w:p>
        </w:tc>
        <w:tc>
          <w:tcPr>
            <w:tcW w:w="3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16,061</w:t>
            </w:r>
          </w:p>
        </w:tc>
      </w:tr>
      <w:tr>
        <w:trPr>
          <w:trHeight w:val="203"/>
        </w:trPr>
        <w:tc>
          <w:tcPr>
            <w:tcW w:w="428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3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12,801</w:t>
            </w:r>
          </w:p>
        </w:tc>
        <w:tc>
          <w:tcPr>
            <w:tcW w:w="3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7,778</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29,686</w:t>
            </w:r>
          </w:p>
        </w:tc>
        <w:tc>
          <w:tcPr>
            <w:tcW w:w="3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32,074</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3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726</w:t>
            </w:r>
          </w:p>
        </w:tc>
        <w:tc>
          <w:tcPr>
            <w:tcW w:w="3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513</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2,181</w:t>
            </w:r>
          </w:p>
        </w:tc>
        <w:tc>
          <w:tcPr>
            <w:tcW w:w="3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1,293</w:t>
            </w:r>
          </w:p>
        </w:tc>
      </w:tr>
      <w:tr>
        <w:trPr>
          <w:trHeight w:val="203"/>
        </w:trPr>
        <w:tc>
          <w:tcPr>
            <w:tcW w:w="428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3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13,527</w:t>
            </w:r>
          </w:p>
        </w:tc>
        <w:tc>
          <w:tcPr>
            <w:tcW w:w="3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8,291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31,867</w:t>
            </w:r>
          </w:p>
        </w:tc>
        <w:tc>
          <w:tcPr>
            <w:tcW w:w="3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33,367</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3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w:t>
            </w:r>
          </w:p>
        </w:tc>
        <w:tc>
          <w:tcPr>
            <w:tcW w:w="3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3,100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11,700</w:t>
            </w:r>
          </w:p>
        </w:tc>
        <w:tc>
          <w:tcPr>
            <w:tcW w:w="3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12,700</w:t>
            </w:r>
          </w:p>
        </w:tc>
      </w:tr>
      <w:tr>
        <w:trPr>
          <w:trHeight w:val="203"/>
        </w:trPr>
        <w:tc>
          <w:tcPr>
            <w:tcW w:w="428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8,527</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5,191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$ 20,167</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20,667</w:t>
            </w:r>
          </w:p>
        </w:tc>
      </w:tr>
      <w:tr>
        <w:trPr>
          <w:trHeight w:val="203"/>
        </w:trPr>
        <w:tc>
          <w:tcPr>
            <w:tcW w:w="428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3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.85</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.54</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2.03</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2.13</w:t>
            </w:r>
          </w:p>
        </w:tc>
      </w:tr>
      <w:tr>
        <w:trPr>
          <w:trHeight w:val="203"/>
        </w:trPr>
        <w:tc>
          <w:tcPr>
            <w:tcW w:w="428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Average common shares and equivalents</w:t>
            </w:r>
          </w:p>
        </w:tc>
        <w:tc>
          <w:tcPr>
            <w:tcW w:w="320" w:type="dxa"/>
            <w:vAlign w:val="bottom"/>
          </w:tcPr>
          <w:p>
            <w:pPr>
              <w:spacing w:after="0"/>
              <w:rPr>
                <w:sz w:val="24"/>
                <w:szCs w:val="24"/>
                <w:color w:val="auto"/>
              </w:rPr>
            </w:pP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10,073</w:t>
            </w:r>
          </w:p>
        </w:tc>
        <w:tc>
          <w:tcPr>
            <w:tcW w:w="360" w:type="dxa"/>
            <w:vAlign w:val="bottom"/>
          </w:tcPr>
          <w:p>
            <w:pPr>
              <w:spacing w:after="0"/>
              <w:rPr>
                <w:sz w:val="24"/>
                <w:szCs w:val="24"/>
                <w:color w:val="auto"/>
              </w:rPr>
            </w:pP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9,642</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9,921</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9,683</w:t>
            </w:r>
          </w:p>
        </w:tc>
      </w:tr>
      <w:tr>
        <w:trPr>
          <w:trHeight w:val="203"/>
        </w:trPr>
        <w:tc>
          <w:tcPr>
            <w:tcW w:w="428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680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810"/>
        </w:trPr>
        <w:tc>
          <w:tcPr>
            <w:tcW w:w="6800" w:type="dxa"/>
            <w:vAlign w:val="bottom"/>
          </w:tcPr>
          <w:p>
            <w:pPr>
              <w:ind w:left="3700"/>
              <w:spacing w:after="0"/>
              <w:rPr>
                <w:sz w:val="20"/>
                <w:szCs w:val="20"/>
                <w:color w:val="auto"/>
              </w:rPr>
            </w:pPr>
            <w:r>
              <w:rPr>
                <w:rFonts w:ascii="Courier New" w:cs="Courier New" w:eastAsia="Courier New" w:hAnsi="Courier New"/>
                <w:sz w:val="18"/>
                <w:szCs w:val="18"/>
                <w:color w:val="auto"/>
              </w:rPr>
              <w:t>COHU, INC.</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680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w w:val="98"/>
              </w:rPr>
              <w:t>CONDENSED CONSOLIDATED STATEMENTS OF CASH FLOWS</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800" w:type="dxa"/>
            <w:vAlign w:val="bottom"/>
          </w:tcPr>
          <w:p>
            <w:pPr>
              <w:ind w:left="3700"/>
              <w:spacing w:after="0" w:line="203" w:lineRule="exact"/>
              <w:rPr>
                <w:sz w:val="20"/>
                <w:szCs w:val="20"/>
                <w:color w:val="auto"/>
              </w:rPr>
            </w:pPr>
            <w:r>
              <w:rPr>
                <w:rFonts w:ascii="Courier New" w:cs="Courier New" w:eastAsia="Courier New" w:hAnsi="Courier New"/>
                <w:sz w:val="18"/>
                <w:szCs w:val="18"/>
                <w:color w:val="auto"/>
              </w:rPr>
              <w:t>(Unaudited)</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80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(in thousands)</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608"/>
        </w:trPr>
        <w:tc>
          <w:tcPr>
            <w:tcW w:w="680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NINE MONTHS</w:t>
            </w: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ENDED</w:t>
            </w:r>
          </w:p>
        </w:tc>
      </w:tr>
      <w:tr>
        <w:trPr>
          <w:trHeight w:val="203"/>
        </w:trPr>
        <w:tc>
          <w:tcPr>
            <w:tcW w:w="680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SEPTEMBER</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680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1997</w:t>
            </w:r>
          </w:p>
        </w:tc>
        <w:tc>
          <w:tcPr>
            <w:tcW w:w="320" w:type="dxa"/>
            <w:vAlign w:val="bottom"/>
          </w:tcPr>
          <w:p>
            <w:pPr>
              <w:spacing w:after="0"/>
              <w:rPr>
                <w:sz w:val="17"/>
                <w:szCs w:val="17"/>
                <w:color w:val="auto"/>
              </w:rPr>
            </w:pP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680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6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income</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$ 20,167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20,667</w:t>
            </w:r>
          </w:p>
        </w:tc>
      </w:tr>
      <w:tr>
        <w:trPr>
          <w:trHeight w:val="203"/>
        </w:trPr>
        <w:tc>
          <w:tcPr>
            <w:tcW w:w="6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Adjustments to reconcile net income to net</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cash provided from operating activities:</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1,351</w:t>
            </w:r>
          </w:p>
        </w:tc>
        <w:tc>
          <w:tcPr>
            <w:tcW w:w="3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1,254</w:t>
            </w:r>
          </w:p>
        </w:tc>
      </w:tr>
      <w:tr>
        <w:trPr>
          <w:trHeight w:val="203"/>
        </w:trPr>
        <w:tc>
          <w:tcPr>
            <w:tcW w:w="6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Purchase consideration to be paid in stock</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341</w:t>
            </w:r>
          </w:p>
        </w:tc>
        <w:tc>
          <w:tcPr>
            <w:tcW w:w="3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606</w:t>
            </w:r>
          </w:p>
        </w:tc>
      </w:tr>
      <w:tr>
        <w:trPr>
          <w:trHeight w:val="203"/>
        </w:trPr>
        <w:tc>
          <w:tcPr>
            <w:tcW w:w="6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Increase in accrued retiree medical benefits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w:t>
            </w:r>
          </w:p>
        </w:tc>
        <w:tc>
          <w:tcPr>
            <w:tcW w:w="3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6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8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(16,414)</w:t>
            </w:r>
          </w:p>
        </w:tc>
        <w:tc>
          <w:tcPr>
            <w:tcW w:w="3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5,219</w:t>
            </w:r>
          </w:p>
        </w:tc>
      </w:tr>
      <w:tr>
        <w:trPr>
          <w:trHeight w:val="203"/>
        </w:trPr>
        <w:tc>
          <w:tcPr>
            <w:tcW w:w="68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Inventories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(16,705)</w:t>
            </w:r>
          </w:p>
        </w:tc>
        <w:tc>
          <w:tcPr>
            <w:tcW w:w="3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4,664</w:t>
            </w:r>
          </w:p>
        </w:tc>
      </w:tr>
      <w:tr>
        <w:trPr>
          <w:trHeight w:val="203"/>
        </w:trPr>
        <w:tc>
          <w:tcPr>
            <w:tcW w:w="68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179</w:t>
            </w:r>
          </w:p>
        </w:tc>
        <w:tc>
          <w:tcPr>
            <w:tcW w:w="3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68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9,680</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(4,168)</w:t>
            </w:r>
          </w:p>
        </w:tc>
      </w:tr>
      <w:tr>
        <w:trPr>
          <w:trHeight w:val="203"/>
        </w:trPr>
        <w:tc>
          <w:tcPr>
            <w:tcW w:w="68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3,074</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(4,145)</w:t>
            </w:r>
          </w:p>
        </w:tc>
      </w:tr>
      <w:tr>
        <w:trPr>
          <w:trHeight w:val="203"/>
        </w:trPr>
        <w:tc>
          <w:tcPr>
            <w:tcW w:w="68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530</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(2,476)</w:t>
            </w:r>
          </w:p>
        </w:tc>
      </w:tr>
      <w:tr>
        <w:trPr>
          <w:trHeight w:val="203"/>
        </w:trPr>
        <w:tc>
          <w:tcPr>
            <w:tcW w:w="680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cash provided from  operating activities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2,270</w:t>
            </w:r>
          </w:p>
        </w:tc>
        <w:tc>
          <w:tcPr>
            <w:tcW w:w="3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21,705</w:t>
            </w: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6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(23,779)</w:t>
            </w:r>
          </w:p>
        </w:tc>
        <w:tc>
          <w:tcPr>
            <w:tcW w:w="3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22,679</w:t>
            </w:r>
          </w:p>
        </w:tc>
        <w:tc>
          <w:tcPr>
            <w:tcW w:w="3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Purchases of property, plant, equipment and other assets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(2,177)</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(4,670)</w:t>
            </w:r>
          </w:p>
        </w:tc>
      </w:tr>
      <w:tr>
        <w:trPr>
          <w:trHeight w:val="203"/>
        </w:trPr>
        <w:tc>
          <w:tcPr>
            <w:tcW w:w="680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(3,277)</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(4,670)</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Issuance of stock, net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1,138</w:t>
            </w:r>
          </w:p>
        </w:tc>
        <w:tc>
          <w:tcPr>
            <w:tcW w:w="3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842</w:t>
            </w:r>
          </w:p>
        </w:tc>
      </w:tr>
      <w:tr>
        <w:trPr>
          <w:trHeight w:val="203"/>
        </w:trPr>
        <w:tc>
          <w:tcPr>
            <w:tcW w:w="6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Cash dividends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(1,698)</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(1,391)</w:t>
            </w:r>
          </w:p>
        </w:tc>
      </w:tr>
      <w:tr>
        <w:trPr>
          <w:trHeight w:val="203"/>
        </w:trPr>
        <w:tc>
          <w:tcPr>
            <w:tcW w:w="680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cash used for financing activities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(560)</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(549)</w:t>
            </w:r>
          </w:p>
        </w:tc>
      </w:tr>
      <w:tr>
        <w:trPr>
          <w:trHeight w:val="203"/>
        </w:trPr>
        <w:tc>
          <w:tcPr>
            <w:tcW w:w="680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 and cash equivalents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(1,567)</w:t>
            </w:r>
          </w:p>
        </w:tc>
        <w:tc>
          <w:tcPr>
            <w:tcW w:w="3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16,486</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24,660</w:t>
            </w:r>
          </w:p>
        </w:tc>
        <w:tc>
          <w:tcPr>
            <w:tcW w:w="3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28,874</w:t>
            </w:r>
          </w:p>
        </w:tc>
      </w:tr>
      <w:tr>
        <w:trPr>
          <w:trHeight w:val="203"/>
        </w:trPr>
        <w:tc>
          <w:tcPr>
            <w:tcW w:w="680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$ 23,093</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45,360</w:t>
            </w:r>
          </w:p>
        </w:tc>
      </w:tr>
      <w:tr>
        <w:trPr>
          <w:trHeight w:val="203"/>
        </w:trPr>
        <w:tc>
          <w:tcPr>
            <w:tcW w:w="680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800" w:type="dxa"/>
            <w:vAlign w:val="bottom"/>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6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Income taxes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8,637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16,821</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UNAUDITED CONDENSED CONSOLIDATED FINANCIAL STATEMENTS</w:t>
      </w:r>
    </w:p>
    <w:p>
      <w:pPr>
        <w:jc w:val="center"/>
        <w:ind w:right="1779"/>
        <w:spacing w:after="0"/>
        <w:rPr>
          <w:sz w:val="20"/>
          <w:szCs w:val="20"/>
          <w:color w:val="auto"/>
        </w:rPr>
      </w:pPr>
      <w:r>
        <w:rPr>
          <w:rFonts w:ascii="Courier New" w:cs="Courier New" w:eastAsia="Courier New" w:hAnsi="Courier New"/>
          <w:sz w:val="18"/>
          <w:szCs w:val="18"/>
          <w:color w:val="auto"/>
        </w:rPr>
        <w:t>SEPTEMBER 30, 1997</w:t>
      </w:r>
    </w:p>
    <w:p>
      <w:pPr>
        <w:spacing w:after="0" w:line="200" w:lineRule="exact"/>
        <w:rPr>
          <w:sz w:val="20"/>
          <w:szCs w:val="20"/>
          <w:color w:val="auto"/>
        </w:rPr>
      </w:pPr>
    </w:p>
    <w:p>
      <w:pPr>
        <w:spacing w:after="0" w:line="209" w:lineRule="exact"/>
        <w:rPr>
          <w:sz w:val="20"/>
          <w:szCs w:val="20"/>
          <w:color w:val="auto"/>
        </w:rPr>
      </w:pPr>
    </w:p>
    <w:p>
      <w:pPr>
        <w:ind w:left="420" w:right="1779" w:hanging="420"/>
        <w:spacing w:after="0" w:line="271" w:lineRule="auto"/>
        <w:rPr>
          <w:sz w:val="20"/>
          <w:szCs w:val="20"/>
          <w:color w:val="auto"/>
        </w:rPr>
      </w:pPr>
      <w:r>
        <w:rPr>
          <w:rFonts w:ascii="Courier New" w:cs="Courier New" w:eastAsia="Courier New" w:hAnsi="Courier New"/>
          <w:sz w:val="16"/>
          <w:szCs w:val="16"/>
          <w:color w:val="auto"/>
        </w:rPr>
        <w:t>1 - The accompanying interim financial statements are unaudited but include all adjustments (consisting of normal recurring adjustments) which the Company considers necessary for a fair statement of the results for the period. The operating results for the three and nine months ended September 30, 1997 are not necessarily indicative of the operating results for the entire year or any future period. These financial statements should be read in conjunction with the consolidated financial statements incorporated by reference in the Company's Annual Report on Form 10-K for the year ended December 31, 1996.</w:t>
      </w:r>
    </w:p>
    <w:p>
      <w:pPr>
        <w:spacing w:after="0" w:line="388" w:lineRule="exact"/>
        <w:rPr>
          <w:sz w:val="20"/>
          <w:szCs w:val="20"/>
          <w:color w:val="auto"/>
        </w:rPr>
      </w:pPr>
    </w:p>
    <w:p>
      <w:pPr>
        <w:ind w:left="420" w:right="1999" w:hanging="420"/>
        <w:spacing w:after="0" w:line="237" w:lineRule="auto"/>
        <w:rPr>
          <w:sz w:val="20"/>
          <w:szCs w:val="20"/>
          <w:color w:val="auto"/>
        </w:rPr>
      </w:pPr>
      <w:r>
        <w:rPr>
          <w:rFonts w:ascii="Courier New" w:cs="Courier New" w:eastAsia="Courier New" w:hAnsi="Courier New"/>
          <w:sz w:val="18"/>
          <w:szCs w:val="18"/>
          <w:color w:val="auto"/>
        </w:rPr>
        <w:t>2 - Net income per share as presented on the statements of income represent primary earnings per share. Dual presentation of primary and fully diluted earnings per share has not been made because the differences are insignificant.</w:t>
      </w:r>
    </w:p>
    <w:p>
      <w:pPr>
        <w:spacing w:after="0" w:line="207" w:lineRule="exact"/>
        <w:rPr>
          <w:sz w:val="20"/>
          <w:szCs w:val="20"/>
          <w:color w:val="auto"/>
        </w:rPr>
      </w:pPr>
    </w:p>
    <w:p>
      <w:pPr>
        <w:ind w:left="420" w:right="1779"/>
        <w:spacing w:after="0" w:line="270" w:lineRule="auto"/>
        <w:rPr>
          <w:sz w:val="20"/>
          <w:szCs w:val="20"/>
          <w:color w:val="auto"/>
        </w:rPr>
      </w:pPr>
      <w:r>
        <w:rPr>
          <w:rFonts w:ascii="Courier New" w:cs="Courier New" w:eastAsia="Courier New" w:hAnsi="Courier New"/>
          <w:sz w:val="16"/>
          <w:szCs w:val="16"/>
          <w:color w:val="auto"/>
        </w:rPr>
        <w:t>Effective December 31, 1997, the Company will adopt Statement of Financial Accounting Standards No. 128, "Earnings per Share." At that time, the Company will be required to change the method currently used to calculate earnings per share and to restate all prior periods. The new requirements will include a calculation of basic earnings per share, from which the dilutive effect of stock options will be excluded. The basic earnings per share are expected to reflect an increase of $.05 and $.11 per share for the three and nine month periods ended September 30, 1997, respectively, over the primary earnings per share reported for these periods. A calculation of diluted earnings per share will also be required; however, this is not expected to differ materially from the primary earnings per share reported for the three and nine-month periods ended September 30, 1997 and 1996.</w:t>
      </w:r>
    </w:p>
    <w:p>
      <w:pPr>
        <w:spacing w:after="0" w:line="391" w:lineRule="exact"/>
        <w:rPr>
          <w:sz w:val="20"/>
          <w:szCs w:val="20"/>
          <w:color w:val="auto"/>
        </w:rPr>
      </w:pPr>
    </w:p>
    <w:p>
      <w:pPr>
        <w:ind w:left="420" w:right="1879" w:hanging="420"/>
        <w:spacing w:after="0" w:line="237" w:lineRule="auto"/>
        <w:rPr>
          <w:sz w:val="20"/>
          <w:szCs w:val="20"/>
          <w:color w:val="auto"/>
        </w:rPr>
      </w:pPr>
      <w:r>
        <w:rPr>
          <w:rFonts w:ascii="Courier New" w:cs="Courier New" w:eastAsia="Courier New" w:hAnsi="Courier New"/>
          <w:sz w:val="18"/>
          <w:szCs w:val="18"/>
          <w:color w:val="auto"/>
        </w:rPr>
        <w:t>3 - On May 6, 1997 the stockholders of the Company approved the adoption of (i) the Cohu, Inc. 1997 Employee Stock Purchase Plan providing for the issuance of a maximum of 300,000 shares of the Company's Common Stock to employees and (ii) the Cohu, Inc. 1996 Outside Directors Stock Option Plan providing for the issuance of a maximum of 100,000 shares of the Company's Common Stock to Outside Directors.</w:t>
      </w: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1160"/>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rPr>
          <w:sz w:val="20"/>
          <w:szCs w:val="20"/>
          <w:color w:val="auto"/>
        </w:rPr>
      </w:pPr>
      <w:r>
        <w:rPr>
          <w:rFonts w:ascii="Courier New" w:cs="Courier New" w:eastAsia="Courier New" w:hAnsi="Courier New"/>
          <w:sz w:val="18"/>
          <w:szCs w:val="18"/>
          <w:color w:val="auto"/>
        </w:rPr>
        <w:t>AND RESULTS OF OPERATIONS</w:t>
      </w:r>
    </w:p>
    <w:p>
      <w:pPr>
        <w:ind w:left="3280"/>
        <w:spacing w:after="0" w:line="237" w:lineRule="auto"/>
        <w:rPr>
          <w:sz w:val="20"/>
          <w:szCs w:val="20"/>
          <w:color w:val="auto"/>
        </w:rPr>
      </w:pPr>
      <w:r>
        <w:rPr>
          <w:rFonts w:ascii="Courier New" w:cs="Courier New" w:eastAsia="Courier New" w:hAnsi="Courier New"/>
          <w:sz w:val="18"/>
          <w:szCs w:val="18"/>
          <w:color w:val="auto"/>
        </w:rPr>
        <w:t>SEPTEMBER 30, 1997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THIRD QUARTER 1997 COMPARED TO THIRD QUARTER 1996</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Net sales increased 52% to $52.8 million in the third quarter of 1997 compared to net sales of $34.8 million in 1996. Sales of semiconductor test handling equipment by the Company's Delta Design and Daymarc subsidiaries increased 63% in the third quarter of 1997 as compared to the third quarter of 1996 and accounted for 84% of consolidated net sales versus 78% in the third quarter of 1996. Sales of television cameras and other equipment increased 12% from 1996 and accounted for 16% of consolidated net sales in the third quarter of 1997 versus 22% in 1996. Gross margin as a percentage of net sales in the third quarter of 1997 was 44.1% versus 42.8% in 1996. The increase in margin was primarily due to the increase in margins within the semiconductor equipment segment largely attributable to increased business volume offset by changes in product mix and certain cost increases. Research and development expense increased from $3.3 million to $4.7 million and as a percentage of net sales was 9% in the third quarter of 1997 compared to 9.6% in 1996 and reflected the Company's continued investment in new product development in the semiconductor equipment business. Selling, general and administrative expense as a percentage of net sales was 10.8% in both the 1997 and 1996 periods. Interest income in the third quarter increased 42% to $.7 million due to the significant increase in average cash and short-term investment balances. The provision for income taxes expressed as a percentage of pre-tax income was 37% in the third quarter of 1997 versus 37.6% for the year ended December 31, 1996. For the third fiscal quarter, as a result of the factors set forth above, net income increased 64% to $8.5 million in 1997 from $5.2 million in 1996.</w:t>
      </w:r>
    </w:p>
    <w:p>
      <w:pPr>
        <w:spacing w:after="0" w:line="200" w:lineRule="exact"/>
        <w:rPr>
          <w:sz w:val="20"/>
          <w:szCs w:val="20"/>
          <w:color w:val="auto"/>
        </w:rPr>
      </w:pPr>
    </w:p>
    <w:p>
      <w:pPr>
        <w:spacing w:after="0" w:line="396"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NINE MONTHS ENDED SEPTEMBER 30, 1997 COMPARED TO NINE MONTHS ENDED SEPTEMBER 30, 1996</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Net sales increased 1% to $132.2 million in the first nine months of 1997 compared to net sales of $130.9 million in 1996. Sales of semiconductor test handling equipment by the Company's Delta Design and Daymarc subsidiaries increased 1% in the first nine months of 1997 and accounted for 80% of consolidated net sales versus 81% in the first nine months of 1996. Sales of television cameras and other equipment increased 3% from 1996 and accounted for 20% of consolidated net sales in the first nine months of 1997 versus 19% in 1996. Gross margin as a percentage of net sales in the first nine months of 1997 was 43.6% versus 45% in 1996. The decrease in margin was primarily due to the decline in margins within the semiconductor equipment segment largely attributable to changes in product mix and certain cost increases. Research and development expense increased from $10.7 million to $12.3 million and as a percentage of net sales was 9.3% in the first nine months of 1997 compared to 8.2% in 1996 and reflected the Company's continued investment in new product development in the semiconductor equipment business. Selling, general and administrative expense as a percentage of net sales was approximately 12% in both the 1997 and 1996 periods. Interest income in the 1997 period increased 69% to $2.2 million due to the significant increase in average cash and short-term investment balances. The provision for income taxes expressed as a percentage of pre-tax income was 36.7% in the first nine months of 1997 versus 37.6% for the year ended December 31, 1996. As a result of the factors set forth above, net income decreased 2% to $20.2 million in the first nine months of 1997 from $20.7 million in the 1996 period.</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1160"/>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rPr>
          <w:sz w:val="20"/>
          <w:szCs w:val="20"/>
          <w:color w:val="auto"/>
        </w:rPr>
      </w:pPr>
      <w:r>
        <w:rPr>
          <w:rFonts w:ascii="Courier New" w:cs="Courier New" w:eastAsia="Courier New" w:hAnsi="Courier New"/>
          <w:sz w:val="18"/>
          <w:szCs w:val="18"/>
          <w:color w:val="auto"/>
        </w:rPr>
        <w:t>AND RESULTS OF OPERATIONS</w:t>
      </w:r>
    </w:p>
    <w:p>
      <w:pPr>
        <w:ind w:left="3280"/>
        <w:spacing w:after="0" w:line="237" w:lineRule="auto"/>
        <w:rPr>
          <w:sz w:val="20"/>
          <w:szCs w:val="20"/>
          <w:color w:val="auto"/>
        </w:rPr>
      </w:pPr>
      <w:r>
        <w:rPr>
          <w:rFonts w:ascii="Courier New" w:cs="Courier New" w:eastAsia="Courier New" w:hAnsi="Courier New"/>
          <w:sz w:val="18"/>
          <w:szCs w:val="18"/>
          <w:color w:val="auto"/>
        </w:rPr>
        <w:t>SEPTEMBER 30, 1997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Company's net cash flows generated from operating activities in the first nine months of 1997 totaled $2.3 million. The major components of cash flows from operating activities were net income of $20.2 million and increases in accounts payable of $9.7 million and income taxes payable of $3.1 million offset by increases in accounts receivable of $16.4 million and inventories of $16.7 million. Net cash used for investing activities was $3.3 million and was used for the purchase of short-term investments, less maturities ($1.1 million) and property, plant and equipment. Net cash used for financing activities was $.6 million. Cash used for financing activities included $1.7 million for the payment of dividends offset by $1.1 million received from the issuance of stock upon the exercise of stock options. The Company had $5 million available under its bank line of credit and working capital of $96.9 million at September 30, 1997. It is anticipated that present working capital and available borrowings under the line of credit will be sufficient to meet the Company's operating requirements for the next twelve months and the remaining anticipated capital expenditures for 1997 of approximately $2 million.</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RISKS AND UNCERTAINTIES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Company's operating results are substantially dependent on the semiconductor test handling equipment business conducted through its Delta Design and Daymarc subsidiaries. This capital equipment business is in turn highly dependent on the overall strength of the semiconductor industry. Historically, the semiconductor industry has been highly cyclical with recurring periods of oversupply, which often have had a significant effect on the semiconductor industry's demand for capital equipment, including equipment of the type manufactured and marketed by the Company. The Company believes that the markets for newer generations of semiconductors may also be subject to similar cycles and downturns such as that experienced in 1996. Reductions in capital equipment investment by semiconductor manufacturers will adversely affect the Company's results of operations.</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is common in the semiconductor equipment industry, the Company relies on a limited number of customers for a substantial percentage of its net sales. The loss of or a significant reduction in orders by these customers would adversely impact the Company's results of operations. Furthermore, the concentration of the Company's revenues in a limited number of large customers may cause significant fluctuations in the Company's future annual and quarterly operating results.</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semiconductor equipment industry is intensely competitive and the Company faces substantial competition from numerous companies throughout the world. Some of these competitors have substantially greater financial, engineering, manufacturing and customer support capabilities than the Company. In addition, there are smaller, emerging semiconductor equipment companies that provide or may provide innovative technology incorporated in products that may compete favorably against those of the Company. The Company expects its competitors to continue to improve the design and performance of their current products and to introduce new products with improved performance capabilities. Failure to introduce new products in a timely manner, the introduction by competitors of products with perceived or actual advantages or disputes over rights of the Company or its competitors to use certain intellectual property 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1160"/>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rPr>
          <w:sz w:val="20"/>
          <w:szCs w:val="20"/>
          <w:color w:val="auto"/>
        </w:rPr>
      </w:pPr>
      <w:r>
        <w:rPr>
          <w:rFonts w:ascii="Courier New" w:cs="Courier New" w:eastAsia="Courier New" w:hAnsi="Courier New"/>
          <w:sz w:val="18"/>
          <w:szCs w:val="18"/>
          <w:color w:val="auto"/>
        </w:rPr>
        <w:t>AND RESULTS OF OPERATIONS</w:t>
      </w:r>
    </w:p>
    <w:p>
      <w:pPr>
        <w:ind w:left="3280"/>
        <w:spacing w:after="0" w:line="237" w:lineRule="auto"/>
        <w:rPr>
          <w:sz w:val="20"/>
          <w:szCs w:val="20"/>
          <w:color w:val="auto"/>
        </w:rPr>
      </w:pPr>
      <w:r>
        <w:rPr>
          <w:rFonts w:ascii="Courier New" w:cs="Courier New" w:eastAsia="Courier New" w:hAnsi="Courier New"/>
          <w:sz w:val="18"/>
          <w:szCs w:val="18"/>
          <w:color w:val="auto"/>
        </w:rPr>
        <w:t>SEPTEMBER 30, 1997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RISKS AND UNCERTAINTIES (cont.)</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technology could result in a loss of the Company's competitive position and reduced sales of and margins on existing products.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Semiconductor equipment and processes are subject to rapid technological change. The Company believes that its future success will depend in part on its ability to enhance existing products and develop new products with improved performance capabilities. The Company expects to continue to invest heavily in research and development and must manage product transitions successfully as introductions of new products could adversely impact sales of existing products. There can be no assurance that future technologies, processes and product developments will not render the Company's current product offerings obsolete or that the Company will be able to develop and introduce new products or enhancements to its existing products in a timely manner to satisfy customer needs or achieve market acceptance.</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Due to these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the Company's filings with the Securities and Exchange Commission, including but not limited to the 1996 Annual Report on Form 10-K, that could cause actual results to differ materially from those projected or forecasted. The Company undertakes no obligation to update the information, including the forward-looking statements, in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800" w:hanging="633"/>
        <w:spacing w:after="0"/>
        <w:tabs>
          <w:tab w:leader="none" w:pos="18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27.1 - Financial Data Schedule</w:t>
      </w:r>
    </w:p>
    <w:p>
      <w:pPr>
        <w:spacing w:after="0" w:line="207" w:lineRule="exact"/>
        <w:rPr>
          <w:rFonts w:ascii="Courier New" w:cs="Courier New" w:eastAsia="Courier New" w:hAnsi="Courier New"/>
          <w:sz w:val="18"/>
          <w:szCs w:val="18"/>
          <w:color w:val="auto"/>
        </w:rPr>
      </w:pPr>
    </w:p>
    <w:p>
      <w:pPr>
        <w:ind w:left="1700" w:right="2199" w:hanging="533"/>
        <w:spacing w:after="0" w:line="235" w:lineRule="auto"/>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The Company did not file any reports on Form 8-K during the quarter ended September 30,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1660"/>
        <w:spacing w:after="0"/>
        <w:rPr>
          <w:sz w:val="20"/>
          <w:szCs w:val="20"/>
          <w:color w:val="auto"/>
        </w:rPr>
      </w:pPr>
      <w:r>
        <w:rPr>
          <w:rFonts w:ascii="Courier New" w:cs="Courier New" w:eastAsia="Courier New" w:hAnsi="Courier New"/>
          <w:sz w:val="18"/>
          <w:szCs w:val="18"/>
          <w:color w:val="auto"/>
        </w:rPr>
        <w:t>COHU, INC.</w:t>
      </w:r>
    </w:p>
    <w:p>
      <w:pPr>
        <w:spacing w:after="0" w:line="4"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66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30, 1997</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Charles A. Schwan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A. Schwan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&amp; Chief Executive Officer</w:t>
      </w:r>
    </w:p>
    <w:p>
      <w:pPr>
        <w:spacing w:after="0" w:line="200" w:lineRule="exact"/>
        <w:rPr>
          <w:sz w:val="20"/>
          <w:szCs w:val="20"/>
          <w:color w:val="auto"/>
        </w:rPr>
      </w:pPr>
    </w:p>
    <w:p>
      <w:pPr>
        <w:sectPr>
          <w:pgSz w:w="11900" w:h="16838" w:orient="portrait"/>
          <w:cols w:equalWidth="0" w:num="2">
            <w:col w:w="4020" w:space="720"/>
            <w:col w:w="5479"/>
          </w:cols>
          <w:pgMar w:left="240" w:top="31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30, 1997</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 Allen</w:t>
      </w:r>
    </w:p>
    <w:p>
      <w:pPr>
        <w:spacing w:after="0" w:line="238" w:lineRule="auto"/>
        <w:rPr>
          <w:sz w:val="20"/>
          <w:szCs w:val="20"/>
          <w:color w:val="auto"/>
        </w:rPr>
      </w:pPr>
      <w:r>
        <w:rPr>
          <w:rFonts w:ascii="Courier New" w:cs="Courier New" w:eastAsia="Courier New" w:hAnsi="Courier New"/>
          <w:sz w:val="18"/>
          <w:szCs w:val="18"/>
          <w:color w:val="auto"/>
        </w:rPr>
        <w:t>Vice President, Finance &amp;</w:t>
      </w: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ectPr>
          <w:pgSz w:w="11900" w:h="16838" w:orient="portrait"/>
          <w:cols w:equalWidth="0" w:num="2">
            <w:col w:w="4020" w:space="720"/>
            <w:col w:w="547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2" w:right="1440" w:bottom="1440" w:gutter="0" w:footer="0" w:header="0"/>
          <w:type w:val="continuous"/>
        </w:sectPr>
      </w:pPr>
    </w:p>
    <w:bookmarkStart w:id="11" w:name="page12"/>
    <w:bookmarkEnd w:id="11"/>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59"/>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1996 and 1997 Financial Statements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9-MOS</w:t>
      </w:r>
    </w:p>
    <w:p>
      <w:pPr>
        <w:ind w:left="2700"/>
        <w:spacing w:after="0" w:line="238" w:lineRule="auto"/>
        <w:rPr>
          <w:sz w:val="20"/>
          <w:szCs w:val="20"/>
          <w:color w:val="auto"/>
        </w:rPr>
      </w:pPr>
      <w:r>
        <w:rPr>
          <w:rFonts w:ascii="Courier New" w:cs="Courier New" w:eastAsia="Courier New" w:hAnsi="Courier New"/>
          <w:sz w:val="18"/>
          <w:szCs w:val="18"/>
          <w:color w:val="auto"/>
        </w:rPr>
        <w:t>DEC-31-1996</w:t>
      </w:r>
    </w:p>
    <w:p>
      <w:pPr>
        <w:ind w:left="3020"/>
        <w:spacing w:after="0"/>
        <w:rPr>
          <w:sz w:val="20"/>
          <w:szCs w:val="20"/>
          <w:color w:val="auto"/>
        </w:rPr>
      </w:pPr>
      <w:r>
        <w:rPr>
          <w:rFonts w:ascii="Courier New" w:cs="Courier New" w:eastAsia="Courier New" w:hAnsi="Courier New"/>
          <w:sz w:val="18"/>
          <w:szCs w:val="18"/>
          <w:color w:val="auto"/>
        </w:rPr>
        <w:t>JAN-01-1997</w:t>
      </w:r>
    </w:p>
    <w:p>
      <w:pPr>
        <w:ind w:left="3240"/>
        <w:spacing w:after="0" w:line="237" w:lineRule="auto"/>
        <w:rPr>
          <w:sz w:val="20"/>
          <w:szCs w:val="20"/>
          <w:color w:val="auto"/>
        </w:rPr>
      </w:pPr>
      <w:r>
        <w:rPr>
          <w:rFonts w:ascii="Courier New" w:cs="Courier New" w:eastAsia="Courier New" w:hAnsi="Courier New"/>
          <w:sz w:val="18"/>
          <w:szCs w:val="18"/>
          <w:color w:val="auto"/>
        </w:rPr>
        <w:t>SEP-30-1997</w:t>
      </w:r>
    </w:p>
    <w:p>
      <w:pPr>
        <w:ind w:left="4400"/>
        <w:spacing w:after="0" w:line="238" w:lineRule="auto"/>
        <w:rPr>
          <w:sz w:val="20"/>
          <w:szCs w:val="20"/>
          <w:color w:val="auto"/>
        </w:rPr>
      </w:pPr>
      <w:r>
        <w:rPr>
          <w:rFonts w:ascii="Courier New" w:cs="Courier New" w:eastAsia="Courier New" w:hAnsi="Courier New"/>
          <w:sz w:val="18"/>
          <w:szCs w:val="18"/>
          <w:color w:val="auto"/>
        </w:rPr>
        <w:t>23,093</w:t>
      </w:r>
    </w:p>
    <w:p>
      <w:pPr>
        <w:ind w:left="3760"/>
        <w:spacing w:after="0"/>
        <w:rPr>
          <w:sz w:val="20"/>
          <w:szCs w:val="20"/>
          <w:color w:val="auto"/>
        </w:rPr>
      </w:pPr>
      <w:r>
        <w:rPr>
          <w:rFonts w:ascii="Courier New" w:cs="Courier New" w:eastAsia="Courier New" w:hAnsi="Courier New"/>
          <w:sz w:val="18"/>
          <w:szCs w:val="18"/>
          <w:color w:val="auto"/>
        </w:rPr>
        <w:t>29,426</w:t>
      </w:r>
    </w:p>
    <w:p>
      <w:pPr>
        <w:ind w:left="3660"/>
        <w:spacing w:after="0" w:line="237" w:lineRule="auto"/>
        <w:rPr>
          <w:sz w:val="20"/>
          <w:szCs w:val="20"/>
          <w:color w:val="auto"/>
        </w:rPr>
      </w:pPr>
      <w:r>
        <w:rPr>
          <w:rFonts w:ascii="Courier New" w:cs="Courier New" w:eastAsia="Courier New" w:hAnsi="Courier New"/>
          <w:sz w:val="18"/>
          <w:szCs w:val="18"/>
          <w:color w:val="auto"/>
        </w:rPr>
        <w:t>35,584</w:t>
      </w:r>
    </w:p>
    <w:p>
      <w:pPr>
        <w:ind w:left="428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32,287</w:t>
      </w:r>
    </w:p>
    <w:p>
      <w:pPr>
        <w:ind w:left="3240"/>
        <w:spacing w:after="0"/>
        <w:rPr>
          <w:sz w:val="20"/>
          <w:szCs w:val="20"/>
          <w:color w:val="auto"/>
        </w:rPr>
      </w:pPr>
      <w:r>
        <w:rPr>
          <w:rFonts w:ascii="Courier New" w:cs="Courier New" w:eastAsia="Courier New" w:hAnsi="Courier New"/>
          <w:sz w:val="18"/>
          <w:szCs w:val="18"/>
          <w:color w:val="auto"/>
        </w:rPr>
        <w:t>131,058</w:t>
      </w:r>
    </w:p>
    <w:p>
      <w:pPr>
        <w:ind w:left="4400"/>
        <w:spacing w:after="0" w:line="237" w:lineRule="auto"/>
        <w:rPr>
          <w:sz w:val="20"/>
          <w:szCs w:val="20"/>
          <w:color w:val="auto"/>
        </w:rPr>
      </w:pPr>
      <w:r>
        <w:rPr>
          <w:rFonts w:ascii="Courier New" w:cs="Courier New" w:eastAsia="Courier New" w:hAnsi="Courier New"/>
          <w:sz w:val="18"/>
          <w:szCs w:val="18"/>
          <w:color w:val="auto"/>
        </w:rPr>
        <w:t>17,711</w:t>
      </w:r>
    </w:p>
    <w:p>
      <w:pPr>
        <w:ind w:left="3540"/>
        <w:spacing w:after="0" w:line="238" w:lineRule="auto"/>
        <w:rPr>
          <w:sz w:val="20"/>
          <w:szCs w:val="20"/>
          <w:color w:val="auto"/>
        </w:rPr>
      </w:pPr>
      <w:r>
        <w:rPr>
          <w:rFonts w:ascii="Courier New" w:cs="Courier New" w:eastAsia="Courier New" w:hAnsi="Courier New"/>
          <w:sz w:val="18"/>
          <w:szCs w:val="18"/>
          <w:color w:val="auto"/>
        </w:rPr>
        <w:t>12,344</w:t>
      </w:r>
    </w:p>
    <w:p>
      <w:pPr>
        <w:ind w:left="3440"/>
        <w:spacing w:after="0"/>
        <w:rPr>
          <w:sz w:val="20"/>
          <w:szCs w:val="20"/>
          <w:color w:val="auto"/>
        </w:rPr>
      </w:pPr>
      <w:r>
        <w:rPr>
          <w:rFonts w:ascii="Courier New" w:cs="Courier New" w:eastAsia="Courier New" w:hAnsi="Courier New"/>
          <w:sz w:val="18"/>
          <w:szCs w:val="18"/>
          <w:color w:val="auto"/>
        </w:rPr>
        <w:t>151,225</w:t>
      </w:r>
    </w:p>
    <w:p>
      <w:pPr>
        <w:ind w:left="2820"/>
        <w:spacing w:after="0" w:line="237" w:lineRule="auto"/>
        <w:rPr>
          <w:sz w:val="20"/>
          <w:szCs w:val="20"/>
          <w:color w:val="auto"/>
        </w:rPr>
      </w:pPr>
      <w:r>
        <w:rPr>
          <w:rFonts w:ascii="Courier New" w:cs="Courier New" w:eastAsia="Courier New" w:hAnsi="Courier New"/>
          <w:sz w:val="18"/>
          <w:szCs w:val="18"/>
          <w:color w:val="auto"/>
        </w:rPr>
        <w:t>34,207</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280"/>
        <w:spacing w:after="0" w:line="237" w:lineRule="auto"/>
        <w:rPr>
          <w:sz w:val="20"/>
          <w:szCs w:val="20"/>
          <w:color w:val="auto"/>
        </w:rPr>
      </w:pPr>
      <w:r>
        <w:rPr>
          <w:rFonts w:ascii="Courier New" w:cs="Courier New" w:eastAsia="Courier New" w:hAnsi="Courier New"/>
          <w:sz w:val="18"/>
          <w:szCs w:val="18"/>
          <w:color w:val="auto"/>
        </w:rPr>
        <w:t>9,492</w:t>
      </w:r>
    </w:p>
    <w:p>
      <w:pPr>
        <w:ind w:left="3860"/>
        <w:spacing w:after="0" w:line="238" w:lineRule="auto"/>
        <w:rPr>
          <w:sz w:val="20"/>
          <w:szCs w:val="20"/>
          <w:color w:val="auto"/>
        </w:rPr>
      </w:pPr>
      <w:r>
        <w:rPr>
          <w:rFonts w:ascii="Courier New" w:cs="Courier New" w:eastAsia="Courier New" w:hAnsi="Courier New"/>
          <w:sz w:val="18"/>
          <w:szCs w:val="18"/>
          <w:color w:val="auto"/>
        </w:rPr>
        <w:t>106,387</w:t>
      </w:r>
    </w:p>
    <w:p>
      <w:pPr>
        <w:ind w:left="1960"/>
        <w:spacing w:after="0"/>
        <w:rPr>
          <w:sz w:val="20"/>
          <w:szCs w:val="20"/>
          <w:color w:val="auto"/>
        </w:rPr>
      </w:pPr>
      <w:r>
        <w:rPr>
          <w:rFonts w:ascii="Courier New" w:cs="Courier New" w:eastAsia="Courier New" w:hAnsi="Courier New"/>
          <w:sz w:val="18"/>
          <w:szCs w:val="18"/>
          <w:color w:val="auto"/>
        </w:rPr>
        <w:t>151,225</w:t>
      </w:r>
    </w:p>
    <w:p>
      <w:pPr>
        <w:ind w:left="4180"/>
        <w:spacing w:after="0" w:line="237" w:lineRule="auto"/>
        <w:rPr>
          <w:sz w:val="20"/>
          <w:szCs w:val="20"/>
          <w:color w:val="auto"/>
        </w:rPr>
      </w:pPr>
      <w:r>
        <w:rPr>
          <w:rFonts w:ascii="Courier New" w:cs="Courier New" w:eastAsia="Courier New" w:hAnsi="Courier New"/>
          <w:sz w:val="18"/>
          <w:szCs w:val="18"/>
          <w:color w:val="auto"/>
        </w:rPr>
        <w:t>132,173</w:t>
      </w:r>
    </w:p>
    <w:p>
      <w:pPr>
        <w:ind w:left="3240"/>
        <w:spacing w:after="0"/>
        <w:rPr>
          <w:sz w:val="20"/>
          <w:szCs w:val="20"/>
          <w:color w:val="auto"/>
        </w:rPr>
      </w:pPr>
      <w:r>
        <w:rPr>
          <w:rFonts w:ascii="Courier New" w:cs="Courier New" w:eastAsia="Courier New" w:hAnsi="Courier New"/>
          <w:sz w:val="18"/>
          <w:szCs w:val="18"/>
          <w:color w:val="auto"/>
        </w:rPr>
        <w:t>132,173</w:t>
      </w:r>
    </w:p>
    <w:p>
      <w:pPr>
        <w:ind w:left="4500"/>
        <w:spacing w:after="0" w:line="237" w:lineRule="auto"/>
        <w:rPr>
          <w:sz w:val="20"/>
          <w:szCs w:val="20"/>
          <w:color w:val="auto"/>
        </w:rPr>
      </w:pPr>
      <w:r>
        <w:rPr>
          <w:rFonts w:ascii="Courier New" w:cs="Courier New" w:eastAsia="Courier New" w:hAnsi="Courier New"/>
          <w:sz w:val="18"/>
          <w:szCs w:val="18"/>
          <w:color w:val="auto"/>
        </w:rPr>
        <w:t>74,532</w:t>
      </w:r>
    </w:p>
    <w:p>
      <w:pPr>
        <w:ind w:left="3660"/>
        <w:spacing w:after="0"/>
        <w:rPr>
          <w:sz w:val="20"/>
          <w:szCs w:val="20"/>
          <w:color w:val="auto"/>
        </w:rPr>
      </w:pPr>
      <w:r>
        <w:rPr>
          <w:rFonts w:ascii="Courier New" w:cs="Courier New" w:eastAsia="Courier New" w:hAnsi="Courier New"/>
          <w:sz w:val="18"/>
          <w:szCs w:val="18"/>
          <w:color w:val="auto"/>
        </w:rPr>
        <w:t>74,532</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860"/>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0</w:t>
      </w:r>
    </w:p>
    <w:p>
      <w:pPr>
        <w:ind w:left="3440"/>
        <w:spacing w:after="0" w:line="238" w:lineRule="auto"/>
        <w:rPr>
          <w:sz w:val="20"/>
          <w:szCs w:val="20"/>
          <w:color w:val="auto"/>
        </w:rPr>
      </w:pPr>
      <w:r>
        <w:rPr>
          <w:rFonts w:ascii="Courier New" w:cs="Courier New" w:eastAsia="Courier New" w:hAnsi="Courier New"/>
          <w:sz w:val="18"/>
          <w:szCs w:val="18"/>
          <w:color w:val="auto"/>
        </w:rPr>
        <w:t>31,867</w:t>
      </w:r>
    </w:p>
    <w:p>
      <w:pPr>
        <w:ind w:left="3760"/>
        <w:spacing w:after="0"/>
        <w:rPr>
          <w:sz w:val="20"/>
          <w:szCs w:val="20"/>
          <w:color w:val="auto"/>
        </w:rPr>
      </w:pPr>
      <w:r>
        <w:rPr>
          <w:rFonts w:ascii="Courier New" w:cs="Courier New" w:eastAsia="Courier New" w:hAnsi="Courier New"/>
          <w:sz w:val="18"/>
          <w:szCs w:val="18"/>
          <w:color w:val="auto"/>
        </w:rPr>
        <w:t>11,700</w:t>
      </w:r>
    </w:p>
    <w:p>
      <w:pPr>
        <w:ind w:left="3020"/>
        <w:spacing w:after="0" w:line="237" w:lineRule="auto"/>
        <w:rPr>
          <w:sz w:val="20"/>
          <w:szCs w:val="20"/>
          <w:color w:val="auto"/>
        </w:rPr>
      </w:pPr>
      <w:r>
        <w:rPr>
          <w:rFonts w:ascii="Courier New" w:cs="Courier New" w:eastAsia="Courier New" w:hAnsi="Courier New"/>
          <w:sz w:val="18"/>
          <w:szCs w:val="18"/>
          <w:color w:val="auto"/>
        </w:rPr>
        <w:t>20,167</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jc w:val="center"/>
        <w:ind w:right="2019"/>
        <w:spacing w:after="0" w:line="237" w:lineRule="auto"/>
        <w:rPr>
          <w:sz w:val="20"/>
          <w:szCs w:val="20"/>
          <w:color w:val="auto"/>
        </w:rPr>
      </w:pPr>
      <w:r>
        <w:rPr>
          <w:rFonts w:ascii="Courier New" w:cs="Courier New" w:eastAsia="Courier New" w:hAnsi="Courier New"/>
          <w:sz w:val="18"/>
          <w:szCs w:val="18"/>
          <w:color w:val="auto"/>
        </w:rPr>
        <w:t>20,167</w:t>
      </w:r>
    </w:p>
    <w:p>
      <w:pPr>
        <w:jc w:val="center"/>
        <w:ind w:right="2019"/>
        <w:spacing w:after="0" w:line="238" w:lineRule="auto"/>
        <w:rPr>
          <w:sz w:val="20"/>
          <w:szCs w:val="20"/>
          <w:color w:val="auto"/>
        </w:rPr>
      </w:pPr>
      <w:r>
        <w:rPr>
          <w:rFonts w:ascii="Courier New" w:cs="Courier New" w:eastAsia="Courier New" w:hAnsi="Courier New"/>
          <w:sz w:val="18"/>
          <w:szCs w:val="18"/>
          <w:color w:val="auto"/>
        </w:rPr>
        <w:t>2.03</w:t>
      </w:r>
    </w:p>
    <w:p>
      <w:pPr>
        <w:jc w:val="center"/>
        <w:ind w:right="1699"/>
        <w:spacing w:after="0"/>
        <w:rPr>
          <w:sz w:val="20"/>
          <w:szCs w:val="20"/>
          <w:color w:val="auto"/>
        </w:rPr>
      </w:pPr>
      <w:r>
        <w:rPr>
          <w:rFonts w:ascii="Courier New" w:cs="Courier New" w:eastAsia="Courier New" w:hAnsi="Courier New"/>
          <w:sz w:val="18"/>
          <w:szCs w:val="18"/>
          <w:color w:val="auto"/>
        </w:rPr>
        <w:t>0</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2019-12-12T06:13:36Z</dcterms:created>
  <dcterms:modified xsi:type="dcterms:W3CDTF">2019-12-12T06:13:36Z</dcterms:modified>
</cp:coreProperties>
</file>