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6" w:lineRule="exact"/>
        <w:rPr>
          <w:sz w:val="24"/>
          <w:szCs w:val="24"/>
          <w:color w:val="auto"/>
        </w:rPr>
      </w:pPr>
    </w:p>
    <w:p>
      <w:pPr>
        <w:ind w:left="3680" w:right="1360" w:hanging="3513"/>
        <w:spacing w:after="0" w:line="510" w:lineRule="auto"/>
        <w:tabs>
          <w:tab w:leader="none" w:pos="8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26, 2026</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0" w:lineRule="exact"/>
        <w:rPr>
          <w:sz w:val="24"/>
          <w:szCs w:val="24"/>
          <w:color w:val="auto"/>
        </w:rPr>
      </w:pPr>
    </w:p>
    <w:p>
      <w:pPr>
        <w:ind w:left="800" w:hanging="633"/>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001-04298</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COHU,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96" w:lineRule="exact"/>
        <w:rPr>
          <w:sz w:val="24"/>
          <w:szCs w:val="24"/>
          <w:color w:val="auto"/>
        </w:rPr>
      </w:pPr>
    </w:p>
    <w:tbl>
      <w:tblPr>
        <w:tblLayout w:type="fixed"/>
        <w:tblInd w:w="1120" w:type="dxa"/>
        <w:tblCellMar>
          <w:top w:w="0" w:type="dxa"/>
          <w:left w:w="0" w:type="dxa"/>
          <w:bottom w:w="0" w:type="dxa"/>
          <w:right w:w="0" w:type="dxa"/>
        </w:tblCellMar>
      </w:tblPr>
      <w:tr>
        <w:trPr>
          <w:trHeight w:val="215"/>
        </w:trPr>
        <w:tc>
          <w:tcPr>
            <w:tcW w:w="4720" w:type="dxa"/>
            <w:vAlign w:val="bottom"/>
          </w:tcPr>
          <w:p>
            <w:pPr>
              <w:jc w:val="center"/>
              <w:ind w:right="12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3"/>
        </w:trPr>
        <w:tc>
          <w:tcPr>
            <w:tcW w:w="4720" w:type="dxa"/>
            <w:vAlign w:val="bottom"/>
          </w:tcPr>
          <w:p>
            <w:pPr>
              <w:jc w:val="center"/>
              <w:ind w:right="1231"/>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r>
      <w:tr>
        <w:trPr>
          <w:trHeight w:val="234"/>
        </w:trPr>
        <w:tc>
          <w:tcPr>
            <w:tcW w:w="4720" w:type="dxa"/>
            <w:vAlign w:val="bottom"/>
          </w:tcPr>
          <w:p>
            <w:pPr>
              <w:jc w:val="center"/>
              <w:ind w:right="1231"/>
              <w:spacing w:after="0"/>
              <w:rPr>
                <w:sz w:val="20"/>
                <w:szCs w:val="20"/>
                <w:color w:val="auto"/>
              </w:rPr>
            </w:pPr>
            <w:r>
              <w:rPr>
                <w:rFonts w:ascii="Times New Roman" w:cs="Times New Roman" w:eastAsia="Times New Roman" w:hAnsi="Times New Roman"/>
                <w:sz w:val="18"/>
                <w:szCs w:val="18"/>
                <w:i w:val="1"/>
                <w:iCs w:val="1"/>
                <w:color w:val="auto"/>
                <w:w w:val="98"/>
              </w:rPr>
              <w:t>incorporation or organization)</w:t>
            </w:r>
          </w:p>
        </w:tc>
        <w:tc>
          <w:tcPr>
            <w:tcW w:w="3860" w:type="dxa"/>
            <w:vAlign w:val="bottom"/>
          </w:tcPr>
          <w:p>
            <w:pPr>
              <w:spacing w:after="0"/>
              <w:rPr>
                <w:sz w:val="20"/>
                <w:szCs w:val="20"/>
                <w:color w:val="auto"/>
              </w:rPr>
            </w:pPr>
          </w:p>
        </w:tc>
      </w:tr>
      <w:tr>
        <w:trPr>
          <w:trHeight w:val="406"/>
        </w:trPr>
        <w:tc>
          <w:tcPr>
            <w:tcW w:w="4720" w:type="dxa"/>
            <w:vAlign w:val="bottom"/>
          </w:tcPr>
          <w:p>
            <w:pPr>
              <w:jc w:val="center"/>
              <w:ind w:right="1251"/>
              <w:spacing w:after="0"/>
              <w:rPr>
                <w:sz w:val="20"/>
                <w:szCs w:val="20"/>
                <w:color w:val="auto"/>
              </w:rPr>
            </w:pPr>
            <w:r>
              <w:rPr>
                <w:rFonts w:ascii="Times New Roman" w:cs="Times New Roman" w:eastAsia="Times New Roman" w:hAnsi="Times New Roman"/>
                <w:sz w:val="18"/>
                <w:szCs w:val="18"/>
                <w:b w:val="1"/>
                <w:bCs w:val="1"/>
                <w:color w:val="auto"/>
                <w:w w:val="98"/>
              </w:rPr>
              <w:t>17087 Via Del Campo, San Diego, California</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8"/>
              </w:rPr>
              <w:t>92127-1711</w:t>
            </w:r>
          </w:p>
        </w:tc>
      </w:tr>
      <w:tr>
        <w:trPr>
          <w:trHeight w:val="234"/>
        </w:trPr>
        <w:tc>
          <w:tcPr>
            <w:tcW w:w="4720" w:type="dxa"/>
            <w:vAlign w:val="bottom"/>
          </w:tcPr>
          <w:p>
            <w:pPr>
              <w:jc w:val="center"/>
              <w:ind w:right="1251"/>
              <w:spacing w:after="0"/>
              <w:rPr>
                <w:sz w:val="20"/>
                <w:szCs w:val="20"/>
                <w:color w:val="auto"/>
              </w:rPr>
            </w:pPr>
            <w:r>
              <w:rPr>
                <w:rFonts w:ascii="Times New Roman" w:cs="Times New Roman" w:eastAsia="Times New Roman" w:hAnsi="Times New Roman"/>
                <w:sz w:val="18"/>
                <w:szCs w:val="18"/>
                <w:i w:val="1"/>
                <w:iCs w:val="1"/>
                <w:color w:val="auto"/>
                <w:w w:val="98"/>
              </w:rPr>
              <w:t>(Address of principal executive offices)</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(858) 848-8100</w:t>
      </w:r>
    </w:p>
    <w:p>
      <w:pPr>
        <w:spacing w:after="0" w:line="220" w:lineRule="exact"/>
        <w:rPr>
          <w:sz w:val="24"/>
          <w:szCs w:val="24"/>
          <w:color w:val="auto"/>
        </w:rPr>
      </w:pPr>
    </w:p>
    <w:tbl>
      <w:tblPr>
        <w:tblLayout w:type="fixed"/>
        <w:tblInd w:w="760"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80" w:type="dxa"/>
            <w:vAlign w:val="bottom"/>
            <w:gridSpan w:val="4"/>
          </w:tcPr>
          <w:p>
            <w:pPr>
              <w:jc w:val="center"/>
              <w:ind w:right="2791"/>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r>
      <w:tr>
        <w:trPr>
          <w:trHeight w:val="386"/>
        </w:trPr>
        <w:tc>
          <w:tcPr>
            <w:tcW w:w="500" w:type="dxa"/>
            <w:vAlign w:val="bottom"/>
          </w:tcPr>
          <w:p>
            <w:pPr>
              <w:spacing w:after="0"/>
              <w:rPr>
                <w:sz w:val="24"/>
                <w:szCs w:val="24"/>
                <w:color w:val="auto"/>
              </w:rPr>
            </w:pPr>
          </w:p>
        </w:tc>
        <w:tc>
          <w:tcPr>
            <w:tcW w:w="20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0" w:type="dxa"/>
            <w:vAlign w:val="bottom"/>
          </w:tcPr>
          <w:p>
            <w:pPr>
              <w:spacing w:after="0"/>
              <w:rPr>
                <w:sz w:val="24"/>
                <w:szCs w:val="24"/>
                <w:color w:val="auto"/>
              </w:rPr>
            </w:pPr>
          </w:p>
        </w:tc>
        <w:tc>
          <w:tcPr>
            <w:tcW w:w="284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r>
      <w:tr>
        <w:trPr>
          <w:trHeight w:val="20"/>
        </w:trPr>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4"/>
        </w:trPr>
        <w:tc>
          <w:tcPr>
            <w:tcW w:w="2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 Stock, $1.00 par value</w:t>
            </w:r>
          </w:p>
        </w:tc>
        <w:tc>
          <w:tcPr>
            <w:tcW w:w="1600" w:type="dxa"/>
            <w:vAlign w:val="bottom"/>
          </w:tcPr>
          <w:p>
            <w:pPr>
              <w:spacing w:after="0"/>
              <w:rPr>
                <w:sz w:val="20"/>
                <w:szCs w:val="20"/>
                <w:color w:val="auto"/>
              </w:rPr>
            </w:pPr>
          </w:p>
        </w:tc>
        <w:tc>
          <w:tcPr>
            <w:tcW w:w="284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COHU</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194" w:lineRule="exact"/>
        <w:rPr>
          <w:sz w:val="24"/>
          <w:szCs w:val="24"/>
          <w:color w:val="auto"/>
        </w:rPr>
      </w:pPr>
    </w:p>
    <w:p>
      <w:pPr>
        <w:ind w:right="60" w:firstLine="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ind w:right="120" w:firstLine="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spacing w:after="0" w:line="207" w:lineRule="exact"/>
        <w:tabs>
          <w:tab w:leader="none" w:pos="360" w:val="left"/>
          <w:tab w:leader="none" w:pos="3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66" w:lineRule="exact"/>
        <w:rPr>
          <w:sz w:val="24"/>
          <w:szCs w:val="24"/>
          <w:color w:val="auto"/>
        </w:rPr>
      </w:pPr>
    </w:p>
    <w:p>
      <w:pPr>
        <w:jc w:val="center"/>
        <w:ind w:right="-5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1" w:lineRule="exact"/>
        <w:rPr>
          <w:sz w:val="24"/>
          <w:szCs w:val="24"/>
          <w:color w:val="auto"/>
        </w:rPr>
      </w:pPr>
    </w:p>
    <w:p>
      <w:pPr>
        <w:ind w:right="6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20, 2026, the Registrant had 47,346,050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65"/>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40" w:type="dxa"/>
            <w:vAlign w:val="bottom"/>
            <w:gridSpan w:val="6"/>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40" w:type="dxa"/>
            <w:vAlign w:val="bottom"/>
            <w:gridSpan w:val="6"/>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40" w:type="dxa"/>
            <w:vAlign w:val="bottom"/>
            <w:gridSpan w:val="6"/>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40" w:type="dxa"/>
            <w:vAlign w:val="bottom"/>
            <w:gridSpan w:val="7"/>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SEPTEMBER 26, 2026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0"/>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340" w:type="dxa"/>
            <w:vAlign w:val="bottom"/>
            <w:gridSpan w:val="3"/>
          </w:tcPr>
          <w:p>
            <w:pPr>
              <w:spacing w:after="0"/>
              <w:rPr>
                <w:sz w:val="24"/>
                <w:szCs w:val="24"/>
                <w:color w:val="auto"/>
              </w:rPr>
            </w:pPr>
          </w:p>
        </w:tc>
        <w:tc>
          <w:tcPr>
            <w:tcW w:w="1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w w:val="97"/>
              </w:rPr>
              <w:t>Financial Information</w:t>
            </w:r>
          </w:p>
        </w:tc>
        <w:tc>
          <w:tcPr>
            <w:tcW w:w="7660" w:type="dxa"/>
            <w:vAlign w:val="bottom"/>
            <w:gridSpan w:val="10"/>
          </w:tcPr>
          <w:p>
            <w:pPr>
              <w:spacing w:after="0"/>
              <w:rPr>
                <w:sz w:val="24"/>
                <w:szCs w:val="24"/>
                <w:color w:val="auto"/>
              </w:rPr>
            </w:pPr>
          </w:p>
        </w:tc>
        <w:tc>
          <w:tcPr>
            <w:tcW w:w="110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0"/>
        </w:trPr>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1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Financial Statements:</w:t>
            </w:r>
          </w:p>
        </w:tc>
        <w:tc>
          <w:tcPr>
            <w:tcW w:w="78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8"/>
              </w:rPr>
              <w:t>Condensed Consolidated Balance Sheets September 26, 2026 (unaudited) and December 27, 2025</w:t>
            </w:r>
          </w:p>
        </w:tc>
        <w:tc>
          <w:tcPr>
            <w:tcW w:w="2360" w:type="dxa"/>
            <w:vAlign w:val="bottom"/>
            <w:gridSpan w:val="3"/>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3</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 Three and Nine Months Ended September 26, 2026 and September</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top w:val="single" w:sz="8" w:color="0000EE"/>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5"/>
              </w:rPr>
              <w:t>27, 2025</w:t>
            </w:r>
          </w:p>
        </w:tc>
        <w:tc>
          <w:tcPr>
            <w:tcW w:w="2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(unaudited) Three and Nine Months Ended September 26,</w:t>
            </w:r>
          </w:p>
        </w:tc>
        <w:tc>
          <w:tcPr>
            <w:tcW w:w="20" w:type="dxa"/>
            <w:vAlign w:val="bottom"/>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5</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tcBorders>
              <w:top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2026 and September 27, 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Three and Nine Months Ended September 26, 2026 and</w:t>
            </w:r>
          </w:p>
        </w:tc>
        <w:tc>
          <w:tcPr>
            <w:tcW w:w="20" w:type="dxa"/>
            <w:vAlign w:val="bottom"/>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6</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top w:val="single" w:sz="8" w:color="0000EE"/>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September 27, 2025</w:t>
            </w:r>
          </w:p>
        </w:tc>
        <w:tc>
          <w:tcPr>
            <w:tcW w:w="7880" w:type="dxa"/>
            <w:vAlign w:val="bottom"/>
            <w:tcBorders>
              <w:top w:val="single" w:sz="8" w:color="0000EE"/>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Nine Months Ended September 26, 2026 and September 27, 2025</w:t>
            </w: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7</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 w:type="dxa"/>
            <w:vAlign w:val="bottom"/>
            <w:gridSpan w:val="2"/>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8</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3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2980" w:type="dxa"/>
            <w:vAlign w:val="bottom"/>
            <w:gridSpan w:val="4"/>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31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7"/>
              </w:rPr>
              <w:t>Quantitative and Qualitative Disclosures About Market Risk</w:t>
            </w:r>
          </w:p>
        </w:tc>
        <w:tc>
          <w:tcPr>
            <w:tcW w:w="206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40" w:type="dxa"/>
            <w:vAlign w:val="bottom"/>
            <w:tcBorders>
              <w:left w:val="single" w:sz="8" w:color="0000EE"/>
            </w:tcBorders>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40" w:type="dxa"/>
            <w:vAlign w:val="bottom"/>
            <w:gridSpan w:val="6"/>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43</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6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80" w:type="dxa"/>
            <w:vAlign w:val="bottom"/>
            <w:gridSpan w:val="2"/>
          </w:tcPr>
          <w:p>
            <w:pPr>
              <w:spacing w:after="0"/>
              <w:rPr>
                <w:sz w:val="24"/>
                <w:szCs w:val="24"/>
                <w:color w:val="auto"/>
              </w:rPr>
            </w:pPr>
          </w:p>
        </w:tc>
        <w:tc>
          <w:tcPr>
            <w:tcW w:w="1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Legal Proceedings</w:t>
            </w:r>
          </w:p>
        </w:tc>
        <w:tc>
          <w:tcPr>
            <w:tcW w:w="120" w:type="dxa"/>
            <w:vAlign w:val="bottom"/>
            <w:tcBorders>
              <w:top w:val="single" w:sz="8" w:color="0000EE"/>
            </w:tcBorders>
          </w:tcPr>
          <w:p>
            <w:pPr>
              <w:spacing w:after="0"/>
              <w:rPr>
                <w:sz w:val="24"/>
                <w:szCs w:val="24"/>
                <w:color w:val="auto"/>
              </w:rPr>
            </w:pPr>
          </w:p>
        </w:tc>
        <w:tc>
          <w:tcPr>
            <w:tcW w:w="7920" w:type="dxa"/>
            <w:vAlign w:val="bottom"/>
            <w:gridSpan w:val="13"/>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40" w:type="dxa"/>
            <w:vAlign w:val="bottom"/>
            <w:gridSpan w:val="14"/>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7"/>
              </w:rPr>
              <w:t>Unregistered Sales of Equity Securities and Use of Proceeds</w:t>
            </w:r>
          </w:p>
        </w:tc>
        <w:tc>
          <w:tcPr>
            <w:tcW w:w="5040" w:type="dxa"/>
            <w:vAlign w:val="bottom"/>
            <w:gridSpan w:val="6"/>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00" w:type="dxa"/>
            <w:vAlign w:val="bottom"/>
          </w:tcPr>
          <w:p>
            <w:pPr>
              <w:spacing w:after="0"/>
              <w:rPr>
                <w:sz w:val="24"/>
                <w:szCs w:val="24"/>
                <w:color w:val="auto"/>
              </w:rPr>
            </w:pPr>
          </w:p>
        </w:tc>
        <w:tc>
          <w:tcPr>
            <w:tcW w:w="5040" w:type="dxa"/>
            <w:vAlign w:val="bottom"/>
            <w:gridSpan w:val="6"/>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704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23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040" w:type="dxa"/>
            <w:vAlign w:val="bottom"/>
            <w:gridSpan w:val="7"/>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Other Information</w:t>
            </w:r>
          </w:p>
        </w:tc>
        <w:tc>
          <w:tcPr>
            <w:tcW w:w="440" w:type="dxa"/>
            <w:vAlign w:val="bottom"/>
            <w:gridSpan w:val="5"/>
          </w:tcPr>
          <w:p>
            <w:pPr>
              <w:spacing w:after="0"/>
              <w:rPr>
                <w:sz w:val="24"/>
                <w:szCs w:val="24"/>
                <w:color w:val="auto"/>
              </w:rPr>
            </w:pPr>
          </w:p>
        </w:tc>
        <w:tc>
          <w:tcPr>
            <w:tcW w:w="7600" w:type="dxa"/>
            <w:vAlign w:val="bottom"/>
            <w:gridSpan w:val="9"/>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40" w:type="dxa"/>
            <w:vAlign w:val="bottom"/>
            <w:gridSpan w:val="14"/>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45</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jc w:val="center"/>
              <w:ind w:left="371"/>
              <w:spacing w:after="0"/>
              <w:rPr>
                <w:sz w:val="20"/>
                <w:szCs w:val="20"/>
                <w:color w:val="auto"/>
              </w:rPr>
            </w:pPr>
            <w:r>
              <w:rPr>
                <w:rFonts w:ascii="Times New Roman" w:cs="Times New Roman" w:eastAsia="Times New Roman" w:hAnsi="Times New Roman"/>
                <w:sz w:val="18"/>
                <w:szCs w:val="18"/>
                <w:color w:val="0000EE"/>
                <w:w w:val="88"/>
              </w:rPr>
              <w:t>46</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7"/>
        </w:trPr>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26,</w:t>
            </w:r>
          </w:p>
        </w:tc>
        <w:tc>
          <w:tcPr>
            <w:tcW w:w="180" w:type="dxa"/>
            <w:vAlign w:val="bottom"/>
          </w:tcPr>
          <w:p>
            <w:pPr>
              <w:spacing w:after="0"/>
              <w:rPr>
                <w:sz w:val="19"/>
                <w:szCs w:val="19"/>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December 27,</w:t>
            </w:r>
          </w:p>
        </w:tc>
      </w:tr>
      <w:tr>
        <w:trPr>
          <w:trHeight w:val="232"/>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272,303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227,053</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235,645</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256,928</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145,243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108,754</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149,049</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129,006</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27,676</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24,356</w:t>
            </w:r>
          </w:p>
        </w:tc>
      </w:tr>
      <w:tr>
        <w:trPr>
          <w:trHeight w:val="227"/>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receivable</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6,419</w:t>
            </w:r>
          </w:p>
        </w:tc>
        <w:tc>
          <w:tcPr>
            <w:tcW w:w="1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Pr>
          <w:p>
            <w:pPr>
              <w:spacing w:after="0"/>
              <w:rPr>
                <w:sz w:val="19"/>
                <w:szCs w:val="19"/>
                <w:color w:val="auto"/>
              </w:rPr>
            </w:pPr>
          </w:p>
        </w:tc>
      </w:tr>
      <w:tr>
        <w:trPr>
          <w:trHeight w:val="207"/>
        </w:trPr>
        <w:tc>
          <w:tcPr>
            <w:tcW w:w="78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836,335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75,312</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76,987</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278,721</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283,027</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57,013</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79,272</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23,429</w:t>
            </w:r>
          </w:p>
        </w:tc>
        <w:tc>
          <w:tcPr>
            <w:tcW w:w="1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24,435</w:t>
            </w:r>
          </w:p>
        </w:tc>
      </w:tr>
      <w:tr>
        <w:trPr>
          <w:trHeight w:val="22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26,913</w:t>
            </w: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29,271</w:t>
            </w:r>
          </w:p>
        </w:tc>
      </w:tr>
      <w:tr>
        <w:trPr>
          <w:trHeight w:val="260"/>
        </w:trPr>
        <w:tc>
          <w:tcPr>
            <w:tcW w:w="78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1,297,723</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4"/>
        </w:trPr>
        <w:tc>
          <w:tcPr>
            <w:tcW w:w="7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76,598</w:t>
            </w:r>
          </w:p>
        </w:tc>
        <w:tc>
          <w:tcPr>
            <w:tcW w:w="1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40,708</w:t>
            </w: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advances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32,577</w:t>
            </w:r>
          </w:p>
        </w:tc>
        <w:tc>
          <w:tcPr>
            <w:tcW w:w="1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22,463</w:t>
            </w: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profit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warranty</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6,163</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CEEFF"/>
          </w:tcPr>
          <w:p>
            <w:pPr>
              <w:spacing w:after="0"/>
              <w:rPr>
                <w:sz w:val="18"/>
                <w:szCs w:val="18"/>
                <w:color w:val="auto"/>
              </w:rPr>
            </w:pPr>
          </w:p>
        </w:tc>
      </w:tr>
      <w:tr>
        <w:trPr>
          <w:trHeight w:val="227"/>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13,816</w:t>
            </w:r>
          </w:p>
        </w:tc>
        <w:tc>
          <w:tcPr>
            <w:tcW w:w="180" w:type="dxa"/>
            <w:vAlign w:val="bottom"/>
          </w:tcPr>
          <w:p>
            <w:pPr>
              <w:spacing w:after="0"/>
              <w:rPr>
                <w:sz w:val="19"/>
                <w:szCs w:val="19"/>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16,460</w:t>
            </w:r>
          </w:p>
        </w:tc>
      </w:tr>
      <w:tr>
        <w:trPr>
          <w:trHeight w:val="207"/>
        </w:trPr>
        <w:tc>
          <w:tcPr>
            <w:tcW w:w="78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285,212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285,026</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14,644</w:t>
            </w:r>
          </w:p>
        </w:tc>
        <w:tc>
          <w:tcPr>
            <w:tcW w:w="1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15,469</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30,033</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31,693</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5,496</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5"/>
        </w:trPr>
        <w:tc>
          <w:tcPr>
            <w:tcW w:w="78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$1 par value; 150,000 shares authorized; 50,347 shares issued and outstanding in 2026,</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90,000 shares authorized; 49,875 shares issued in 2025</w:t>
            </w:r>
          </w:p>
        </w:tc>
        <w:tc>
          <w:tcPr>
            <w:tcW w:w="18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50,347</w:t>
            </w:r>
          </w:p>
        </w:tc>
        <w:tc>
          <w:tcPr>
            <w:tcW w:w="18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49,875</w:t>
            </w: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693,820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681,509</w:t>
            </w:r>
          </w:p>
        </w:tc>
        <w:tc>
          <w:tcPr>
            <w:tcW w:w="100" w:type="dxa"/>
            <w:vAlign w:val="bottom"/>
            <w:shd w:val="clear" w:color="auto" w:fill="CCEEFF"/>
          </w:tcPr>
          <w:p>
            <w:pPr>
              <w:spacing w:after="0"/>
              <w:rPr>
                <w:sz w:val="18"/>
                <w:szCs w:val="18"/>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2,997 shares in 2026 and 3,030 shares in 2025</w:t>
            </w: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(86,865)</w:t>
            </w:r>
          </w:p>
        </w:tc>
        <w:tc>
          <w:tcPr>
            <w:tcW w:w="18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(87,842)</w:t>
            </w:r>
          </w:p>
        </w:tc>
      </w:tr>
      <w:tr>
        <w:trPr>
          <w:trHeight w:val="213"/>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174,369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174,467</w:t>
            </w:r>
          </w:p>
        </w:tc>
        <w:tc>
          <w:tcPr>
            <w:tcW w:w="100" w:type="dxa"/>
            <w:vAlign w:val="bottom"/>
            <w:shd w:val="clear" w:color="auto" w:fill="CCEEFF"/>
          </w:tcPr>
          <w:p>
            <w:pPr>
              <w:spacing w:after="0"/>
              <w:rPr>
                <w:sz w:val="18"/>
                <w:szCs w:val="18"/>
                <w:color w:val="auto"/>
              </w:rPr>
            </w:pPr>
          </w:p>
        </w:tc>
      </w:tr>
      <w:tr>
        <w:trPr>
          <w:trHeight w:val="227"/>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(40,691)</w:t>
            </w:r>
          </w:p>
        </w:tc>
        <w:tc>
          <w:tcPr>
            <w:tcW w:w="18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(32,470)</w:t>
            </w:r>
          </w:p>
        </w:tc>
      </w:tr>
      <w:tr>
        <w:trPr>
          <w:trHeight w:val="207"/>
        </w:trPr>
        <w:tc>
          <w:tcPr>
            <w:tcW w:w="78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785,539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0"/>
        </w:trPr>
        <w:tc>
          <w:tcPr>
            <w:tcW w:w="78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1,297,723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Derived from December 27, 2025, audited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2520" w:type="dxa"/>
            <w:vAlign w:val="bottom"/>
            <w:gridSpan w:val="2"/>
          </w:tcPr>
          <w:p>
            <w:pPr>
              <w:jc w:val="center"/>
              <w:ind w:left="1311"/>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1260" w:type="dxa"/>
            <w:vAlign w:val="bottom"/>
          </w:tcPr>
          <w:p>
            <w:pPr>
              <w:spacing w:after="0"/>
              <w:rPr>
                <w:sz w:val="18"/>
                <w:szCs w:val="18"/>
                <w:color w:val="auto"/>
              </w:rPr>
            </w:pPr>
          </w:p>
        </w:tc>
        <w:tc>
          <w:tcPr>
            <w:tcW w:w="7320" w:type="dxa"/>
            <w:vAlign w:val="bottom"/>
            <w:gridSpan w:val="8"/>
          </w:tcPr>
          <w:p>
            <w:pPr>
              <w:jc w:val="center"/>
              <w:ind w:left="131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1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20" w:type="dxa"/>
            <w:vAlign w:val="bottom"/>
            <w:gridSpan w:val="2"/>
          </w:tcPr>
          <w:p>
            <w:pPr>
              <w:jc w:val="center"/>
              <w:ind w:left="1331"/>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1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6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auto"/>
                <w:w w:val="98"/>
              </w:rPr>
              <w:t>(in thousands, except per share amounts)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8"/>
        </w:trPr>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5"/>
          </w:tcPr>
          <w:p>
            <w:pPr>
              <w:jc w:val="right"/>
              <w:ind w:right="642"/>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420" w:type="dxa"/>
            <w:vAlign w:val="bottom"/>
            <w:gridSpan w:val="6"/>
          </w:tcPr>
          <w:p>
            <w:pPr>
              <w:jc w:val="right"/>
              <w:ind w:right="602"/>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1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26,</w:t>
            </w:r>
          </w:p>
        </w:tc>
        <w:tc>
          <w:tcPr>
            <w:tcW w:w="136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September 27,</w:t>
            </w:r>
          </w:p>
        </w:tc>
        <w:tc>
          <w:tcPr>
            <w:tcW w:w="128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9"/>
                <w:szCs w:val="19"/>
                <w:color w:val="auto"/>
              </w:rPr>
            </w:pPr>
          </w:p>
        </w:tc>
        <w:tc>
          <w:tcPr>
            <w:tcW w:w="130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September 27,</w:t>
            </w:r>
          </w:p>
        </w:tc>
      </w:tr>
      <w:tr>
        <w:trPr>
          <w:trHeight w:val="232"/>
        </w:trPr>
        <w:tc>
          <w:tcPr>
            <w:tcW w:w="1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r>
      <w:tr>
        <w:trPr>
          <w:trHeight w:val="207"/>
        </w:trPr>
        <w:tc>
          <w:tcPr>
            <w:tcW w:w="1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126,249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447,077</w:t>
            </w:r>
          </w:p>
        </w:tc>
        <w:tc>
          <w:tcPr>
            <w:tcW w:w="3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330,726</w:t>
            </w: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16"/>
                <w:szCs w:val="16"/>
                <w:color w:val="auto"/>
              </w:rPr>
              <w:t>(1)</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70,985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242,863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186,036</w:t>
            </w: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25,558</w:t>
            </w:r>
          </w:p>
        </w:tc>
        <w:tc>
          <w:tcPr>
            <w:tcW w:w="24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22,454</w:t>
            </w:r>
          </w:p>
        </w:tc>
        <w:tc>
          <w:tcPr>
            <w:tcW w:w="24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76,888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68,794</w:t>
            </w: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31,768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101,794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91,645</w:t>
            </w: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7,177</w:t>
            </w:r>
          </w:p>
        </w:tc>
        <w:tc>
          <w:tcPr>
            <w:tcW w:w="24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10,249</w:t>
            </w:r>
          </w:p>
        </w:tc>
        <w:tc>
          <w:tcPr>
            <w:tcW w:w="24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21,754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30,182</w:t>
            </w:r>
          </w:p>
        </w:tc>
      </w:tr>
      <w:tr>
        <w:trPr>
          <w:trHeight w:val="22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8,347</w:t>
            </w:r>
          </w:p>
        </w:tc>
      </w:tr>
      <w:tr>
        <w:trPr>
          <w:trHeight w:val="207"/>
        </w:trPr>
        <w:tc>
          <w:tcPr>
            <w:tcW w:w="126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2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160,155</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135,965</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445,138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385,004</w:t>
            </w:r>
          </w:p>
        </w:tc>
        <w:tc>
          <w:tcPr>
            <w:tcW w:w="120" w:type="dxa"/>
            <w:vAlign w:val="bottom"/>
            <w:tcBorders>
              <w:bottom w:val="single" w:sz="8" w:color="CCEEFF"/>
            </w:tcBorders>
          </w:tcPr>
          <w:p>
            <w:pPr>
              <w:spacing w:after="0"/>
              <w:rPr>
                <w:sz w:val="17"/>
                <w:szCs w:val="17"/>
                <w:color w:val="auto"/>
              </w:rPr>
            </w:pPr>
          </w:p>
        </w:tc>
      </w:tr>
      <w:tr>
        <w:trPr>
          <w:trHeight w:val="20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20" w:type="dxa"/>
            <w:vAlign w:val="bottom"/>
            <w:shd w:val="clear" w:color="auto" w:fill="CCEEFF"/>
          </w:tcPr>
          <w:p>
            <w:pPr>
              <w:spacing w:after="0"/>
              <w:rPr>
                <w:sz w:val="17"/>
                <w:szCs w:val="17"/>
                <w:color w:val="auto"/>
              </w:rPr>
            </w:pPr>
          </w:p>
        </w:tc>
      </w:tr>
      <w:tr>
        <w:trPr>
          <w:trHeight w:val="21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3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3"/>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24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11,564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4,334</w:t>
            </w:r>
          </w:p>
        </w:tc>
      </w:tr>
      <w:tr>
        <w:trPr>
          <w:trHeight w:val="213"/>
        </w:trPr>
        <w:tc>
          <w:tcPr>
            <w:tcW w:w="3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7"/>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Pension curtailment gain</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2,317</w:t>
            </w:r>
          </w:p>
        </w:tc>
      </w:tr>
      <w:tr>
        <w:trPr>
          <w:trHeight w:val="207"/>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(48,612)</w:t>
            </w:r>
          </w:p>
        </w:tc>
        <w:tc>
          <w:tcPr>
            <w:tcW w:w="120" w:type="dxa"/>
            <w:vAlign w:val="bottom"/>
            <w:tcBorders>
              <w:top w:val="single" w:sz="8" w:color="CCEEFF"/>
            </w:tcBorders>
            <w:shd w:val="clear" w:color="auto" w:fill="CCEEFF"/>
          </w:tcPr>
          <w:p>
            <w:pPr>
              <w:spacing w:after="0"/>
              <w:rPr>
                <w:sz w:val="17"/>
                <w:szCs w:val="17"/>
                <w:color w:val="auto"/>
              </w:rPr>
            </w:pPr>
          </w:p>
        </w:tc>
      </w:tr>
      <w:tr>
        <w:trPr>
          <w:trHeight w:val="22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24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tcPr>
          <w:p>
            <w:pPr>
              <w:spacing w:after="0"/>
              <w:rPr>
                <w:sz w:val="19"/>
                <w:szCs w:val="19"/>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3,173</w:t>
            </w:r>
          </w:p>
        </w:tc>
      </w:tr>
      <w:tr>
        <w:trPr>
          <w:trHeight w:val="220"/>
        </w:trPr>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80"/>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4"/>
        </w:trPr>
        <w:tc>
          <w:tcPr>
            <w:tcW w:w="3660" w:type="dxa"/>
            <w:vAlign w:val="bottom"/>
            <w:tcBorders>
              <w:top w:val="single" w:sz="8" w:color="CCEEFF"/>
              <w:bottom w:val="single" w:sz="8" w:color="CCEEFF"/>
            </w:tcBorders>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0.22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7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6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80"/>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47,410</w:t>
            </w:r>
          </w:p>
        </w:tc>
        <w:tc>
          <w:tcPr>
            <w:tcW w:w="240" w:type="dxa"/>
            <w:vAlign w:val="bottom"/>
          </w:tcPr>
          <w:p>
            <w:pPr>
              <w:spacing w:after="0"/>
              <w:rPr>
                <w:sz w:val="24"/>
                <w:szCs w:val="24"/>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46,748</w:t>
            </w:r>
          </w:p>
        </w:tc>
        <w:tc>
          <w:tcPr>
            <w:tcW w:w="240" w:type="dxa"/>
            <w:vAlign w:val="bottom"/>
          </w:tcPr>
          <w:p>
            <w:pPr>
              <w:spacing w:after="0"/>
              <w:rPr>
                <w:sz w:val="24"/>
                <w:szCs w:val="24"/>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47,245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46,685</w:t>
            </w:r>
          </w:p>
        </w:tc>
      </w:tr>
      <w:tr>
        <w:trPr>
          <w:trHeight w:val="194"/>
        </w:trPr>
        <w:tc>
          <w:tcPr>
            <w:tcW w:w="3660" w:type="dxa"/>
            <w:vAlign w:val="bottom"/>
            <w:tcBorders>
              <w:top w:val="single" w:sz="8" w:color="CCEEFF"/>
              <w:bottom w:val="single" w:sz="8" w:color="CCEEFF"/>
            </w:tcBorders>
            <w:gridSpan w:val="2"/>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54,366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46,748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47,245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46,685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680" w:hanging="313"/>
        <w:spacing w:after="0" w:line="277"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purchased intangibles of $4,830 and $7,873 for the three months ended September 26, 2026, and September 27, 2025, respectively, and $14,677 and $23,171 for the nine months ended September 26, 2026, and September 27, 2025,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gridSpan w:val="2"/>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1260" w:type="dxa"/>
            <w:vAlign w:val="bottom"/>
          </w:tcPr>
          <w:p>
            <w:pPr>
              <w:spacing w:after="0"/>
              <w:rPr>
                <w:sz w:val="18"/>
                <w:szCs w:val="18"/>
                <w:color w:val="auto"/>
              </w:rPr>
            </w:pPr>
          </w:p>
        </w:tc>
        <w:tc>
          <w:tcPr>
            <w:tcW w:w="8700" w:type="dxa"/>
            <w:vAlign w:val="bottom"/>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gridSpan w:val="2"/>
          </w:tcPr>
          <w:p>
            <w:pPr>
              <w:jc w:val="center"/>
              <w:ind w:left="651"/>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1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20" w:type="dxa"/>
            <w:vAlign w:val="bottom"/>
            <w:gridSpan w:val="2"/>
          </w:tcPr>
          <w:p>
            <w:pPr>
              <w:jc w:val="center"/>
              <w:ind w:left="651"/>
              <w:spacing w:after="0"/>
              <w:rPr>
                <w:sz w:val="20"/>
                <w:szCs w:val="20"/>
                <w:color w:val="auto"/>
              </w:rPr>
            </w:pPr>
            <w:r>
              <w:rPr>
                <w:rFonts w:ascii="Times New Roman" w:cs="Times New Roman" w:eastAsia="Times New Roman" w:hAnsi="Times New Roman"/>
                <w:sz w:val="18"/>
                <w:szCs w:val="18"/>
                <w:color w:val="auto"/>
                <w:w w:val="99"/>
              </w:rPr>
              <w:t>(in thousands)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6"/>
          </w:tcPr>
          <w:p>
            <w:pPr>
              <w:jc w:val="right"/>
              <w:ind w:right="542"/>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582"/>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1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8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9"/>
                <w:szCs w:val="19"/>
                <w:color w:val="auto"/>
              </w:rPr>
            </w:pPr>
          </w:p>
        </w:tc>
        <w:tc>
          <w:tcPr>
            <w:tcW w:w="126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September 27,</w:t>
            </w:r>
          </w:p>
        </w:tc>
        <w:tc>
          <w:tcPr>
            <w:tcW w:w="80" w:type="dxa"/>
            <w:vAlign w:val="bottom"/>
          </w:tcPr>
          <w:p>
            <w:pPr>
              <w:spacing w:after="0"/>
              <w:rPr>
                <w:sz w:val="19"/>
                <w:szCs w:val="19"/>
                <w:color w:val="auto"/>
              </w:rPr>
            </w:pPr>
          </w:p>
        </w:tc>
        <w:tc>
          <w:tcPr>
            <w:tcW w:w="136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September 26,</w:t>
            </w:r>
          </w:p>
        </w:tc>
        <w:tc>
          <w:tcPr>
            <w:tcW w:w="128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September 27,</w:t>
            </w:r>
          </w:p>
        </w:tc>
      </w:tr>
      <w:tr>
        <w:trPr>
          <w:trHeight w:val="232"/>
        </w:trPr>
        <w:tc>
          <w:tcPr>
            <w:tcW w:w="1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r>
      <w:tr>
        <w:trPr>
          <w:trHeight w:val="207"/>
        </w:trPr>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12,129</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(4,101)</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w:t>
            </w:r>
          </w:p>
        </w:tc>
      </w:tr>
      <w:tr>
        <w:trPr>
          <w:trHeight w:val="21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(7,128)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18,933</w:t>
            </w:r>
          </w:p>
        </w:tc>
      </w:tr>
      <w:tr>
        <w:trPr>
          <w:trHeight w:val="213"/>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7"/>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39</w:t>
            </w:r>
          </w:p>
        </w:tc>
      </w:tr>
      <w:tr>
        <w:trPr>
          <w:trHeight w:val="207"/>
        </w:trPr>
        <w:tc>
          <w:tcPr>
            <w:tcW w:w="4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tcBorders>
              <w:bottom w:val="single" w:sz="8" w:color="CCEEFF"/>
            </w:tcBorders>
          </w:tcPr>
          <w:p>
            <w:pPr>
              <w:spacing w:after="0"/>
              <w:rPr>
                <w:sz w:val="17"/>
                <w:szCs w:val="17"/>
                <w:color w:val="auto"/>
              </w:rPr>
            </w:pPr>
          </w:p>
        </w:tc>
      </w:tr>
      <w:tr>
        <w:trPr>
          <w:trHeight w:val="220"/>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Accumulated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Common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7"/>
              </w:rPr>
              <w:t>other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26, 2026</w:t>
            </w:r>
          </w:p>
        </w:tc>
        <w:tc>
          <w:tcPr>
            <w:tcW w:w="240" w:type="dxa"/>
            <w:vAlign w:val="bottom"/>
          </w:tcPr>
          <w:p>
            <w:pPr>
              <w:spacing w:after="0"/>
              <w:rPr>
                <w:sz w:val="19"/>
                <w:szCs w:val="19"/>
                <w:color w:val="auto"/>
              </w:rPr>
            </w:pPr>
          </w:p>
        </w:tc>
        <w:tc>
          <w:tcPr>
            <w:tcW w:w="10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stock</w:t>
            </w:r>
          </w:p>
        </w:tc>
        <w:tc>
          <w:tcPr>
            <w:tcW w:w="240" w:type="dxa"/>
            <w:vAlign w:val="bottom"/>
          </w:tcPr>
          <w:p>
            <w:pPr>
              <w:spacing w:after="0"/>
              <w:rPr>
                <w:sz w:val="19"/>
                <w:szCs w:val="19"/>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Retained</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9"/>
                <w:szCs w:val="19"/>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Treasury</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860" w:type="dxa"/>
            <w:vAlign w:val="bottom"/>
            <w:vMerge w:val="continue"/>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 par value</w:t>
            </w:r>
          </w:p>
        </w:tc>
        <w:tc>
          <w:tcPr>
            <w:tcW w:w="24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tcPr>
          <w:p>
            <w:pPr>
              <w:spacing w:after="0"/>
              <w:rPr>
                <w:sz w:val="20"/>
                <w:szCs w:val="20"/>
                <w:color w:val="auto"/>
              </w:rPr>
            </w:pPr>
          </w:p>
        </w:tc>
        <w:tc>
          <w:tcPr>
            <w:tcW w:w="10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loss</w:t>
            </w:r>
          </w:p>
        </w:tc>
        <w:tc>
          <w:tcPr>
            <w:tcW w:w="2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7"/>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27, 2026</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50,339</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689,512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162,240</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(86,865)</w:t>
            </w:r>
          </w:p>
        </w:tc>
        <w:tc>
          <w:tcPr>
            <w:tcW w:w="2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12,129</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12,129</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195"/>
        </w:trPr>
        <w:tc>
          <w:tcPr>
            <w:tcW w:w="38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 benefits, net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tax</w:t>
            </w:r>
          </w:p>
        </w:tc>
        <w:tc>
          <w:tcPr>
            <w:tcW w:w="2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 on</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net of tax</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7"/>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4,625</w:t>
            </w: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220"/>
        </w:trPr>
        <w:tc>
          <w:tcPr>
            <w:tcW w:w="3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50,347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693,820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174,369</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(86,865)</w:t>
            </w:r>
          </w:p>
        </w:tc>
        <w:tc>
          <w:tcPr>
            <w:tcW w:w="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26, 2026</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27, 2025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49,875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681,509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174,467</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(87,842)</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 benefits, net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 tax</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5"/>
        </w:trPr>
        <w:tc>
          <w:tcPr>
            <w:tcW w:w="38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 on</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net of tax</w:t>
            </w:r>
          </w:p>
        </w:tc>
        <w:tc>
          <w:tcPr>
            <w:tcW w:w="2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ESPP</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1,004</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27"/>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17,494</w:t>
            </w: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17,494</w:t>
            </w:r>
          </w:p>
        </w:tc>
        <w:tc>
          <w:tcPr>
            <w:tcW w:w="0" w:type="dxa"/>
            <w:vAlign w:val="bottom"/>
          </w:tcPr>
          <w:p>
            <w:pPr>
              <w:spacing w:after="0"/>
              <w:rPr>
                <w:sz w:val="1"/>
                <w:szCs w:val="1"/>
                <w:color w:val="auto"/>
              </w:rPr>
            </w:pPr>
          </w:p>
        </w:tc>
      </w:tr>
      <w:tr>
        <w:trPr>
          <w:trHeight w:val="220"/>
        </w:trPr>
        <w:tc>
          <w:tcPr>
            <w:tcW w:w="3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50,347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693,820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174,369</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(86,865)</w:t>
            </w:r>
          </w:p>
        </w:tc>
        <w:tc>
          <w:tcPr>
            <w:tcW w:w="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27, 2025</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28, 2025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49,745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700,763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201,056</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(4,101)</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195"/>
        </w:trPr>
        <w:tc>
          <w:tcPr>
            <w:tcW w:w="38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 benefits, net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tax</w:t>
            </w:r>
          </w:p>
        </w:tc>
        <w:tc>
          <w:tcPr>
            <w:tcW w:w="2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 on</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net of tax</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5,659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60"/>
        </w:trPr>
        <w:tc>
          <w:tcPr>
            <w:tcW w:w="3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49,745</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706,157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196,955</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(88,193)</w:t>
            </w:r>
          </w:p>
        </w:tc>
        <w:tc>
          <w:tcPr>
            <w:tcW w:w="2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27, 2025</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49,601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697,489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248,740</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(51,785)</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18,933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18,933</w:t>
            </w:r>
          </w:p>
        </w:tc>
        <w:tc>
          <w:tcPr>
            <w:tcW w:w="0" w:type="dxa"/>
            <w:vAlign w:val="bottom"/>
          </w:tcPr>
          <w:p>
            <w:pPr>
              <w:spacing w:after="0"/>
              <w:rPr>
                <w:sz w:val="1"/>
                <w:szCs w:val="1"/>
                <w:color w:val="auto"/>
              </w:rPr>
            </w:pPr>
          </w:p>
        </w:tc>
      </w:tr>
      <w:tr>
        <w:trPr>
          <w:trHeight w:val="195"/>
        </w:trPr>
        <w:tc>
          <w:tcPr>
            <w:tcW w:w="38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 benefits, net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tax</w:t>
            </w:r>
          </w:p>
        </w:tc>
        <w:tc>
          <w:tcPr>
            <w:tcW w:w="2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 on</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net of tax</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under ESPP</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1,813</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12,555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1,846</w:t>
            </w:r>
          </w:p>
        </w:tc>
        <w:tc>
          <w:tcPr>
            <w:tcW w:w="2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(8,587)</w:t>
            </w:r>
          </w:p>
        </w:tc>
        <w:tc>
          <w:tcPr>
            <w:tcW w:w="0" w:type="dxa"/>
            <w:vAlign w:val="bottom"/>
          </w:tcPr>
          <w:p>
            <w:pPr>
              <w:spacing w:after="0"/>
              <w:rPr>
                <w:sz w:val="1"/>
                <w:szCs w:val="1"/>
                <w:color w:val="auto"/>
              </w:rPr>
            </w:pPr>
          </w:p>
        </w:tc>
      </w:tr>
      <w:tr>
        <w:trPr>
          <w:trHeight w:val="227"/>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17,564</w:t>
            </w: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20"/>
        </w:trPr>
        <w:tc>
          <w:tcPr>
            <w:tcW w:w="3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49,745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706,157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196,955</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(88,193)</w:t>
            </w:r>
          </w:p>
        </w:tc>
        <w:tc>
          <w:tcPr>
            <w:tcW w:w="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21" w:right="339" w:bottom="771"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6440" w:type="dxa"/>
            <w:vAlign w:val="bottom"/>
          </w:tcPr>
          <w:p>
            <w:pPr>
              <w:jc w:val="center"/>
              <w:ind w:left="2191"/>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8240" w:type="dxa"/>
            <w:vAlign w:val="bottom"/>
            <w:gridSpan w:val="4"/>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440" w:type="dxa"/>
            <w:vAlign w:val="bottom"/>
          </w:tcPr>
          <w:p>
            <w:pPr>
              <w:jc w:val="center"/>
              <w:ind w:left="2211"/>
              <w:spacing w:after="0"/>
              <w:rPr>
                <w:sz w:val="20"/>
                <w:szCs w:val="20"/>
                <w:color w:val="auto"/>
              </w:rPr>
            </w:pPr>
            <w:r>
              <w:rPr>
                <w:rFonts w:ascii="Times New Roman" w:cs="Times New Roman" w:eastAsia="Times New Roman" w:hAnsi="Times New Roman"/>
                <w:sz w:val="18"/>
                <w:szCs w:val="18"/>
                <w:color w:val="auto"/>
                <w:w w:val="98"/>
              </w:rPr>
              <w:t>(Unaudited)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6440" w:type="dxa"/>
            <w:vAlign w:val="bottom"/>
          </w:tcPr>
          <w:p>
            <w:pPr>
              <w:jc w:val="center"/>
              <w:ind w:left="2211"/>
              <w:spacing w:after="0"/>
              <w:rPr>
                <w:sz w:val="20"/>
                <w:szCs w:val="20"/>
                <w:color w:val="auto"/>
              </w:rPr>
            </w:pPr>
            <w:r>
              <w:rPr>
                <w:rFonts w:ascii="Times New Roman" w:cs="Times New Roman" w:eastAsia="Times New Roman" w:hAnsi="Times New Roman"/>
                <w:sz w:val="18"/>
                <w:szCs w:val="18"/>
                <w:color w:val="auto"/>
                <w:w w:val="99"/>
              </w:rPr>
              <w:t>(in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2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7"/>
        </w:trPr>
        <w:tc>
          <w:tcPr>
            <w:tcW w:w="12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26,</w:t>
            </w:r>
          </w:p>
        </w:tc>
        <w:tc>
          <w:tcPr>
            <w:tcW w:w="180" w:type="dxa"/>
            <w:vAlign w:val="bottom"/>
          </w:tcPr>
          <w:p>
            <w:pPr>
              <w:spacing w:after="0"/>
              <w:rPr>
                <w:sz w:val="19"/>
                <w:szCs w:val="19"/>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2"/>
        </w:trPr>
        <w:tc>
          <w:tcPr>
            <w:tcW w:w="1260" w:type="dxa"/>
            <w:vAlign w:val="bottom"/>
            <w:tcBorders>
              <w:bottom w:val="single" w:sz="8" w:color="CCEEFF"/>
            </w:tcBorders>
          </w:tcPr>
          <w:p>
            <w:pPr>
              <w:spacing w:after="0"/>
              <w:rPr>
                <w:sz w:val="20"/>
                <w:szCs w:val="20"/>
                <w:color w:val="auto"/>
              </w:rPr>
            </w:pPr>
          </w:p>
        </w:tc>
        <w:tc>
          <w:tcPr>
            <w:tcW w:w="6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(51,785)</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accretion on investments</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(2,577)</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(loss) from sale of property, plant and equipment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31,117</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40,135</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17,494</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inventory related charges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accrued retiree medical benefits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in other accrued liabilities</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other assets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Mark to market adjustment to contingent consideration</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13"/>
        </w:trPr>
        <w:tc>
          <w:tcPr>
            <w:tcW w:w="7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 excluding effects from acquisitions: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advances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(40,236)</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(28,521)</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(29,195)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1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(6,824)</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35,663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17,985</w:t>
            </w:r>
          </w:p>
        </w:tc>
        <w:tc>
          <w:tcPr>
            <w:tcW w:w="0" w:type="dxa"/>
            <w:vAlign w:val="bottom"/>
          </w:tcPr>
          <w:p>
            <w:pPr>
              <w:spacing w:after="0"/>
              <w:rPr>
                <w:sz w:val="1"/>
                <w:szCs w:val="1"/>
                <w:color w:val="auto"/>
              </w:rPr>
            </w:pPr>
          </w:p>
        </w:tc>
      </w:tr>
      <w:tr>
        <w:trPr>
          <w:trHeight w:val="21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profit</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3"/>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8,855</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07"/>
        </w:trPr>
        <w:tc>
          <w:tcPr>
            <w:tcW w:w="77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excluding effects from acquisitions: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(183,960)</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(40,319)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206,678</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48,378</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Settlement of net investment hedge</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(17,583)</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received from sale of property, plant and equipment</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for purchase of Tignis, net of cash received</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(34,935)</w:t>
            </w:r>
          </w:p>
        </w:tc>
        <w:tc>
          <w:tcPr>
            <w:tcW w:w="0" w:type="dxa"/>
            <w:vAlign w:val="bottom"/>
          </w:tcPr>
          <w:p>
            <w:pPr>
              <w:spacing w:after="0"/>
              <w:rPr>
                <w:sz w:val="1"/>
                <w:szCs w:val="1"/>
                <w:color w:val="auto"/>
              </w:rPr>
            </w:pPr>
          </w:p>
        </w:tc>
      </w:tr>
      <w:tr>
        <w:trPr>
          <w:trHeight w:val="207"/>
        </w:trPr>
        <w:tc>
          <w:tcPr>
            <w:tcW w:w="77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 on current and long-term finance lease liabilities</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revolving line of credit and revolving credit facility</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6,025</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7"/>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(8,586)</w:t>
            </w:r>
          </w:p>
        </w:tc>
        <w:tc>
          <w:tcPr>
            <w:tcW w:w="0" w:type="dxa"/>
            <w:vAlign w:val="bottom"/>
          </w:tcPr>
          <w:p>
            <w:pPr>
              <w:spacing w:after="0"/>
              <w:rPr>
                <w:sz w:val="1"/>
                <w:szCs w:val="1"/>
                <w:color w:val="auto"/>
              </w:rPr>
            </w:pPr>
          </w:p>
        </w:tc>
      </w:tr>
      <w:tr>
        <w:trPr>
          <w:trHeight w:val="207"/>
        </w:trPr>
        <w:tc>
          <w:tcPr>
            <w:tcW w:w="770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7"/>
        </w:trPr>
        <w:tc>
          <w:tcPr>
            <w:tcW w:w="7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227,053</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206,407</w:t>
            </w:r>
          </w:p>
        </w:tc>
        <w:tc>
          <w:tcPr>
            <w:tcW w:w="0" w:type="dxa"/>
            <w:vAlign w:val="bottom"/>
          </w:tcPr>
          <w:p>
            <w:pPr>
              <w:spacing w:after="0"/>
              <w:rPr>
                <w:sz w:val="1"/>
                <w:szCs w:val="1"/>
                <w:color w:val="auto"/>
              </w:rPr>
            </w:pPr>
          </w:p>
        </w:tc>
      </w:tr>
      <w:tr>
        <w:trPr>
          <w:trHeight w:val="220"/>
        </w:trPr>
        <w:tc>
          <w:tcPr>
            <w:tcW w:w="7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20,904</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Inventory capitalized as property, plant and equipment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purchases included in accounts payable</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2"/>
        </w:trPr>
        <w:tc>
          <w:tcPr>
            <w:tcW w:w="7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06"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right="7420" w:hanging="473"/>
        <w:spacing w:after="0" w:line="497" w:lineRule="auto"/>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48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The condensed consolidated balance sheet at December 27, 2025, has been derived from our audited financial statements at that date. The interim condensed consolidated financial statements as of September 26, 2026, (also referred to as “the third quarter of fiscal 2026” and “the first nine months of fiscal 2026”) and September 27, 2025, (also referred to as “the third quarter of fiscal 2025” and “the first nine months of fiscal 2025”) are unaudited. However, in management’s opinion, these financial statements reflect all adjustments (consisting only of normal, recurring items) necessary to provide a fair presentation of our financial position, results of operations and cash flows for the periods presented. Both the three- and nine-month periods ended September 26, 2026, and September 27, 2025, were comprised of 13 and 39 weeks, respectively.</w:t>
      </w:r>
    </w:p>
    <w:p>
      <w:pPr>
        <w:spacing w:after="0" w:line="186" w:lineRule="exact"/>
        <w:rPr>
          <w:rFonts w:ascii="Times New Roman" w:cs="Times New Roman" w:eastAsia="Times New Roman" w:hAnsi="Times New Roman"/>
          <w:sz w:val="18"/>
          <w:szCs w:val="18"/>
          <w:b w:val="1"/>
          <w:bCs w:val="1"/>
          <w:color w:val="auto"/>
        </w:rPr>
      </w:pPr>
    </w:p>
    <w:p>
      <w:pPr>
        <w:ind w:left="48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interim results are not necessarily indicative of the results that should be expected for the full year. The condensed consolidated financial statements presented herein reflect estimates and assumptions made by management at September 26, 2026, and for the three- and nine-month periods ended September 26, 2026. For a better understanding of Cohu, Inc. and our financial statements, we recommend reading these interim condensed consolidated financial statements in conjunction with our audited financial statements for the year ended December 27, 2025, which are included in our 2025 Annual Report on Form 10-K, filed with the U.S. Securities and Exchange Commission (“SEC”). In the following notes to our interim condensed consolidated financial statements, Cohu, Inc., is referred to as “Cohu”, the “Company”, “we”, “our” and “us”.</w:t>
      </w:r>
    </w:p>
    <w:p>
      <w:pPr>
        <w:spacing w:after="0" w:line="18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significant intercompany transactions and balances have been eliminated in consolidation.</w:t>
      </w:r>
    </w:p>
    <w:p>
      <w:pPr>
        <w:spacing w:after="0" w:line="2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3" w:lineRule="exact"/>
        <w:rPr>
          <w:rFonts w:ascii="Times New Roman" w:cs="Times New Roman" w:eastAsia="Times New Roman" w:hAnsi="Times New Roman"/>
          <w:sz w:val="18"/>
          <w:szCs w:val="18"/>
          <w:b w:val="1"/>
          <w:bCs w:val="1"/>
          <w:color w:val="auto"/>
        </w:rPr>
      </w:pPr>
    </w:p>
    <w:p>
      <w:pPr>
        <w:ind w:left="500" w:right="400"/>
        <w:spacing w:after="0" w:line="3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40" w:lineRule="exact"/>
        <w:rPr>
          <w:rFonts w:ascii="Times New Roman" w:cs="Times New Roman" w:eastAsia="Times New Roman" w:hAnsi="Times New Roman"/>
          <w:sz w:val="18"/>
          <w:szCs w:val="18"/>
          <w:b w:val="1"/>
          <w:bCs w:val="1"/>
          <w:color w:val="auto"/>
        </w:rPr>
      </w:pPr>
    </w:p>
    <w:p>
      <w:pPr>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trade accounts receivable are presented net of an allowance for credit losses, which is determined in accordance with the guidance provided by Accounting Standards Codification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(“ASC 326”). At September 26, 2026, and December 27, 2025, our allowance for credit losses was $0.5 million and $0.1 million, respectively. Our customers include semiconductor manufacturers and semiconductor test subcontractors throughout many areas of the world. While we believe that our allowance for credit losses is adequate and represents our best estimate at September 26, 2026, we will continue to monitor customer liquidity and other economic conditions, which may result in changes to our estimates regarding expected credit losses.</w:t>
      </w:r>
    </w:p>
    <w:p>
      <w:pPr>
        <w:spacing w:after="0" w:line="18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3" w:lineRule="exact"/>
        <w:rPr>
          <w:rFonts w:ascii="Times New Roman" w:cs="Times New Roman" w:eastAsia="Times New Roman" w:hAnsi="Times New Roman"/>
          <w:sz w:val="18"/>
          <w:szCs w:val="18"/>
          <w:b w:val="1"/>
          <w:bCs w:val="1"/>
          <w:color w:val="auto"/>
        </w:rPr>
      </w:pPr>
    </w:p>
    <w:p>
      <w:pPr>
        <w:ind w:left="480" w:right="1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sectPr>
          <w:pgSz w:w="11900" w:h="16838" w:orient="portrait"/>
          <w:cols w:equalWidth="0" w:num="1">
            <w:col w:w="11240"/>
          </w:cols>
          <w:pgMar w:left="320" w:top="121" w:right="339" w:bottom="1440" w:gutter="0" w:footer="0" w:header="0"/>
        </w:sectPr>
      </w:pP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 by category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676973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9735" cy="135255"/>
                    </a:xfrm>
                    <a:prstGeom prst="rect">
                      <a:avLst/>
                    </a:prstGeom>
                    <a:noFill/>
                  </pic:spPr>
                </pic:pic>
              </a:graphicData>
            </a:graphic>
          </wp:anchor>
        </w:drawing>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wp:posOffset>
            </wp:positionV>
            <wp:extent cx="6769735"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735" cy="14414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Finished goods</w:t>
      </w:r>
    </w:p>
    <w:p>
      <w:pPr>
        <w:spacing w:after="0" w:line="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20"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September 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27,</w:t>
            </w:r>
          </w:p>
        </w:tc>
      </w:tr>
      <w:tr>
        <w:trPr>
          <w:trHeight w:val="232"/>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88"/>
        </w:trPr>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93,850</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84,797</w:t>
            </w:r>
          </w:p>
        </w:tc>
        <w:tc>
          <w:tcPr>
            <w:tcW w:w="2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23,388</w:t>
            </w:r>
          </w:p>
        </w:tc>
      </w:tr>
      <w:tr>
        <w:trPr>
          <w:trHeight w:val="232"/>
        </w:trPr>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20,821</w:t>
            </w:r>
          </w:p>
        </w:tc>
      </w:tr>
      <w:tr>
        <w:trPr>
          <w:trHeight w:val="207"/>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129,006</w:t>
            </w:r>
          </w:p>
        </w:tc>
        <w:tc>
          <w:tcPr>
            <w:tcW w:w="20" w:type="dxa"/>
            <w:vAlign w:val="bottom"/>
          </w:tcPr>
          <w:p>
            <w:pPr>
              <w:spacing w:after="0"/>
              <w:rPr>
                <w:sz w:val="17"/>
                <w:szCs w:val="17"/>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300" w:space="720"/>
            <w:col w:w="322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3" w:lineRule="exact"/>
        <w:rPr>
          <w:sz w:val="20"/>
          <w:szCs w:val="20"/>
          <w:color w:val="auto"/>
        </w:rPr>
      </w:pPr>
    </w:p>
    <w:p>
      <w:pPr>
        <w:ind w:left="500" w:right="260"/>
        <w:spacing w:after="0" w:line="228" w:lineRule="exact"/>
        <w:rPr>
          <w:sz w:val="20"/>
          <w:szCs w:val="20"/>
          <w:color w:val="auto"/>
        </w:rPr>
      </w:pPr>
      <w:r>
        <w:rPr>
          <w:rFonts w:ascii="Times New Roman" w:cs="Times New Roman" w:eastAsia="Times New Roman" w:hAnsi="Times New Roman"/>
          <w:sz w:val="18"/>
          <w:szCs w:val="18"/>
          <w:color w:val="auto"/>
        </w:rPr>
        <w:t>Depreciation and amortization of property, plant and equipment, both owned and under financing lease, is calculated principally on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September 26,</w:t>
            </w: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27,</w:t>
            </w:r>
          </w:p>
        </w:tc>
      </w:tr>
      <w:tr>
        <w:trPr>
          <w:trHeight w:val="232"/>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r>
      <w:tr>
        <w:trPr>
          <w:trHeight w:val="20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12,364</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49,469</w:t>
            </w:r>
          </w:p>
        </w:tc>
      </w:tr>
      <w:tr>
        <w:trPr>
          <w:trHeight w:val="213"/>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165,106</w:t>
            </w:r>
          </w:p>
        </w:tc>
      </w:tr>
      <w:tr>
        <w:trPr>
          <w:trHeight w:val="21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(92,940)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(88,119)</w:t>
            </w:r>
          </w:p>
        </w:tc>
      </w:tr>
      <w:tr>
        <w:trPr>
          <w:trHeight w:val="207"/>
        </w:trPr>
        <w:tc>
          <w:tcPr>
            <w:tcW w:w="73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80" w:type="dxa"/>
            <w:vAlign w:val="bottom"/>
            <w:tcBorders>
              <w:top w:val="single" w:sz="8" w:color="CCEEFF"/>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Cloud-based Enterprise Resource Planning Implementation Costs</w:t>
      </w:r>
    </w:p>
    <w:p>
      <w:pPr>
        <w:spacing w:after="0" w:line="224" w:lineRule="exact"/>
        <w:rPr>
          <w:sz w:val="20"/>
          <w:szCs w:val="20"/>
          <w:color w:val="auto"/>
        </w:rPr>
      </w:pPr>
    </w:p>
    <w:p>
      <w:pPr>
        <w:ind w:left="500" w:right="140"/>
        <w:spacing w:after="0" w:line="262" w:lineRule="auto"/>
        <w:rPr>
          <w:sz w:val="20"/>
          <w:szCs w:val="20"/>
          <w:color w:val="auto"/>
        </w:rPr>
      </w:pPr>
      <w:r>
        <w:rPr>
          <w:rFonts w:ascii="Times New Roman" w:cs="Times New Roman" w:eastAsia="Times New Roman" w:hAnsi="Times New Roman"/>
          <w:sz w:val="18"/>
          <w:szCs w:val="18"/>
          <w:color w:val="auto"/>
        </w:rPr>
        <w:t xml:space="preserve">We have capitalized certain costs associated with the implementation of our cloud-based Enterprise Resource Planning (“ERP”) system 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(“ASC 350”). Capitalized costs include only external direct costs of materials and services consumed in developing the system and interest costs incurred, when material, while developing the system.</w:t>
      </w:r>
    </w:p>
    <w:p>
      <w:pPr>
        <w:spacing w:after="0" w:line="176" w:lineRule="exact"/>
        <w:rPr>
          <w:sz w:val="20"/>
          <w:szCs w:val="20"/>
          <w:color w:val="auto"/>
        </w:rPr>
      </w:pPr>
    </w:p>
    <w:p>
      <w:pPr>
        <w:ind w:left="500" w:right="140"/>
        <w:spacing w:after="0" w:line="254" w:lineRule="auto"/>
        <w:rPr>
          <w:sz w:val="20"/>
          <w:szCs w:val="20"/>
          <w:color w:val="auto"/>
        </w:rPr>
      </w:pPr>
      <w:r>
        <w:rPr>
          <w:rFonts w:ascii="Times New Roman" w:cs="Times New Roman" w:eastAsia="Times New Roman" w:hAnsi="Times New Roman"/>
          <w:sz w:val="18"/>
          <w:szCs w:val="18"/>
          <w:color w:val="auto"/>
        </w:rPr>
        <w:t>Total unamortized capitalized cloud computing implementation costs totaled $4.9 million and $7.0 million at September 26, 2026, and December 27, 2025, respectively. These amounts are recorded in other current assets and other assets in our condensed consolidated balance sheets. Implementation costs are amortized using the straight-line method over seven years and we recorded amortization expense of $0.7 million and $2.2 million during the three and nine months ended September 26, 2026, respectively, and amortization expense of $0.7 million and $2.1 million during the three and nine months ended September 27, 2025, respectively.</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2" w:lineRule="exact"/>
        <w:rPr>
          <w:sz w:val="20"/>
          <w:szCs w:val="20"/>
          <w:color w:val="auto"/>
        </w:rPr>
      </w:pPr>
    </w:p>
    <w:p>
      <w:pPr>
        <w:ind w:left="500" w:right="80"/>
        <w:spacing w:after="0" w:line="252" w:lineRule="auto"/>
        <w:rPr>
          <w:sz w:val="20"/>
          <w:szCs w:val="20"/>
          <w:color w:val="auto"/>
        </w:rPr>
      </w:pPr>
      <w:r>
        <w:rPr>
          <w:rFonts w:ascii="Times New Roman" w:cs="Times New Roman" w:eastAsia="Times New Roman" w:hAnsi="Times New Roman"/>
          <w:sz w:val="18"/>
          <w:szCs w:val="18"/>
          <w:color w:val="auto"/>
        </w:rPr>
        <w:t xml:space="preserve">We apply the provisions of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224" w:lineRule="exact"/>
        <w:rPr>
          <w:sz w:val="20"/>
          <w:szCs w:val="20"/>
          <w:color w:val="auto"/>
        </w:rPr>
      </w:pPr>
    </w:p>
    <w:p>
      <w:pPr>
        <w:ind w:left="480" w:right="180"/>
        <w:spacing w:after="0" w:line="257" w:lineRule="auto"/>
        <w:rPr>
          <w:sz w:val="20"/>
          <w:szCs w:val="20"/>
          <w:color w:val="auto"/>
        </w:rPr>
      </w:pPr>
      <w:r>
        <w:rPr>
          <w:rFonts w:ascii="Times New Roman" w:cs="Times New Roman" w:eastAsia="Times New Roman" w:hAnsi="Times New Roman"/>
          <w:sz w:val="18"/>
          <w:szCs w:val="18"/>
          <w:color w:val="auto"/>
        </w:rPr>
        <w:t>We evaluate goodwill for impairment annually and whenever events or changes in 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spacing w:after="0" w:line="181" w:lineRule="exact"/>
        <w:rPr>
          <w:sz w:val="20"/>
          <w:szCs w:val="20"/>
          <w:color w:val="auto"/>
        </w:rPr>
      </w:pPr>
    </w:p>
    <w:p>
      <w:pPr>
        <w:ind w:left="480" w:right="80"/>
        <w:spacing w:after="0" w:line="217" w:lineRule="exact"/>
        <w:rPr>
          <w:sz w:val="20"/>
          <w:szCs w:val="20"/>
          <w:color w:val="auto"/>
        </w:rPr>
      </w:pPr>
      <w:r>
        <w:rPr>
          <w:rFonts w:ascii="Times New Roman" w:cs="Times New Roman" w:eastAsia="Times New Roman" w:hAnsi="Times New Roman"/>
          <w:sz w:val="18"/>
          <w:szCs w:val="18"/>
          <w:color w:val="auto"/>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480" w:right="40"/>
        <w:spacing w:after="0" w:line="218" w:lineRule="exact"/>
        <w:rPr>
          <w:sz w:val="20"/>
          <w:szCs w:val="20"/>
          <w:color w:val="auto"/>
        </w:rPr>
      </w:pPr>
      <w:r>
        <w:rPr>
          <w:rFonts w:ascii="Times New Roman" w:cs="Times New Roman" w:eastAsia="Times New Roman" w:hAnsi="Times New Roman"/>
          <w:sz w:val="17"/>
          <w:szCs w:val="17"/>
          <w:color w:val="auto"/>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growth assumptions, macroeconomic conditions, customer demand, competitive dynamics, or other factors could result in a reduction in the estimated fair value of one or more reporting units.</w:t>
      </w:r>
    </w:p>
    <w:p>
      <w:pPr>
        <w:spacing w:after="0" w:line="198" w:lineRule="exact"/>
        <w:rPr>
          <w:sz w:val="20"/>
          <w:szCs w:val="20"/>
          <w:color w:val="auto"/>
        </w:rPr>
      </w:pPr>
    </w:p>
    <w:p>
      <w:pPr>
        <w:ind w:left="480" w:right="180"/>
        <w:spacing w:after="0" w:line="254" w:lineRule="auto"/>
        <w:rPr>
          <w:sz w:val="20"/>
          <w:szCs w:val="20"/>
          <w:color w:val="auto"/>
        </w:rPr>
      </w:pPr>
      <w:r>
        <w:rPr>
          <w:rFonts w:ascii="Times New Roman" w:cs="Times New Roman" w:eastAsia="Times New Roman" w:hAnsi="Times New Roman"/>
          <w:sz w:val="18"/>
          <w:szCs w:val="18"/>
          <w:color w:val="auto"/>
        </w:rPr>
        <w:t>We performed our annual goodwill impairment test as of October 1, 2025, and determined that the estimated fair values of our reporting units exceeded their respective carrying values. As disclosed in our Annual Report on Form 10-K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spacing w:after="0" w:line="186" w:lineRule="exact"/>
        <w:rPr>
          <w:sz w:val="20"/>
          <w:szCs w:val="20"/>
          <w:color w:val="auto"/>
        </w:rPr>
      </w:pPr>
    </w:p>
    <w:p>
      <w:pPr>
        <w:jc w:val="both"/>
        <w:ind w:left="480" w:right="120"/>
        <w:spacing w:after="0" w:line="229" w:lineRule="exact"/>
        <w:rPr>
          <w:sz w:val="20"/>
          <w:szCs w:val="20"/>
          <w:color w:val="auto"/>
        </w:rPr>
      </w:pPr>
      <w:r>
        <w:rPr>
          <w:rFonts w:ascii="Times New Roman" w:cs="Times New Roman" w:eastAsia="Times New Roman" w:hAnsi="Times New Roman"/>
          <w:sz w:val="18"/>
          <w:szCs w:val="18"/>
          <w:color w:val="auto"/>
        </w:rPr>
        <w:t>Additionally, goodwill is required to be evaluated for impairment between annual testing dates if indicators of impairment arise. As of September 26, 2026, we determined that no such triggering events had occurred. If circumstances change and an interim impairment assessment is required, it could result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which could be material and would adversely affect our results of operations and financial condition.</w:t>
      </w:r>
    </w:p>
    <w:p>
      <w:pPr>
        <w:spacing w:after="0" w:line="168" w:lineRule="exact"/>
        <w:rPr>
          <w:sz w:val="20"/>
          <w:szCs w:val="20"/>
          <w:color w:val="auto"/>
        </w:rPr>
      </w:pPr>
    </w:p>
    <w:p>
      <w:pPr>
        <w:ind w:left="480" w:right="20"/>
        <w:spacing w:after="0" w:line="253"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first nine months of fiscal 2026 and 2025, no events or conditions occurred suggesting an impairment in our long-lived assets.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4"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18"/>
          <w:szCs w:val="18"/>
          <w:color w:val="auto"/>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relative standalone selling price and recognized on a straight-line basis over the extended warranty period. Costs associated with our extended warranty contracts are expensed as incurred.</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2" w:lineRule="exact"/>
        <w:rPr>
          <w:sz w:val="20"/>
          <w:szCs w:val="20"/>
          <w:color w:val="auto"/>
        </w:rPr>
      </w:pPr>
    </w:p>
    <w:p>
      <w:pPr>
        <w:ind w:left="480" w:right="80"/>
        <w:spacing w:after="0" w:line="252" w:lineRule="auto"/>
        <w:rPr>
          <w:sz w:val="20"/>
          <w:szCs w:val="20"/>
          <w:color w:val="auto"/>
        </w:rPr>
      </w:pPr>
      <w:r>
        <w:rPr>
          <w:rFonts w:ascii="Times New Roman" w:cs="Times New Roman" w:eastAsia="Times New Roman" w:hAnsi="Times New Roman"/>
          <w:sz w:val="18"/>
          <w:szCs w:val="18"/>
          <w:color w:val="auto"/>
        </w:rPr>
        <w:t xml:space="preserve">We record restructuring activities including costs for one-time termination benefits in accordance with ASC Topic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recognition for severance costs accounted for under ASC 420 depends on whether employees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These costs are recognized when management has committed to a restructuring plan and the severance costs are probable and estimable. See Note 4, “Restructuring Charges” for additional information.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4" w:lineRule="exact"/>
        <w:rPr>
          <w:sz w:val="20"/>
          <w:szCs w:val="20"/>
          <w:color w:val="auto"/>
        </w:rPr>
      </w:pPr>
    </w:p>
    <w:p>
      <w:pPr>
        <w:ind w:left="480" w:right="100"/>
        <w:spacing w:after="0" w:line="257" w:lineRule="auto"/>
        <w:rPr>
          <w:sz w:val="20"/>
          <w:szCs w:val="20"/>
          <w:color w:val="auto"/>
        </w:rPr>
      </w:pPr>
      <w:r>
        <w:rPr>
          <w:rFonts w:ascii="Times New Roman" w:cs="Times New Roman" w:eastAsia="Times New Roman" w:hAnsi="Times New Roman"/>
          <w:sz w:val="18"/>
          <w:szCs w:val="18"/>
          <w:color w:val="auto"/>
        </w:rPr>
        <w:t>We defer costs related to the issuance of debt. Debt issuance costs directly related to our Convertible Notes (the “Notes”) are 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$0.4 million and $1.3 million for the three and nine months ended September 26, 2026, respectively.</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Foreign Remeasurement and Currency Translation</w:t>
      </w:r>
    </w:p>
    <w:p>
      <w:pPr>
        <w:spacing w:after="0" w:line="224" w:lineRule="exact"/>
        <w:rPr>
          <w:sz w:val="20"/>
          <w:szCs w:val="20"/>
          <w:color w:val="auto"/>
        </w:rPr>
      </w:pPr>
    </w:p>
    <w:p>
      <w:pPr>
        <w:ind w:left="480" w:right="60"/>
        <w:spacing w:after="0" w:line="252" w:lineRule="auto"/>
        <w:rPr>
          <w:sz w:val="20"/>
          <w:szCs w:val="20"/>
          <w:color w:val="auto"/>
        </w:rPr>
      </w:pPr>
      <w:r>
        <w:rPr>
          <w:rFonts w:ascii="Times New Roman" w:cs="Times New Roman" w:eastAsia="Times New Roman" w:hAnsi="Times New Roman"/>
          <w:sz w:val="18"/>
          <w:szCs w:val="18"/>
          <w:color w:val="auto"/>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and nine months ended September 26, 2026, we recognized foreign exchange losses, net of the impact of foreign exchange derivative contracts, of $0.5 million and $1.2 million, respectively. During the three and nine months ended September 27, 2025, we recognized foreign exchange losses, net of the impact of foreign exchange derivative contracts, of $0.1 million and $0.6 million, respectively.</w:t>
      </w:r>
    </w:p>
    <w:p>
      <w:pPr>
        <w:spacing w:after="0" w:line="187" w:lineRule="exact"/>
        <w:rPr>
          <w:sz w:val="20"/>
          <w:szCs w:val="20"/>
          <w:color w:val="auto"/>
        </w:rPr>
      </w:pPr>
    </w:p>
    <w:p>
      <w:pPr>
        <w:ind w:left="480" w:right="160"/>
        <w:spacing w:after="0" w:line="257" w:lineRule="auto"/>
        <w:rPr>
          <w:sz w:val="20"/>
          <w:szCs w:val="20"/>
          <w:color w:val="auto"/>
        </w:rPr>
      </w:pPr>
      <w:r>
        <w:rPr>
          <w:rFonts w:ascii="Times New Roman" w:cs="Times New Roman" w:eastAsia="Times New Roman" w:hAnsi="Times New Roman"/>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Foreign Exchange Derivative Contracts</w:t>
      </w:r>
    </w:p>
    <w:p>
      <w:pPr>
        <w:spacing w:after="0" w:line="224" w:lineRule="exact"/>
        <w:rPr>
          <w:sz w:val="20"/>
          <w:szCs w:val="20"/>
          <w:color w:val="auto"/>
        </w:rPr>
      </w:pPr>
    </w:p>
    <w:p>
      <w:pPr>
        <w:ind w:left="500" w:right="140"/>
        <w:spacing w:after="0" w:line="252" w:lineRule="auto"/>
        <w:rPr>
          <w:sz w:val="20"/>
          <w:szCs w:val="20"/>
          <w:color w:val="auto"/>
        </w:rPr>
      </w:pPr>
      <w:r>
        <w:rPr>
          <w:rFonts w:ascii="Times New Roman" w:cs="Times New Roman" w:eastAsia="Times New Roman" w:hAnsi="Times New Roman"/>
          <w:sz w:val="18"/>
          <w:szCs w:val="18"/>
          <w:color w:val="auto"/>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in the condensed consolidated statements of stockholders’ equity through accumulated other comprehensive loss (AOCL).</w:t>
      </w:r>
    </w:p>
    <w:p>
      <w:pPr>
        <w:spacing w:after="0" w:line="187" w:lineRule="exact"/>
        <w:rPr>
          <w:sz w:val="20"/>
          <w:szCs w:val="20"/>
          <w:color w:val="auto"/>
        </w:rPr>
      </w:pPr>
    </w:p>
    <w:p>
      <w:pPr>
        <w:ind w:left="500" w:right="80"/>
        <w:spacing w:after="0" w:line="254" w:lineRule="auto"/>
        <w:rPr>
          <w:sz w:val="20"/>
          <w:szCs w:val="20"/>
          <w:color w:val="auto"/>
        </w:rPr>
      </w:pPr>
      <w:r>
        <w:rPr>
          <w:rFonts w:ascii="Times New Roman" w:cs="Times New Roman" w:eastAsia="Times New Roman" w:hAnsi="Times New Roman"/>
          <w:sz w:val="18"/>
          <w:szCs w:val="18"/>
          <w:color w:val="auto"/>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7, “Derivative Financial Instruments” for additional information.</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4" w:lineRule="exact"/>
        <w:rPr>
          <w:sz w:val="20"/>
          <w:szCs w:val="20"/>
          <w:color w:val="auto"/>
        </w:rPr>
      </w:pPr>
    </w:p>
    <w:p>
      <w:pPr>
        <w:ind w:left="500" w:right="740"/>
        <w:spacing w:after="0" w:line="277" w:lineRule="auto"/>
        <w:rPr>
          <w:sz w:val="20"/>
          <w:szCs w:val="20"/>
          <w:color w:val="auto"/>
        </w:rPr>
      </w:pPr>
      <w:r>
        <w:rPr>
          <w:rFonts w:ascii="Times New Roman" w:cs="Times New Roman" w:eastAsia="Times New Roman" w:hAnsi="Times New Roman"/>
          <w:sz w:val="18"/>
          <w:szCs w:val="18"/>
          <w:color w:val="auto"/>
        </w:rPr>
        <w:t xml:space="preserve">We measure and recognize all share-based compensation under the fair value method. Reported share-based compensation is classified in our condensed consolidated financial statements,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551"/>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26,</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27,</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26,</w:t>
            </w:r>
          </w:p>
        </w:tc>
        <w:tc>
          <w:tcPr>
            <w:tcW w:w="100" w:type="dxa"/>
            <w:vAlign w:val="bottom"/>
          </w:tcPr>
          <w:p>
            <w:pPr>
              <w:spacing w:after="0"/>
              <w:rPr>
                <w:sz w:val="19"/>
                <w:szCs w:val="19"/>
                <w:color w:val="auto"/>
              </w:rPr>
            </w:pPr>
          </w:p>
        </w:tc>
        <w:tc>
          <w:tcPr>
            <w:tcW w:w="1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78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1,356</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net</w:t>
            </w:r>
          </w:p>
        </w:tc>
        <w:tc>
          <w:tcPr>
            <w:tcW w:w="17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4,630</w:t>
            </w:r>
          </w:p>
        </w:tc>
        <w:tc>
          <w:tcPr>
            <w:tcW w:w="7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5,757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17,542</w:t>
            </w:r>
          </w:p>
        </w:tc>
        <w:tc>
          <w:tcPr>
            <w:tcW w:w="3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4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21"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4" w:lineRule="exact"/>
        <w:rPr>
          <w:sz w:val="20"/>
          <w:szCs w:val="20"/>
          <w:color w:val="auto"/>
        </w:rPr>
      </w:pPr>
    </w:p>
    <w:p>
      <w:pPr>
        <w:ind w:left="500" w:right="100"/>
        <w:spacing w:after="0" w:line="266" w:lineRule="auto"/>
        <w:rPr>
          <w:sz w:val="20"/>
          <w:szCs w:val="20"/>
          <w:color w:val="auto"/>
        </w:rPr>
      </w:pPr>
      <w:r>
        <w:rPr>
          <w:rFonts w:ascii="Times New Roman" w:cs="Times New Roman" w:eastAsia="Times New Roman" w:hAnsi="Times New Roman"/>
          <w:sz w:val="17"/>
          <w:szCs w:val="17"/>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certain restricted and performance stock units and stock options with exercise prices that exceed the average fair market value of our common stock for the period are excluded. The dilutive effect of the Notes is calculated under the if-converted method. Shares issuable upon conversion of the Notes are excluded from diluted income (loss) per common share in any quarter when the weighted average fair market value of our common stock is below the conversion price. In periods of year-to-date net income, diluted earnings per share reflects the effect of potentially dilutive securities to the extent dilutive. In periods of year-to-date net loss, potentially dilutive securities are excluded because their effect would be anti-dilutive. The number of incremental common shares included in year-to-date diluted earnings per share reflects the weighted-average dilutive effect determined for the interim periods included in the year-to-date period.</w:t>
      </w:r>
    </w:p>
    <w:p>
      <w:pPr>
        <w:spacing w:after="0" w:line="179" w:lineRule="exact"/>
        <w:rPr>
          <w:sz w:val="20"/>
          <w:szCs w:val="20"/>
          <w:color w:val="auto"/>
        </w:rPr>
      </w:pPr>
    </w:p>
    <w:p>
      <w:pPr>
        <w:ind w:left="500" w:right="100"/>
        <w:spacing w:after="0" w:line="251" w:lineRule="auto"/>
        <w:rPr>
          <w:sz w:val="20"/>
          <w:szCs w:val="20"/>
          <w:color w:val="auto"/>
        </w:rPr>
      </w:pPr>
      <w:r>
        <w:rPr>
          <w:rFonts w:ascii="Times New Roman" w:cs="Times New Roman" w:eastAsia="Times New Roman" w:hAnsi="Times New Roman"/>
          <w:sz w:val="18"/>
          <w:szCs w:val="18"/>
          <w:color w:val="auto"/>
        </w:rPr>
        <w:t>For the three months ended September 26, 2026, potentially dilutive securities were included in the computation of diluted income per share to the extent their effect was dilutive. For the nine months ended September 26, 2026, potentially dilutive securities were excluded from the computation of diluted loss per share because their effect would have been anti-dilutive. For the nine months ended September 26, 2026, such securities primarily consisted of shares issuable upon conversion of the Notes, which totaled approximately 3.5 million shares, while the effect of employee equity awards for the periods was not material. For the three and nine months ended September 27, 2025, potentially dilutive securities were excluded from the computation of diluted loss per share because their effect would have been anti-dilutive. For the three and nine months ended September 27, 2025, employee equity awards to issue approximately 488,000 and 588,000 shares of common stock, respectively, were excluded from the computation. All shares repurchased and held as treasury stock are reflected as a reduction to our basic weighted-average shares outstanding based on the trade date of the share repurchase.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denominators used in computing basic and diluted income (loss) per share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27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26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524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26,</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27,</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26,</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27,</w:t>
            </w:r>
          </w:p>
        </w:tc>
      </w:tr>
      <w:tr>
        <w:trPr>
          <w:trHeight w:val="232"/>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r>
      <w:tr>
        <w:trPr>
          <w:trHeight w:val="20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47,410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46,748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47,245</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46,685</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54,366</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46,748</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47,245</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46,685</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4" w:lineRule="exact"/>
        <w:rPr>
          <w:sz w:val="20"/>
          <w:szCs w:val="20"/>
          <w:color w:val="auto"/>
        </w:rPr>
      </w:pPr>
    </w:p>
    <w:p>
      <w:pPr>
        <w:jc w:val="both"/>
        <w:ind w:left="500" w:right="380"/>
        <w:spacing w:after="0" w:line="262" w:lineRule="auto"/>
        <w:rPr>
          <w:sz w:val="20"/>
          <w:szCs w:val="20"/>
          <w:color w:val="auto"/>
        </w:rPr>
      </w:pPr>
      <w:r>
        <w:rPr>
          <w:rFonts w:ascii="Times New Roman" w:cs="Times New Roman" w:eastAsia="Times New Roman" w:hAnsi="Times New Roman"/>
          <w:sz w:val="18"/>
          <w:szCs w:val="18"/>
          <w:color w:val="auto"/>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spacing w:after="0" w:line="176" w:lineRule="exact"/>
        <w:rPr>
          <w:sz w:val="20"/>
          <w:szCs w:val="20"/>
          <w:color w:val="auto"/>
        </w:rPr>
      </w:pPr>
    </w:p>
    <w:p>
      <w:pPr>
        <w:ind w:left="500" w:right="260"/>
        <w:spacing w:after="0" w:line="257" w:lineRule="auto"/>
        <w:rPr>
          <w:sz w:val="20"/>
          <w:szCs w:val="20"/>
          <w:color w:val="auto"/>
        </w:rPr>
      </w:pPr>
      <w:r>
        <w:rPr>
          <w:rFonts w:ascii="Times New Roman" w:cs="Times New Roman" w:eastAsia="Times New Roman" w:hAnsi="Times New Roman"/>
          <w:sz w:val="18"/>
          <w:szCs w:val="18"/>
          <w:color w:val="auto"/>
        </w:rPr>
        <w:t xml:space="preserve">Operating lease ROU assets and operating lease liabilities are recognized based on the present value of the future minimum lease payments over the lease term at January 1, 2019, the adoption date of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81" w:lineRule="exact"/>
        <w:rPr>
          <w:sz w:val="20"/>
          <w:szCs w:val="20"/>
          <w:color w:val="auto"/>
        </w:rPr>
      </w:pPr>
    </w:p>
    <w:p>
      <w:pPr>
        <w:ind w:left="500" w:right="80"/>
        <w:spacing w:after="0" w:line="271" w:lineRule="auto"/>
        <w:rPr>
          <w:sz w:val="20"/>
          <w:szCs w:val="20"/>
          <w:color w:val="auto"/>
        </w:rPr>
      </w:pPr>
      <w:r>
        <w:rPr>
          <w:rFonts w:ascii="Times New Roman" w:cs="Times New Roman" w:eastAsia="Times New Roman" w:hAnsi="Times New Roman"/>
          <w:sz w:val="17"/>
          <w:szCs w:val="17"/>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spacing w:after="0" w:line="26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76" w:lineRule="exact"/>
        <w:rPr>
          <w:sz w:val="20"/>
          <w:szCs w:val="20"/>
          <w:color w:val="auto"/>
        </w:rPr>
      </w:pPr>
    </w:p>
    <w:p>
      <w:pPr>
        <w:jc w:val="both"/>
        <w:ind w:left="500" w:right="60"/>
        <w:spacing w:after="0" w:line="262" w:lineRule="auto"/>
        <w:rPr>
          <w:sz w:val="20"/>
          <w:szCs w:val="20"/>
          <w:color w:val="auto"/>
        </w:rPr>
      </w:pPr>
      <w:r>
        <w:rPr>
          <w:rFonts w:ascii="Times New Roman" w:cs="Times New Roman" w:eastAsia="Times New Roman" w:hAnsi="Times New Roman"/>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4" w:lineRule="exact"/>
        <w:rPr>
          <w:sz w:val="20"/>
          <w:szCs w:val="20"/>
          <w:color w:val="auto"/>
        </w:rPr>
      </w:pPr>
    </w:p>
    <w:p>
      <w:pPr>
        <w:ind w:left="480" w:right="40"/>
        <w:spacing w:after="0" w:line="257" w:lineRule="auto"/>
        <w:rPr>
          <w:sz w:val="20"/>
          <w:szCs w:val="20"/>
          <w:color w:val="auto"/>
        </w:rPr>
      </w:pPr>
      <w:r>
        <w:rPr>
          <w:rFonts w:ascii="Times New Roman" w:cs="Times New Roman" w:eastAsia="Times New Roman" w:hAnsi="Times New Roman"/>
          <w:sz w:val="18"/>
          <w:szCs w:val="18"/>
          <w:color w:val="auto"/>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spacing w:after="0" w:line="181"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86" w:lineRule="exact"/>
        <w:rPr>
          <w:sz w:val="20"/>
          <w:szCs w:val="20"/>
          <w:color w:val="auto"/>
        </w:rPr>
      </w:pPr>
    </w:p>
    <w:p>
      <w:pPr>
        <w:ind w:left="480" w:right="140"/>
        <w:spacing w:after="0" w:line="262" w:lineRule="auto"/>
        <w:rPr>
          <w:sz w:val="20"/>
          <w:szCs w:val="20"/>
          <w:color w:val="auto"/>
        </w:rPr>
      </w:pPr>
      <w:r>
        <w:rPr>
          <w:rFonts w:ascii="Times New Roman" w:cs="Times New Roman" w:eastAsia="Times New Roman" w:hAnsi="Times New Roman"/>
          <w:sz w:val="18"/>
          <w:szCs w:val="18"/>
          <w:color w:val="auto"/>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6" w:lineRule="exact"/>
        <w:rPr>
          <w:sz w:val="20"/>
          <w:szCs w:val="20"/>
          <w:color w:val="auto"/>
        </w:rPr>
      </w:pPr>
    </w:p>
    <w:p>
      <w:pPr>
        <w:jc w:val="both"/>
        <w:ind w:left="480" w:right="40"/>
        <w:spacing w:after="0" w:line="257" w:lineRule="auto"/>
        <w:rPr>
          <w:sz w:val="20"/>
          <w:szCs w:val="20"/>
          <w:color w:val="auto"/>
        </w:rPr>
      </w:pPr>
      <w:r>
        <w:rPr>
          <w:rFonts w:ascii="Times New Roman" w:cs="Times New Roman" w:eastAsia="Times New Roman" w:hAnsi="Times New Roman"/>
          <w:sz w:val="18"/>
          <w:szCs w:val="18"/>
          <w:color w:val="auto"/>
        </w:rPr>
        <w:t xml:space="preserve">Unsatisfied performance obligations primarily represent contracts for products with future delivery dates. At September 26, 2026, we had $4.6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have opted to not disclose unsatisfied performance obligations for contracts with original expected durations of less than one year.</w:t>
      </w:r>
    </w:p>
    <w:p>
      <w:pPr>
        <w:spacing w:after="0" w:line="181" w:lineRule="exact"/>
        <w:rPr>
          <w:sz w:val="20"/>
          <w:szCs w:val="20"/>
          <w:color w:val="auto"/>
        </w:rPr>
      </w:pPr>
    </w:p>
    <w:p>
      <w:pPr>
        <w:ind w:left="500" w:right="20"/>
        <w:spacing w:after="0" w:line="262" w:lineRule="auto"/>
        <w:rPr>
          <w:sz w:val="20"/>
          <w:szCs w:val="20"/>
          <w:color w:val="auto"/>
        </w:rPr>
      </w:pPr>
      <w:r>
        <w:rPr>
          <w:rFonts w:ascii="Times New Roman" w:cs="Times New Roman" w:eastAsia="Times New Roman" w:hAnsi="Times New Roman"/>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w:t>
      </w:r>
    </w:p>
    <w:p>
      <w:pPr>
        <w:spacing w:after="0" w:line="176" w:lineRule="exact"/>
        <w:rPr>
          <w:sz w:val="20"/>
          <w:szCs w:val="20"/>
          <w:color w:val="auto"/>
        </w:rPr>
      </w:pPr>
    </w:p>
    <w:p>
      <w:pPr>
        <w:ind w:left="480" w:right="20"/>
        <w:spacing w:after="0" w:line="251" w:lineRule="auto"/>
        <w:rPr>
          <w:sz w:val="20"/>
          <w:szCs w:val="20"/>
          <w:color w:val="auto"/>
        </w:rPr>
      </w:pPr>
      <w:r>
        <w:rPr>
          <w:rFonts w:ascii="Times New Roman" w:cs="Times New Roman" w:eastAsia="Times New Roman" w:hAnsi="Times New Roman"/>
          <w:sz w:val="18"/>
          <w:szCs w:val="18"/>
          <w:color w:val="auto"/>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90" w:lineRule="exact"/>
        <w:rPr>
          <w:sz w:val="20"/>
          <w:szCs w:val="20"/>
          <w:color w:val="auto"/>
        </w:rPr>
      </w:pPr>
    </w:p>
    <w:p>
      <w:pPr>
        <w:ind w:left="480" w:right="380"/>
        <w:spacing w:after="0" w:line="277" w:lineRule="auto"/>
        <w:rPr>
          <w:sz w:val="20"/>
          <w:szCs w:val="20"/>
          <w:color w:val="auto"/>
        </w:rPr>
      </w:pPr>
      <w:r>
        <w:rPr>
          <w:rFonts w:ascii="Times New Roman" w:cs="Times New Roman" w:eastAsia="Times New Roman" w:hAnsi="Times New Roman"/>
          <w:sz w:val="18"/>
          <w:szCs w:val="18"/>
          <w:color w:val="auto"/>
        </w:rPr>
        <w:t>For contracts that are less than one year in duration, we have elected to use the practical expedient available in ASC 606 to expense cost to obtain contracts as they are incurred because they would be amortized over less than one year.</w:t>
      </w:r>
    </w:p>
    <w:p>
      <w:pPr>
        <w:spacing w:after="0" w:line="163" w:lineRule="exact"/>
        <w:rPr>
          <w:sz w:val="20"/>
          <w:szCs w:val="20"/>
          <w:color w:val="auto"/>
        </w:rPr>
      </w:pPr>
    </w:p>
    <w:p>
      <w:pPr>
        <w:ind w:left="480" w:right="240"/>
        <w:spacing w:after="0" w:line="257" w:lineRule="auto"/>
        <w:rPr>
          <w:sz w:val="20"/>
          <w:szCs w:val="20"/>
          <w:color w:val="auto"/>
        </w:rPr>
      </w:pPr>
      <w:r>
        <w:rPr>
          <w:rFonts w:ascii="Times New Roman" w:cs="Times New Roman" w:eastAsia="Times New Roman" w:hAnsi="Times New Roman"/>
          <w:sz w:val="18"/>
          <w:szCs w:val="18"/>
          <w:color w:val="auto"/>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shipments where sales are not recognized, gross profit is recorded as deferred profit in our condensed consolidated balance sheet, representing the</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difference between the receivable recorded and the inventory shipped. In certain instances where customer payments are received prior to product</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shipment, the customer’s payments are recorded as customer advances. At September 26, 2026, we had deferred revenue totaling approximately</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$14.4 million, current deferred profit of $9.5 million and deferred profit expected to be recognized after one year included in noncurrent other accrued</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liabilities of $3.3 million. At December 27, 2025, we had deferred revenue totaling approximately $15.3 million, current deferred profit of</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$8.6 million and deferred profit expected to be recognized after one year included in noncurrent other accrued liabilities of $3.7 million.</w:t>
      </w:r>
    </w:p>
    <w:p>
      <w:pPr>
        <w:spacing w:after="0" w:line="19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sales by type are as follows </w:t>
            </w: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3"/>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26,</w:t>
            </w:r>
          </w:p>
        </w:tc>
        <w:tc>
          <w:tcPr>
            <w:tcW w:w="1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27,</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26,</w:t>
            </w:r>
          </w:p>
        </w:tc>
        <w:tc>
          <w:tcPr>
            <w:tcW w:w="22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2"/>
        </w:trPr>
        <w:tc>
          <w:tcPr>
            <w:tcW w:w="52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90,694</w:t>
            </w:r>
          </w:p>
        </w:tc>
        <w:tc>
          <w:tcPr>
            <w:tcW w:w="36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56,245</w:t>
            </w:r>
          </w:p>
        </w:tc>
        <w:tc>
          <w:tcPr>
            <w:tcW w:w="36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210,796</w:t>
            </w:r>
          </w:p>
        </w:tc>
        <w:tc>
          <w:tcPr>
            <w:tcW w:w="46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Non-systems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126,249</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447,077</w:t>
            </w:r>
          </w:p>
        </w:tc>
        <w:tc>
          <w:tcPr>
            <w:tcW w:w="4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Revenue by geographic area based upon product shipment destination was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8"/>
              </w:rPr>
              <w:t>September 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27,</w:t>
            </w:r>
          </w:p>
        </w:tc>
        <w:tc>
          <w:tcPr>
            <w:tcW w:w="0" w:type="dxa"/>
            <w:vAlign w:val="bottom"/>
          </w:tcPr>
          <w:p>
            <w:pPr>
              <w:spacing w:after="0"/>
              <w:rPr>
                <w:sz w:val="1"/>
                <w:szCs w:val="1"/>
                <w:color w:val="auto"/>
              </w:rPr>
            </w:pPr>
          </w:p>
        </w:tc>
      </w:tr>
      <w:tr>
        <w:trPr>
          <w:trHeight w:val="232"/>
        </w:trPr>
        <w:tc>
          <w:tcPr>
            <w:tcW w:w="5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77,233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126,249</w:t>
            </w:r>
          </w:p>
        </w:tc>
        <w:tc>
          <w:tcPr>
            <w:tcW w:w="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447,077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right="680"/>
        <w:spacing w:after="0" w:line="277" w:lineRule="auto"/>
        <w:rPr>
          <w:sz w:val="20"/>
          <w:szCs w:val="20"/>
          <w:color w:val="auto"/>
        </w:rPr>
      </w:pPr>
      <w:r>
        <w:rPr>
          <w:rFonts w:ascii="Times New Roman" w:cs="Times New Roman" w:eastAsia="Times New Roman" w:hAnsi="Times New Roman"/>
          <w:sz w:val="18"/>
          <w:szCs w:val="18"/>
          <w:color w:val="auto"/>
        </w:rPr>
        <w:t>A small number of customers historically have been responsible for a significant portion of our net sales. Significant customer concentration information is as follows:</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25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55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26,</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27,</w:t>
            </w:r>
          </w:p>
        </w:tc>
        <w:tc>
          <w:tcPr>
            <w:tcW w:w="18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32"/>
        </w:trPr>
        <w:tc>
          <w:tcPr>
            <w:tcW w:w="5500" w:type="dxa"/>
            <w:vAlign w:val="bottom"/>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2026</w:t>
            </w:r>
          </w:p>
        </w:tc>
        <w:tc>
          <w:tcPr>
            <w:tcW w:w="12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 individually representing 10% or more of net sales</w:t>
            </w:r>
          </w:p>
        </w:tc>
        <w:tc>
          <w:tcPr>
            <w:tcW w:w="12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one</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three</w:t>
            </w:r>
          </w:p>
        </w:tc>
        <w:tc>
          <w:tcPr>
            <w:tcW w:w="140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r>
      <w:tr>
        <w:trPr>
          <w:trHeight w:val="2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bl>
    <w:p>
      <w:pPr>
        <w:spacing w:after="0" w:line="189" w:lineRule="exact"/>
        <w:rPr>
          <w:sz w:val="20"/>
          <w:szCs w:val="20"/>
          <w:color w:val="auto"/>
        </w:rPr>
      </w:pPr>
    </w:p>
    <w:p>
      <w:pPr>
        <w:ind w:left="800" w:hanging="31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 customer represented more than 10% of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-127635</wp:posOffset>
            </wp:positionV>
            <wp:extent cx="677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4"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Our accumulated other comprehensive loss balance totaled approximately $40.7 million and $32.5 million at September 26, 2026 and December 27, 2025,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nine months of fiscal 2026 and 2025 were not significant.</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Retiree Medical Benefits</w:t>
      </w:r>
    </w:p>
    <w:p>
      <w:pPr>
        <w:spacing w:after="0" w:line="224"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8"/>
          <w:szCs w:val="18"/>
          <w:color w:val="auto"/>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nine months of fiscal 2026 and 2025 was not significant.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0"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requiring public entities to disclose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categories in the notes to the financial statements on an interim and annual basis. The FASB subsequently issued ASU 2025-01,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Clarifying the Effective Date</w:t>
      </w:r>
      <w:r>
        <w:rPr>
          <w:rFonts w:ascii="Times New Roman" w:cs="Times New Roman" w:eastAsia="Times New Roman" w:hAnsi="Times New Roman"/>
          <w:sz w:val="18"/>
          <w:szCs w:val="18"/>
          <w:color w:val="auto"/>
        </w:rPr>
        <w:t>, to clarify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ASU 2024-03. The guidance is effective for fiscal years beginning after December 15, 2026, and for interim periods beginning after December 15, 2027, with early adoption permitted. We are currently evaluating the impact of adopting the new standard; however, we do not expect it to have a material impact on Cohu’s financial statements other than enhanced disclosures.</w:t>
      </w:r>
    </w:p>
    <w:p>
      <w:pPr>
        <w:spacing w:after="0" w:line="200" w:lineRule="exact"/>
        <w:rPr>
          <w:sz w:val="20"/>
          <w:szCs w:val="20"/>
          <w:color w:val="auto"/>
        </w:rPr>
      </w:pPr>
    </w:p>
    <w:p>
      <w:pPr>
        <w:spacing w:after="0" w:line="225" w:lineRule="exact"/>
        <w:rPr>
          <w:sz w:val="20"/>
          <w:szCs w:val="20"/>
          <w:color w:val="auto"/>
        </w:rPr>
      </w:pPr>
    </w:p>
    <w:p>
      <w:pPr>
        <w:ind w:left="500" w:right="5760" w:hanging="493"/>
        <w:spacing w:after="0" w:line="497" w:lineRule="auto"/>
        <w:tabs>
          <w:tab w:leader="none" w:pos="48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Acquisitions, Goodwill and Purchased Intangible Assets </w:t>
      </w:r>
      <w:r>
        <w:rPr>
          <w:rFonts w:ascii="Times New Roman" w:cs="Times New Roman" w:eastAsia="Times New Roman" w:hAnsi="Times New Roman"/>
          <w:sz w:val="18"/>
          <w:szCs w:val="18"/>
          <w:i w:val="1"/>
          <w:iCs w:val="1"/>
          <w:u w:val="single" w:color="auto"/>
          <w:color w:val="auto"/>
        </w:rPr>
        <w:t>Tignis, Inc.</w:t>
      </w:r>
    </w:p>
    <w:p>
      <w:pPr>
        <w:ind w:left="5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innovative AI, machine learning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finalized in the third quarter of fiscal 2025. We made a cash payment totaling approximately $34.9 million, net of cash received, for Tignis which was paid out of cash on hand.</w:t>
      </w:r>
    </w:p>
    <w:p>
      <w:pPr>
        <w:spacing w:after="0" w:line="186" w:lineRule="exact"/>
        <w:rPr>
          <w:rFonts w:ascii="Times New Roman" w:cs="Times New Roman" w:eastAsia="Times New Roman" w:hAnsi="Times New Roman"/>
          <w:sz w:val="18"/>
          <w:szCs w:val="18"/>
          <w:b w:val="1"/>
          <w:bCs w:val="1"/>
          <w:color w:val="auto"/>
        </w:rPr>
      </w:pPr>
    </w:p>
    <w:p>
      <w:pPr>
        <w:ind w:left="5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initial consideration paid, the Tignis shareholders had the right to receive an additional $5.0 million of contingent consideration subject to Tignis achieving certain sales and expense targets through December 2025. The contingent consideration payable was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The initial fair value of the contingent consideration recognized at acquisition date was $1.7 million. In the first quarter of fiscal 2025, we updated the fair value of contingent consideration to zero based on management’s current estimates at that date which differed from those used as of January 7, 2025. The sales and expense targets were not met in fiscal 2025 and no additional payment was owed to Tignis’ shareholders.</w:t>
      </w:r>
    </w:p>
    <w:p>
      <w:pPr>
        <w:spacing w:after="0" w:line="190" w:lineRule="exact"/>
        <w:rPr>
          <w:sz w:val="20"/>
          <w:szCs w:val="20"/>
          <w:color w:val="auto"/>
        </w:rPr>
      </w:pPr>
    </w:p>
    <w:p>
      <w:pPr>
        <w:jc w:val="both"/>
        <w:ind w:left="500" w:right="160"/>
        <w:spacing w:after="0" w:line="284" w:lineRule="auto"/>
        <w:rPr>
          <w:sz w:val="20"/>
          <w:szCs w:val="20"/>
          <w:color w:val="auto"/>
        </w:rPr>
      </w:pPr>
      <w:r>
        <w:rPr>
          <w:rFonts w:ascii="Times New Roman" w:cs="Times New Roman" w:eastAsia="Times New Roman" w:hAnsi="Times New Roman"/>
          <w:sz w:val="17"/>
          <w:szCs w:val="17"/>
          <w:color w:val="auto"/>
        </w:rPr>
        <w:t>Including cash paid, the impact of our working capital adjustment and the fair value of the contingent consideration, the purchase price for Tignis is $36.6 million. During the nine months ended September 27, 2025, we incurred acquisition-related costs totaling approximately $0.4 million, which were expensed as selling, general and administrative costs. Costs incurred during the three months ended September 27, 2025, were not significant.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p>
      <w:pPr>
        <w:ind w:left="500" w:right="180"/>
        <w:spacing w:after="0" w:line="258" w:lineRule="auto"/>
        <w:rPr>
          <w:sz w:val="20"/>
          <w:szCs w:val="20"/>
          <w:color w:val="auto"/>
        </w:rPr>
      </w:pPr>
      <w:r>
        <w:rPr>
          <w:rFonts w:ascii="Times New Roman" w:cs="Times New Roman" w:eastAsia="Times New Roman" w:hAnsi="Times New Roman"/>
          <w:sz w:val="18"/>
          <w:szCs w:val="18"/>
          <w:color w:val="auto"/>
        </w:rPr>
        <w:t xml:space="preserve">The acquisition of Tignis has been accounted for in conformity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Tignis were recorded at their respective fair values including an amount for goodwill representing the difference between the consideration paid and the fair value of the identifiable net assets. The purchase price allocation was finalized during the third quarter of 2025. The table below summarizes the assets acquired and liabilities assumed as of January 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33,688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jc w:val="right"/>
              <w:ind w:right="914"/>
              <w:spacing w:after="0"/>
              <w:rPr>
                <w:sz w:val="20"/>
                <w:szCs w:val="20"/>
                <w:color w:val="auto"/>
              </w:rPr>
            </w:pPr>
            <w:r>
              <w:rPr>
                <w:rFonts w:ascii="Times New Roman" w:cs="Times New Roman" w:eastAsia="Times New Roman" w:hAnsi="Times New Roman"/>
                <w:sz w:val="18"/>
                <w:szCs w:val="18"/>
                <w:color w:val="auto"/>
                <w:w w:val="98"/>
              </w:rPr>
              <w:t xml:space="preserve">The allocation of the intangible assets subject to amortization is as follows </w:t>
            </w:r>
            <w:r>
              <w:rPr>
                <w:rFonts w:ascii="Times New Roman" w:cs="Times New Roman" w:eastAsia="Times New Roman" w:hAnsi="Times New Roman"/>
                <w:sz w:val="18"/>
                <w:szCs w:val="18"/>
                <w:i w:val="1"/>
                <w:iCs w:val="1"/>
                <w:color w:val="auto"/>
                <w:w w:val="98"/>
              </w:rPr>
              <w:t>(in thousands)</w:t>
            </w:r>
            <w:r>
              <w:rPr>
                <w:rFonts w:ascii="Times New Roman" w:cs="Times New Roman" w:eastAsia="Times New Roman" w:hAnsi="Times New Roman"/>
                <w:sz w:val="18"/>
                <w:szCs w:val="18"/>
                <w:color w:val="auto"/>
                <w:w w:val="98"/>
              </w:rPr>
              <w:t>:</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Useful Life</w:t>
            </w: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2,300</w:t>
            </w: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61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2,900</w:t>
            </w:r>
          </w:p>
        </w:tc>
        <w:tc>
          <w:tcPr>
            <w:tcW w:w="1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right="20"/>
        <w:spacing w:after="0" w:line="257"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spacing w:after="0" w:line="181"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0" w:lineRule="exact"/>
        <w:rPr>
          <w:sz w:val="20"/>
          <w:szCs w:val="20"/>
          <w:color w:val="auto"/>
        </w:rPr>
      </w:pPr>
    </w:p>
    <w:p>
      <w:pPr>
        <w:ind w:left="500" w:right="60"/>
        <w:spacing w:after="0" w:line="257"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79" w:lineRule="exact"/>
        <w:rPr>
          <w:sz w:val="20"/>
          <w:szCs w:val="20"/>
          <w:color w:val="auto"/>
        </w:rPr>
      </w:pPr>
    </w:p>
    <w:p>
      <w:pPr>
        <w:ind w:left="500" w:right="100"/>
        <w:spacing w:after="0" w:line="255" w:lineRule="auto"/>
        <w:rPr>
          <w:sz w:val="20"/>
          <w:szCs w:val="20"/>
          <w:color w:val="auto"/>
        </w:rPr>
      </w:pPr>
      <w:r>
        <w:rPr>
          <w:rFonts w:ascii="Times New Roman" w:cs="Times New Roman" w:eastAsia="Times New Roman" w:hAnsi="Times New Roman"/>
          <w:sz w:val="18"/>
          <w:szCs w:val="18"/>
          <w:color w:val="auto"/>
        </w:rPr>
        <w:t xml:space="preserve">The earnout agreement was measured at fair value in accordance with the guidance provided by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right="580"/>
        <w:spacing w:after="0" w:line="277" w:lineRule="auto"/>
        <w:rPr>
          <w:sz w:val="20"/>
          <w:szCs w:val="20"/>
          <w:color w:val="auto"/>
        </w:rPr>
      </w:pPr>
      <w:r>
        <w:rPr>
          <w:rFonts w:ascii="Times New Roman" w:cs="Times New Roman" w:eastAsia="Times New Roman" w:hAnsi="Times New Roman"/>
          <w:sz w:val="18"/>
          <w:szCs w:val="18"/>
          <w:color w:val="auto"/>
        </w:rPr>
        <w:t>Tignis’ results of operations have been included starting January 7, 2025. The impact of Tignis on our condensed consolidated statements of operations and comprehensive income (loss) was not material.</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222"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18"/>
          <w:szCs w:val="18"/>
          <w:color w:val="auto"/>
        </w:rPr>
        <w:t>Changes in the carrying value of goodwill during the year ended December 27, 2025, and the nine-month period ended September 26, 2026,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0" w:type="dxa"/>
            <w:vAlign w:val="bottom"/>
          </w:tcPr>
          <w:p>
            <w:pPr>
              <w:spacing w:after="0"/>
              <w:rPr>
                <w:sz w:val="1"/>
                <w:szCs w:val="1"/>
                <w:color w:val="auto"/>
              </w:rPr>
            </w:pPr>
          </w:p>
        </w:tc>
      </w:tr>
      <w:tr>
        <w:trPr>
          <w:trHeight w:val="207"/>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234,639</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33,688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283,027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26, 2026</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278,721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38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September 26, 2026</w:t>
            </w:r>
          </w:p>
        </w:tc>
        <w:tc>
          <w:tcPr>
            <w:tcW w:w="260" w:type="dxa"/>
            <w:vAlign w:val="bottom"/>
          </w:tcPr>
          <w:p>
            <w:pPr>
              <w:spacing w:after="0"/>
              <w:rPr>
                <w:sz w:val="24"/>
                <w:szCs w:val="24"/>
                <w:color w:val="auto"/>
              </w:rPr>
            </w:pPr>
          </w:p>
        </w:tc>
        <w:tc>
          <w:tcPr>
            <w:tcW w:w="23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w w:val="97"/>
              </w:rPr>
              <w:t>December 27, 2025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Developed technology</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Trade names</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Covenant not-to-compete</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Gross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Accum.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Amort.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w:t>
            </w:r>
          </w:p>
        </w:tc>
      </w:tr>
      <w:tr>
        <w:trPr>
          <w:trHeight w:val="213"/>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Period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8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Amort.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Amort.</w:t>
            </w:r>
          </w:p>
        </w:tc>
      </w:tr>
      <w:tr>
        <w:trPr>
          <w:trHeight w:val="188"/>
        </w:trPr>
        <w:tc>
          <w:tcPr>
            <w:tcW w:w="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238,081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211,708</w:t>
            </w:r>
          </w:p>
        </w:tc>
        <w:tc>
          <w:tcPr>
            <w:tcW w:w="200" w:type="dxa"/>
            <w:vAlign w:val="bottom"/>
          </w:tcPr>
          <w:p>
            <w:pPr>
              <w:spacing w:after="0"/>
              <w:rPr>
                <w:sz w:val="16"/>
                <w:szCs w:val="16"/>
                <w:color w:val="auto"/>
              </w:rPr>
            </w:pPr>
          </w:p>
        </w:tc>
        <w:tc>
          <w:tcPr>
            <w:tcW w:w="1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1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241,038</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199,776</w:t>
            </w:r>
          </w:p>
        </w:tc>
        <w:tc>
          <w:tcPr>
            <w:tcW w:w="20" w:type="dxa"/>
            <w:vAlign w:val="bottom"/>
          </w:tcPr>
          <w:p>
            <w:pPr>
              <w:spacing w:after="0"/>
              <w:rPr>
                <w:sz w:val="16"/>
                <w:szCs w:val="16"/>
                <w:color w:val="auto"/>
              </w:rPr>
            </w:pPr>
          </w:p>
        </w:tc>
      </w:tr>
      <w:tr>
        <w:trPr>
          <w:trHeight w:val="213"/>
        </w:trPr>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49,091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75,677</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44,210</w:t>
            </w:r>
          </w:p>
        </w:tc>
      </w:tr>
      <w:tr>
        <w:trPr>
          <w:trHeight w:val="213"/>
        </w:trPr>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22,366</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15,845</w:t>
            </w:r>
          </w:p>
        </w:tc>
      </w:tr>
      <w:tr>
        <w:trPr>
          <w:trHeight w:val="232"/>
        </w:trPr>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07"/>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335,179</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278,166</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339,306</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260,034</w:t>
            </w:r>
          </w:p>
        </w:tc>
        <w:tc>
          <w:tcPr>
            <w:tcW w:w="2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-711200</wp:posOffset>
            </wp:positionV>
            <wp:extent cx="676973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-440055</wp:posOffset>
            </wp:positionV>
            <wp:extent cx="676973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-160655</wp:posOffset>
            </wp:positionV>
            <wp:extent cx="6769735" cy="16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9735" cy="1612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3600" w:space="720"/>
            <w:col w:w="6740"/>
          </w:cols>
          <w:pgMar w:left="320" w:top="121" w:right="51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Changes in the carrying values of purchased intangible assets presented above are a result of the impact of fluctuations in currency exchange rates.</w:t>
      </w:r>
    </w:p>
    <w:p>
      <w:pPr>
        <w:spacing w:after="0" w:line="231" w:lineRule="exact"/>
        <w:rPr>
          <w:sz w:val="20"/>
          <w:szCs w:val="20"/>
          <w:color w:val="auto"/>
        </w:rPr>
      </w:pPr>
    </w:p>
    <w:p>
      <w:pPr>
        <w:jc w:val="both"/>
        <w:ind w:left="500" w:right="260"/>
        <w:spacing w:after="0" w:line="262" w:lineRule="auto"/>
        <w:rPr>
          <w:sz w:val="20"/>
          <w:szCs w:val="20"/>
          <w:color w:val="auto"/>
        </w:rPr>
      </w:pPr>
      <w:r>
        <w:rPr>
          <w:rFonts w:ascii="Times New Roman" w:cs="Times New Roman" w:eastAsia="Times New Roman" w:hAnsi="Times New Roman"/>
          <w:sz w:val="18"/>
          <w:szCs w:val="18"/>
          <w:color w:val="auto"/>
        </w:rPr>
        <w:t>Amortization expense related to intangible assets was approximately $7.2 million in the third quarter of fiscal 2026 and $21.8 million in the nine months of fiscal 2026. Amortization expense related to intangible assets was approximately $10.2 million in the third quarter of fiscal 2025 and $30.2 million in the nine months of fiscal 2025.</w:t>
      </w:r>
    </w:p>
    <w:p>
      <w:pPr>
        <w:spacing w:after="0" w:line="200" w:lineRule="exact"/>
        <w:rPr>
          <w:sz w:val="20"/>
          <w:szCs w:val="20"/>
          <w:color w:val="auto"/>
        </w:rPr>
      </w:pPr>
    </w:p>
    <w:p>
      <w:pPr>
        <w:spacing w:after="0" w:line="212" w:lineRule="exact"/>
        <w:rPr>
          <w:sz w:val="20"/>
          <w:szCs w:val="20"/>
          <w:color w:val="auto"/>
        </w:rPr>
      </w:pPr>
    </w:p>
    <w:p>
      <w:pPr>
        <w:ind w:left="480" w:hanging="473"/>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and Credit Agreements</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our borrowings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27,</w:t>
            </w:r>
          </w:p>
        </w:tc>
      </w:tr>
      <w:tr>
        <w:trPr>
          <w:trHeight w:val="232"/>
        </w:trPr>
        <w:tc>
          <w:tcPr>
            <w:tcW w:w="5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r>
      <w:tr>
        <w:trPr>
          <w:trHeight w:val="20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shd w:val="clear" w:color="auto" w:fill="CCEEFF"/>
          </w:tcPr>
          <w:p>
            <w:pPr>
              <w:spacing w:after="0"/>
              <w:rPr>
                <w:sz w:val="17"/>
                <w:szCs w:val="17"/>
                <w:color w:val="auto"/>
              </w:rPr>
            </w:pP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80" w:type="dxa"/>
            <w:vAlign w:val="bottom"/>
          </w:tcPr>
          <w:p>
            <w:pPr>
              <w:spacing w:after="0"/>
              <w:rPr>
                <w:sz w:val="18"/>
                <w:szCs w:val="18"/>
                <w:color w:val="auto"/>
              </w:rPr>
            </w:pP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loan-Cohu GmbH</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shd w:val="clear" w:color="auto" w:fill="CCEEFF"/>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Loans-Kita</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8"/>
                <w:szCs w:val="18"/>
                <w:color w:val="auto"/>
              </w:rPr>
            </w:pPr>
          </w:p>
        </w:tc>
      </w:tr>
      <w:tr>
        <w:trPr>
          <w:trHeight w:val="22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207"/>
        </w:trPr>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309,804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305,089</w:t>
            </w:r>
          </w:p>
        </w:tc>
        <w:tc>
          <w:tcPr>
            <w:tcW w:w="80" w:type="dxa"/>
            <w:vAlign w:val="bottom"/>
          </w:tcPr>
          <w:p>
            <w:pPr>
              <w:spacing w:after="0"/>
              <w:rPr>
                <w:sz w:val="17"/>
                <w:szCs w:val="17"/>
                <w:color w:val="auto"/>
              </w:rPr>
            </w:pP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fees and discount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(9,012)</w:t>
            </w:r>
          </w:p>
        </w:tc>
      </w:tr>
      <w:tr>
        <w:trPr>
          <w:trHeight w:val="22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(16,849)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(11,051)</w:t>
            </w:r>
          </w:p>
        </w:tc>
      </w:tr>
      <w:tr>
        <w:trPr>
          <w:trHeight w:val="220"/>
        </w:trPr>
        <w:tc>
          <w:tcPr>
            <w:tcW w:w="5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060"/>
          </w:cols>
          <w:pgMar w:left="320" w:top="121"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Senior Notes Due 2031</w:t>
      </w:r>
    </w:p>
    <w:p>
      <w:pPr>
        <w:spacing w:after="0" w:line="222" w:lineRule="exact"/>
        <w:rPr>
          <w:sz w:val="20"/>
          <w:szCs w:val="20"/>
          <w:color w:val="auto"/>
        </w:rPr>
      </w:pPr>
    </w:p>
    <w:p>
      <w:pPr>
        <w:ind w:left="500" w:right="100"/>
        <w:spacing w:after="0" w:line="254" w:lineRule="auto"/>
        <w:rPr>
          <w:sz w:val="20"/>
          <w:szCs w:val="20"/>
          <w:color w:val="auto"/>
        </w:rPr>
      </w:pPr>
      <w:r>
        <w:rPr>
          <w:rFonts w:ascii="Times New Roman" w:cs="Times New Roman" w:eastAsia="Times New Roman" w:hAnsi="Times New Roman"/>
          <w:sz w:val="18"/>
          <w:szCs w:val="18"/>
          <w:color w:val="auto"/>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spacing w:after="0" w:line="186" w:lineRule="exact"/>
        <w:rPr>
          <w:sz w:val="20"/>
          <w:szCs w:val="20"/>
          <w:color w:val="auto"/>
        </w:rPr>
      </w:pPr>
    </w:p>
    <w:p>
      <w:pPr>
        <w:ind w:left="500" w:right="40"/>
        <w:spacing w:after="0" w:line="25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The Notes were convertible at the option of holders from July 28, 2026, through September 8, 2026, as a result of the last reported sale price of our common stock exceeding 130% of the conversion price of the Notes for at least five trading days (whether or not consecutive) during the first 20 trading days of the fiscal quarter commencing June 28, 2026. No Notes were converted during the third quarter of fiscal 2026, and $287.5 million aggregate principal amount of the Notes remained outstanding as of September 26, 2026. The market-price conversion condition was also satisfied during the first 20 trading days of the fiscal quarter commencing September 27, 2026, resulting in the Notes becoming convertible at the option of holders from October 26, 2026, through December 7, 2026.</w:t>
      </w:r>
    </w:p>
    <w:p>
      <w:pPr>
        <w:spacing w:after="0" w:line="187"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8"/>
          <w:szCs w:val="18"/>
          <w:color w:val="auto"/>
        </w:rPr>
        <w:t>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187" w:lineRule="exact"/>
        <w:rPr>
          <w:sz w:val="20"/>
          <w:szCs w:val="20"/>
          <w:color w:val="auto"/>
        </w:rPr>
      </w:pPr>
    </w:p>
    <w:p>
      <w:pPr>
        <w:ind w:left="500" w:right="60"/>
        <w:spacing w:after="0" w:line="253" w:lineRule="auto"/>
        <w:rPr>
          <w:sz w:val="20"/>
          <w:szCs w:val="20"/>
          <w:color w:val="auto"/>
        </w:rPr>
      </w:pPr>
      <w:r>
        <w:rPr>
          <w:rFonts w:ascii="Times New Roman" w:cs="Times New Roman" w:eastAsia="Times New Roman" w:hAnsi="Times New Roman"/>
          <w:sz w:val="18"/>
          <w:szCs w:val="18"/>
          <w:color w:val="auto"/>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spacing w:after="0" w:line="185" w:lineRule="exact"/>
        <w:rPr>
          <w:sz w:val="20"/>
          <w:szCs w:val="20"/>
          <w:color w:val="auto"/>
        </w:rPr>
      </w:pPr>
    </w:p>
    <w:p>
      <w:pPr>
        <w:ind w:left="500" w:right="120"/>
        <w:spacing w:after="0" w:line="262" w:lineRule="auto"/>
        <w:rPr>
          <w:sz w:val="20"/>
          <w:szCs w:val="20"/>
          <w:color w:val="auto"/>
        </w:rPr>
      </w:pPr>
      <w:r>
        <w:rPr>
          <w:rFonts w:ascii="Times New Roman" w:cs="Times New Roman" w:eastAsia="Times New Roman" w:hAnsi="Times New Roman"/>
          <w:sz w:val="18"/>
          <w:szCs w:val="18"/>
          <w:color w:val="auto"/>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ind w:left="500" w:right="200"/>
        <w:spacing w:after="0" w:line="262" w:lineRule="auto"/>
        <w:rPr>
          <w:sz w:val="20"/>
          <w:szCs w:val="20"/>
          <w:color w:val="auto"/>
        </w:rPr>
      </w:pPr>
      <w:r>
        <w:rPr>
          <w:rFonts w:ascii="Times New Roman" w:cs="Times New Roman" w:eastAsia="Times New Roman" w:hAnsi="Times New Roman"/>
          <w:sz w:val="18"/>
          <w:szCs w:val="18"/>
          <w:color w:val="auto"/>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spacing w:after="0" w:line="174"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 xml:space="preserve">The Notes are recorded as liabilities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Issuance costs will be amortized to interest expense over the term of the Notes using the effective interest method. Upon issuance, we evaluated the conversion feature for potential separation as an embedded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determined that the conversion feature did not meet the criteria for derivative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effective interest rate for the Notes is 2.2% after considering the effect of the accretion of the related debt discount over the term of the Notes. For</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three months ended September 26, 2026, total interest expense related to the Notes was $1.5 million, with coupon interest expense of $1.1 million</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amortization of debt discount of $0.4 million. For the nine months ended September 26, 2026, total interest expense related to the Notes was</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$4.5 million, with coupon interest expense of $3.2 million and amortization of debt discount of $1.3 million. As of September 26, 2026, the remaining</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unamortized debt discount of the Notes was $7.7 million. At September 26, 2026, the outstanding Notes balance, net of discount, was $279.8 million.</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27, 2025, the outstanding Notes balance, net of discount, was $278.5 million.</w:t>
      </w:r>
    </w:p>
    <w:p>
      <w:pPr>
        <w:spacing w:after="0" w:line="201" w:lineRule="exact"/>
        <w:rPr>
          <w:sz w:val="20"/>
          <w:szCs w:val="20"/>
          <w:color w:val="auto"/>
        </w:rPr>
      </w:pPr>
    </w:p>
    <w:p>
      <w:pPr>
        <w:ind w:left="500" w:right="40"/>
        <w:spacing w:after="0" w:line="277" w:lineRule="auto"/>
        <w:rPr>
          <w:sz w:val="20"/>
          <w:szCs w:val="20"/>
          <w:color w:val="auto"/>
        </w:rPr>
      </w:pPr>
      <w:r>
        <w:rPr>
          <w:rFonts w:ascii="Times New Roman" w:cs="Times New Roman" w:eastAsia="Times New Roman" w:hAnsi="Times New Roman"/>
          <w:sz w:val="18"/>
          <w:szCs w:val="18"/>
          <w:color w:val="auto"/>
        </w:rPr>
        <w:t>As of September 26, 2026, the fair value of the Notes was $747.7 million. The measurement of the fair value of Notes is based on the last traded price of the Notes as of September 26, 2026 and is considered a Level 2 fair value measurement.</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2"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1.53%, and expire at various dates through 2034. At September 26, 2026, the outstanding loan balance was $1.4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fair value of the debt approximates the carrying value at September 26, 2026.</w:t>
      </w:r>
    </w:p>
    <w:p>
      <w:pPr>
        <w:spacing w:after="0" w:line="185" w:lineRule="exact"/>
        <w:rPr>
          <w:sz w:val="20"/>
          <w:szCs w:val="20"/>
          <w:color w:val="auto"/>
        </w:rPr>
      </w:pPr>
    </w:p>
    <w:p>
      <w:pPr>
        <w:ind w:left="500" w:right="280"/>
        <w:spacing w:after="0" w:line="277" w:lineRule="auto"/>
        <w:rPr>
          <w:sz w:val="20"/>
          <w:szCs w:val="20"/>
          <w:color w:val="auto"/>
        </w:rPr>
      </w:pPr>
      <w:r>
        <w:rPr>
          <w:rFonts w:ascii="Times New Roman" w:cs="Times New Roman" w:eastAsia="Times New Roman" w:hAnsi="Times New Roman"/>
          <w:sz w:val="18"/>
          <w:szCs w:val="18"/>
          <w:color w:val="auto"/>
        </w:rPr>
        <w:t>The term loans are denominated in Japanese Yen and, as a result, amounts disclosed herein will fluctuate because of changes in currency exchange rates.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2"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1" w:lineRule="exact"/>
        <w:rPr>
          <w:sz w:val="20"/>
          <w:szCs w:val="20"/>
          <w:color w:val="auto"/>
        </w:rPr>
      </w:pPr>
    </w:p>
    <w:p>
      <w:pPr>
        <w:ind w:left="500" w:right="160"/>
        <w:spacing w:after="0" w:line="273" w:lineRule="auto"/>
        <w:rPr>
          <w:sz w:val="20"/>
          <w:szCs w:val="20"/>
          <w:color w:val="auto"/>
        </w:rPr>
      </w:pPr>
      <w:r>
        <w:rPr>
          <w:rFonts w:ascii="Times New Roman" w:cs="Times New Roman" w:eastAsia="Times New Roman" w:hAnsi="Times New Roman"/>
          <w:sz w:val="17"/>
          <w:szCs w:val="17"/>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69" w:lineRule="exact"/>
        <w:rPr>
          <w:sz w:val="20"/>
          <w:szCs w:val="20"/>
          <w:color w:val="auto"/>
        </w:rPr>
      </w:pPr>
    </w:p>
    <w:p>
      <w:pPr>
        <w:ind w:left="500" w:right="300"/>
        <w:spacing w:after="0" w:line="273" w:lineRule="auto"/>
        <w:rPr>
          <w:sz w:val="20"/>
          <w:szCs w:val="20"/>
          <w:color w:val="auto"/>
        </w:rPr>
      </w:pPr>
      <w:r>
        <w:rPr>
          <w:rFonts w:ascii="Times New Roman" w:cs="Times New Roman" w:eastAsia="Times New Roman" w:hAnsi="Times New Roman"/>
          <w:sz w:val="17"/>
          <w:szCs w:val="17"/>
          <w:color w:val="auto"/>
        </w:rPr>
        <w:t>At September 26, 2026, total outstanding borrowings under the Loan Facilities was $5.3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26, 2026.</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222" w:lineRule="exact"/>
        <w:rPr>
          <w:sz w:val="20"/>
          <w:szCs w:val="20"/>
          <w:color w:val="auto"/>
        </w:rPr>
      </w:pPr>
    </w:p>
    <w:p>
      <w:pPr>
        <w:ind w:left="500" w:right="60"/>
        <w:spacing w:after="0" w:line="262" w:lineRule="auto"/>
        <w:rPr>
          <w:sz w:val="20"/>
          <w:szCs w:val="20"/>
          <w:color w:val="auto"/>
        </w:rPr>
      </w:pPr>
      <w:r>
        <w:rPr>
          <w:rFonts w:ascii="Times New Roman" w:cs="Times New Roman" w:eastAsia="Times New Roman" w:hAnsi="Times New Roman"/>
          <w:sz w:val="18"/>
          <w:szCs w:val="18"/>
          <w:color w:val="auto"/>
        </w:rPr>
        <w:t>On December 30, 2024, our wholly owned subsidiary in Malaysia entered into a revolving credit facility with a Malaysian financial institution that provides up to MYR 40.0 million, all of which has been drawn. The revolving credit facility was utilized to finance the purchase of our leased facility in Melaka, Malaysia. Interest is due monthly and is calculated based on the lender's Effective Cost of Funds plus a spread of 0.5%.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right="140"/>
        <w:spacing w:after="0" w:line="257" w:lineRule="auto"/>
        <w:rPr>
          <w:sz w:val="20"/>
          <w:szCs w:val="20"/>
          <w:color w:val="auto"/>
        </w:rPr>
      </w:pPr>
      <w:r>
        <w:rPr>
          <w:rFonts w:ascii="Times New Roman" w:cs="Times New Roman" w:eastAsia="Times New Roman" w:hAnsi="Times New Roman"/>
          <w:sz w:val="18"/>
          <w:szCs w:val="18"/>
          <w:color w:val="auto"/>
        </w:rPr>
        <w:t>During the third quarter of fiscal 2026, we entered into a separate revolving credit facility with the same Malaysian financial institution that provides up to $20.0 million of borrowing capacity denominated in U.S. dollars. As of September 26, 2026, $5.5 million was drawn under the U.S. dollar facility. Proceeds from borrowings under the U.S. dollar facility are being used for general corporate purposes. Interest is due monthly and is calculated based on the lender's Effective Cost of Funds plus a spread of 1.25%.</w:t>
      </w:r>
    </w:p>
    <w:p>
      <w:pPr>
        <w:spacing w:after="0" w:line="181"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The revolving credit facilities are secured by the land and building in Melaka, Malaysia, and by a fixed and floating charge over Cohu Malaysia’s assets. At September 26, 2026, $9.8 million was outstanding under the MYR-denominated revolving credit facility and the applicable interest rate was 4.07%. In addition, $5.5 million was outstanding under the U.S. dollar-denominated revolving credit facility and the applicable interest rate was</w:t>
      </w:r>
    </w:p>
    <w:p>
      <w:pPr>
        <w:spacing w:after="0" w:line="2" w:lineRule="exact"/>
        <w:rPr>
          <w:sz w:val="20"/>
          <w:szCs w:val="20"/>
          <w:color w:val="auto"/>
        </w:rPr>
      </w:pPr>
    </w:p>
    <w:p>
      <w:pPr>
        <w:ind w:left="500" w:right="60"/>
        <w:spacing w:after="0" w:line="251" w:lineRule="auto"/>
        <w:rPr>
          <w:sz w:val="20"/>
          <w:szCs w:val="20"/>
          <w:color w:val="auto"/>
        </w:rPr>
      </w:pPr>
      <w:r>
        <w:rPr>
          <w:rFonts w:ascii="Times New Roman" w:cs="Times New Roman" w:eastAsia="Times New Roman" w:hAnsi="Times New Roman"/>
          <w:sz w:val="18"/>
          <w:szCs w:val="18"/>
          <w:color w:val="auto"/>
        </w:rPr>
        <w:t>5.60%. As these revolving credit facility agreements renew monthly, they have been included in short-term borrowings in our condensed consolidated balance sheets. The revolving credit facilities are denominated in Malaysian Ringgits and U.S. dollars and, as a result, amounts disclosed herein will fluctuate due to changes in foreign currency exchange rates.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2" w:lineRule="exact"/>
        <w:rPr>
          <w:sz w:val="20"/>
          <w:szCs w:val="20"/>
          <w:color w:val="auto"/>
        </w:rPr>
      </w:pPr>
    </w:p>
    <w:p>
      <w:pPr>
        <w:jc w:val="both"/>
        <w:ind w:left="500" w:right="40"/>
        <w:spacing w:after="0" w:line="257"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660 million Japanese Yen of which 50 million Japanese Yen was drawn as of September 26, 2026. At September 26, 2026, total borrowings outstanding under the revolving lines of credit were $0.3 million. As these credit facility agreements renew monthly, they have been included in short-term borrowings in our condensed consolidated balance sheets.</w:t>
      </w:r>
    </w:p>
    <w:p>
      <w:pPr>
        <w:spacing w:after="0" w:line="181" w:lineRule="exact"/>
        <w:rPr>
          <w:sz w:val="20"/>
          <w:szCs w:val="20"/>
          <w:color w:val="auto"/>
        </w:rPr>
      </w:pPr>
    </w:p>
    <w:p>
      <w:pPr>
        <w:jc w:val="both"/>
        <w:ind w:left="500" w:right="60"/>
        <w:spacing w:after="0" w:line="277"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3" w:lineRule="exact"/>
        <w:rPr>
          <w:sz w:val="20"/>
          <w:szCs w:val="20"/>
          <w:color w:val="auto"/>
        </w:rPr>
      </w:pPr>
    </w:p>
    <w:p>
      <w:pPr>
        <w:ind w:left="500" w:right="20"/>
        <w:spacing w:after="0" w:line="307" w:lineRule="auto"/>
        <w:rPr>
          <w:sz w:val="20"/>
          <w:szCs w:val="20"/>
          <w:color w:val="auto"/>
        </w:rPr>
      </w:pPr>
      <w:r>
        <w:rPr>
          <w:rFonts w:ascii="Times New Roman" w:cs="Times New Roman" w:eastAsia="Times New Roman" w:hAnsi="Times New Roman"/>
          <w:sz w:val="17"/>
          <w:szCs w:val="17"/>
          <w:color w:val="auto"/>
        </w:rPr>
        <w:t>Our wholly owned subsidiary in Switzerland has one available line of credit which provides borrowings of up to a total of 2.0 million Swiss Francs, a portion of which is reserved for tax guarantees. On September 26, 2026 and December 27, 2025 no amounts were outstanding under this line of credit.</w:t>
      </w:r>
    </w:p>
    <w:p>
      <w:pPr>
        <w:spacing w:after="0" w:line="377" w:lineRule="exact"/>
        <w:rPr>
          <w:sz w:val="20"/>
          <w:szCs w:val="20"/>
          <w:color w:val="auto"/>
        </w:rPr>
      </w:pPr>
    </w:p>
    <w:p>
      <w:pPr>
        <w:ind w:left="480" w:hanging="473"/>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Proposed German Organizational Realignment</w:t>
      </w:r>
    </w:p>
    <w:p>
      <w:pPr>
        <w:spacing w:after="0" w:line="221" w:lineRule="exact"/>
        <w:rPr>
          <w:rFonts w:ascii="Times New Roman" w:cs="Times New Roman" w:eastAsia="Times New Roman" w:hAnsi="Times New Roman"/>
          <w:sz w:val="18"/>
          <w:szCs w:val="18"/>
          <w:b w:val="1"/>
          <w:bCs w:val="1"/>
          <w:color w:val="auto"/>
        </w:rPr>
      </w:pPr>
    </w:p>
    <w:p>
      <w:pPr>
        <w:jc w:val="both"/>
        <w:ind w:left="500" w:right="2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quarter end, Cohu initiated consultation with the German Works Council regarding a proposed organizational realignment of certain engineering activities. The proposed initiative may result in restructuring charges; however, the nature, timing and amount of any such charges will depend on the outcome of the consultation process.</w:t>
      </w:r>
    </w:p>
    <w:p>
      <w:pPr>
        <w:spacing w:after="0" w:line="174"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Poway Volume Manufacturing Transition</w:t>
      </w:r>
    </w:p>
    <w:p>
      <w:pPr>
        <w:spacing w:after="0" w:line="221" w:lineRule="exact"/>
        <w:rPr>
          <w:rFonts w:ascii="Times New Roman" w:cs="Times New Roman" w:eastAsia="Times New Roman" w:hAnsi="Times New Roman"/>
          <w:sz w:val="18"/>
          <w:szCs w:val="18"/>
          <w:b w:val="1"/>
          <w:bCs w:val="1"/>
          <w:color w:val="auto"/>
        </w:rPr>
      </w:pPr>
    </w:p>
    <w:p>
      <w:pPr>
        <w:ind w:left="500" w:right="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fourth quarter of fiscal 2024, we made the decision to transition all remaining volume manufacturing out of Poway, CA, and consolidate it into our factories in Asia. These changes have allowed us to better utilize our corporate infrastructure, drive improvements in inventory management, optimize our warehousing and better support our long-term goals. Total pretax charges related to the Poway volume manufacturing transition for the first nine months ended September 27, 2025 were $1.5 million. The Poway volume manufacturing transition was substantially complete as of the first quarter of fiscal 2026, and costs incurred during the nine months ended September 26, 2026, were insignificant. The following table summarizes the activity within the restructuring related accounts for the Poway volume manufacturing transition during the first nine months ended September 27,</w:t>
      </w:r>
    </w:p>
    <w:p>
      <w:pPr>
        <w:spacing w:after="0" w:line="4"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Severance and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Other Exit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Other Payroll</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19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2025 Strategic Restructuring</w:t>
      </w:r>
    </w:p>
    <w:p>
      <w:pPr>
        <w:spacing w:after="0" w:line="222" w:lineRule="exact"/>
        <w:rPr>
          <w:sz w:val="20"/>
          <w:szCs w:val="20"/>
          <w:color w:val="auto"/>
        </w:rPr>
      </w:pPr>
    </w:p>
    <w:p>
      <w:pPr>
        <w:ind w:left="500"/>
        <w:spacing w:after="0" w:line="215" w:lineRule="exact"/>
        <w:rPr>
          <w:sz w:val="20"/>
          <w:szCs w:val="20"/>
          <w:color w:val="auto"/>
        </w:rPr>
      </w:pPr>
      <w:r>
        <w:rPr>
          <w:rFonts w:ascii="Times New Roman" w:cs="Times New Roman" w:eastAsia="Times New Roman" w:hAnsi="Times New Roman"/>
          <w:sz w:val="18"/>
          <w:szCs w:val="18"/>
          <w:color w:val="auto"/>
        </w:rPr>
        <w:t>On February 19, 2025, we approved and began executing a strategic restructuring program designed to reposition our organization and improve our cost structure (the “2025 Restructuring Program”). As part of this program, we consolidated certain of our operations in La Chaux-de-Fonds, Switzerland, and Kolbermoor, Germany, into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cost locations, and we also implemented headcount reductions in those areas and in the U.S. and across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During the second quarter of 2025, headcount reductions we implemented in Switzerland as part of the 2025 Restructuring Program resulted in a change to our defined benefit pension plan, resulting in a curtailment of future benefits for affected employees. In accordance with ASC Topic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xml:space="preserve"> (“ASC 715”), during the three months ended June 28, 2025, we recognized a pension curtailment gain of $1.5 million. During the three months ended September 27, 2025, we recognized an additional pension curtailment gain of $0.8 million. This gain reflects the reduction in the projected benefit obligation due to the termination of future service accruals for impacted plan participants and is included in the condensed consolidated statements of operations. The 2025 Restructuring Program, as implemented over time, will reduce headcount and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spacing w:after="0" w:line="196" w:lineRule="exact"/>
        <w:rPr>
          <w:sz w:val="20"/>
          <w:szCs w:val="20"/>
          <w:color w:val="auto"/>
        </w:rPr>
      </w:pPr>
    </w:p>
    <w:p>
      <w:pPr>
        <w:ind w:left="500" w:right="240"/>
        <w:spacing w:after="0" w:line="257" w:lineRule="auto"/>
        <w:rPr>
          <w:sz w:val="20"/>
          <w:szCs w:val="20"/>
          <w:color w:val="auto"/>
        </w:rPr>
      </w:pPr>
      <w:r>
        <w:rPr>
          <w:rFonts w:ascii="Times New Roman" w:cs="Times New Roman" w:eastAsia="Times New Roman" w:hAnsi="Times New Roman"/>
          <w:sz w:val="18"/>
          <w:szCs w:val="18"/>
          <w:color w:val="auto"/>
        </w:rPr>
        <w:t>In the fourth quarter of 2025, management identified additional restructuring actions under Cohu’s previously communicated 2025 Restructuring Program to further optimize our cost structure and operational footprint. These additional actions were announced and commenced on January 13, 2026, and include the further consolidation of certain operations within our IS and ST business segments in the U.S. and Asia, as well as workforce reductions across select functions.</w:t>
      </w:r>
    </w:p>
    <w:p>
      <w:pPr>
        <w:spacing w:after="0" w:line="181" w:lineRule="exact"/>
        <w:rPr>
          <w:sz w:val="20"/>
          <w:szCs w:val="20"/>
          <w:color w:val="auto"/>
        </w:rPr>
      </w:pPr>
    </w:p>
    <w:p>
      <w:pPr>
        <w:ind w:left="500" w:right="60"/>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activities described above, we recognized total pretax charges of $1.8 million and $6.8 million during the first nine months ended September 26, 2026 and September 27, 2025, respectively, that are within the scope of ASC 420. The following table summarizes the activity within the restructuring related accounts for the 2025 Restructuring Program during the first nine months ended September 26, 2026 and September 27,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Severance and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Other Exit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Other Payroll</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r>
      <w:tr>
        <w:trPr>
          <w:trHeight w:val="21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Pr>
          <w:p>
            <w:pPr>
              <w:spacing w:after="0"/>
              <w:rPr>
                <w:sz w:val="18"/>
                <w:szCs w:val="18"/>
                <w:color w:val="auto"/>
              </w:rPr>
            </w:pPr>
          </w:p>
        </w:tc>
      </w:tr>
      <w:tr>
        <w:trPr>
          <w:trHeight w:val="21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(5,701)</w:t>
            </w:r>
          </w:p>
        </w:tc>
      </w:tr>
      <w:tr>
        <w:trPr>
          <w:trHeight w:val="21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5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1"/>
                <w:szCs w:val="21"/>
                <w:color w:val="auto"/>
              </w:rPr>
            </w:pPr>
          </w:p>
        </w:tc>
      </w:tr>
      <w:tr>
        <w:trPr>
          <w:trHeight w:val="194"/>
        </w:trPr>
        <w:tc>
          <w:tcPr>
            <w:tcW w:w="55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r>
      <w:tr>
        <w:trPr>
          <w:trHeight w:val="21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r>
      <w:tr>
        <w:trPr>
          <w:trHeight w:val="21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(3,821)</w:t>
            </w:r>
          </w:p>
        </w:tc>
      </w:tr>
      <w:tr>
        <w:trPr>
          <w:trHeight w:val="21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26,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hanging="473"/>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23" w:lineRule="exact"/>
        <w:rPr>
          <w:rFonts w:ascii="Times New Roman" w:cs="Times New Roman" w:eastAsia="Times New Roman" w:hAnsi="Times New Roman"/>
          <w:sz w:val="18"/>
          <w:szCs w:val="18"/>
          <w:b w:val="1"/>
          <w:bCs w:val="1"/>
          <w:color w:val="auto"/>
        </w:rPr>
      </w:pPr>
    </w:p>
    <w:p>
      <w:pPr>
        <w:ind w:left="48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0" w:lineRule="exact"/>
        <w:rPr>
          <w:rFonts w:ascii="Times New Roman" w:cs="Times New Roman" w:eastAsia="Times New Roman" w:hAnsi="Times New Roman"/>
          <w:sz w:val="18"/>
          <w:szCs w:val="18"/>
          <w:b w:val="1"/>
          <w:bCs w:val="1"/>
          <w:color w:val="auto"/>
        </w:rPr>
      </w:pPr>
    </w:p>
    <w:p>
      <w:pPr>
        <w:ind w:left="480"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September 26, 2026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8"/>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w w:val="95"/>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1"/>
              <w:spacing w:after="0" w:line="189" w:lineRule="exact"/>
              <w:rPr>
                <w:sz w:val="20"/>
                <w:szCs w:val="20"/>
                <w:color w:val="auto"/>
              </w:rPr>
            </w:pPr>
            <w:r>
              <w:rPr>
                <w:rFonts w:ascii="Times New Roman" w:cs="Times New Roman" w:eastAsia="Times New Roman" w:hAnsi="Times New Roman"/>
                <w:sz w:val="18"/>
                <w:szCs w:val="18"/>
                <w:color w:val="auto"/>
                <w:w w:val="97"/>
              </w:rPr>
              <w:t>Estimated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20" w:type="dxa"/>
            <w:vAlign w:val="bottom"/>
          </w:tcPr>
          <w:p>
            <w:pPr>
              <w:spacing w:after="0"/>
              <w:rPr>
                <w:sz w:val="19"/>
                <w:szCs w:val="19"/>
                <w:color w:val="auto"/>
              </w:rPr>
            </w:pPr>
          </w:p>
        </w:tc>
      </w:tr>
      <w:tr>
        <w:trPr>
          <w:trHeight w:val="232"/>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line="232" w:lineRule="exact"/>
              <w:rPr>
                <w:sz w:val="20"/>
                <w:szCs w:val="20"/>
                <w:color w:val="auto"/>
              </w:rPr>
            </w:pPr>
            <w:r>
              <w:rPr>
                <w:rFonts w:ascii="Times New Roman" w:cs="Times New Roman" w:eastAsia="Times New Roman" w:hAnsi="Times New Roman"/>
                <w:sz w:val="18"/>
                <w:szCs w:val="18"/>
                <w:color w:val="auto"/>
                <w:w w:val="92"/>
              </w:rPr>
              <w:t xml:space="preserve">Losses </w:t>
            </w:r>
            <w:r>
              <w:rPr>
                <w:rFonts w:ascii="Times New Roman" w:cs="Times New Roman" w:eastAsia="Times New Roman" w:hAnsi="Times New Roman"/>
                <w:sz w:val="26"/>
                <w:szCs w:val="26"/>
                <w:color w:val="auto"/>
                <w:w w:val="92"/>
                <w:vertAlign w:val="superscript"/>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2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6"/>
                <w:szCs w:val="16"/>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117,778</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70,100</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70,007</w:t>
            </w:r>
          </w:p>
        </w:tc>
        <w:tc>
          <w:tcPr>
            <w:tcW w:w="2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31,393</w:t>
            </w:r>
          </w:p>
        </w:tc>
        <w:tc>
          <w:tcPr>
            <w:tcW w:w="2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15,809</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15,759</w:t>
            </w:r>
          </w:p>
        </w:tc>
        <w:tc>
          <w:tcPr>
            <w:tcW w:w="20" w:type="dxa"/>
            <w:vAlign w:val="bottom"/>
          </w:tcPr>
          <w:p>
            <w:pPr>
              <w:spacing w:after="0"/>
              <w:rPr>
                <w:sz w:val="18"/>
                <w:szCs w:val="18"/>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9"/>
                <w:szCs w:val="19"/>
                <w:color w:val="auto"/>
              </w:rPr>
            </w:pPr>
          </w:p>
        </w:tc>
      </w:tr>
      <w:tr>
        <w:trPr>
          <w:trHeight w:val="220"/>
        </w:trPr>
        <w:tc>
          <w:tcPr>
            <w:tcW w:w="5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236,585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27,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w w:val="95"/>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1"/>
              <w:spacing w:after="0" w:line="189" w:lineRule="exact"/>
              <w:rPr>
                <w:sz w:val="20"/>
                <w:szCs w:val="20"/>
                <w:color w:val="auto"/>
              </w:rPr>
            </w:pPr>
            <w:r>
              <w:rPr>
                <w:rFonts w:ascii="Times New Roman" w:cs="Times New Roman" w:eastAsia="Times New Roman" w:hAnsi="Times New Roman"/>
                <w:sz w:val="18"/>
                <w:szCs w:val="18"/>
                <w:color w:val="auto"/>
                <w:w w:val="97"/>
              </w:rPr>
              <w:t>Estimated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20" w:type="dxa"/>
            <w:vAlign w:val="bottom"/>
          </w:tcPr>
          <w:p>
            <w:pPr>
              <w:spacing w:after="0"/>
              <w:rPr>
                <w:sz w:val="19"/>
                <w:szCs w:val="19"/>
                <w:color w:val="auto"/>
              </w:rPr>
            </w:pPr>
          </w:p>
        </w:tc>
      </w:tr>
      <w:tr>
        <w:trPr>
          <w:trHeight w:val="232"/>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line="232" w:lineRule="exact"/>
              <w:rPr>
                <w:sz w:val="20"/>
                <w:szCs w:val="20"/>
                <w:color w:val="auto"/>
              </w:rPr>
            </w:pPr>
            <w:r>
              <w:rPr>
                <w:rFonts w:ascii="Times New Roman" w:cs="Times New Roman" w:eastAsia="Times New Roman" w:hAnsi="Times New Roman"/>
                <w:sz w:val="18"/>
                <w:szCs w:val="18"/>
                <w:color w:val="auto"/>
                <w:w w:val="92"/>
              </w:rPr>
              <w:t xml:space="preserve">Losses </w:t>
            </w:r>
            <w:r>
              <w:rPr>
                <w:rFonts w:ascii="Times New Roman" w:cs="Times New Roman" w:eastAsia="Times New Roman" w:hAnsi="Times New Roman"/>
                <w:sz w:val="26"/>
                <w:szCs w:val="26"/>
                <w:color w:val="auto"/>
                <w:w w:val="92"/>
                <w:vertAlign w:val="superscript"/>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2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6"/>
                <w:szCs w:val="16"/>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150,361</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58,130</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58,156</w:t>
            </w:r>
          </w:p>
        </w:tc>
        <w:tc>
          <w:tcPr>
            <w:tcW w:w="2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37,584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37,652</w:t>
            </w:r>
          </w:p>
        </w:tc>
        <w:tc>
          <w:tcPr>
            <w:tcW w:w="2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10,038</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10,056</w:t>
            </w:r>
          </w:p>
        </w:tc>
        <w:tc>
          <w:tcPr>
            <w:tcW w:w="20" w:type="dxa"/>
            <w:vAlign w:val="bottom"/>
          </w:tcPr>
          <w:p>
            <w:pPr>
              <w:spacing w:after="0"/>
              <w:rPr>
                <w:sz w:val="18"/>
                <w:szCs w:val="18"/>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19"/>
                <w:szCs w:val="19"/>
                <w:color w:val="auto"/>
              </w:rPr>
            </w:pPr>
          </w:p>
        </w:tc>
      </w:tr>
      <w:tr>
        <w:trPr>
          <w:trHeight w:val="220"/>
        </w:trPr>
        <w:tc>
          <w:tcPr>
            <w:tcW w:w="5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256,769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256,928</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5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ind w:left="960" w:right="140" w:hanging="313"/>
        <w:spacing w:after="0" w:line="263"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26, 2026, the cost and fair value of investments with loss positions were approximately $207.0 million and $206.0 million, respectively. As of December 27, 2025, the cost and fair value of investments with loss positions were both approximately $58.3 million. We evaluated the nature of these investments, creditworthiness of the issuer and the duration of these impairments to determine if a credit-related decline in fair value had occurred and concluded that these losses were temporary and we have the ability and intent to hold these investments to maturity.</w:t>
      </w:r>
    </w:p>
    <w:p>
      <w:pPr>
        <w:spacing w:after="0" w:line="2" w:lineRule="exact"/>
        <w:rPr>
          <w:rFonts w:ascii="Times New Roman" w:cs="Times New Roman" w:eastAsia="Times New Roman" w:hAnsi="Times New Roman"/>
          <w:sz w:val="16"/>
          <w:szCs w:val="16"/>
          <w:color w:val="auto"/>
        </w:rPr>
      </w:pPr>
    </w:p>
    <w:p>
      <w:pPr>
        <w:ind w:left="960" w:right="120" w:hanging="313"/>
        <w:spacing w:after="0" w:line="282"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securities include investments in financial and other corporate institutions. No single issuer represents a significant portion of the total corporate debt securities portfolio.</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Effective maturities of short-term investments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September 26, 2026</w:t>
            </w:r>
          </w:p>
        </w:tc>
        <w:tc>
          <w:tcPr>
            <w:tcW w:w="140" w:type="dxa"/>
            <w:vAlign w:val="bottom"/>
          </w:tcPr>
          <w:p>
            <w:pPr>
              <w:spacing w:after="0"/>
              <w:rPr>
                <w:sz w:val="20"/>
                <w:szCs w:val="20"/>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December 27, 2025</w:t>
            </w:r>
          </w:p>
        </w:tc>
      </w:tr>
      <w:tr>
        <w:trPr>
          <w:trHeight w:val="202"/>
        </w:trPr>
        <w:tc>
          <w:tcPr>
            <w:tcW w:w="5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color w:val="auto"/>
                <w:w w:val="98"/>
              </w:rPr>
              <w:t>Amortized</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rPr>
              <w:t>Estimated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rPr>
              <w:t>Estimated</w:t>
            </w:r>
          </w:p>
        </w:tc>
        <w:tc>
          <w:tcPr>
            <w:tcW w:w="80" w:type="dxa"/>
            <w:vAlign w:val="bottom"/>
          </w:tcPr>
          <w:p>
            <w:pPr>
              <w:spacing w:after="0"/>
              <w:rPr>
                <w:sz w:val="17"/>
                <w:szCs w:val="17"/>
                <w:color w:val="auto"/>
              </w:rPr>
            </w:pPr>
          </w:p>
        </w:tc>
      </w:tr>
      <w:tr>
        <w:trPr>
          <w:trHeight w:val="232"/>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r>
      <w:tr>
        <w:trPr>
          <w:trHeight w:val="20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200,436</w:t>
            </w:r>
          </w:p>
        </w:tc>
        <w:tc>
          <w:tcPr>
            <w:tcW w:w="80" w:type="dxa"/>
            <w:vAlign w:val="bottom"/>
            <w:tcBorders>
              <w:top w:val="single" w:sz="8" w:color="CCEEFF"/>
            </w:tcBorders>
            <w:shd w:val="clear" w:color="auto" w:fill="CCEEFF"/>
          </w:tcPr>
          <w:p>
            <w:pPr>
              <w:spacing w:after="0"/>
              <w:rPr>
                <w:sz w:val="17"/>
                <w:szCs w:val="17"/>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74,530</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73,876</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56,390</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r>
      <w:tr>
        <w:trPr>
          <w:trHeight w:val="220"/>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right="260"/>
        <w:spacing w:after="0" w:line="253"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right="760"/>
        <w:spacing w:after="0" w:line="277"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3"/>
          </w:tcPr>
          <w:p>
            <w:pPr>
              <w:ind w:left="560"/>
              <w:spacing w:after="0"/>
              <w:rPr>
                <w:sz w:val="20"/>
                <w:szCs w:val="20"/>
                <w:color w:val="auto"/>
              </w:rPr>
            </w:pPr>
            <w:r>
              <w:rPr>
                <w:rFonts w:ascii="Times New Roman" w:cs="Times New Roman" w:eastAsia="Times New Roman" w:hAnsi="Times New Roman"/>
                <w:sz w:val="18"/>
                <w:szCs w:val="18"/>
                <w:color w:val="auto"/>
              </w:rPr>
              <w:t>Fair value measurements at September 26, 2026 using:</w:t>
            </w:r>
          </w:p>
        </w:tc>
      </w:tr>
      <w:tr>
        <w:trPr>
          <w:trHeight w:val="202"/>
        </w:trPr>
        <w:tc>
          <w:tcPr>
            <w:tcW w:w="5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Total Estimated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2"/>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7"/>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138,091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138,091</w:t>
            </w:r>
          </w:p>
        </w:tc>
        <w:tc>
          <w:tcPr>
            <w:tcW w:w="6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115,424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115,424</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70,007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70,007</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31,393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31,393</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15,759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15,759</w:t>
            </w:r>
          </w:p>
        </w:tc>
      </w:tr>
      <w:tr>
        <w:trPr>
          <w:trHeight w:val="22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60" w:type="dxa"/>
            <w:vAlign w:val="bottom"/>
            <w:shd w:val="clear" w:color="auto" w:fill="CCEEFF"/>
          </w:tcPr>
          <w:p>
            <w:pPr>
              <w:spacing w:after="0"/>
              <w:rPr>
                <w:sz w:val="19"/>
                <w:szCs w:val="19"/>
                <w:color w:val="auto"/>
              </w:rPr>
            </w:pPr>
          </w:p>
        </w:tc>
      </w:tr>
      <w:tr>
        <w:trPr>
          <w:trHeight w:val="220"/>
        </w:trPr>
        <w:tc>
          <w:tcPr>
            <w:tcW w:w="5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371,382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20" w:type="dxa"/>
            <w:vAlign w:val="bottom"/>
            <w:gridSpan w:val="13"/>
          </w:tcPr>
          <w:p>
            <w:pPr>
              <w:ind w:left="580"/>
              <w:spacing w:after="0"/>
              <w:rPr>
                <w:sz w:val="20"/>
                <w:szCs w:val="20"/>
                <w:color w:val="auto"/>
              </w:rPr>
            </w:pPr>
            <w:r>
              <w:rPr>
                <w:rFonts w:ascii="Times New Roman" w:cs="Times New Roman" w:eastAsia="Times New Roman" w:hAnsi="Times New Roman"/>
                <w:sz w:val="18"/>
                <w:szCs w:val="18"/>
                <w:color w:val="auto"/>
              </w:rPr>
              <w:t>Fair value measurements at December 27, 2025 using:</w:t>
            </w:r>
          </w:p>
        </w:tc>
      </w:tr>
      <w:tr>
        <w:trPr>
          <w:trHeight w:val="202"/>
        </w:trPr>
        <w:tc>
          <w:tcPr>
            <w:tcW w:w="5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Total Estimated</w:t>
            </w:r>
          </w:p>
        </w:tc>
        <w:tc>
          <w:tcPr>
            <w:tcW w:w="80" w:type="dxa"/>
            <w:vAlign w:val="bottom"/>
            <w:gridSpan w:val="2"/>
          </w:tcPr>
          <w:p>
            <w:pPr>
              <w:spacing w:after="0"/>
              <w:rPr>
                <w:sz w:val="17"/>
                <w:szCs w:val="17"/>
                <w:color w:val="auto"/>
              </w:rPr>
            </w:pPr>
          </w:p>
        </w:tc>
      </w:tr>
      <w:tr>
        <w:trPr>
          <w:trHeight w:val="232"/>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7"/>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183,611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183,611</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58,156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58,156</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51,712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51,712</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37,652</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10,056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10,056</w:t>
            </w:r>
          </w:p>
        </w:tc>
      </w:tr>
      <w:tr>
        <w:trPr>
          <w:trHeight w:val="22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shd w:val="clear" w:color="auto" w:fill="CCEEFF"/>
          </w:tcPr>
          <w:p>
            <w:pPr>
              <w:spacing w:after="0"/>
              <w:rPr>
                <w:sz w:val="19"/>
                <w:szCs w:val="19"/>
                <w:color w:val="auto"/>
              </w:rPr>
            </w:pPr>
          </w:p>
        </w:tc>
      </w:tr>
      <w:tr>
        <w:trPr>
          <w:trHeight w:val="220"/>
        </w:trPr>
        <w:tc>
          <w:tcPr>
            <w:tcW w:w="5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341,890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483,981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Benefit Plans</w:t>
      </w:r>
    </w:p>
    <w:p>
      <w:pPr>
        <w:spacing w:after="0" w:line="223" w:lineRule="exact"/>
        <w:rPr>
          <w:rFonts w:ascii="Times New Roman" w:cs="Times New Roman" w:eastAsia="Times New Roman" w:hAnsi="Times New Roman"/>
          <w:sz w:val="18"/>
          <w:szCs w:val="18"/>
          <w:b w:val="1"/>
          <w:bCs w:val="1"/>
          <w:color w:val="auto"/>
        </w:rPr>
      </w:pPr>
    </w:p>
    <w:p>
      <w:pPr>
        <w:ind w:left="500" w:right="1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15, 2026, our stockholders approved the Cohu, Inc. 2026 Equity Incentive Plan (“2026 Plan”). The 2026 Plan replaced the Cohu, Inc. 2005 Equity Incentive Plan (“2005 Plan”), under which no further awards may be granted. Outstanding awards under the 2005 Plan remain in effect under their original terms, and any shares that return to the share reserve through forfeiture, expiration, or cash settlement become available for issuance under the 2026 Plan. The initial number of common shares that are reserved for issuance pursuant to equity awards granted under the 2026 Plan shall not exceed 3.4 million plus any Returning Shares (as defined in the 2026 Plan). On May 15, 2026, our stockholders also approved an amendment to our 1997 Employee Stock Purchase Plan (“ESPP”), which increased the number of ESPP shares that may be issued by 600,000.</w:t>
      </w:r>
    </w:p>
    <w:p>
      <w:pPr>
        <w:spacing w:after="0" w:line="185" w:lineRule="exact"/>
        <w:rPr>
          <w:rFonts w:ascii="Times New Roman" w:cs="Times New Roman" w:eastAsia="Times New Roman" w:hAnsi="Times New Roman"/>
          <w:sz w:val="18"/>
          <w:szCs w:val="18"/>
          <w:b w:val="1"/>
          <w:bCs w:val="1"/>
          <w:color w:val="auto"/>
        </w:rPr>
      </w:pPr>
    </w:p>
    <w:p>
      <w:pPr>
        <w:ind w:left="500" w:right="8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Our 2026 Plan and our ESPP are broad-based, long-term retention programs intended to attract, motivate, and retain talented employees as well as align stockholder and employee interests. Awards that may be granted under the 2026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September 26, 2026, there were</w:t>
      </w:r>
    </w:p>
    <w:p>
      <w:pPr>
        <w:spacing w:after="0" w:line="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 million shares available for future equity grants under the 2026 Plan and 0.9 million shares available for purchase under the ESPP.</w:t>
      </w:r>
    </w:p>
    <w:p>
      <w:pPr>
        <w:spacing w:after="0" w:line="196"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3" w:lineRule="exact"/>
        <w:rPr>
          <w:rFonts w:ascii="Times New Roman" w:cs="Times New Roman" w:eastAsia="Times New Roman" w:hAnsi="Times New Roman"/>
          <w:sz w:val="18"/>
          <w:szCs w:val="18"/>
          <w:b w:val="1"/>
          <w:bCs w:val="1"/>
          <w:color w:val="auto"/>
        </w:rPr>
      </w:pPr>
    </w:p>
    <w:p>
      <w:pPr>
        <w:ind w:left="50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2026 Plan have a maximum contractual term of ten years. In the first nine months of fiscal 2026, we did not grant any stock options and as of September 26, 2026, no stock options were outstanding.</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4" w:lineRule="exact"/>
        <w:rPr>
          <w:sz w:val="20"/>
          <w:szCs w:val="20"/>
          <w:color w:val="auto"/>
        </w:rPr>
      </w:pPr>
    </w:p>
    <w:p>
      <w:pPr>
        <w:ind w:left="500" w:right="100"/>
        <w:spacing w:after="0" w:line="254" w:lineRule="auto"/>
        <w:rPr>
          <w:sz w:val="20"/>
          <w:szCs w:val="20"/>
          <w:color w:val="auto"/>
        </w:rPr>
      </w:pPr>
      <w:r>
        <w:rPr>
          <w:rFonts w:ascii="Times New Roman" w:cs="Times New Roman" w:eastAsia="Times New Roman" w:hAnsi="Times New Roman"/>
          <w:sz w:val="18"/>
          <w:szCs w:val="18"/>
          <w:color w:val="auto"/>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September 26, 2026.</w:t>
      </w:r>
    </w:p>
    <w:p>
      <w:pPr>
        <w:spacing w:after="0" w:line="186" w:lineRule="exact"/>
        <w:rPr>
          <w:sz w:val="20"/>
          <w:szCs w:val="20"/>
          <w:color w:val="auto"/>
        </w:rPr>
      </w:pPr>
    </w:p>
    <w:p>
      <w:pPr>
        <w:ind w:left="500" w:right="180"/>
        <w:spacing w:after="0" w:line="262" w:lineRule="auto"/>
        <w:rPr>
          <w:sz w:val="20"/>
          <w:szCs w:val="20"/>
          <w:color w:val="auto"/>
        </w:rPr>
      </w:pPr>
      <w:r>
        <w:rPr>
          <w:rFonts w:ascii="Times New Roman" w:cs="Times New Roman" w:eastAsia="Times New Roman" w:hAnsi="Times New Roman"/>
          <w:sz w:val="18"/>
          <w:szCs w:val="18"/>
          <w:color w:val="auto"/>
        </w:rPr>
        <w:t>In the first nine months of fiscal 2026, we awarded 561,348 RSUs and issued 597,633 shares of our common stock on vesting of previously granted awards and 120,255 RSUs were forfeited. On September 26, 2026, we had 1,183,608 RSUs outstanding with an aggregate intrinsic value of approximately $79.3 million and the weighted average remaining vesting period was approximately 1.1 years.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4"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8"/>
          <w:szCs w:val="18"/>
          <w:color w:val="auto"/>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for PSUs granted to senior executives in 2024 and 2025, the relative performance of our TSR compared with the Russell 2000 Index (RUT) for the performance period, and for PSUs granted to senior executives in 2026, the percentile performance of our TSR within the members of the RUT as of the first day of the performance period. Granted PSUs will vest 100% on the third anniversary of their grant, assuming achievement of the applicable performance criteria.</w:t>
      </w:r>
    </w:p>
    <w:p>
      <w:pPr>
        <w:spacing w:after="0" w:line="187"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8"/>
          <w:szCs w:val="18"/>
          <w:color w:val="auto"/>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September 26, 2026.</w:t>
      </w:r>
    </w:p>
    <w:p>
      <w:pPr>
        <w:spacing w:after="0" w:line="181" w:lineRule="exact"/>
        <w:rPr>
          <w:sz w:val="20"/>
          <w:szCs w:val="20"/>
          <w:color w:val="auto"/>
        </w:rPr>
      </w:pPr>
    </w:p>
    <w:p>
      <w:pPr>
        <w:jc w:val="both"/>
        <w:ind w:left="500" w:right="220"/>
        <w:spacing w:after="0" w:line="262" w:lineRule="auto"/>
        <w:rPr>
          <w:sz w:val="20"/>
          <w:szCs w:val="20"/>
          <w:color w:val="auto"/>
        </w:rPr>
      </w:pPr>
      <w:r>
        <w:rPr>
          <w:rFonts w:ascii="Times New Roman" w:cs="Times New Roman" w:eastAsia="Times New Roman" w:hAnsi="Times New Roman"/>
          <w:sz w:val="18"/>
          <w:szCs w:val="18"/>
          <w:color w:val="auto"/>
        </w:rPr>
        <w:t>In the first nine months of fiscal 2026, we awarded 261,552 PSUs, we issued 10,135 shares of our common stock on vesting of previously granted awards and 213,702 awarded shares were forfeited. On September 26, 2026, we had 784,554 PSUs outstanding with an aggregate intrinsic value of approximately $52.6 million and the weighted average remaining vesting period was approximately 1.5 years.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4" w:lineRule="exact"/>
        <w:rPr>
          <w:sz w:val="20"/>
          <w:szCs w:val="20"/>
          <w:color w:val="auto"/>
        </w:rPr>
      </w:pPr>
    </w:p>
    <w:p>
      <w:pPr>
        <w:ind w:left="480" w:right="40"/>
        <w:spacing w:after="0" w:line="277" w:lineRule="auto"/>
        <w:rPr>
          <w:sz w:val="20"/>
          <w:szCs w:val="20"/>
          <w:color w:val="auto"/>
        </w:rPr>
      </w:pPr>
      <w:r>
        <w:rPr>
          <w:rFonts w:ascii="Times New Roman" w:cs="Times New Roman" w:eastAsia="Times New Roman" w:hAnsi="Times New Roman"/>
          <w:sz w:val="17"/>
          <w:szCs w:val="17"/>
          <w:color w:val="auto"/>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nine months of fiscal 2026, 89,222 shares of our common stock were sold to our employees under the ESPP.</w:t>
      </w:r>
    </w:p>
    <w:p>
      <w:pPr>
        <w:spacing w:after="0" w:line="200" w:lineRule="exact"/>
        <w:rPr>
          <w:sz w:val="20"/>
          <w:szCs w:val="20"/>
          <w:color w:val="auto"/>
        </w:rPr>
      </w:pPr>
    </w:p>
    <w:p>
      <w:pPr>
        <w:spacing w:after="0" w:line="201" w:lineRule="exact"/>
        <w:rPr>
          <w:sz w:val="20"/>
          <w:szCs w:val="20"/>
          <w:color w:val="auto"/>
        </w:rPr>
      </w:pPr>
    </w:p>
    <w:p>
      <w:pPr>
        <w:ind w:left="500" w:right="8080" w:hanging="493"/>
        <w:spacing w:after="0" w:line="526" w:lineRule="auto"/>
        <w:tabs>
          <w:tab w:leader="none" w:pos="482"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 Financial Instruments </w:t>
      </w:r>
      <w:r>
        <w:rPr>
          <w:rFonts w:ascii="Times New Roman" w:cs="Times New Roman" w:eastAsia="Times New Roman" w:hAnsi="Times New Roman"/>
          <w:sz w:val="17"/>
          <w:szCs w:val="17"/>
          <w:i w:val="1"/>
          <w:iCs w:val="1"/>
          <w:u w:val="single" w:color="auto"/>
          <w:color w:val="auto"/>
        </w:rPr>
        <w:t>Economic (Non-Designated) Hedges</w:t>
      </w:r>
    </w:p>
    <w:p>
      <w:pPr>
        <w:spacing w:after="0" w:line="1" w:lineRule="exact"/>
        <w:rPr>
          <w:rFonts w:ascii="Times New Roman" w:cs="Times New Roman" w:eastAsia="Times New Roman" w:hAnsi="Times New Roman"/>
          <w:sz w:val="17"/>
          <w:szCs w:val="17"/>
          <w:b w:val="1"/>
          <w:bCs w:val="1"/>
          <w:color w:val="auto"/>
        </w:rPr>
      </w:pPr>
    </w:p>
    <w:p>
      <w:pPr>
        <w:ind w:left="500" w:right="2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right="100"/>
        <w:spacing w:after="0" w:line="277" w:lineRule="auto"/>
        <w:rPr>
          <w:sz w:val="20"/>
          <w:szCs w:val="20"/>
          <w:color w:val="auto"/>
        </w:rPr>
      </w:pPr>
      <w:r>
        <w:rPr>
          <w:rFonts w:ascii="Times New Roman" w:cs="Times New Roman" w:eastAsia="Times New Roman" w:hAnsi="Times New Roman"/>
          <w:sz w:val="18"/>
          <w:szCs w:val="18"/>
          <w:color w:val="auto"/>
        </w:rPr>
        <w:t>The location and amount of gains and losses related to non-designated derivative instruments in the condensed consolidated statements of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w:t>
            </w:r>
          </w:p>
        </w:tc>
        <w:tc>
          <w:tcPr>
            <w:tcW w:w="32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0"/>
                <w:szCs w:val="20"/>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88"/>
        </w:trPr>
        <w:tc>
          <w:tcPr>
            <w:tcW w:w="2880" w:type="dxa"/>
            <w:vAlign w:val="bottom"/>
            <w:gridSpan w:val="2"/>
            <w:vMerge w:val="continue"/>
          </w:tcPr>
          <w:p>
            <w:pPr>
              <w:spacing w:after="0"/>
              <w:rPr>
                <w:sz w:val="16"/>
                <w:szCs w:val="16"/>
                <w:color w:val="auto"/>
              </w:rPr>
            </w:pPr>
          </w:p>
        </w:tc>
        <w:tc>
          <w:tcPr>
            <w:tcW w:w="3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Sep. 26,</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1"/>
              <w:spacing w:after="0" w:line="189" w:lineRule="exact"/>
              <w:rPr>
                <w:sz w:val="20"/>
                <w:szCs w:val="20"/>
                <w:color w:val="auto"/>
              </w:rPr>
            </w:pPr>
            <w:r>
              <w:rPr>
                <w:rFonts w:ascii="Times New Roman" w:cs="Times New Roman" w:eastAsia="Times New Roman" w:hAnsi="Times New Roman"/>
                <w:sz w:val="18"/>
                <w:szCs w:val="18"/>
                <w:color w:val="auto"/>
                <w:w w:val="99"/>
              </w:rPr>
              <w:t>Sep. 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91"/>
              <w:spacing w:after="0" w:line="189" w:lineRule="exact"/>
              <w:rPr>
                <w:sz w:val="20"/>
                <w:szCs w:val="20"/>
                <w:color w:val="auto"/>
              </w:rPr>
            </w:pPr>
            <w:r>
              <w:rPr>
                <w:rFonts w:ascii="Times New Roman" w:cs="Times New Roman" w:eastAsia="Times New Roman" w:hAnsi="Times New Roman"/>
                <w:sz w:val="18"/>
                <w:szCs w:val="18"/>
                <w:color w:val="auto"/>
                <w:w w:val="95"/>
              </w:rPr>
              <w:t>Sep. 26,</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71"/>
              <w:spacing w:after="0" w:line="189" w:lineRule="exact"/>
              <w:rPr>
                <w:sz w:val="20"/>
                <w:szCs w:val="20"/>
                <w:color w:val="auto"/>
              </w:rPr>
            </w:pPr>
            <w:r>
              <w:rPr>
                <w:rFonts w:ascii="Times New Roman" w:cs="Times New Roman" w:eastAsia="Times New Roman" w:hAnsi="Times New Roman"/>
                <w:sz w:val="18"/>
                <w:szCs w:val="18"/>
                <w:color w:val="auto"/>
                <w:w w:val="99"/>
              </w:rPr>
              <w:t>Sep.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4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2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Hedges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have implemented an ongoing program to hedge foreign currency risk associated with our net investment positions in certain foreign subsidiaries.</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exposures are managed through the use of foreign currency forward contracts, which are designated as net investment hedges.</w:t>
      </w:r>
    </w:p>
    <w:p>
      <w:pPr>
        <w:spacing w:after="0" w:line="201" w:lineRule="exact"/>
        <w:rPr>
          <w:sz w:val="20"/>
          <w:szCs w:val="20"/>
          <w:color w:val="auto"/>
        </w:rPr>
      </w:pPr>
    </w:p>
    <w:p>
      <w:pPr>
        <w:ind w:left="500" w:right="240"/>
        <w:spacing w:after="0" w:line="277" w:lineRule="auto"/>
        <w:rPr>
          <w:sz w:val="20"/>
          <w:szCs w:val="20"/>
          <w:color w:val="auto"/>
        </w:rPr>
      </w:pPr>
      <w:r>
        <w:rPr>
          <w:rFonts w:ascii="Times New Roman" w:cs="Times New Roman" w:eastAsia="Times New Roman" w:hAnsi="Times New Roman"/>
          <w:sz w:val="18"/>
          <w:szCs w:val="18"/>
          <w:color w:val="auto"/>
        </w:rPr>
        <w:t>The location and amount of gains and losses from net investment hedges recorded in the foreign currency translation component of AOCL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Derivatives designated</w:t>
            </w:r>
          </w:p>
        </w:tc>
        <w:tc>
          <w:tcPr>
            <w:tcW w:w="32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0"/>
                <w:szCs w:val="20"/>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88"/>
        </w:trPr>
        <w:tc>
          <w:tcPr>
            <w:tcW w:w="2880" w:type="dxa"/>
            <w:vAlign w:val="bottom"/>
            <w:gridSpan w:val="2"/>
            <w:vMerge w:val="continue"/>
          </w:tcPr>
          <w:p>
            <w:pPr>
              <w:spacing w:after="0"/>
              <w:rPr>
                <w:sz w:val="16"/>
                <w:szCs w:val="16"/>
                <w:color w:val="auto"/>
              </w:rPr>
            </w:pPr>
          </w:p>
        </w:tc>
        <w:tc>
          <w:tcPr>
            <w:tcW w:w="3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Sep. 26,</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1"/>
              <w:spacing w:after="0" w:line="189" w:lineRule="exact"/>
              <w:rPr>
                <w:sz w:val="20"/>
                <w:szCs w:val="20"/>
                <w:color w:val="auto"/>
              </w:rPr>
            </w:pPr>
            <w:r>
              <w:rPr>
                <w:rFonts w:ascii="Times New Roman" w:cs="Times New Roman" w:eastAsia="Times New Roman" w:hAnsi="Times New Roman"/>
                <w:sz w:val="18"/>
                <w:szCs w:val="18"/>
                <w:color w:val="auto"/>
                <w:w w:val="99"/>
              </w:rPr>
              <w:t>Sep. 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51"/>
              <w:spacing w:after="0" w:line="189" w:lineRule="exact"/>
              <w:rPr>
                <w:sz w:val="20"/>
                <w:szCs w:val="20"/>
                <w:color w:val="auto"/>
              </w:rPr>
            </w:pPr>
            <w:r>
              <w:rPr>
                <w:rFonts w:ascii="Times New Roman" w:cs="Times New Roman" w:eastAsia="Times New Roman" w:hAnsi="Times New Roman"/>
                <w:sz w:val="18"/>
                <w:szCs w:val="18"/>
                <w:color w:val="auto"/>
                <w:w w:val="95"/>
              </w:rPr>
              <w:t>Sep. 26,</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71"/>
              <w:spacing w:after="0" w:line="189" w:lineRule="exact"/>
              <w:rPr>
                <w:sz w:val="20"/>
                <w:szCs w:val="20"/>
                <w:color w:val="auto"/>
              </w:rPr>
            </w:pPr>
            <w:r>
              <w:rPr>
                <w:rFonts w:ascii="Times New Roman" w:cs="Times New Roman" w:eastAsia="Times New Roman" w:hAnsi="Times New Roman"/>
                <w:sz w:val="18"/>
                <w:szCs w:val="18"/>
                <w:color w:val="auto"/>
                <w:w w:val="99"/>
              </w:rPr>
              <w:t>Sep.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4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AOCL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00" w:right="400"/>
        <w:spacing w:after="0" w:line="284" w:lineRule="auto"/>
        <w:rPr>
          <w:sz w:val="20"/>
          <w:szCs w:val="20"/>
          <w:color w:val="auto"/>
        </w:rPr>
      </w:pPr>
      <w:r>
        <w:rPr>
          <w:rFonts w:ascii="Times New Roman" w:cs="Times New Roman" w:eastAsia="Times New Roman" w:hAnsi="Times New Roman"/>
          <w:sz w:val="17"/>
          <w:szCs w:val="17"/>
          <w:color w:val="auto"/>
        </w:rPr>
        <w:t>Gains recognized in foreign transaction loss, in the condensed consolidated statements of operations for the portion of the net investment hedges excluded from the assessment of hedge effectiveness was $0.4 million and $0.5 million for the three months ended September 26, 2026, and September 27, 2025, and $1.1 million and $1.2 million for the nine months ended September 26, 2026, and September 27, 2025, respectively.</w:t>
      </w:r>
    </w:p>
    <w:p>
      <w:pPr>
        <w:spacing w:after="0" w:line="160" w:lineRule="exact"/>
        <w:rPr>
          <w:sz w:val="20"/>
          <w:szCs w:val="20"/>
          <w:color w:val="auto"/>
        </w:rPr>
      </w:pPr>
    </w:p>
    <w:p>
      <w:pPr>
        <w:ind w:left="500" w:right="460"/>
        <w:spacing w:after="0" w:line="277" w:lineRule="auto"/>
        <w:rPr>
          <w:sz w:val="20"/>
          <w:szCs w:val="20"/>
          <w:color w:val="auto"/>
        </w:rPr>
      </w:pPr>
      <w:r>
        <w:rPr>
          <w:rFonts w:ascii="Times New Roman" w:cs="Times New Roman" w:eastAsia="Times New Roman" w:hAnsi="Times New Roman"/>
          <w:sz w:val="18"/>
          <w:szCs w:val="18"/>
          <w:color w:val="auto"/>
        </w:rPr>
        <w:t>Cash flows associated with settlements of our non-designated foreign currency forward contracts are reported in net cash provided by operating activities and our net investment hedges are included in investing activities in our condensed consolidated statements of cash flows.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w:t>
      </w:r>
    </w:p>
    <w:p>
      <w:pPr>
        <w:spacing w:after="0" w:line="222"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18"/>
          <w:szCs w:val="18"/>
          <w:color w:val="auto"/>
        </w:rPr>
        <w:t>The fair value of our foreign currency forward contracts was determined based on current foreign currency exchange rates and forward points. All our foreign currency forward contracts outstanding on September 26, 2026, will mature during the fourth quarter of fiscal 2026.</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about our foreign currency forward contracts outstanding as of September 26, 2026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Currency</w:t>
            </w:r>
          </w:p>
        </w:tc>
        <w:tc>
          <w:tcPr>
            <w:tcW w:w="4080" w:type="dxa"/>
            <w:vAlign w:val="bottom"/>
            <w:vMerge w:val="restart"/>
          </w:tcPr>
          <w:p>
            <w:pPr>
              <w:jc w:val="center"/>
              <w:ind w:left="71"/>
              <w:spacing w:after="0"/>
              <w:rPr>
                <w:sz w:val="20"/>
                <w:szCs w:val="20"/>
                <w:color w:val="auto"/>
              </w:rPr>
            </w:pPr>
            <w:r>
              <w:rPr>
                <w:rFonts w:ascii="Times New Roman" w:cs="Times New Roman" w:eastAsia="Times New Roman" w:hAnsi="Times New Roman"/>
                <w:sz w:val="18"/>
                <w:szCs w:val="18"/>
                <w:color w:val="auto"/>
                <w:w w:val="98"/>
              </w:rPr>
              <w:t>Contract Position</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Contract Amount</w:t>
            </w:r>
          </w:p>
        </w:tc>
        <w:tc>
          <w:tcPr>
            <w:tcW w:w="0" w:type="dxa"/>
            <w:vAlign w:val="bottom"/>
          </w:tcPr>
          <w:p>
            <w:pPr>
              <w:spacing w:after="0"/>
              <w:rPr>
                <w:sz w:val="1"/>
                <w:szCs w:val="1"/>
                <w:color w:val="auto"/>
              </w:rPr>
            </w:pPr>
          </w:p>
        </w:tc>
      </w:tr>
      <w:tr>
        <w:trPr>
          <w:trHeight w:val="207"/>
        </w:trPr>
        <w:tc>
          <w:tcPr>
            <w:tcW w:w="2860" w:type="dxa"/>
            <w:vAlign w:val="bottom"/>
            <w:gridSpan w:val="2"/>
            <w:vMerge w:val="continue"/>
          </w:tcPr>
          <w:p>
            <w:pPr>
              <w:spacing w:after="0"/>
              <w:rPr>
                <w:sz w:val="17"/>
                <w:szCs w:val="17"/>
                <w:color w:val="auto"/>
              </w:rPr>
            </w:pPr>
          </w:p>
        </w:tc>
        <w:tc>
          <w:tcPr>
            <w:tcW w:w="4080" w:type="dxa"/>
            <w:vAlign w:val="bottom"/>
            <w:vMerge w:val="continue"/>
          </w:tcPr>
          <w:p>
            <w:pPr>
              <w:spacing w:after="0"/>
              <w:rPr>
                <w:sz w:val="17"/>
                <w:szCs w:val="17"/>
                <w:color w:val="auto"/>
              </w:rPr>
            </w:pPr>
          </w:p>
        </w:tc>
        <w:tc>
          <w:tcPr>
            <w:tcW w:w="17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(Local Currency)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(U.S. Dollars)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4080" w:type="dxa"/>
            <w:vAlign w:val="bottom"/>
            <w:tcBorders>
              <w:top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Buy</w:t>
            </w:r>
          </w:p>
        </w:tc>
        <w:tc>
          <w:tcPr>
            <w:tcW w:w="1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47,546</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Buy</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40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Buy</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4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Buy</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Malaysian Ringgit</w:t>
            </w:r>
          </w:p>
        </w:tc>
        <w:tc>
          <w:tcPr>
            <w:tcW w:w="40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Buy</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4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2"/>
              </w:rPr>
              <w:t>Sell</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0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2"/>
              </w:rPr>
              <w:t>Sell</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19,618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00" w:right="60"/>
        <w:spacing w:after="0" w:line="307" w:lineRule="auto"/>
        <w:rPr>
          <w:sz w:val="20"/>
          <w:szCs w:val="20"/>
          <w:color w:val="auto"/>
        </w:rPr>
      </w:pPr>
      <w:r>
        <w:rPr>
          <w:rFonts w:ascii="Times New Roman" w:cs="Times New Roman" w:eastAsia="Times New Roman" w:hAnsi="Times New Roman"/>
          <w:sz w:val="17"/>
          <w:szCs w:val="17"/>
          <w:color w:val="auto"/>
        </w:rPr>
        <w:t>Our foreign currency contracts are classified within Level 2 of the fair value hierarchy as they are valued using pricing models that utilize observable market inputs. The fair values of foreign currency contracts outstanding on September 26, 2026, and December 27, 2025, were immaterial.</w:t>
      </w:r>
    </w:p>
    <w:p>
      <w:pPr>
        <w:spacing w:after="0" w:line="377" w:lineRule="exact"/>
        <w:rPr>
          <w:sz w:val="20"/>
          <w:szCs w:val="20"/>
          <w:color w:val="auto"/>
        </w:rPr>
      </w:pPr>
    </w:p>
    <w:p>
      <w:pPr>
        <w:ind w:left="500" w:right="9600" w:hanging="493"/>
        <w:spacing w:after="0" w:line="499" w:lineRule="auto"/>
        <w:tabs>
          <w:tab w:leader="none" w:pos="482"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i w:val="1"/>
          <w:iCs w:val="1"/>
          <w:u w:val="single" w:color="auto"/>
          <w:color w:val="auto"/>
        </w:rPr>
        <w:t>Common Stock</w:t>
      </w:r>
    </w:p>
    <w:p>
      <w:pPr>
        <w:ind w:left="500"/>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On May 15, 2026, our stockholders approved an amendment to Cohu’s Amended and Restated Certificate of Incorporation to increase the number of authorized shares of common stock from 90,000,000 to 150,000,000 shares. Accordingly, on May 15, 2026, we filed with the Secretary of State of the State of Delaware an Amended and Restated Certificate of Incorporation implementing the approved changes (the “Restated Certificate”), and the Restated Certificate was effective as of that date.</w:t>
      </w:r>
    </w:p>
    <w:p>
      <w:pPr>
        <w:sectPr>
          <w:pgSz w:w="11900" w:h="16838" w:orient="portrait"/>
          <w:cols w:equalWidth="0" w:num="1">
            <w:col w:w="11180"/>
          </w:cols>
          <w:pgMar w:left="320" w:top="121" w:right="399" w:bottom="1440" w:gutter="0" w:footer="0" w:header="0"/>
        </w:sectPr>
      </w:pP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Capped Call Transactions</w:t>
      </w:r>
    </w:p>
    <w:p>
      <w:pPr>
        <w:spacing w:after="0" w:line="222" w:lineRule="exact"/>
        <w:rPr>
          <w:sz w:val="20"/>
          <w:szCs w:val="20"/>
          <w:color w:val="auto"/>
        </w:rPr>
      </w:pPr>
    </w:p>
    <w:p>
      <w:pPr>
        <w:ind w:left="500" w:right="80"/>
        <w:spacing w:after="0" w:line="251" w:lineRule="auto"/>
        <w:rPr>
          <w:sz w:val="20"/>
          <w:szCs w:val="20"/>
          <w:color w:val="auto"/>
        </w:rPr>
      </w:pPr>
      <w:r>
        <w:rPr>
          <w:rFonts w:ascii="Times New Roman" w:cs="Times New Roman" w:eastAsia="Times New Roman" w:hAnsi="Times New Roman"/>
          <w:sz w:val="18"/>
          <w:szCs w:val="18"/>
          <w:color w:val="auto"/>
        </w:rPr>
        <w:t>In connection with the Notes offering described in Note 3, “Borrowings and Credit Agreements”, on September 24, 2025, we entered into privately negotiated capped call transactions (the “Base Capped Call Transactions”) with an affiliate of one or more of the initial purchasers of the Notes and certain other financial institutions (the “Option Counterparties”). In addition, on September 25, 2025, in connection with the initial purchasers’ exercise in full of their option to purchase additional Notes, we entered into additional capped call transactions (the “Additional Capped Call Transactions,” and, together with the Base Capped Call Transactions, the “Capped Call Transactions”) with each of the Option Counterparties. The Capped Call Transactions are separate from the Notes and do not change the holders' rights under the Notes. Holders of the Notes do not have any rights with respect to the Capped Call Transactions. The Capped Call Transactions are generally expected to reduce the potential dilution to our common stock upon any conversion of the Notes and/or offset any potential cash payments we are required to make in excess of the principal amount of converted Notes, with such reduction and/or offset subject to a cap.</w:t>
      </w:r>
    </w:p>
    <w:p>
      <w:pPr>
        <w:spacing w:after="0" w:line="187" w:lineRule="exact"/>
        <w:rPr>
          <w:sz w:val="20"/>
          <w:szCs w:val="20"/>
          <w:color w:val="auto"/>
        </w:rPr>
      </w:pPr>
    </w:p>
    <w:p>
      <w:pPr>
        <w:ind w:left="500" w:right="20"/>
        <w:spacing w:after="0" w:line="252" w:lineRule="auto"/>
        <w:rPr>
          <w:sz w:val="20"/>
          <w:szCs w:val="20"/>
          <w:color w:val="auto"/>
        </w:rPr>
      </w:pPr>
      <w:r>
        <w:rPr>
          <w:rFonts w:ascii="Times New Roman" w:cs="Times New Roman" w:eastAsia="Times New Roman" w:hAnsi="Times New Roman"/>
          <w:sz w:val="18"/>
          <w:szCs w:val="18"/>
          <w:color w:val="auto"/>
        </w:rPr>
        <w:t>The Capped Call Transactions are for an aggregate of 10.58 million shares of our common stock, subject to certain anti-dilution adjustments. Each capped call option has an initial strike price of approximately $27.18 per share, which corresponds to the initial conversion price of the Notes, and an initial cap price of approximately $41.02 per share, representing a premium of approximately 100% above the reference price of $20.51, which was the last reported sale price of our common stock on September 24, 2025. The strike and cap prices are subject to certain adjustments. The Capped Call Transactions are intended to offset some or all of the potential dilution to our common stock caused by any conversion of the Notes up to the cap price. The capped call options can be settled in either net shares or cash at our option in components commencing October 15, 2030, and ending January 15, 2031, which could be extended under certain circumstances.</w:t>
      </w:r>
    </w:p>
    <w:p>
      <w:pPr>
        <w:spacing w:after="0" w:line="187"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8"/>
          <w:szCs w:val="18"/>
          <w:color w:val="auto"/>
        </w:rPr>
        <w:t>The capped call options are subject to either adjustment or termination upon the occurrence of specified extraordinary events affecting us, including a merger, tender offer, nationalization, insolvency or delisting. In addition, certain events may result in a termination of the capped call options, including changes in law and hedging disruptions. The Capped Call Transactions are recorded at their aggregate cost of $31.4 million as a reduction to paid-in capital stock in the shareholders’ equity section of our consolidated balance sheet.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22"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We did not repurchase any common shares of our stock during the three and nine months ended September 26, 2026. We did not repurchase any common shares of our stock during the three months ended September 27, 2025. During the nine months ended September 27, 2025, we repurchased 432,288 shares of our common stock for $8.6 million to be held as treasury stock. As of September 26, 2026, $22.8 million remained available for us to repurchase shares of our common stock under our share repurchase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hanging="473"/>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1" w:lineRule="exact"/>
        <w:rPr>
          <w:rFonts w:ascii="Times New Roman" w:cs="Times New Roman" w:eastAsia="Times New Roman" w:hAnsi="Times New Roman"/>
          <w:sz w:val="18"/>
          <w:szCs w:val="18"/>
          <w:b w:val="1"/>
          <w:bCs w:val="1"/>
          <w:color w:val="auto"/>
        </w:rPr>
      </w:pPr>
    </w:p>
    <w:p>
      <w:pPr>
        <w:ind w:left="50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account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spacing w:after="0" w:line="188" w:lineRule="exact"/>
        <w:rPr>
          <w:rFonts w:ascii="Times New Roman" w:cs="Times New Roman" w:eastAsia="Times New Roman" w:hAnsi="Times New Roman"/>
          <w:sz w:val="18"/>
          <w:szCs w:val="18"/>
          <w:b w:val="1"/>
          <w:bCs w:val="1"/>
          <w:color w:val="auto"/>
        </w:rPr>
      </w:pPr>
    </w:p>
    <w:p>
      <w:pPr>
        <w:ind w:left="500" w:right="1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Japan, and California. We believe our financial statement accruals for income taxes are appropriate.</w:t>
      </w:r>
    </w:p>
    <w:p>
      <w:pPr>
        <w:spacing w:after="0" w:line="180" w:lineRule="exact"/>
        <w:rPr>
          <w:rFonts w:ascii="Times New Roman" w:cs="Times New Roman" w:eastAsia="Times New Roman" w:hAnsi="Times New Roman"/>
          <w:sz w:val="18"/>
          <w:szCs w:val="18"/>
          <w:b w:val="1"/>
          <w:bCs w:val="1"/>
          <w:color w:val="auto"/>
        </w:rPr>
      </w:pPr>
    </w:p>
    <w:p>
      <w:pPr>
        <w:ind w:left="500" w:right="2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5" w:lineRule="exact"/>
        <w:rPr>
          <w:rFonts w:ascii="Times New Roman" w:cs="Times New Roman" w:eastAsia="Times New Roman" w:hAnsi="Times New Roman"/>
          <w:sz w:val="18"/>
          <w:szCs w:val="18"/>
          <w:b w:val="1"/>
          <w:bCs w:val="1"/>
          <w:color w:val="auto"/>
        </w:rPr>
      </w:pPr>
    </w:p>
    <w:p>
      <w:pPr>
        <w:ind w:left="500" w:right="3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76" w:lineRule="exact"/>
        <w:rPr>
          <w:rFonts w:ascii="Times New Roman" w:cs="Times New Roman" w:eastAsia="Times New Roman" w:hAnsi="Times New Roman"/>
          <w:sz w:val="18"/>
          <w:szCs w:val="18"/>
          <w:b w:val="1"/>
          <w:bCs w:val="1"/>
          <w:color w:val="auto"/>
        </w:rPr>
      </w:pPr>
    </w:p>
    <w:p>
      <w:pPr>
        <w:ind w:left="5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evidence available, including a lack of sustainable earnings and history of expiring unused NOLs, and tax credits, we continue to maintain our judgment that previously recorded valuation allowances against substantially all net deferred tax assets are required in the United States and Malaysia. If a change in judgment regarding this valuation allowance were to occur in the future, we will record a potentially material deferred tax benefit, which could result in a favorable impact on the effective tax rate in that period.</w:t>
      </w:r>
    </w:p>
    <w:p>
      <w:pPr>
        <w:spacing w:after="0" w:line="180" w:lineRule="exact"/>
        <w:rPr>
          <w:rFonts w:ascii="Times New Roman" w:cs="Times New Roman" w:eastAsia="Times New Roman" w:hAnsi="Times New Roman"/>
          <w:sz w:val="18"/>
          <w:szCs w:val="18"/>
          <w:b w:val="1"/>
          <w:bCs w:val="1"/>
          <w:color w:val="auto"/>
        </w:rPr>
      </w:pPr>
    </w:p>
    <w:p>
      <w:pPr>
        <w:ind w:left="5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spacing w:after="0" w:line="200" w:lineRule="exact"/>
        <w:rPr>
          <w:rFonts w:ascii="Times New Roman" w:cs="Times New Roman" w:eastAsia="Times New Roman" w:hAnsi="Times New Roman"/>
          <w:sz w:val="18"/>
          <w:szCs w:val="18"/>
          <w:b w:val="1"/>
          <w:bCs w:val="1"/>
          <w:color w:val="auto"/>
        </w:rPr>
      </w:pPr>
    </w:p>
    <w:p>
      <w:pPr>
        <w:spacing w:after="0" w:line="212" w:lineRule="exact"/>
        <w:rPr>
          <w:rFonts w:ascii="Times New Roman" w:cs="Times New Roman" w:eastAsia="Times New Roman" w:hAnsi="Times New Roman"/>
          <w:sz w:val="18"/>
          <w:szCs w:val="18"/>
          <w:b w:val="1"/>
          <w:bCs w:val="1"/>
          <w:color w:val="auto"/>
        </w:rPr>
      </w:pPr>
    </w:p>
    <w:p>
      <w:pPr>
        <w:ind w:left="480" w:hanging="473"/>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3" w:lineRule="exact"/>
        <w:rPr>
          <w:rFonts w:ascii="Times New Roman" w:cs="Times New Roman" w:eastAsia="Times New Roman" w:hAnsi="Times New Roman"/>
          <w:sz w:val="18"/>
          <w:szCs w:val="18"/>
          <w:b w:val="1"/>
          <w:bCs w:val="1"/>
          <w:color w:val="auto"/>
        </w:rPr>
      </w:pPr>
    </w:p>
    <w:p>
      <w:pPr>
        <w:ind w:left="50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p>
      <w:pPr>
        <w:ind w:left="500" w:right="440"/>
        <w:spacing w:after="0" w:line="277" w:lineRule="auto"/>
        <w:rPr>
          <w:sz w:val="20"/>
          <w:szCs w:val="20"/>
          <w:color w:val="auto"/>
        </w:rPr>
      </w:pPr>
      <w:r>
        <w:rPr>
          <w:rFonts w:ascii="Times New Roman" w:cs="Times New Roman" w:eastAsia="Times New Roman" w:hAnsi="Times New Roman"/>
          <w:sz w:val="18"/>
          <w:szCs w:val="18"/>
          <w:color w:val="auto"/>
        </w:rPr>
        <w:t>The CODM assesses performance of the Semiconductor Test &amp; Inspection segment and decides how to allocate resources based on income (loss) before taxes. The table below summarizes selected financial information for our single reportable segment.</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Three Months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Three Months</w:t>
            </w: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Nine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Nine Months</w:t>
            </w:r>
          </w:p>
        </w:tc>
      </w:tr>
      <w:tr>
        <w:trPr>
          <w:trHeight w:val="213"/>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27"/>
        </w:trPr>
        <w:tc>
          <w:tcPr>
            <w:tcW w:w="524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September 26,</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September 27,</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9"/>
                <w:szCs w:val="19"/>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2026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r>
      <w:tr>
        <w:trPr>
          <w:trHeight w:val="20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172,956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447,077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330,726</w:t>
            </w:r>
          </w:p>
        </w:tc>
      </w:tr>
      <w:tr>
        <w:trPr>
          <w:trHeight w:val="213"/>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93,963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70,644</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184,971</w:t>
            </w:r>
          </w:p>
        </w:tc>
      </w:tr>
      <w:tr>
        <w:trPr>
          <w:trHeight w:val="21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64,705</w:t>
            </w:r>
          </w:p>
        </w:tc>
      </w:tr>
      <w:tr>
        <w:trPr>
          <w:trHeight w:val="213"/>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13,892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39,719</w:t>
            </w:r>
          </w:p>
        </w:tc>
      </w:tr>
      <w:tr>
        <w:trPr>
          <w:trHeight w:val="21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15,599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39,516</w:t>
            </w:r>
          </w:p>
        </w:tc>
      </w:tr>
      <w:tr>
        <w:trPr>
          <w:trHeight w:val="213"/>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30,182</w:t>
            </w:r>
          </w:p>
        </w:tc>
      </w:tr>
      <w:tr>
        <w:trPr>
          <w:trHeight w:val="21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17,564</w:t>
            </w:r>
          </w:p>
        </w:tc>
      </w:tr>
      <w:tr>
        <w:trPr>
          <w:trHeight w:val="213"/>
        </w:trPr>
        <w:tc>
          <w:tcPr>
            <w:tcW w:w="5240" w:type="dxa"/>
            <w:vAlign w:val="bottom"/>
          </w:tcPr>
          <w:p>
            <w:pPr>
              <w:ind w:left="320"/>
              <w:spacing w:after="0" w:line="213"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2,681</w:t>
            </w:r>
          </w:p>
        </w:tc>
      </w:tr>
      <w:tr>
        <w:trPr>
          <w:trHeight w:val="20"/>
        </w:trPr>
        <w:tc>
          <w:tcPr>
            <w:tcW w:w="5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(48,612)</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Other segment items include restructuring charges as well as miscellaneous non-operating items.</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revenues by geography and information on customer concentration, see Note 1, “Summary of Significant Accounting Policies”.</w:t>
      </w:r>
    </w:p>
    <w:p>
      <w:pPr>
        <w:spacing w:after="0" w:line="200" w:lineRule="exact"/>
        <w:rPr>
          <w:sz w:val="20"/>
          <w:szCs w:val="20"/>
          <w:color w:val="auto"/>
        </w:rPr>
      </w:pPr>
    </w:p>
    <w:p>
      <w:pPr>
        <w:spacing w:after="0" w:line="256" w:lineRule="exact"/>
        <w:rPr>
          <w:sz w:val="20"/>
          <w:szCs w:val="20"/>
          <w:color w:val="auto"/>
        </w:rPr>
      </w:pPr>
    </w:p>
    <w:p>
      <w:pPr>
        <w:ind w:left="480" w:hanging="473"/>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3" w:lineRule="exact"/>
        <w:rPr>
          <w:rFonts w:ascii="Times New Roman" w:cs="Times New Roman" w:eastAsia="Times New Roman" w:hAnsi="Times New Roman"/>
          <w:sz w:val="18"/>
          <w:szCs w:val="18"/>
          <w:b w:val="1"/>
          <w:bCs w:val="1"/>
          <w:color w:val="auto"/>
        </w:rPr>
      </w:pPr>
    </w:p>
    <w:p>
      <w:pPr>
        <w:ind w:left="480" w:right="1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spacing w:after="0" w:line="180" w:lineRule="exact"/>
        <w:rPr>
          <w:rFonts w:ascii="Times New Roman" w:cs="Times New Roman" w:eastAsia="Times New Roman" w:hAnsi="Times New Roman"/>
          <w:sz w:val="18"/>
          <w:szCs w:val="18"/>
          <w:b w:val="1"/>
          <w:bCs w:val="1"/>
          <w:color w:val="auto"/>
        </w:rPr>
      </w:pPr>
    </w:p>
    <w:p>
      <w:pPr>
        <w:ind w:left="500" w:right="2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leases have remaining lease terms of up to 31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spacing w:after="0" w:line="176"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3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vMerge w:val="restart"/>
          </w:tcPr>
          <w:p>
            <w:pPr>
              <w:jc w:val="right"/>
              <w:ind w:right="51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7"/>
              </w:rPr>
              <w:t>December 27, 2025</w:t>
            </w: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assets</w:t>
            </w:r>
          </w:p>
        </w:tc>
        <w:tc>
          <w:tcPr>
            <w:tcW w:w="3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assets</w:t>
            </w:r>
          </w:p>
        </w:tc>
        <w:tc>
          <w:tcPr>
            <w:tcW w:w="36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26,945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2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3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w:t>
            </w:r>
          </w:p>
        </w:tc>
        <w:tc>
          <w:tcPr>
            <w:tcW w:w="3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3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6380" w:type="dxa"/>
            <w:vAlign w:val="bottom"/>
            <w:gridSpan w:val="2"/>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09"/>
        </w:trPr>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21"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2"/>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September 26,</w:t>
            </w: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September 27,</w:t>
            </w:r>
          </w:p>
        </w:tc>
        <w:tc>
          <w:tcPr>
            <w:tcW w:w="140" w:type="dxa"/>
            <w:vAlign w:val="bottom"/>
          </w:tcPr>
          <w:p>
            <w:pPr>
              <w:spacing w:after="0"/>
              <w:rPr>
                <w:sz w:val="18"/>
                <w:szCs w:val="18"/>
                <w:color w:val="auto"/>
              </w:rPr>
            </w:pPr>
          </w:p>
        </w:tc>
        <w:tc>
          <w:tcPr>
            <w:tcW w:w="122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September 26,</w:t>
            </w: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5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w:t>
            </w: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78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5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lease cost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2,088</w:t>
            </w: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w:t>
            </w: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78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6"/>
          </w:tcPr>
          <w:p>
            <w:pPr>
              <w:jc w:val="right"/>
              <w:ind w:right="271"/>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6"/>
          </w:tcPr>
          <w:p>
            <w:pPr>
              <w:jc w:val="right"/>
              <w:ind w:right="231"/>
              <w:spacing w:after="0"/>
              <w:rPr>
                <w:sz w:val="20"/>
                <w:szCs w:val="20"/>
                <w:color w:val="auto"/>
              </w:rPr>
            </w:pPr>
            <w:r>
              <w:rPr>
                <w:rFonts w:ascii="Times New Roman" w:cs="Times New Roman" w:eastAsia="Times New Roman" w:hAnsi="Times New Roman"/>
                <w:sz w:val="18"/>
                <w:szCs w:val="18"/>
                <w:color w:val="auto"/>
              </w:rPr>
              <w:t>September 26,</w:t>
            </w:r>
          </w:p>
        </w:tc>
        <w:tc>
          <w:tcPr>
            <w:tcW w:w="300" w:type="dxa"/>
            <w:vAlign w:val="bottom"/>
          </w:tcPr>
          <w:p>
            <w:pPr>
              <w:spacing w:after="0"/>
              <w:rPr>
                <w:sz w:val="18"/>
                <w:szCs w:val="18"/>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5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Cash paid for amounts included in the measurement of lease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0" w:type="dxa"/>
            <w:vAlign w:val="bottom"/>
          </w:tcPr>
          <w:p>
            <w:pPr>
              <w:spacing w:after="0"/>
              <w:rPr>
                <w:sz w:val="1"/>
                <w:szCs w:val="1"/>
                <w:color w:val="auto"/>
              </w:rPr>
            </w:pPr>
          </w:p>
        </w:tc>
      </w:tr>
      <w:tr>
        <w:trPr>
          <w:trHeight w:val="409"/>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Future minimum lease payments on September 26, 2026, are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60" w:type="dxa"/>
            <w:vAlign w:val="bottom"/>
          </w:tcPr>
          <w:p>
            <w:pPr>
              <w:spacing w:after="0"/>
              <w:rPr>
                <w:sz w:val="24"/>
                <w:szCs w:val="24"/>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Operating</w:t>
            </w:r>
          </w:p>
        </w:tc>
        <w:tc>
          <w:tcPr>
            <w:tcW w:w="220" w:type="dxa"/>
            <w:vAlign w:val="bottom"/>
          </w:tcPr>
          <w:p>
            <w:pPr>
              <w:spacing w:after="0"/>
              <w:rPr>
                <w:sz w:val="24"/>
                <w:szCs w:val="24"/>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Finance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5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leases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left w:val="single" w:sz="8" w:color="CCEEFF"/>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Borders>
              <w:lef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 w:type="dxa"/>
            <w:vAlign w:val="bottom"/>
          </w:tcPr>
          <w:p>
            <w:pPr>
              <w:spacing w:after="0"/>
              <w:rPr>
                <w:sz w:val="17"/>
                <w:szCs w:val="17"/>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22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80" w:type="dxa"/>
            <w:vAlign w:val="bottom"/>
            <w:tcBorders>
              <w:lef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(11,171)</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0" w:type="dxa"/>
            <w:vAlign w:val="bottom"/>
          </w:tcPr>
          <w:p>
            <w:pPr>
              <w:spacing w:after="0"/>
              <w:rPr>
                <w:sz w:val="19"/>
                <w:szCs w:val="19"/>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220" w:type="dxa"/>
            <w:vAlign w:val="bottom"/>
            <w:tcBorders>
              <w:left w:val="single" w:sz="8" w:color="CCEEFF"/>
            </w:tcBorders>
            <w:shd w:val="clear" w:color="auto" w:fill="CCEEFF"/>
          </w:tcPr>
          <w:p>
            <w:pPr>
              <w:spacing w:after="0"/>
              <w:rPr>
                <w:sz w:val="19"/>
                <w:szCs w:val="19"/>
                <w:color w:val="auto"/>
              </w:rPr>
            </w:pP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left w:val="single" w:sz="8" w:color="CCEEFF"/>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80" w:type="dxa"/>
            <w:vAlign w:val="bottom"/>
            <w:tcBorders>
              <w:left w:val="single" w:sz="8" w:color="CCEEFF"/>
            </w:tcBorders>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hanging="473"/>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3" w:lineRule="exact"/>
        <w:rPr>
          <w:rFonts w:ascii="Times New Roman" w:cs="Times New Roman" w:eastAsia="Times New Roman" w:hAnsi="Times New Roman"/>
          <w:sz w:val="18"/>
          <w:szCs w:val="18"/>
          <w:b w:val="1"/>
          <w:bCs w:val="1"/>
          <w:color w:val="auto"/>
        </w:rPr>
      </w:pPr>
    </w:p>
    <w:p>
      <w:pPr>
        <w:jc w:val="both"/>
        <w:ind w:left="500" w:right="3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Times New Roman" w:cs="Times New Roman" w:eastAsia="Times New Roman" w:hAnsi="Times New Roman"/>
          <w:sz w:val="18"/>
          <w:szCs w:val="18"/>
          <w:b w:val="1"/>
          <w:bCs w:val="1"/>
          <w:color w:val="auto"/>
        </w:rPr>
      </w:pPr>
    </w:p>
    <w:p>
      <w:pPr>
        <w:spacing w:after="0" w:line="212" w:lineRule="exact"/>
        <w:rPr>
          <w:rFonts w:ascii="Times New Roman" w:cs="Times New Roman" w:eastAsia="Times New Roman" w:hAnsi="Times New Roman"/>
          <w:sz w:val="18"/>
          <w:szCs w:val="18"/>
          <w:b w:val="1"/>
          <w:bCs w:val="1"/>
          <w:color w:val="auto"/>
        </w:rPr>
      </w:pPr>
    </w:p>
    <w:p>
      <w:pPr>
        <w:ind w:left="500" w:right="9560" w:hanging="493"/>
        <w:spacing w:after="0" w:line="526" w:lineRule="auto"/>
        <w:tabs>
          <w:tab w:leader="none" w:pos="482"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Product Warranty</w:t>
      </w:r>
    </w:p>
    <w:p>
      <w:pPr>
        <w:spacing w:after="0" w:line="1" w:lineRule="exact"/>
        <w:rPr>
          <w:rFonts w:ascii="Times New Roman" w:cs="Times New Roman" w:eastAsia="Times New Roman" w:hAnsi="Times New Roman"/>
          <w:sz w:val="17"/>
          <w:szCs w:val="17"/>
          <w:b w:val="1"/>
          <w:bCs w:val="1"/>
          <w:color w:val="auto"/>
        </w:rPr>
      </w:pPr>
    </w:p>
    <w:p>
      <w:pPr>
        <w:jc w:val="both"/>
        <w:ind w:left="500" w:right="26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accrued warranty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5"/>
        </w:trPr>
        <w:tc>
          <w:tcPr>
            <w:tcW w:w="3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jc w:val="right"/>
              <w:ind w:right="43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3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September 27,</w:t>
            </w:r>
          </w:p>
        </w:tc>
        <w:tc>
          <w:tcPr>
            <w:tcW w:w="80" w:type="dxa"/>
            <w:vAlign w:val="bottom"/>
          </w:tcPr>
          <w:p>
            <w:pPr>
              <w:spacing w:after="0"/>
              <w:rPr>
                <w:sz w:val="19"/>
                <w:szCs w:val="19"/>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27,</w:t>
            </w:r>
          </w:p>
        </w:tc>
      </w:tr>
      <w:tr>
        <w:trPr>
          <w:trHeight w:val="232"/>
        </w:trPr>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r>
      <w:tr>
        <w:trPr>
          <w:trHeight w:val="207"/>
        </w:trPr>
        <w:tc>
          <w:tcPr>
            <w:tcW w:w="3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r>
      <w:tr>
        <w:trPr>
          <w:trHeight w:val="213"/>
        </w:trPr>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 accruals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13"/>
        </w:trPr>
        <w:tc>
          <w:tcPr>
            <w:tcW w:w="3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payments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0"/>
        </w:trPr>
        <w:tc>
          <w:tcPr>
            <w:tcW w:w="30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07"/>
        </w:trPr>
        <w:tc>
          <w:tcPr>
            <w:tcW w:w="3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40" w:type="dxa"/>
            <w:vAlign w:val="bottom"/>
          </w:tcPr>
          <w:p>
            <w:pPr>
              <w:spacing w:after="0"/>
              <w:rPr>
                <w:sz w:val="17"/>
                <w:szCs w:val="17"/>
                <w:color w:val="auto"/>
              </w:rPr>
            </w:pPr>
          </w:p>
        </w:tc>
        <w:tc>
          <w:tcPr>
            <w:tcW w:w="3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0"/>
        </w:trPr>
        <w:tc>
          <w:tcPr>
            <w:tcW w:w="3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80" w:right="380"/>
        <w:spacing w:after="0" w:line="277" w:lineRule="auto"/>
        <w:rPr>
          <w:sz w:val="20"/>
          <w:szCs w:val="20"/>
          <w:color w:val="auto"/>
        </w:rPr>
      </w:pPr>
      <w:r>
        <w:rPr>
          <w:rFonts w:ascii="Times New Roman" w:cs="Times New Roman" w:eastAsia="Times New Roman" w:hAnsi="Times New Roman"/>
          <w:sz w:val="18"/>
          <w:szCs w:val="18"/>
          <w:color w:val="auto"/>
        </w:rPr>
        <w:t>Accrued warranty amounts expected to be incurred after one year are included in noncurrent other accrued liabilities in the condensed consolidated balance sheet. These amounts totaled $0.3 million and $0.2 million at September 26, 2026, and December 27, 2025, respectively.</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current expectations. Such risks and uncertainties include those set forth in this Quarterly Report on Form 10-Q and our 2025 Annual Report on Form 10-K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forward-looking statements in this report speak only as of the time they are made, and do not necessarily reflect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Cohu was founded in 1947 and is a global supplier of equipment and services optimizing semiconductor manufacturing yield and productivity. We serve global semiconductor manufacturers and test subcontractors with a broad portfolio of products and services.</w:t>
      </w:r>
    </w:p>
    <w:p>
      <w:pPr>
        <w:spacing w:after="0" w:line="16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For the three months ended September 26, 2026, net sales increased 16.1% sequentially to $173.0 million from $149.0 million in the second quarter of fiscal 2026. Revenue from our capital equipment products is primarily driven by customers’ capital expenditures and operating budgets, which depend on capacity utilization, inventory levels, and anticipated end market demand and may fluctuate significantly with industry conditions, with capital spending related to artificial intelligence (“AI”) and high-performance computing currently remaining a strong area of investment, while automotive, industrial and consumer markets continue to recover at varying rates. In contrast, revenue from our recurring products, such as test consumables, services, and subscription software, is influenced by the volume of semiconductor devices tested and customers’ ongoing technology transitions, and because this revenue is tied to the installed base and production activity rather than discrete capital purchase decisions, it is generally more stable and less cyclical than capital equipment revenue.</w:t>
      </w:r>
    </w:p>
    <w:p>
      <w:pPr>
        <w:spacing w:after="0" w:line="17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Global macroeconomic and geopolitical factors continue to influence the semiconductor industry. While elevated interest rates and ongoing geopolitical uncertainty have moderated capital spending in certain end markets, industry conditions continue to be bifurcated. While automotive, industrial and consumer-oriented semiconductor markets have shown signs of improvement, customers continue to manage inventory levels closely and remain cautious with capacity investments, leading many semiconductor companies to maintain cost controls and carefully manage expansion plans.</w:t>
      </w:r>
    </w:p>
    <w:p>
      <w:pPr>
        <w:spacing w:after="0" w:line="1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By contrast, demand related to AI, high-performance computing, and data center applications has remained comparatively strong and continues to support investment in advanced semiconductor testing and inspection solutions. Demand across industrial and automotive semiconductor markets remained stronger during the third quarter, contributing to increased customer activity and investment levels. During the third quarter of fiscal 2026, our net sales benefited from increased customer activity associated with AI-driven computing applications, as well as higher demand in industrial and automotive semiconductor markets, which helped offset continued softness in certain consumer-oriented markets. These trends are broadly consistent with market conditions and customer spending patterns specific to our end markets.</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In response to economic conditions, in fiscal 2025, we initiated a global restructuring program designed to improve profitability while maintaining investments in product development. We continue to manage our cost structure with discipline while preserving flexibility to support anticipated growth opportunities, particularly in AI-related applications. We remain focused on building a well-balanced and resilient business model, executing on customer design wins, and developing innovative products. We are expanding our addressable market with new test, inspection, automation, and AI-driven software solutions and are encouraged by increasing customer adoption of semiconductor test and inspection equipment used in AI-enabled data centers. Despite continued near-term variability across certain semiconductor end markets, we believe our long-term market drivers remain intact, supported by increasing semiconductor complexity, higher quality and reliability requirements, test intensity, automation, smart manufacturing initiatives including AI-driven data analytics, and the proliferation of electronics across automotive, mobile, industrial, computing, and consumer markets.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2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spacing w:after="0" w:line="17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Our critical accounting estimates that we believe are the most important to investors’ understanding of our financial results and condition require complex management judgment and include:</w:t>
      </w:r>
    </w:p>
    <w:p>
      <w:pPr>
        <w:spacing w:after="0" w:line="163" w:lineRule="exact"/>
        <w:rPr>
          <w:sz w:val="20"/>
          <w:szCs w:val="20"/>
          <w:color w:val="auto"/>
        </w:rPr>
      </w:pPr>
    </w:p>
    <w:p>
      <w:pPr>
        <w:ind w:left="500" w:hanging="320"/>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25" w:lineRule="exact"/>
        <w:rPr>
          <w:rFonts w:ascii="Times New Roman" w:cs="Times New Roman" w:eastAsia="Times New Roman" w:hAnsi="Times New Roman"/>
          <w:sz w:val="18"/>
          <w:szCs w:val="18"/>
          <w:color w:val="auto"/>
        </w:rPr>
      </w:pPr>
    </w:p>
    <w:p>
      <w:pPr>
        <w:ind w:left="500" w:hanging="320"/>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inventory reserves, which impact gross margin or operating expenses;</w:t>
      </w:r>
    </w:p>
    <w:p>
      <w:pPr>
        <w:spacing w:after="0" w:line="6" w:lineRule="exact"/>
        <w:rPr>
          <w:rFonts w:ascii="Times New Roman" w:cs="Times New Roman" w:eastAsia="Times New Roman" w:hAnsi="Times New Roman"/>
          <w:sz w:val="18"/>
          <w:szCs w:val="18"/>
          <w:color w:val="auto"/>
        </w:rPr>
      </w:pPr>
    </w:p>
    <w:p>
      <w:pPr>
        <w:ind w:left="500" w:right="480" w:hanging="320"/>
        <w:spacing w:after="0" w:line="247"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500" w:hanging="320"/>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goodwill, which primarily impacts gross margin or operating expenses if we are required to record impairments.</w:t>
      </w:r>
    </w:p>
    <w:p>
      <w:pPr>
        <w:spacing w:after="0" w:line="201"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net sales are derived from the sale of products and services and are adjusted for estimated returns and allowances,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and contactor and kit revenue are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September 26, 2026, we had $4.6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relates to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estimated credit losses resulting from the inability of our customers to make required payments.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were required to be capitalized under IRC Section 174, net of related amortization, reserves and accruals that are not yet deductible for tax, and tax credit and net operating loss carryforwards.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apply the provisions of ASC 280, which sets forth a management approach to segment reporting and establishes requirements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Intangible Assets and Other Long-lived Assets: </w:t>
      </w:r>
      <w:r>
        <w:rPr>
          <w:rFonts w:ascii="Times New Roman" w:cs="Times New Roman" w:eastAsia="Times New Roman" w:hAnsi="Times New Roman"/>
          <w:sz w:val="18"/>
          <w:szCs w:val="18"/>
          <w:color w:val="auto"/>
        </w:rPr>
        <w:t>We evaluate goodwill for impairment annually and whenever events or changes in circumstances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1" w:lineRule="exact"/>
        <w:rPr>
          <w:sz w:val="20"/>
          <w:szCs w:val="20"/>
          <w:color w:val="auto"/>
        </w:rPr>
      </w:pPr>
    </w:p>
    <w:p>
      <w:pPr>
        <w:ind w:right="140"/>
        <w:spacing w:after="0" w:line="217" w:lineRule="exact"/>
        <w:rPr>
          <w:sz w:val="20"/>
          <w:szCs w:val="20"/>
          <w:color w:val="auto"/>
        </w:rPr>
      </w:pPr>
      <w:r>
        <w:rPr>
          <w:rFonts w:ascii="Times New Roman" w:cs="Times New Roman" w:eastAsia="Times New Roman" w:hAnsi="Times New Roman"/>
          <w:sz w:val="18"/>
          <w:szCs w:val="18"/>
          <w:color w:val="auto"/>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spacing w:after="0" w:line="196"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8"/>
          <w:szCs w:val="18"/>
          <w:color w:val="auto"/>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assumptions, macroeconomic conditions, customer demand, competitive dynamics, or other factors could result in a reduction in the estimated fair value of one or more reporting units.</w:t>
      </w:r>
    </w:p>
    <w:p>
      <w:pPr>
        <w:spacing w:after="0" w:line="195" w:lineRule="exact"/>
        <w:rPr>
          <w:sz w:val="20"/>
          <w:szCs w:val="20"/>
          <w:color w:val="auto"/>
        </w:rPr>
      </w:pPr>
    </w:p>
    <w:p>
      <w:pPr>
        <w:ind w:right="60"/>
        <w:spacing w:after="0" w:line="217" w:lineRule="exact"/>
        <w:rPr>
          <w:sz w:val="20"/>
          <w:szCs w:val="20"/>
          <w:color w:val="auto"/>
        </w:rPr>
      </w:pPr>
      <w:r>
        <w:rPr>
          <w:rFonts w:ascii="Times New Roman" w:cs="Times New Roman" w:eastAsia="Times New Roman" w:hAnsi="Times New Roman"/>
          <w:sz w:val="18"/>
          <w:szCs w:val="18"/>
          <w:color w:val="auto"/>
        </w:rPr>
        <w:t>We performed our annual goodwill impairment test as of October 1, 2025, and determined that the estimated fair values of our reporting units exceeded their respective carrying values. As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spacing w:after="0" w:line="199"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Goodwill is also required to be evaluated for impairment between annual testing dates if indicators of impairment arise. Based on our evaluation of events, including operating results and market conditions through September 26, 2026, we determined that no such triggering events had occurred. If circumstances change and an interim impairment assessment is required, it could result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which could be material and would adversely affect our results of operations and financial condition.</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fiscal 2026, no events or conditions occurred suggesting an impairment in our long-lived assets.</w:t>
      </w:r>
    </w:p>
    <w:p>
      <w:pPr>
        <w:spacing w:after="0" w:line="216"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7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Compensation expense for restricted stock unit (RSU) awards is calculated based on the market price of our common stock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date. As Cohu doesn’t currently pay dividends, no reduction for expected dividends is applied. Compensation expense for performance stock units (PSUs) with market-based goals is determined using a Monte Carlo simulation model as of the grant date. When granted, compensation expense for stock options is measured based on the fair value of the award on its grant date, which we estimate using the Black-Scholes valuation model.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8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7"/>
        </w:trPr>
        <w:tc>
          <w:tcPr>
            <w:tcW w:w="50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September 26,</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27,</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September 26,</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32"/>
        </w:trPr>
        <w:tc>
          <w:tcPr>
            <w:tcW w:w="5000" w:type="dxa"/>
            <w:vAlign w:val="bottom"/>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r>
      <w:tr>
        <w:trPr>
          <w:trHeight w:val="20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5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5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Fiscal 2026 Compared to Third Quarter of Fiscal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4" w:lineRule="exact"/>
        <w:rPr>
          <w:sz w:val="20"/>
          <w:szCs w:val="20"/>
          <w:color w:val="auto"/>
        </w:rPr>
      </w:pPr>
    </w:p>
    <w:p>
      <w:pPr>
        <w:ind w:right="440"/>
        <w:spacing w:after="0" w:line="220" w:lineRule="exact"/>
        <w:rPr>
          <w:sz w:val="20"/>
          <w:szCs w:val="20"/>
          <w:color w:val="auto"/>
        </w:rPr>
      </w:pPr>
      <w:r>
        <w:rPr>
          <w:rFonts w:ascii="Times New Roman" w:cs="Times New Roman" w:eastAsia="Times New Roman" w:hAnsi="Times New Roman"/>
          <w:sz w:val="18"/>
          <w:szCs w:val="18"/>
          <w:color w:val="auto"/>
        </w:rPr>
        <w:t>Our consolidated net sales increased 37.0% to $173.0 million in 2026, compared to $126.2 million in 2025. Net sales for the third quarter of fiscal 2026 increased compared to the same period in fiscal 2025, primarily driven by stronger demand across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computing applications, industrial and automotive semiconductor markets. Meanwhile, demand in mobile and consumer end markets remained relatively consistent year-over-year.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manufacturing cost structure, and business volume which impacts the utilization of our manufacturing capacity. Our gross margin, as a percentage of net sales for the third quarter, was 45.5% in fiscal 2026 and 43.8% in fiscal 2025. Gross margin in the third quarter of fiscal 2026 was higher due to a more favorable mix of systems sold to customers, as well as higher overall business volume, which enabled improved utilization of our existing manufacturing cost structure.</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compute the majority of our excess and obsolete inventory reserve requirements using inventory usage forecasts. During the third quarter of fiscal 2026 and 2025, we recorded charges to cost of sales of $2.3 million and $0.9 million for excess and obsolete inventory, respectively. We believe our reserves for excess and obsolete inventory and lower of cost or net realizable value are adequate to cover known exposures as of September 26, 2026. Reductions in customer forecasts, continued modifications to products, or our failure to meet specifications or other customer requirements, may result in additional charges to operations that could negatively impact our gross margin in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R&amp;D expense was $25.6 million in fiscal 2026 and $22.5 million in fiscal 2025, representing 14.8% and 17.8% of net sales, respectively. During the third quarter of fiscal 2026, R&amp;D expenses increased primarily due to higher material costs incurred for new products under development, reflecting continued investment in our product roadmap.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SG&amp;A expense consists primarily of salaries and benefit costs of employees, commission expense for independent sales representatives, product promotion and costs of professional services. SG&amp;A expense was $32.7 million or 18.9% of net sales in fiscal 2026, compared to $31.8 million or 25.2% in fiscal 2025. SG&amp;A expense during the third fiscal quarter of 2026 increased on a year-over-year basis, primarily driven by higher business volume and the associated increase in selling and administrative activity. These increases were partially offset by improved operating leverage as SG&amp;A declined as a percentage of net sales.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4"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$7.2 million and $10.2 million in the third fiscal quarter of 2026 and 2025, respectively. The decrease in amortization expense during the third quarter of fiscal 2026 was primarily due to certain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intangible assets becoming fully amortized during fiscal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We initiated a broad strategic restructuring program during the first quarter of fiscal 2025 aimed at repositioning our global organization and optimizing our cost structure. During the third fiscal quarters of 2026 and 2025, restructuring activity resulted in charges of $0.4 million and $0.5 million, respectively. The year-over-year decrease primarily reflects the timing and level of restructuring-related activities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 Item 1 of this Form 10-Q for additional information with respect to restructuring charges.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Interest expense was $1.8 million and $0.1 million in the third fiscal quarter of 2026 and 2025, respectively. The increase in interest expense compared to the prior year was primarily attributable to interest expense associated with the convertible notes issued during the fourth quarter of fiscal 2025.</w:t>
      </w:r>
    </w:p>
    <w:p>
      <w:pPr>
        <w:spacing w:after="0" w:line="163"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7"/>
          <w:szCs w:val="17"/>
          <w:color w:val="auto"/>
        </w:rPr>
        <w:t>Interest income was $3.9 million and $1.3 million in the third quarter of fiscal 2026 and 2025, respectively. The increase in interest income compared to the prior year was primarily driven by higher average investment balances during the third fiscal quarter of 2026, reflecting the investment of proceeds from the issuance of the convertible notes in the fourth quarter of fiscal 2025. The higher invested balances resulted in increased interest income during the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third quarter 2026 tax provision is higher than the third quarter 2025 tax provision, primarily due to a change in mix of income between tax jurisdictions.</w:t>
      </w:r>
    </w:p>
    <w:p>
      <w:pPr>
        <w:spacing w:after="0" w:line="23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Japan, and California. We believe our financial statement accruals for income taxes are appropriate.</w:t>
      </w:r>
    </w:p>
    <w:p>
      <w:pPr>
        <w:spacing w:after="0" w:line="16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4"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As a result of the factors set forth above, our net income was $12.1 million for the three months ended September 26, 2026, as compared to a net loss of $4.1 million for the three months ended September 27, 2025.</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Nine Months of Fiscal 2026 Compared to First Nine Months of Fiscal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Our consolidated net sales increased 35.2% to $447.1 million in 2026, compared to $330.7 million in 2025. Net sales for the first nine months of fiscal 2026 increased compared to fiscal 2025, driven by stronger demand across our semiconductor end markets, particularly AI-based computing applications, as well as improved activity in industrial and automotive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gross margin, as a percentage of net sales, increased to 45.7% in 2026 from 43.7% in 2025. Gross margin during the first nine months of fiscal 2026 was higher due to a more favorable mix of systems sold to customers, as well as higher overall business volume, which enabled improved utilization of our existing manufacturing cost structure.</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first nine months of fiscal 2026 and 2025, we recorded charges to cost of sales for excess and obsolete inventory of approximately $7.8 million and $4.1 million, respectively. We believe our reserves for excess and obsolete inventory and lower of cost or net realizable value are adequate to cover known exposures as of September 26, 2026.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w:t>
      </w:r>
    </w:p>
    <w:p>
      <w:pPr>
        <w:spacing w:after="0" w:line="2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R&amp;D expense was $76.9 million or 17.2% of net sales in fiscal 2026, compared to $68.8 million or 20.8% in fiscal 2025. R&amp;D expense increased during the first nine months of fiscal 2026 due to higher material costs associated with new product development during the current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22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SG&amp;A expense was $101.8 million or 22.8% of net sales in 2026, compared to $91.6 million or 27.7% in 2025. The increase in SG&amp;A expense was primarily attributable to higher business volume and the associated increase in selling activity. However, SG&amp;A expense as a percentage of net sales decreased due to improved operating leverage resulting from higher sales volumes. In addition, SG&amp;A expense during the first nine months of fiscal 2025 was lower due to ongoing cost control measures, lower incentive compensation resulting from business conditions and a $1.7 million benefit from an adjustment made to contingent consideration related to the acquisition of Tignis.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4" w:lineRule="exact"/>
        <w:rPr>
          <w:sz w:val="20"/>
          <w:szCs w:val="20"/>
          <w:color w:val="auto"/>
        </w:rPr>
      </w:pPr>
    </w:p>
    <w:p>
      <w:pPr>
        <w:ind w:right="340"/>
        <w:spacing w:after="0" w:line="220" w:lineRule="exact"/>
        <w:rPr>
          <w:sz w:val="20"/>
          <w:szCs w:val="20"/>
          <w:color w:val="auto"/>
        </w:rPr>
      </w:pPr>
      <w:r>
        <w:rPr>
          <w:rFonts w:ascii="Times New Roman" w:cs="Times New Roman" w:eastAsia="Times New Roman" w:hAnsi="Times New Roman"/>
          <w:sz w:val="18"/>
          <w:szCs w:val="18"/>
          <w:color w:val="auto"/>
        </w:rPr>
        <w:t>Amortization of acquisition-related intangible assets was $21.8 million and $30.2 million for the first nine months of fiscal 2026 and fiscal 2025, respectively. The decrease in amortization expense during the first nine months of fiscal 2026 was primarily due to certain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intangible assets becoming fully amortized during fiscal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initiated a broad strategic restructuring program during the first quarter of fiscal 2025 aimed at repositioning our global organization and optimizing our cost structure. As a result of this program, during the first nine months of fiscal 2026 and fiscal 2025, we incurred restructuring charges totaling $1.8 million and $8.3 million, respectively. The year-over-year decrease primarily reflects the timing and level of restructuring-related activities during the respective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 Item 1 of this Form 10-Q for additional information with respect to restructuring charges.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7"/>
          <w:szCs w:val="17"/>
          <w:color w:val="auto"/>
        </w:rPr>
        <w:t>Interest expense was $5.1 million and $0.4 million in the first nine months of fiscal 2026 and fiscal 2025, respectively. The increase in interest expense compared to the prior year was primarily attributable to interest expense associated with the convertible notes issued during the fourth quarter of fiscal 2025.</w:t>
      </w:r>
    </w:p>
    <w:p>
      <w:pPr>
        <w:spacing w:after="0" w:line="14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Interest income was $11.6 million and $4.3 million in the first nine months of fiscal 2026 and fiscal 2025, respectively. The increase in interest income compared to the prior year was primarily driven by higher average investment balances during fiscal 2026, reflecting the investment of proceeds from the issuance of the convertible notes in the fourth quarter of fiscal 2025.</w:t>
      </w:r>
    </w:p>
    <w:p>
      <w:pPr>
        <w:sectPr>
          <w:pgSz w:w="11900" w:h="16838" w:orient="portrait"/>
          <w:cols w:equalWidth="0" w:num="1">
            <w:col w:w="11180"/>
          </w:cols>
          <w:pgMar w:left="320" w:top="121" w:right="399" w:bottom="1440" w:gutter="0" w:footer="0" w:header="0"/>
        </w:sectPr>
      </w:pP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provision or benefit for income taxes is attributable to U.S. federal, state, and foreign income taxes. Our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spacing w:after="0" w:line="18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The tax provision for the nine months ended September 26, 2026, is higher than the tax provision for the nine months ended September 27, 2025, primarily due to a change in mix of income between tax jurisdictions.</w:t>
      </w:r>
    </w:p>
    <w:p>
      <w:pPr>
        <w:spacing w:after="0" w:line="1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Japan, and California. We believe our financial statement accruals for income taxes are appropriate.</w:t>
      </w:r>
    </w:p>
    <w:p>
      <w:pPr>
        <w:spacing w:after="0" w:line="16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were no material changes to our unrecognized tax benefits and interest accrued related to unrecognized tax benefits during the nine months ended September 26,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As a result of the factors set forth above, our net loss was $0.1 million for the nine months ended September 26, 2026. For the nine months ended September 27, 2025, our net loss was $51.8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spacing w:after="0" w:line="17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September 26, 2026, $175.8 million or 64.6%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On September 26, 2026, our total indebtedness, net of deferred financing costs included $279.8 million outstanding under the Notes, $1.4 million outstanding under Kita’s term loans, $5.3 million outstanding under Cohu GmbH’s construction loan, $15.3 million outstanding under Cohu Malaysia’s revolving credit facilities and $0.3 million outstanding under Kita’s lines of credit.</w:t>
      </w:r>
    </w:p>
    <w:p>
      <w:pPr>
        <w:spacing w:after="0" w:line="17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Management believes that, based on current and anticipated market conditions, our existing cash, cash equivalents, short-term investments, and available credit facilities will be sufficient to meet our anticipated operating and capital requirements for at least the next 12 months. However, our liquidity position could be adversely affected by a decline in demand for our products or services. Additionally, we may pursue strategic acquisitions or increase capital expenditures, which could require additional financing. There can be no assurance that such financing will be available on favorable terms, or at all.</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September 26,</w:t>
            </w:r>
          </w:p>
        </w:tc>
        <w:tc>
          <w:tcPr>
            <w:tcW w:w="2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7"/>
              </w:rPr>
              <w:t>December 27,</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232"/>
        </w:trPr>
        <w:tc>
          <w:tcPr>
            <w:tcW w:w="44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Increase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507,948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483,981</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23,967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674,103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640,912</w:t>
            </w:r>
          </w:p>
        </w:tc>
        <w:tc>
          <w:tcPr>
            <w:tcW w:w="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33,191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Operating cash flows for the first nine months of fiscal 2026 consisted of our net loss, adjusted for non-cash expenses and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assets and liabilities. Significant non-cash adjustments included depreciation and amortization, share-based compensation expense, non-cash inventory-related charges, amortization of debt discounts and issuance costs, and amortization of cloud-based software implementation costs. Our net cash provided by operating activities in the first nine months of fiscal 2026 totaled $26.4 million. Net cash provided by operations was impacted by working capital changes, including a $35.7 million increase in accounts payable, a $8.9 million increase in accrued compensation, warranty, and other liabilities, a $1.2 million increase in customer advances; partially offset by a $40.2 million increase in accounts receivable and a $29.2 million increase in inventories. The increase in accounts payable was primarily due to the timing of supplier payments, the increase in accrued compensation, warranty, and other liabilities reflects the timing of payments and settlements during the period, and the increase in customer advances reflects timing of customer payments received in advance of performance obligations. The increase in accounts receivable was primarily due to higher business volume as well as the timing of cash collections during the quarter. Inventory increased during the nine months ended September 26, 2026, reflecting higher production levels to support anticipated customer demand and changes in product mix, partially offset by continued efforts to manage inventory and working capital efficiently across global operations.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 purchases of investments,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investment maturities and sales. Our net cash provided by investing activities in the first nine months of fiscal 2026 totaled $18.1 million. We generated $206.7 million from sales and maturities and used $184.0 million of cash for purchases of short-term investments in the first nine months of fiscal 2026. We invest our excess cash to seek the highest available return while preserving capital, in short-term investments since excess cash may be required for a business-related purpose. Additions to property, plant and equipment in the first nine months of fiscal 2026 were $7.0 million, and were made to support our operating and development activities.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cash flows consist primarily of net proceeds from the issuance of common stock under our employee stock purchase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repayments of debt. We issue restricted stock units, including performance stock units, and maintain an employee stock purchase plan as components of our overall employee compensation. In the first nine months of fiscal 2026, cash used to settle the minimum statutory tax withholding requirements on behalf of our employees upon vesting of restricted and performance stock awards, net of proceeds from shares issued under our employee stock purchase plan, was $3.7 million. We did not repurchase shares under our share repurchase program to be held as treasury stock during the period. Repayments of debt during the first nine months of fiscal 2026 totaled $1.0 million. Financing cash flows were also impacted by borrowings of $6.0 million under our Malaysian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nine months ended September 26, 2026, we did not repurchase any shares of our common stock and, as of September 26, 2026, $22.8 million remained available for us to repurchase shares of our common stock under our share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We have access to credit facilities and other borrowings provided by financial institutions to finance acquisitions, capital expenditures and our operations if needed. A summary of our borrowings and available credit is as follows.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Senior Notes Due 2031</w:t>
      </w:r>
    </w:p>
    <w:p>
      <w:pPr>
        <w:spacing w:after="0" w:line="22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spacing w:after="0" w:line="18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The Notes were convertible at the option of holders from July 28, 2026, through September 8, 2026, as a result of the last reported sale price of our common stock exceeding 130% of the conversion price of the Notes for at least five trading days (whether or not consecutive) during the first 20 trading days of the fiscal quarter commencing June 28, 2026. No Notes were converted during the third quarter of fiscal 2026, and $287.5 million aggregate principal amount of the Notes remained outstanding as of September 26, 2026. The market-price conversion condition was also satisfied during the first 20 trading days of the fiscal quarter commencing September 27, 2026, resulting in the Notes becoming convertible at the option of holders from October 26, 2026, through December 7, 2026.</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spacing w:after="0" w:line="17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Notes are recorded as liabilities in accordance with ASC 470. Issuance costs will be amortized to interest expense over the term of the Notes using the effective interest method. Upon issuance, we evaluated the conversion feature for potential separation as an embedded derivative under ASC 815 and determined that the conversion feature did not meet the criteria for derivative accounting.</w:t>
      </w:r>
    </w:p>
    <w:p>
      <w:pPr>
        <w:spacing w:after="0" w:line="17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effective interest rate for the Notes is 2.2% after considering the effect of the accretion of the related debt discount over the term of the Notes. For the three months ended September 26, 2026, total interest expense related to the Notes was $1.5 million, with coupon interest expense of $1.1 million and amortization of debt discount of $0.4 million. For the nine months ended September 26, 2026, total interest expense related to the Notes was $4.5 million, with coupon interest expense of $3.2 million and amortization of debt discount of $1.3 million. As of September 26, 2026, the remaining unamortized debt discount of the Notes was $7.7 million. At September 26, 2026, the outstanding Notes balance, net of discount, was $279.8 million. At December 27, 2025, the outstanding Notes balance, net of discount, was $278.5 million.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1.53%, and expire at various dates through 2034. At September 26, 2026, the outstanding loan balance was $1.4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September 26, 2026, total outstanding borrowings under the Loan Facilities was $5.3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26,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22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December 30, 2024, our wholly owned subsidiary in Malaysia entered into a revolving credit facility with a Malaysian financial institution that provides up to MYR 40.0 million, all of which has been drawn. The revolving credit facility was utilized to finance the purchase of our leased facility in Melaka, Malaysia. Interest is due monthly and is calculated based on the lender's Effective Cost of Funds plus a spread of 0.5%.</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During the third quarter of fiscal 2026, we entered into a separate revolving credit facility with the same Malaysian financial institution that provides up to $20.0 million of borrowing capacity denominated in U.S. dollars. As of September 26, 2026, $5.5 million was drawn under the U.S. dollar-denominated facility. Proceeds from borrowings under the U.S. dollar facility are being used for general corporate purposes. Interest is due monthly and is calculated based on the lender's Effective Cost of Funds plus a spread of 1.25%.</w:t>
      </w:r>
    </w:p>
    <w:p>
      <w:pPr>
        <w:spacing w:after="0" w:line="18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revolving credit facilities are secured by the land and building in Melaka, Malaysia, and by a fixed and floating charge over Cohu Malaysia’s assets. At September 26, 2026, $9.8 million was outstanding under the MYR-denominated revolving credit facility and the applicable interest rate was 4.07%. In addition, $5.5 million was outstanding under the U.S. dollar-denominated revolving credit facility and the applicable interest rate was 5.60%. As these revolving credit facility agreements renew monthly, they have been included in short-term borrowings in our condensed consolidated balance sheets. The revolving credit facilities are denominated in Malaysian Ringgits and U.S. dollars and, as a result, amounts disclosed herein will fluctuate due to changes in foreign currency exchange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660 million Japanese Yen of which 50 million Japanese Yen is drawn. At September 26, 2026, total borrowings outstanding under the revolving lines of credit were $0.3 million. As these credit facility agreements renew monthly, they have been included in short-term borrowings in our condensed consolidated balance sheets.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26, 2026</w:t>
      </w:r>
    </w:p>
    <w:p>
      <w:pPr>
        <w:spacing w:after="0" w:line="201"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Our wholly owned subsidiary in Switzerland has one available line of credit which provides it with borrowings of up to a total of 2.0 million Swiss Francs, a portion of which is reserved for tax guarantees. On September 26, 2026, and December 27, 2025, no amounts were outstanding under this line of credit.</w:t>
      </w:r>
    </w:p>
    <w:p>
      <w:pPr>
        <w:spacing w:after="0" w:line="16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On September 26, 2026, $0.5 million was outstanding under standby letters of credit and bank guarantees.</w:t>
      </w:r>
    </w:p>
    <w:p>
      <w:pPr>
        <w:spacing w:after="0" w:line="16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Our significant contractual obligations consist of liabilities for debt, operating leases, unrecognized tax benefits, pensions, post-retirement benefits, and warranties. There were no material changes to these obligations outside the ordinary course of business from those disclosed in our Annual Report on Form 10-K for the year ended December 27, 2025.</w:t>
      </w:r>
    </w:p>
    <w:p>
      <w:pPr>
        <w:spacing w:after="0" w:line="17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Commitments to contract manufacturers and suppliers: </w:t>
      </w:r>
      <w:r>
        <w:rPr>
          <w:rFonts w:ascii="Times New Roman" w:cs="Times New Roman" w:eastAsia="Times New Roman" w:hAnsi="Times New Roman"/>
          <w:sz w:val="17"/>
          <w:szCs w:val="17"/>
          <w:color w:val="auto"/>
        </w:rPr>
        <w:t>From time to time, we enter into commitments with our vendors and outsourcing partners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to certain parties as required.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26, 2026, $0.3 million was outstanding under standby letters of credit.</w:t>
      </w:r>
    </w:p>
    <w:p>
      <w:pPr>
        <w:spacing w:after="0" w:line="1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Interest Rate Risk.</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September 26, 2026, our investment portfolio included short-term fixed-income investment securities with a fair value of approximately $235.6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spacing w:after="0" w:line="18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September 26, 2026, the cost and fair value of investments we held with loss positions were approximately $207.0 million and $206.0 million, respectively. We evaluated the nature of these investments, credit worthiness of the issuer and the duration of these impairments to determine if a credit loss exists. We have the ability and intent to hold these investments to maturity.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September 26, 2026, compared to December 27, 2025, our stockholders’ equity decreased by $7.1 million as a result of the foreign currency translation.</w:t>
      </w:r>
    </w:p>
    <w:p>
      <w:pPr>
        <w:spacing w:after="0" w:line="18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September 26, 2026, would result in an approximate $34.1 million positive translation adjustment recorded in other comprehensive loss within stockholders’ equity. Conversely, a hypothetical 10% appreciation of the U.S. Dollar as compared to these currencies as of September 26, 2026, would result in an approximate $34.1 million negative translation adjustment recorded in other comprehensive income within stockholders’ equity.</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0" w:lineRule="exact"/>
        <w:rPr>
          <w:sz w:val="20"/>
          <w:szCs w:val="20"/>
          <w:color w:val="auto"/>
        </w:rPr>
      </w:pPr>
    </w:p>
    <w:p>
      <w:pPr>
        <w:ind w:right="520" w:firstLine="7"/>
        <w:spacing w:after="0" w:line="276" w:lineRule="auto"/>
        <w:tabs>
          <w:tab w:leader="none" w:pos="252"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Evaluation of Disclosure Controls and Procedures. </w:t>
      </w:r>
      <w:r>
        <w:rPr>
          <w:rFonts w:ascii="Times New Roman" w:cs="Times New Roman" w:eastAsia="Times New Roman" w:hAnsi="Times New Roman"/>
          <w:sz w:val="17"/>
          <w:szCs w:val="17"/>
          <w:color w:val="auto"/>
        </w:rPr>
        <w:t>Under the supervision and with the participation of our management, including our principal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and principal financial officer, we evaluated the effectiveness of our disclosure controls and procedures, as such term is defined in</w:t>
      </w:r>
    </w:p>
    <w:p>
      <w:pPr>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81" w:lineRule="exact"/>
        <w:rPr>
          <w:sz w:val="20"/>
          <w:szCs w:val="20"/>
          <w:color w:val="auto"/>
        </w:rPr>
      </w:pPr>
    </w:p>
    <w:p>
      <w:pPr>
        <w:ind w:right="460" w:firstLine="7"/>
        <w:spacing w:after="0" w:line="264" w:lineRule="auto"/>
        <w:tabs>
          <w:tab w:leader="none" w:pos="26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During the three months ended September 26, 2026, we did not make any changes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control over financial reporting that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4" w:lineRule="exact"/>
        <w:rPr>
          <w:sz w:val="20"/>
          <w:szCs w:val="20"/>
          <w:color w:val="auto"/>
        </w:rPr>
      </w:pPr>
    </w:p>
    <w:p>
      <w:pPr>
        <w:ind w:left="960" w:right="340"/>
        <w:spacing w:after="0" w:line="277" w:lineRule="auto"/>
        <w:rPr>
          <w:sz w:val="20"/>
          <w:szCs w:val="20"/>
          <w:color w:val="auto"/>
        </w:rPr>
      </w:pPr>
      <w:r>
        <w:rPr>
          <w:rFonts w:ascii="Times New Roman" w:cs="Times New Roman" w:eastAsia="Times New Roman" w:hAnsi="Times New Roman"/>
          <w:sz w:val="18"/>
          <w:szCs w:val="18"/>
          <w:color w:val="auto"/>
        </w:rPr>
        <w:t>The information set forth above under Note 12 contained in the “Notes to Unaudited Condensed Consolidated Financial Statements” of this Form 10-Q is incorporated herein by reference.</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2" w:lineRule="exact"/>
        <w:rPr>
          <w:sz w:val="20"/>
          <w:szCs w:val="20"/>
          <w:color w:val="auto"/>
        </w:rPr>
      </w:pPr>
    </w:p>
    <w:p>
      <w:pPr>
        <w:ind w:left="9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business, financial condition and results of operations are affected by a number of factors, whether currently known or unknown, including risks specific to us or our industry, as well as risks that affect businesses in general. You should carefully consider the risk factors described in Part I, Item 1A of our Annual Report on Form 10-K for the fiscal year ended December 27, 2025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supplemented by the risk factors described in Item 1A of our Quarterly Report on Form 10-Q for the quarter ended March 28, 2026, filed with the SEC on May 1, 2026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Q1 Quarterly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We believe there have been no material changes from the risk factors disclosed in the Annual Report and the Q1 Quarterly Report. However, additional risks and uncertainties not currently known or which we currently deem to be immaterial may also materially adversely affect our business, financial condition, or results of operations.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We did not repurchase any shares of our common stock during the three and nine months ended September 26, 2026. We did not repurchase any shares of our stock during the three months ended September 27, 2025. During the nine months ended September 27, 2025, we repurchased 432,288 shares of our common stock for $8.6 million to be held as treasury stock. As of September 26, 2026, $22.8 million remained available for us to repurchase shares of our common stock under our share repurchase program.</w:t>
      </w:r>
    </w:p>
    <w:p>
      <w:pPr>
        <w:spacing w:after="0" w:line="1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third quarter of 2026, none of our directors or executive officers adopted, modified or terminated a Rule 10b5-1 trading arrangement or a non-Rule 10b5-1 trading arrangement (each term as defined in Item 408 of Regulation S-K).</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8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 pursuant to Section 302(a) of the Sarbanes-Oxley Act of 2002</w:t>
            </w:r>
          </w:p>
        </w:tc>
        <w:tc>
          <w:tcPr>
            <w:tcW w:w="1740" w:type="dxa"/>
            <w:vAlign w:val="bottom"/>
            <w:gridSpan w:val="2"/>
          </w:tcPr>
          <w:p>
            <w:pPr>
              <w:spacing w:after="0"/>
              <w:rPr>
                <w:sz w:val="24"/>
                <w:szCs w:val="24"/>
                <w:color w:val="auto"/>
              </w:rPr>
            </w:pPr>
          </w:p>
        </w:tc>
      </w:tr>
      <w:tr>
        <w:trPr>
          <w:trHeight w:val="4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 pursuant to Section 302(a) of the Sarbanes-Oxley Act of 2002</w:t>
            </w:r>
          </w:p>
        </w:tc>
        <w:tc>
          <w:tcPr>
            <w:tcW w:w="1740" w:type="dxa"/>
            <w:vAlign w:val="bottom"/>
            <w:gridSpan w:val="2"/>
          </w:tcPr>
          <w:p>
            <w:pPr>
              <w:spacing w:after="0"/>
              <w:rPr>
                <w:sz w:val="24"/>
                <w:szCs w:val="24"/>
                <w:color w:val="auto"/>
              </w:rPr>
            </w:pPr>
          </w:p>
        </w:tc>
      </w:tr>
      <w:tr>
        <w:trPr>
          <w:trHeight w:val="4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Certification of Chief Executive Officer pursuant to Section 906 of the Sarbanes-Oxley Act of 2002</w:t>
            </w:r>
          </w:p>
        </w:tc>
      </w:tr>
      <w:tr>
        <w:trPr>
          <w:trHeight w:val="4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r>
      <w:tr>
        <w:trPr>
          <w:trHeight w:val="4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 w:type="dxa"/>
            <w:vAlign w:val="bottom"/>
          </w:tcPr>
          <w:p>
            <w:pPr>
              <w:spacing w:after="0"/>
              <w:rPr>
                <w:sz w:val="24"/>
                <w:szCs w:val="24"/>
                <w:color w:val="auto"/>
              </w:rPr>
            </w:pP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4" w:lineRule="exact"/>
        <w:rPr>
          <w:sz w:val="20"/>
          <w:szCs w:val="20"/>
          <w:color w:val="auto"/>
        </w:rPr>
      </w:pPr>
    </w:p>
    <w:p>
      <w:pPr>
        <w:ind w:left="5540" w:right="2539" w:hanging="5533"/>
        <w:spacing w:after="0" w:line="524" w:lineRule="auto"/>
        <w:tabs>
          <w:tab w:leader="none" w:pos="11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142"/>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Pr>
          <w:p>
            <w:pPr>
              <w:spacing w:after="0"/>
              <w:rPr>
                <w:sz w:val="20"/>
                <w:szCs w:val="20"/>
                <w:color w:val="auto"/>
              </w:rPr>
            </w:pPr>
          </w:p>
        </w:tc>
        <w:tc>
          <w:tcPr>
            <w:tcW w:w="45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COHU, INC.</w:t>
            </w:r>
          </w:p>
        </w:tc>
      </w:tr>
      <w:tr>
        <w:trPr>
          <w:trHeight w:val="226"/>
        </w:trPr>
        <w:tc>
          <w:tcPr>
            <w:tcW w:w="5060" w:type="dxa"/>
            <w:vAlign w:val="bottom"/>
          </w:tcPr>
          <w:p>
            <w:pPr>
              <w:spacing w:after="0"/>
              <w:rPr>
                <w:sz w:val="19"/>
                <w:szCs w:val="19"/>
                <w:color w:val="auto"/>
              </w:rPr>
            </w:pPr>
          </w:p>
        </w:tc>
        <w:tc>
          <w:tcPr>
            <w:tcW w:w="45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62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A. Müller</w:t>
            </w:r>
          </w:p>
        </w:tc>
      </w:tr>
      <w:tr>
        <w:trPr>
          <w:trHeight w:val="188"/>
        </w:trPr>
        <w:tc>
          <w:tcPr>
            <w:tcW w:w="506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Luis A. Müller</w:t>
            </w:r>
          </w:p>
        </w:tc>
      </w:tr>
      <w:tr>
        <w:trPr>
          <w:trHeight w:val="232"/>
        </w:trPr>
        <w:tc>
          <w:tcPr>
            <w:tcW w:w="50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4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Jones</w:t>
            </w:r>
          </w:p>
        </w:tc>
      </w:tr>
      <w:tr>
        <w:trPr>
          <w:trHeight w:val="188"/>
        </w:trPr>
        <w:tc>
          <w:tcPr>
            <w:tcW w:w="506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D. Jones</w:t>
            </w:r>
          </w:p>
        </w:tc>
      </w:tr>
      <w:tr>
        <w:trPr>
          <w:trHeight w:val="213"/>
        </w:trPr>
        <w:tc>
          <w:tcPr>
            <w:tcW w:w="50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tc>
      </w:tr>
      <w:tr>
        <w:trPr>
          <w:trHeight w:val="232"/>
        </w:trPr>
        <w:tc>
          <w:tcPr>
            <w:tcW w:w="50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&amp; Accounting Officer)</w:t>
            </w:r>
          </w:p>
        </w:tc>
      </w:tr>
      <w:tr>
        <w:trPr>
          <w:trHeight w:val="640"/>
        </w:trPr>
        <w:tc>
          <w:tcPr>
            <w:tcW w:w="5060" w:type="dxa"/>
            <w:vAlign w:val="bottom"/>
          </w:tcPr>
          <w:p>
            <w:pPr>
              <w:spacing w:after="0"/>
              <w:rPr>
                <w:sz w:val="24"/>
                <w:szCs w:val="24"/>
                <w:color w:val="auto"/>
              </w:rPr>
            </w:pPr>
          </w:p>
        </w:tc>
        <w:tc>
          <w:tcPr>
            <w:tcW w:w="4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220"/>
          </w:cols>
          <w:pgMar w:left="320" w:top="121"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20"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1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60" w:right="80" w:firstLine="7"/>
        <w:spacing w:after="0" w:line="262" w:lineRule="auto"/>
        <w:tabs>
          <w:tab w:leader="none" w:pos="120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60" w:right="320" w:firstLine="7"/>
        <w:spacing w:after="0" w:line="262" w:lineRule="auto"/>
        <w:tabs>
          <w:tab w:leader="none" w:pos="12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0" w:right="440" w:firstLine="7"/>
        <w:spacing w:after="0" w:line="307" w:lineRule="auto"/>
        <w:tabs>
          <w:tab w:leader="none" w:pos="120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960" w:right="180" w:firstLine="7"/>
        <w:spacing w:after="0" w:line="262" w:lineRule="auto"/>
        <w:tabs>
          <w:tab w:leader="none" w:pos="12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60" w:right="660" w:firstLine="7"/>
        <w:spacing w:after="0" w:line="277" w:lineRule="auto"/>
        <w:tabs>
          <w:tab w:leader="none" w:pos="120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60" w:right="340" w:firstLine="7"/>
        <w:spacing w:after="0" w:line="277" w:lineRule="auto"/>
        <w:tabs>
          <w:tab w:leader="none" w:pos="12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20"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1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60" w:right="80" w:firstLine="7"/>
        <w:spacing w:after="0" w:line="262" w:lineRule="auto"/>
        <w:tabs>
          <w:tab w:leader="none" w:pos="120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60" w:right="320" w:firstLine="7"/>
        <w:spacing w:after="0" w:line="262" w:lineRule="auto"/>
        <w:tabs>
          <w:tab w:leader="none" w:pos="12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0" w:right="440" w:firstLine="7"/>
        <w:spacing w:after="0" w:line="307" w:lineRule="auto"/>
        <w:tabs>
          <w:tab w:leader="none" w:pos="120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960" w:right="180" w:firstLine="7"/>
        <w:spacing w:after="0" w:line="262" w:lineRule="auto"/>
        <w:tabs>
          <w:tab w:leader="none" w:pos="12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60" w:right="660" w:firstLine="7"/>
        <w:spacing w:after="0" w:line="277" w:lineRule="auto"/>
        <w:tabs>
          <w:tab w:leader="none" w:pos="120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60" w:right="340" w:firstLine="7"/>
        <w:spacing w:after="0" w:line="277" w:lineRule="auto"/>
        <w:tabs>
          <w:tab w:leader="none" w:pos="12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p>
      <w:pPr>
        <w:sectPr>
          <w:pgSz w:w="11900" w:h="16838" w:orient="portrait"/>
          <w:cols w:equalWidth="0" w:num="1">
            <w:col w:w="11240"/>
          </w:cols>
          <w:pgMar w:left="320" w:top="121" w:right="339" w:bottom="1440" w:gutter="0" w:footer="0" w:header="0"/>
        </w:sectPr>
      </w:pPr>
    </w:p>
    <w:bookmarkStart w:id="48" w:name="page49"/>
    <w:bookmarkEnd w:id="48"/>
    <w:p>
      <w:pPr>
        <w:ind w:left="10360"/>
        <w:spacing w:after="0"/>
        <w:rPr>
          <w:sz w:val="20"/>
          <w:szCs w:val="20"/>
          <w:color w:val="auto"/>
        </w:rPr>
      </w:pPr>
      <w:r>
        <w:rPr>
          <w:rFonts w:ascii="Times New Roman" w:cs="Times New Roman" w:eastAsia="Times New Roman" w:hAnsi="Times New Roman"/>
          <w:sz w:val="17"/>
          <w:szCs w:val="17"/>
          <w:color w:val="auto"/>
        </w:rPr>
        <w:t>Exhibit 32.1</w:t>
      </w:r>
    </w:p>
    <w:p>
      <w:pPr>
        <w:spacing w:after="0" w:line="23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 (18 U.S.C. SECTION 1350)</w:t>
      </w:r>
    </w:p>
    <w:p>
      <w:pPr>
        <w:spacing w:after="0" w:line="163" w:lineRule="exact"/>
        <w:rPr>
          <w:sz w:val="20"/>
          <w:szCs w:val="20"/>
          <w:color w:val="auto"/>
        </w:rPr>
      </w:pPr>
    </w:p>
    <w:p>
      <w:pPr>
        <w:ind w:right="120" w:firstLine="320"/>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September 26, 2026 (the "Report"), I, Luis A. Müller, President and Chief Executive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3"/>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660" w:firstLine="7"/>
        <w:spacing w:after="0" w:line="524" w:lineRule="auto"/>
        <w:tabs>
          <w:tab w:leader="none" w:pos="2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29,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ind w:left="10360"/>
        <w:spacing w:after="0"/>
        <w:rPr>
          <w:sz w:val="20"/>
          <w:szCs w:val="20"/>
          <w:color w:val="auto"/>
        </w:rPr>
      </w:pPr>
      <w:r>
        <w:rPr>
          <w:rFonts w:ascii="Times New Roman" w:cs="Times New Roman" w:eastAsia="Times New Roman" w:hAnsi="Times New Roman"/>
          <w:sz w:val="17"/>
          <w:szCs w:val="17"/>
          <w:color w:val="auto"/>
        </w:rPr>
        <w:t>Exhibit 32.2</w:t>
      </w:r>
    </w:p>
    <w:p>
      <w:pPr>
        <w:spacing w:after="0" w:line="23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 (18 U.S.C. SECTION 1350)</w:t>
      </w:r>
    </w:p>
    <w:p>
      <w:pPr>
        <w:spacing w:after="0" w:line="163" w:lineRule="exact"/>
        <w:rPr>
          <w:sz w:val="20"/>
          <w:szCs w:val="20"/>
          <w:color w:val="auto"/>
        </w:rPr>
      </w:pPr>
    </w:p>
    <w:p>
      <w:pPr>
        <w:jc w:val="both"/>
        <w:ind w:right="160" w:firstLine="320"/>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September 26, 2026 (the "Report"), I, Jeffrey D. Jones, Senior Vice President Finance &amp; Chief Financial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3"/>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660" w:firstLine="7"/>
        <w:spacing w:after="0" w:line="524"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29,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decimal"/>
      <w:start w:val="7"/>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decimal"/>
      <w:start w:val="9"/>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2026-10-29T05:16:55Z</dcterms:created>
  <dcterms:modified xsi:type="dcterms:W3CDTF">2026-10-29T05:16:55Z</dcterms:modified>
</cp:coreProperties>
</file>