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4860" w:type="dxa"/>
            <w:vAlign w:val="bottom"/>
          </w:tcPr>
          <w:p>
            <w:pPr>
              <w:jc w:val="center"/>
              <w:ind w:right="257"/>
              <w:spacing w:after="0"/>
              <w:rPr>
                <w:sz w:val="20"/>
                <w:szCs w:val="20"/>
                <w:color w:val="auto"/>
              </w:rPr>
            </w:pPr>
            <w:r>
              <w:rPr>
                <w:rFonts w:ascii="Arial" w:cs="Arial" w:eastAsia="Arial" w:hAnsi="Arial"/>
                <w:sz w:val="18"/>
                <w:szCs w:val="18"/>
                <w:color w:val="auto"/>
                <w:w w:val="94"/>
              </w:rPr>
              <w:t>UNITED STATES</w:t>
            </w:r>
          </w:p>
        </w:tc>
        <w:tc>
          <w:tcPr>
            <w:tcW w:w="19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4860" w:type="dxa"/>
            <w:vAlign w:val="bottom"/>
          </w:tcPr>
          <w:p>
            <w:pPr>
              <w:jc w:val="center"/>
              <w:ind w:right="237"/>
              <w:spacing w:after="0"/>
              <w:rPr>
                <w:sz w:val="20"/>
                <w:szCs w:val="20"/>
                <w:color w:val="auto"/>
              </w:rPr>
            </w:pPr>
            <w:r>
              <w:rPr>
                <w:rFonts w:ascii="Arial" w:cs="Arial" w:eastAsia="Arial" w:hAnsi="Arial"/>
                <w:sz w:val="18"/>
                <w:szCs w:val="18"/>
                <w:color w:val="auto"/>
                <w:w w:val="96"/>
              </w:rPr>
              <w:t>SECURITIES AND EXCHANGE COMMISSION</w:t>
            </w:r>
          </w:p>
        </w:tc>
        <w:tc>
          <w:tcPr>
            <w:tcW w:w="190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p>
        </w:tc>
        <w:tc>
          <w:tcPr>
            <w:tcW w:w="4860" w:type="dxa"/>
            <w:vAlign w:val="bottom"/>
          </w:tcPr>
          <w:p>
            <w:pPr>
              <w:jc w:val="center"/>
              <w:ind w:right="257"/>
              <w:spacing w:after="0"/>
              <w:rPr>
                <w:sz w:val="20"/>
                <w:szCs w:val="20"/>
                <w:color w:val="auto"/>
              </w:rPr>
            </w:pPr>
            <w:r>
              <w:rPr>
                <w:rFonts w:ascii="Arial" w:cs="Arial" w:eastAsia="Arial" w:hAnsi="Arial"/>
                <w:sz w:val="18"/>
                <w:szCs w:val="18"/>
                <w:color w:val="auto"/>
                <w:w w:val="90"/>
              </w:rPr>
              <w:t>Washington, D.C. 20549</w:t>
            </w:r>
          </w:p>
        </w:tc>
        <w:tc>
          <w:tcPr>
            <w:tcW w:w="1900" w:type="dxa"/>
            <w:vAlign w:val="bottom"/>
          </w:tcPr>
          <w:p>
            <w:pPr>
              <w:spacing w:after="0"/>
              <w:rPr>
                <w:sz w:val="20"/>
                <w:szCs w:val="20"/>
                <w:color w:val="auto"/>
              </w:rPr>
            </w:pPr>
          </w:p>
        </w:tc>
      </w:tr>
      <w:tr>
        <w:trPr>
          <w:trHeight w:val="596"/>
        </w:trPr>
        <w:tc>
          <w:tcPr>
            <w:tcW w:w="3460" w:type="dxa"/>
            <w:vAlign w:val="bottom"/>
          </w:tcPr>
          <w:p>
            <w:pPr>
              <w:spacing w:after="0"/>
              <w:rPr>
                <w:sz w:val="24"/>
                <w:szCs w:val="24"/>
                <w:color w:val="auto"/>
              </w:rPr>
            </w:pPr>
          </w:p>
        </w:tc>
        <w:tc>
          <w:tcPr>
            <w:tcW w:w="4860" w:type="dxa"/>
            <w:vAlign w:val="bottom"/>
          </w:tcPr>
          <w:p>
            <w:pPr>
              <w:jc w:val="center"/>
              <w:ind w:right="257"/>
              <w:spacing w:after="0"/>
              <w:rPr>
                <w:sz w:val="20"/>
                <w:szCs w:val="20"/>
                <w:color w:val="auto"/>
              </w:rPr>
            </w:pPr>
            <w:r>
              <w:rPr>
                <w:rFonts w:ascii="Arial" w:cs="Arial" w:eastAsia="Arial" w:hAnsi="Arial"/>
                <w:sz w:val="32"/>
                <w:szCs w:val="32"/>
                <w:color w:val="auto"/>
                <w:w w:val="98"/>
              </w:rPr>
              <w:t>FORM 8-K</w:t>
            </w:r>
          </w:p>
        </w:tc>
        <w:tc>
          <w:tcPr>
            <w:tcW w:w="1900" w:type="dxa"/>
            <w:vAlign w:val="bottom"/>
          </w:tcPr>
          <w:p>
            <w:pPr>
              <w:spacing w:after="0"/>
              <w:rPr>
                <w:sz w:val="24"/>
                <w:szCs w:val="24"/>
                <w:color w:val="auto"/>
              </w:rPr>
            </w:pPr>
          </w:p>
        </w:tc>
      </w:tr>
      <w:tr>
        <w:trPr>
          <w:trHeight w:val="417"/>
        </w:trPr>
        <w:tc>
          <w:tcPr>
            <w:tcW w:w="3460" w:type="dxa"/>
            <w:vAlign w:val="bottom"/>
          </w:tcPr>
          <w:p>
            <w:pPr>
              <w:spacing w:after="0"/>
              <w:rPr>
                <w:sz w:val="24"/>
                <w:szCs w:val="24"/>
                <w:color w:val="auto"/>
              </w:rPr>
            </w:pPr>
          </w:p>
        </w:tc>
        <w:tc>
          <w:tcPr>
            <w:tcW w:w="4860" w:type="dxa"/>
            <w:vAlign w:val="bottom"/>
          </w:tcPr>
          <w:p>
            <w:pPr>
              <w:jc w:val="center"/>
              <w:ind w:right="237"/>
              <w:spacing w:after="0"/>
              <w:rPr>
                <w:sz w:val="20"/>
                <w:szCs w:val="20"/>
                <w:color w:val="auto"/>
              </w:rPr>
            </w:pPr>
            <w:r>
              <w:rPr>
                <w:rFonts w:ascii="Arial" w:cs="Arial" w:eastAsia="Arial" w:hAnsi="Arial"/>
                <w:sz w:val="18"/>
                <w:szCs w:val="18"/>
                <w:color w:val="auto"/>
                <w:w w:val="92"/>
              </w:rPr>
              <w:t>CURRENT REPORT</w:t>
            </w:r>
          </w:p>
        </w:tc>
        <w:tc>
          <w:tcPr>
            <w:tcW w:w="1900" w:type="dxa"/>
            <w:vAlign w:val="bottom"/>
          </w:tcPr>
          <w:p>
            <w:pPr>
              <w:spacing w:after="0"/>
              <w:rPr>
                <w:sz w:val="24"/>
                <w:szCs w:val="24"/>
                <w:color w:val="auto"/>
              </w:rPr>
            </w:pPr>
          </w:p>
        </w:tc>
      </w:tr>
      <w:tr>
        <w:trPr>
          <w:trHeight w:val="432"/>
        </w:trPr>
        <w:tc>
          <w:tcPr>
            <w:tcW w:w="8320" w:type="dxa"/>
            <w:vAlign w:val="bottom"/>
            <w:gridSpan w:val="2"/>
          </w:tcPr>
          <w:p>
            <w:pPr>
              <w:jc w:val="center"/>
              <w:ind w:left="3010"/>
              <w:spacing w:after="0"/>
              <w:rPr>
                <w:sz w:val="20"/>
                <w:szCs w:val="20"/>
                <w:color w:val="auto"/>
              </w:rPr>
            </w:pPr>
            <w:r>
              <w:rPr>
                <w:rFonts w:ascii="Arial" w:cs="Arial" w:eastAsia="Arial" w:hAnsi="Arial"/>
                <w:sz w:val="18"/>
                <w:szCs w:val="18"/>
                <w:color w:val="auto"/>
                <w:w w:val="90"/>
              </w:rPr>
              <w:t>Pursuant to Section 13 or 15(d) of the Securities Exchange Act of 1934</w:t>
            </w:r>
          </w:p>
        </w:tc>
        <w:tc>
          <w:tcPr>
            <w:tcW w:w="1900" w:type="dxa"/>
            <w:vAlign w:val="bottom"/>
          </w:tcPr>
          <w:p>
            <w:pPr>
              <w:spacing w:after="0"/>
              <w:rPr>
                <w:sz w:val="24"/>
                <w:szCs w:val="24"/>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color w:val="auto"/>
              </w:rPr>
              <w:t>Date of Report (Date of Earliest Event Reported):</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w w:val="89"/>
              </w:rPr>
              <w:t>June 26, 2018</w:t>
            </w:r>
          </w:p>
        </w:tc>
      </w:tr>
      <w:tr>
        <w:trPr>
          <w:trHeight w:val="701"/>
        </w:trPr>
        <w:tc>
          <w:tcPr>
            <w:tcW w:w="3460" w:type="dxa"/>
            <w:vAlign w:val="bottom"/>
          </w:tcPr>
          <w:p>
            <w:pPr>
              <w:spacing w:after="0"/>
              <w:rPr>
                <w:sz w:val="24"/>
                <w:szCs w:val="24"/>
                <w:color w:val="auto"/>
              </w:rPr>
            </w:pPr>
          </w:p>
        </w:tc>
        <w:tc>
          <w:tcPr>
            <w:tcW w:w="4860" w:type="dxa"/>
            <w:vAlign w:val="bottom"/>
          </w:tcPr>
          <w:p>
            <w:pPr>
              <w:jc w:val="center"/>
              <w:ind w:right="257"/>
              <w:spacing w:after="0"/>
              <w:rPr>
                <w:sz w:val="20"/>
                <w:szCs w:val="20"/>
                <w:color w:val="auto"/>
              </w:rPr>
            </w:pPr>
            <w:r>
              <w:rPr>
                <w:rFonts w:ascii="Arial" w:cs="Arial" w:eastAsia="Arial" w:hAnsi="Arial"/>
                <w:sz w:val="43"/>
                <w:szCs w:val="43"/>
                <w:color w:val="auto"/>
                <w:w w:val="92"/>
              </w:rPr>
              <w:t>Cohu, Inc.</w:t>
            </w:r>
          </w:p>
        </w:tc>
        <w:tc>
          <w:tcPr>
            <w:tcW w:w="1900" w:type="dxa"/>
            <w:vAlign w:val="bottom"/>
          </w:tcPr>
          <w:p>
            <w:pPr>
              <w:spacing w:after="0"/>
              <w:rPr>
                <w:sz w:val="24"/>
                <w:szCs w:val="24"/>
                <w:color w:val="auto"/>
              </w:rPr>
            </w:pPr>
          </w:p>
        </w:tc>
      </w:tr>
      <w:tr>
        <w:trPr>
          <w:trHeight w:val="230"/>
        </w:trPr>
        <w:tc>
          <w:tcPr>
            <w:tcW w:w="3460" w:type="dxa"/>
            <w:vAlign w:val="bottom"/>
          </w:tcPr>
          <w:p>
            <w:pPr>
              <w:spacing w:after="0"/>
              <w:rPr>
                <w:sz w:val="20"/>
                <w:szCs w:val="20"/>
                <w:color w:val="auto"/>
              </w:rPr>
            </w:pPr>
          </w:p>
        </w:tc>
        <w:tc>
          <w:tcPr>
            <w:tcW w:w="4860" w:type="dxa"/>
            <w:vAlign w:val="bottom"/>
          </w:tcPr>
          <w:p>
            <w:pPr>
              <w:jc w:val="right"/>
              <w:ind w:right="617"/>
              <w:spacing w:after="0"/>
              <w:rPr>
                <w:sz w:val="20"/>
                <w:szCs w:val="20"/>
                <w:color w:val="auto"/>
              </w:rPr>
            </w:pPr>
            <w:r>
              <w:rPr>
                <w:rFonts w:ascii="Arial" w:cs="Arial" w:eastAsia="Arial" w:hAnsi="Arial"/>
                <w:sz w:val="18"/>
                <w:szCs w:val="18"/>
                <w:color w:val="auto"/>
                <w:w w:val="98"/>
              </w:rPr>
              <w:t>__________________________________________</w:t>
            </w:r>
          </w:p>
        </w:tc>
        <w:tc>
          <w:tcPr>
            <w:tcW w:w="1900" w:type="dxa"/>
            <w:vAlign w:val="bottom"/>
          </w:tcPr>
          <w:p>
            <w:pPr>
              <w:spacing w:after="0"/>
              <w:rPr>
                <w:sz w:val="20"/>
                <w:szCs w:val="20"/>
                <w:color w:val="auto"/>
              </w:rPr>
            </w:pPr>
          </w:p>
        </w:tc>
      </w:tr>
      <w:tr>
        <w:trPr>
          <w:trHeight w:val="432"/>
        </w:trPr>
        <w:tc>
          <w:tcPr>
            <w:tcW w:w="3460" w:type="dxa"/>
            <w:vAlign w:val="bottom"/>
          </w:tcPr>
          <w:p>
            <w:pPr>
              <w:spacing w:after="0"/>
              <w:rPr>
                <w:sz w:val="24"/>
                <w:szCs w:val="24"/>
                <w:color w:val="auto"/>
              </w:rPr>
            </w:pPr>
          </w:p>
        </w:tc>
        <w:tc>
          <w:tcPr>
            <w:tcW w:w="4860" w:type="dxa"/>
            <w:vAlign w:val="bottom"/>
          </w:tcPr>
          <w:p>
            <w:pPr>
              <w:jc w:val="center"/>
              <w:ind w:right="237"/>
              <w:spacing w:after="0"/>
              <w:rPr>
                <w:sz w:val="20"/>
                <w:szCs w:val="20"/>
                <w:color w:val="auto"/>
              </w:rPr>
            </w:pPr>
            <w:r>
              <w:rPr>
                <w:rFonts w:ascii="Arial" w:cs="Arial" w:eastAsia="Arial" w:hAnsi="Arial"/>
                <w:sz w:val="18"/>
                <w:szCs w:val="18"/>
                <w:color w:val="auto"/>
                <w:w w:val="90"/>
              </w:rPr>
              <w:t>(Exact name of registrant as specified in its charter)</w:t>
            </w:r>
          </w:p>
        </w:tc>
        <w:tc>
          <w:tcPr>
            <w:tcW w:w="1900" w:type="dxa"/>
            <w:vAlign w:val="bottom"/>
          </w:tcPr>
          <w:p>
            <w:pPr>
              <w:spacing w:after="0"/>
              <w:rPr>
                <w:sz w:val="24"/>
                <w:szCs w:val="24"/>
                <w:color w:val="auto"/>
              </w:rPr>
            </w:pPr>
          </w:p>
        </w:tc>
      </w:tr>
      <w:tr>
        <w:trPr>
          <w:trHeight w:val="634"/>
        </w:trPr>
        <w:tc>
          <w:tcPr>
            <w:tcW w:w="3460" w:type="dxa"/>
            <w:vAlign w:val="bottom"/>
          </w:tcPr>
          <w:p>
            <w:pPr>
              <w:jc w:val="center"/>
              <w:ind w:left="230"/>
              <w:spacing w:after="0"/>
              <w:rPr>
                <w:sz w:val="20"/>
                <w:szCs w:val="20"/>
                <w:color w:val="auto"/>
              </w:rPr>
            </w:pPr>
            <w:r>
              <w:rPr>
                <w:rFonts w:ascii="Arial" w:cs="Arial" w:eastAsia="Arial" w:hAnsi="Arial"/>
                <w:sz w:val="18"/>
                <w:szCs w:val="18"/>
                <w:color w:val="auto"/>
                <w:w w:val="92"/>
              </w:rPr>
              <w:t>Delaware</w:t>
            </w:r>
          </w:p>
        </w:tc>
        <w:tc>
          <w:tcPr>
            <w:tcW w:w="4860" w:type="dxa"/>
            <w:vAlign w:val="bottom"/>
          </w:tcPr>
          <w:p>
            <w:pPr>
              <w:jc w:val="right"/>
              <w:ind w:right="2097"/>
              <w:spacing w:after="0"/>
              <w:rPr>
                <w:sz w:val="20"/>
                <w:szCs w:val="20"/>
                <w:color w:val="auto"/>
              </w:rPr>
            </w:pPr>
            <w:r>
              <w:rPr>
                <w:rFonts w:ascii="Arial" w:cs="Arial" w:eastAsia="Arial" w:hAnsi="Arial"/>
                <w:sz w:val="18"/>
                <w:szCs w:val="18"/>
                <w:color w:val="auto"/>
              </w:rPr>
              <w:t>001-04298</w:t>
            </w:r>
          </w:p>
        </w:tc>
        <w:tc>
          <w:tcPr>
            <w:tcW w:w="1900" w:type="dxa"/>
            <w:vAlign w:val="bottom"/>
          </w:tcPr>
          <w:p>
            <w:pPr>
              <w:jc w:val="center"/>
              <w:ind w:left="470"/>
              <w:spacing w:after="0"/>
              <w:rPr>
                <w:sz w:val="20"/>
                <w:szCs w:val="20"/>
                <w:color w:val="auto"/>
              </w:rPr>
            </w:pPr>
            <w:r>
              <w:rPr>
                <w:rFonts w:ascii="Arial" w:cs="Arial" w:eastAsia="Arial" w:hAnsi="Arial"/>
                <w:sz w:val="18"/>
                <w:szCs w:val="18"/>
                <w:color w:val="auto"/>
                <w:w w:val="89"/>
              </w:rPr>
              <w:t>95-1934119</w:t>
            </w:r>
          </w:p>
        </w:tc>
      </w:tr>
      <w:tr>
        <w:trPr>
          <w:trHeight w:val="216"/>
        </w:trPr>
        <w:tc>
          <w:tcPr>
            <w:tcW w:w="3460" w:type="dxa"/>
            <w:vAlign w:val="bottom"/>
          </w:tcPr>
          <w:p>
            <w:pPr>
              <w:jc w:val="right"/>
              <w:ind w:right="530"/>
              <w:spacing w:after="0"/>
              <w:rPr>
                <w:sz w:val="20"/>
                <w:szCs w:val="20"/>
                <w:color w:val="auto"/>
              </w:rPr>
            </w:pPr>
            <w:r>
              <w:rPr>
                <w:rFonts w:ascii="Arial" w:cs="Arial" w:eastAsia="Arial" w:hAnsi="Arial"/>
                <w:sz w:val="18"/>
                <w:szCs w:val="18"/>
                <w:color w:val="auto"/>
              </w:rPr>
              <w:t>_____________________</w:t>
            </w:r>
          </w:p>
        </w:tc>
        <w:tc>
          <w:tcPr>
            <w:tcW w:w="4860" w:type="dxa"/>
            <w:vAlign w:val="bottom"/>
          </w:tcPr>
          <w:p>
            <w:pPr>
              <w:jc w:val="right"/>
              <w:ind w:right="1917"/>
              <w:spacing w:after="0"/>
              <w:rPr>
                <w:sz w:val="20"/>
                <w:szCs w:val="20"/>
                <w:color w:val="auto"/>
              </w:rPr>
            </w:pPr>
            <w:r>
              <w:rPr>
                <w:rFonts w:ascii="Arial" w:cs="Arial" w:eastAsia="Arial" w:hAnsi="Arial"/>
                <w:sz w:val="18"/>
                <w:szCs w:val="18"/>
                <w:color w:val="auto"/>
              </w:rPr>
              <w:t>_____________</w:t>
            </w:r>
          </w:p>
        </w:tc>
        <w:tc>
          <w:tcPr>
            <w:tcW w:w="1900" w:type="dxa"/>
            <w:vAlign w:val="bottom"/>
          </w:tcPr>
          <w:p>
            <w:pPr>
              <w:jc w:val="center"/>
              <w:ind w:left="470"/>
              <w:spacing w:after="0"/>
              <w:rPr>
                <w:sz w:val="20"/>
                <w:szCs w:val="20"/>
                <w:color w:val="auto"/>
              </w:rPr>
            </w:pPr>
            <w:r>
              <w:rPr>
                <w:rFonts w:ascii="Arial" w:cs="Arial" w:eastAsia="Arial" w:hAnsi="Arial"/>
                <w:sz w:val="18"/>
                <w:szCs w:val="18"/>
                <w:color w:val="auto"/>
                <w:w w:val="89"/>
              </w:rPr>
              <w:t>______________</w:t>
            </w:r>
          </w:p>
        </w:tc>
      </w:tr>
      <w:tr>
        <w:trPr>
          <w:trHeight w:val="216"/>
        </w:trPr>
        <w:tc>
          <w:tcPr>
            <w:tcW w:w="3460" w:type="dxa"/>
            <w:vAlign w:val="bottom"/>
          </w:tcPr>
          <w:p>
            <w:pPr>
              <w:jc w:val="center"/>
              <w:ind w:left="230"/>
              <w:spacing w:after="0"/>
              <w:rPr>
                <w:sz w:val="20"/>
                <w:szCs w:val="20"/>
                <w:color w:val="auto"/>
              </w:rPr>
            </w:pPr>
            <w:r>
              <w:rPr>
                <w:rFonts w:ascii="Arial" w:cs="Arial" w:eastAsia="Arial" w:hAnsi="Arial"/>
                <w:sz w:val="18"/>
                <w:szCs w:val="18"/>
                <w:color w:val="auto"/>
                <w:w w:val="92"/>
              </w:rPr>
              <w:t>(State or other jurisdiction</w:t>
            </w:r>
          </w:p>
        </w:tc>
        <w:tc>
          <w:tcPr>
            <w:tcW w:w="4860" w:type="dxa"/>
            <w:vAlign w:val="bottom"/>
          </w:tcPr>
          <w:p>
            <w:pPr>
              <w:jc w:val="center"/>
              <w:ind w:right="237"/>
              <w:spacing w:after="0"/>
              <w:rPr>
                <w:sz w:val="20"/>
                <w:szCs w:val="20"/>
                <w:color w:val="auto"/>
              </w:rPr>
            </w:pPr>
            <w:r>
              <w:rPr>
                <w:rFonts w:ascii="Arial" w:cs="Arial" w:eastAsia="Arial" w:hAnsi="Arial"/>
                <w:sz w:val="18"/>
                <w:szCs w:val="18"/>
                <w:color w:val="auto"/>
                <w:w w:val="91"/>
              </w:rPr>
              <w:t>(Commission</w:t>
            </w:r>
          </w:p>
        </w:tc>
        <w:tc>
          <w:tcPr>
            <w:tcW w:w="1900" w:type="dxa"/>
            <w:vAlign w:val="bottom"/>
          </w:tcPr>
          <w:p>
            <w:pPr>
              <w:jc w:val="center"/>
              <w:ind w:left="450"/>
              <w:spacing w:after="0"/>
              <w:rPr>
                <w:sz w:val="20"/>
                <w:szCs w:val="20"/>
                <w:color w:val="auto"/>
              </w:rPr>
            </w:pPr>
            <w:r>
              <w:rPr>
                <w:rFonts w:ascii="Arial" w:cs="Arial" w:eastAsia="Arial" w:hAnsi="Arial"/>
                <w:sz w:val="18"/>
                <w:szCs w:val="18"/>
                <w:color w:val="auto"/>
                <w:w w:val="93"/>
              </w:rPr>
              <w:t>(I.R.S. Employer</w:t>
            </w:r>
          </w:p>
        </w:tc>
      </w:tr>
      <w:tr>
        <w:trPr>
          <w:trHeight w:val="230"/>
        </w:trPr>
        <w:tc>
          <w:tcPr>
            <w:tcW w:w="3460" w:type="dxa"/>
            <w:vAlign w:val="bottom"/>
          </w:tcPr>
          <w:p>
            <w:pPr>
              <w:jc w:val="center"/>
              <w:ind w:left="230"/>
              <w:spacing w:after="0"/>
              <w:rPr>
                <w:sz w:val="20"/>
                <w:szCs w:val="20"/>
                <w:color w:val="auto"/>
              </w:rPr>
            </w:pPr>
            <w:r>
              <w:rPr>
                <w:rFonts w:ascii="Arial" w:cs="Arial" w:eastAsia="Arial" w:hAnsi="Arial"/>
                <w:sz w:val="18"/>
                <w:szCs w:val="18"/>
                <w:color w:val="auto"/>
                <w:w w:val="93"/>
              </w:rPr>
              <w:t>of incorporation)</w:t>
            </w:r>
          </w:p>
        </w:tc>
        <w:tc>
          <w:tcPr>
            <w:tcW w:w="4860" w:type="dxa"/>
            <w:vAlign w:val="bottom"/>
          </w:tcPr>
          <w:p>
            <w:pPr>
              <w:jc w:val="center"/>
              <w:ind w:right="237"/>
              <w:spacing w:after="0"/>
              <w:rPr>
                <w:sz w:val="20"/>
                <w:szCs w:val="20"/>
                <w:color w:val="auto"/>
              </w:rPr>
            </w:pPr>
            <w:r>
              <w:rPr>
                <w:rFonts w:ascii="Arial" w:cs="Arial" w:eastAsia="Arial" w:hAnsi="Arial"/>
                <w:sz w:val="18"/>
                <w:szCs w:val="18"/>
                <w:color w:val="auto"/>
                <w:w w:val="92"/>
              </w:rPr>
              <w:t>File Number)</w:t>
            </w:r>
          </w:p>
        </w:tc>
        <w:tc>
          <w:tcPr>
            <w:tcW w:w="1900" w:type="dxa"/>
            <w:vAlign w:val="bottom"/>
          </w:tcPr>
          <w:p>
            <w:pPr>
              <w:jc w:val="center"/>
              <w:ind w:left="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460" w:type="dxa"/>
            <w:vAlign w:val="bottom"/>
          </w:tcPr>
          <w:p>
            <w:pPr>
              <w:jc w:val="center"/>
              <w:ind w:left="230"/>
              <w:spacing w:after="0"/>
              <w:rPr>
                <w:sz w:val="20"/>
                <w:szCs w:val="20"/>
                <w:color w:val="auto"/>
              </w:rPr>
            </w:pPr>
            <w:r>
              <w:rPr>
                <w:rFonts w:ascii="Arial" w:cs="Arial" w:eastAsia="Arial" w:hAnsi="Arial"/>
                <w:sz w:val="18"/>
                <w:szCs w:val="18"/>
                <w:color w:val="auto"/>
                <w:w w:val="91"/>
              </w:rPr>
              <w:t>12367 Crosthwaite Circle, Poway,</w:t>
            </w:r>
          </w:p>
        </w:tc>
        <w:tc>
          <w:tcPr>
            <w:tcW w:w="4860" w:type="dxa"/>
            <w:vAlign w:val="bottom"/>
          </w:tcPr>
          <w:p>
            <w:pPr>
              <w:spacing w:after="0"/>
              <w:rPr>
                <w:sz w:val="24"/>
                <w:szCs w:val="24"/>
                <w:color w:val="auto"/>
              </w:rPr>
            </w:pPr>
          </w:p>
        </w:tc>
        <w:tc>
          <w:tcPr>
            <w:tcW w:w="1900" w:type="dxa"/>
            <w:vAlign w:val="bottom"/>
          </w:tcPr>
          <w:p>
            <w:pPr>
              <w:jc w:val="center"/>
              <w:ind w:left="450"/>
              <w:spacing w:after="0"/>
              <w:rPr>
                <w:sz w:val="20"/>
                <w:szCs w:val="20"/>
                <w:color w:val="auto"/>
              </w:rPr>
            </w:pPr>
            <w:r>
              <w:rPr>
                <w:rFonts w:ascii="Arial" w:cs="Arial" w:eastAsia="Arial" w:hAnsi="Arial"/>
                <w:sz w:val="18"/>
                <w:szCs w:val="18"/>
                <w:color w:val="auto"/>
                <w:w w:val="87"/>
              </w:rPr>
              <w:t>92064</w:t>
            </w:r>
          </w:p>
        </w:tc>
      </w:tr>
      <w:tr>
        <w:trPr>
          <w:trHeight w:val="216"/>
        </w:trPr>
        <w:tc>
          <w:tcPr>
            <w:tcW w:w="3460" w:type="dxa"/>
            <w:vAlign w:val="bottom"/>
          </w:tcPr>
          <w:p>
            <w:pPr>
              <w:jc w:val="center"/>
              <w:ind w:left="230"/>
              <w:spacing w:after="0"/>
              <w:rPr>
                <w:sz w:val="20"/>
                <w:szCs w:val="20"/>
                <w:color w:val="auto"/>
              </w:rPr>
            </w:pPr>
            <w:r>
              <w:rPr>
                <w:rFonts w:ascii="Arial" w:cs="Arial" w:eastAsia="Arial" w:hAnsi="Arial"/>
                <w:sz w:val="18"/>
                <w:szCs w:val="18"/>
                <w:color w:val="auto"/>
                <w:w w:val="97"/>
              </w:rPr>
              <w:t>California</w:t>
            </w:r>
          </w:p>
        </w:tc>
        <w:tc>
          <w:tcPr>
            <w:tcW w:w="48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460" w:type="dxa"/>
            <w:vAlign w:val="bottom"/>
          </w:tcPr>
          <w:p>
            <w:pPr>
              <w:jc w:val="right"/>
              <w:spacing w:after="0"/>
              <w:rPr>
                <w:sz w:val="20"/>
                <w:szCs w:val="20"/>
                <w:color w:val="auto"/>
              </w:rPr>
            </w:pPr>
            <w:r>
              <w:rPr>
                <w:rFonts w:ascii="Arial" w:cs="Arial" w:eastAsia="Arial" w:hAnsi="Arial"/>
                <w:sz w:val="18"/>
                <w:szCs w:val="18"/>
                <w:color w:val="auto"/>
              </w:rPr>
              <w:t>_________________________________</w:t>
            </w:r>
          </w:p>
        </w:tc>
        <w:tc>
          <w:tcPr>
            <w:tcW w:w="4860" w:type="dxa"/>
            <w:vAlign w:val="bottom"/>
          </w:tcPr>
          <w:p>
            <w:pPr>
              <w:spacing w:after="0"/>
              <w:rPr>
                <w:sz w:val="18"/>
                <w:szCs w:val="18"/>
                <w:color w:val="auto"/>
              </w:rPr>
            </w:pPr>
          </w:p>
        </w:tc>
        <w:tc>
          <w:tcPr>
            <w:tcW w:w="1900" w:type="dxa"/>
            <w:vAlign w:val="bottom"/>
          </w:tcPr>
          <w:p>
            <w:pPr>
              <w:jc w:val="center"/>
              <w:ind w:left="450"/>
              <w:spacing w:after="0"/>
              <w:rPr>
                <w:sz w:val="20"/>
                <w:szCs w:val="20"/>
                <w:color w:val="auto"/>
              </w:rPr>
            </w:pPr>
            <w:r>
              <w:rPr>
                <w:rFonts w:ascii="Arial" w:cs="Arial" w:eastAsia="Arial" w:hAnsi="Arial"/>
                <w:sz w:val="18"/>
                <w:szCs w:val="18"/>
                <w:color w:val="auto"/>
                <w:w w:val="90"/>
              </w:rPr>
              <w:t>___________</w:t>
            </w:r>
          </w:p>
        </w:tc>
      </w:tr>
      <w:tr>
        <w:trPr>
          <w:trHeight w:val="230"/>
        </w:trPr>
        <w:tc>
          <w:tcPr>
            <w:tcW w:w="3460" w:type="dxa"/>
            <w:vAlign w:val="bottom"/>
          </w:tcPr>
          <w:p>
            <w:pPr>
              <w:jc w:val="center"/>
              <w:ind w:left="230"/>
              <w:spacing w:after="0"/>
              <w:rPr>
                <w:sz w:val="20"/>
                <w:szCs w:val="20"/>
                <w:color w:val="auto"/>
              </w:rPr>
            </w:pPr>
            <w:r>
              <w:rPr>
                <w:rFonts w:ascii="Arial" w:cs="Arial" w:eastAsia="Arial" w:hAnsi="Arial"/>
                <w:sz w:val="18"/>
                <w:szCs w:val="18"/>
                <w:color w:val="auto"/>
                <w:w w:val="92"/>
              </w:rPr>
              <w:t>(Address of principal executive offices)</w:t>
            </w:r>
          </w:p>
        </w:tc>
        <w:tc>
          <w:tcPr>
            <w:tcW w:w="4860" w:type="dxa"/>
            <w:vAlign w:val="bottom"/>
          </w:tcPr>
          <w:p>
            <w:pPr>
              <w:spacing w:after="0"/>
              <w:rPr>
                <w:sz w:val="20"/>
                <w:szCs w:val="20"/>
                <w:color w:val="auto"/>
              </w:rPr>
            </w:pPr>
          </w:p>
        </w:tc>
        <w:tc>
          <w:tcPr>
            <w:tcW w:w="1900" w:type="dxa"/>
            <w:vAlign w:val="bottom"/>
          </w:tcPr>
          <w:p>
            <w:pPr>
              <w:jc w:val="center"/>
              <w:ind w:left="450"/>
              <w:spacing w:after="0"/>
              <w:rPr>
                <w:sz w:val="20"/>
                <w:szCs w:val="20"/>
                <w:color w:val="auto"/>
              </w:rPr>
            </w:pPr>
            <w:r>
              <w:rPr>
                <w:rFonts w:ascii="Arial" w:cs="Arial" w:eastAsia="Arial" w:hAnsi="Arial"/>
                <w:sz w:val="18"/>
                <w:szCs w:val="18"/>
                <w:color w:val="auto"/>
                <w:w w:val="94"/>
              </w:rPr>
              <w:t>(Zip Code)</w:t>
            </w:r>
          </w:p>
        </w:tc>
      </w:tr>
      <w:tr>
        <w:trPr>
          <w:trHeight w:val="432"/>
        </w:trPr>
        <w:tc>
          <w:tcPr>
            <w:tcW w:w="8320" w:type="dxa"/>
            <w:vAlign w:val="bottom"/>
            <w:gridSpan w:val="2"/>
          </w:tcPr>
          <w:p>
            <w:pPr>
              <w:ind w:left="1040"/>
              <w:spacing w:after="0"/>
              <w:rPr>
                <w:sz w:val="20"/>
                <w:szCs w:val="20"/>
                <w:color w:val="auto"/>
              </w:rPr>
            </w:pPr>
            <w:r>
              <w:rPr>
                <w:rFonts w:ascii="Arial" w:cs="Arial" w:eastAsia="Arial" w:hAnsi="Arial"/>
                <w:sz w:val="18"/>
                <w:szCs w:val="18"/>
                <w:color w:val="auto"/>
              </w:rPr>
              <w:t>Registrant’s telephone number, including area code:</w:t>
            </w:r>
          </w:p>
        </w:tc>
        <w:tc>
          <w:tcPr>
            <w:tcW w:w="1900" w:type="dxa"/>
            <w:vAlign w:val="bottom"/>
          </w:tcPr>
          <w:p>
            <w:pPr>
              <w:jc w:val="right"/>
              <w:ind w:right="710"/>
              <w:spacing w:after="0"/>
              <w:rPr>
                <w:sz w:val="20"/>
                <w:szCs w:val="20"/>
                <w:color w:val="auto"/>
              </w:rPr>
            </w:pPr>
            <w:r>
              <w:rPr>
                <w:rFonts w:ascii="Arial" w:cs="Arial" w:eastAsia="Arial" w:hAnsi="Arial"/>
                <w:sz w:val="18"/>
                <w:szCs w:val="18"/>
                <w:color w:val="auto"/>
                <w:w w:val="96"/>
              </w:rPr>
              <w:t>858-848-8100</w:t>
            </w:r>
          </w:p>
        </w:tc>
      </w:tr>
      <w:tr>
        <w:trPr>
          <w:trHeight w:val="418"/>
        </w:trPr>
        <w:tc>
          <w:tcPr>
            <w:tcW w:w="3460" w:type="dxa"/>
            <w:vAlign w:val="bottom"/>
          </w:tcPr>
          <w:p>
            <w:pPr>
              <w:spacing w:after="0"/>
              <w:rPr>
                <w:sz w:val="24"/>
                <w:szCs w:val="24"/>
                <w:color w:val="auto"/>
              </w:rPr>
            </w:pPr>
          </w:p>
        </w:tc>
        <w:tc>
          <w:tcPr>
            <w:tcW w:w="4860" w:type="dxa"/>
            <w:vAlign w:val="bottom"/>
          </w:tcPr>
          <w:p>
            <w:pPr>
              <w:jc w:val="center"/>
              <w:ind w:right="257"/>
              <w:spacing w:after="0"/>
              <w:rPr>
                <w:sz w:val="20"/>
                <w:szCs w:val="20"/>
                <w:color w:val="auto"/>
              </w:rPr>
            </w:pPr>
            <w:r>
              <w:rPr>
                <w:rFonts w:ascii="Arial" w:cs="Arial" w:eastAsia="Arial" w:hAnsi="Arial"/>
                <w:sz w:val="18"/>
                <w:szCs w:val="18"/>
                <w:color w:val="auto"/>
                <w:w w:val="94"/>
              </w:rPr>
              <w:t>Not Applicable</w:t>
            </w:r>
          </w:p>
        </w:tc>
        <w:tc>
          <w:tcPr>
            <w:tcW w:w="1900" w:type="dxa"/>
            <w:vAlign w:val="bottom"/>
          </w:tcPr>
          <w:p>
            <w:pPr>
              <w:spacing w:after="0"/>
              <w:rPr>
                <w:sz w:val="24"/>
                <w:szCs w:val="24"/>
                <w:color w:val="auto"/>
              </w:rPr>
            </w:pPr>
          </w:p>
        </w:tc>
      </w:tr>
      <w:tr>
        <w:trPr>
          <w:trHeight w:val="216"/>
        </w:trPr>
        <w:tc>
          <w:tcPr>
            <w:tcW w:w="3460" w:type="dxa"/>
            <w:vAlign w:val="bottom"/>
          </w:tcPr>
          <w:p>
            <w:pPr>
              <w:spacing w:after="0"/>
              <w:rPr>
                <w:sz w:val="18"/>
                <w:szCs w:val="18"/>
                <w:color w:val="auto"/>
              </w:rPr>
            </w:pPr>
          </w:p>
        </w:tc>
        <w:tc>
          <w:tcPr>
            <w:tcW w:w="4860" w:type="dxa"/>
            <w:vAlign w:val="bottom"/>
          </w:tcPr>
          <w:p>
            <w:pPr>
              <w:jc w:val="right"/>
              <w:ind w:right="437"/>
              <w:spacing w:after="0"/>
              <w:rPr>
                <w:sz w:val="20"/>
                <w:szCs w:val="20"/>
                <w:color w:val="auto"/>
              </w:rPr>
            </w:pPr>
            <w:r>
              <w:rPr>
                <w:rFonts w:ascii="Arial" w:cs="Arial" w:eastAsia="Arial" w:hAnsi="Arial"/>
                <w:sz w:val="18"/>
                <w:szCs w:val="18"/>
                <w:color w:val="auto"/>
                <w:w w:val="93"/>
              </w:rPr>
              <w:t>______________________________________________</w:t>
            </w:r>
          </w:p>
        </w:tc>
        <w:tc>
          <w:tcPr>
            <w:tcW w:w="190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p>
        </w:tc>
        <w:tc>
          <w:tcPr>
            <w:tcW w:w="4860" w:type="dxa"/>
            <w:vAlign w:val="bottom"/>
          </w:tcPr>
          <w:p>
            <w:pPr>
              <w:jc w:val="center"/>
              <w:ind w:right="257"/>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900" w:type="dxa"/>
            <w:vAlign w:val="bottom"/>
          </w:tcPr>
          <w:p>
            <w:pPr>
              <w:spacing w:after="0"/>
              <w:rPr>
                <w:sz w:val="20"/>
                <w:szCs w:val="20"/>
                <w:color w:val="auto"/>
              </w:rPr>
            </w:pP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540" w:firstLine="8"/>
        <w:spacing w:after="0" w:line="291" w:lineRule="auto"/>
        <w:tabs>
          <w:tab w:leader="none" w:pos="297"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 ] Soliciting material pursuant to Rule 14a-12 under the Exchange Act (17 CFR 240.14a-12)</w:t>
      </w:r>
    </w:p>
    <w:p>
      <w:pPr>
        <w:jc w:val="both"/>
        <w:ind w:right="2940"/>
        <w:spacing w:after="0" w:line="323" w:lineRule="auto"/>
        <w:rPr>
          <w:rFonts w:ascii="Arial" w:cs="Arial" w:eastAsia="Arial" w:hAnsi="Arial"/>
          <w:sz w:val="16"/>
          <w:szCs w:val="16"/>
          <w:color w:val="auto"/>
        </w:rPr>
      </w:pPr>
      <w:r>
        <w:rPr>
          <w:rFonts w:ascii="Arial" w:cs="Arial" w:eastAsia="Arial" w:hAnsi="Arial"/>
          <w:sz w:val="16"/>
          <w:szCs w:val="16"/>
          <w:color w:val="auto"/>
        </w:rPr>
        <w:t>[ ] Pre-commencement communications pursuant to Rule 14d-2(b) under the Exchange Act (17 CFR 240.14d-2(b)) [ ] Pre-commencement communications pursuant to Rule 13e-4(c) under the Exchange Act (17 CFR 240.13e-4(c))</w:t>
      </w:r>
    </w:p>
    <w:p>
      <w:pPr>
        <w:spacing w:after="0" w:line="13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3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previously announced, on May 7, 2018, Cohu, Inc., a Delaware corporation (“</w:t>
      </w:r>
      <w:r>
        <w:rPr>
          <w:rFonts w:ascii="Arial" w:cs="Arial" w:eastAsia="Arial" w:hAnsi="Arial"/>
          <w:sz w:val="18"/>
          <w:szCs w:val="18"/>
          <w:u w:val="single" w:color="auto"/>
          <w:color w:val="auto"/>
        </w:rPr>
        <w:t>Cohu</w:t>
      </w:r>
      <w:r>
        <w:rPr>
          <w:rFonts w:ascii="Arial" w:cs="Arial" w:eastAsia="Arial" w:hAnsi="Arial"/>
          <w:sz w:val="18"/>
          <w:szCs w:val="18"/>
          <w:color w:val="auto"/>
        </w:rPr>
        <w:t>”), entered into an Agreement and Plan of Merger, by and among Cohu, Xcerra Corporation, a Massachusetts corporation (“</w:t>
      </w:r>
      <w:r>
        <w:rPr>
          <w:rFonts w:ascii="Arial" w:cs="Arial" w:eastAsia="Arial" w:hAnsi="Arial"/>
          <w:sz w:val="18"/>
          <w:szCs w:val="18"/>
          <w:u w:val="single" w:color="auto"/>
          <w:color w:val="auto"/>
        </w:rPr>
        <w:t>Xcerra</w:t>
      </w:r>
      <w:r>
        <w:rPr>
          <w:rFonts w:ascii="Arial" w:cs="Arial" w:eastAsia="Arial" w:hAnsi="Arial"/>
          <w:sz w:val="18"/>
          <w:szCs w:val="18"/>
          <w:color w:val="auto"/>
        </w:rPr>
        <w:t>”), and Xavier Acquisition Corporation, a Delaware corporation and a wholly owned subsidiary of Cohu (“</w:t>
      </w:r>
      <w:r>
        <w:rPr>
          <w:rFonts w:ascii="Arial" w:cs="Arial" w:eastAsia="Arial" w:hAnsi="Arial"/>
          <w:sz w:val="18"/>
          <w:szCs w:val="18"/>
          <w:u w:val="single" w:color="auto"/>
          <w:color w:val="auto"/>
        </w:rPr>
        <w:t>Merger Sub</w:t>
      </w:r>
      <w:r>
        <w:rPr>
          <w:rFonts w:ascii="Arial" w:cs="Arial" w:eastAsia="Arial" w:hAnsi="Arial"/>
          <w:sz w:val="18"/>
          <w:szCs w:val="18"/>
          <w:color w:val="auto"/>
        </w:rPr>
        <w:t>”), pursuant to which Merger Sub will merge with and into Xcerra, with Xcerra surviving such merger as a wholly owned subsidiary of Cohu.</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May 25, 2018, Cohu and Xcerra filed their respective notification and report forms under the Hart-Scott-Rodino Antitrust Improvements Act of 1976, as amended (the “</w:t>
      </w:r>
      <w:r>
        <w:rPr>
          <w:rFonts w:ascii="Arial" w:cs="Arial" w:eastAsia="Arial" w:hAnsi="Arial"/>
          <w:sz w:val="18"/>
          <w:szCs w:val="18"/>
          <w:u w:val="single" w:color="auto"/>
          <w:color w:val="auto"/>
        </w:rPr>
        <w:t>HSR Act</w:t>
      </w:r>
      <w:r>
        <w:rPr>
          <w:rFonts w:ascii="Arial" w:cs="Arial" w:eastAsia="Arial" w:hAnsi="Arial"/>
          <w:sz w:val="18"/>
          <w:szCs w:val="18"/>
          <w:color w:val="auto"/>
        </w:rPr>
        <w:t>”), with the Antitrust Division of the Department of Justice (the “</w:t>
      </w:r>
      <w:r>
        <w:rPr>
          <w:rFonts w:ascii="Arial" w:cs="Arial" w:eastAsia="Arial" w:hAnsi="Arial"/>
          <w:sz w:val="18"/>
          <w:szCs w:val="18"/>
          <w:u w:val="single" w:color="auto"/>
          <w:color w:val="auto"/>
        </w:rPr>
        <w:t>DOJ</w:t>
      </w:r>
      <w:r>
        <w:rPr>
          <w:rFonts w:ascii="Arial" w:cs="Arial" w:eastAsia="Arial" w:hAnsi="Arial"/>
          <w:sz w:val="18"/>
          <w:szCs w:val="18"/>
          <w:color w:val="auto"/>
        </w:rPr>
        <w:t>”) and the United States Federal Trade Commission, which triggered the start of the HSR Act waiting period. The statutory waiting period was originally scheduled to expire on June 25, 2018. On June 25, 2018, in consultation with Xcerra, Cohu voluntarily withdrew its HSR Act notification, and expects to re-file the notification and report form under the HSR Act with the DOJ on June 27, 2018. Assuming Cohu re-files the notification and report form on June 27, 2018, the waiting period with respect to the expected re-filing would expire on July 27, 2018, unless otherwise extended or terminated.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and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including under the HSR Act;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 (xv) such other factors as are set forth in (A) Cohu’s periodic public filings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including but not limited to those described under the heading “Risk Factors” in Cohu’s Form 10-K for the fiscal year ended December 31, 2017, (B) Xcerra’s periodic public filings with the SEC, including but not limited to those described under the heading “Risk Factors” in Xcerra’s Form 10-K for the fiscal year ended July 31, 2017, (C) in the Registration Statement on Form S-4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that has been filed by Cohu with the SEC containing a prospectus with respect to the Cohu common stock to be issued in the proposed transaction and a joint proxy statement of Cohu and Xcerra in connection with the proposed transaction (the “</w:t>
      </w:r>
      <w:r>
        <w:rPr>
          <w:rFonts w:ascii="Arial" w:cs="Arial" w:eastAsia="Arial" w:hAnsi="Arial"/>
          <w:sz w:val="16"/>
          <w:szCs w:val="16"/>
          <w:u w:val="single" w:color="auto"/>
          <w:color w:val="auto"/>
        </w:rPr>
        <w:t>Joint Proxy Statement/Prospectus</w:t>
      </w:r>
      <w:r>
        <w:rPr>
          <w:rFonts w:ascii="Arial" w:cs="Arial" w:eastAsia="Arial" w:hAnsi="Arial"/>
          <w:sz w:val="16"/>
          <w:szCs w:val="16"/>
          <w:color w:val="auto"/>
        </w:rPr>
        <w:t>”) that is or will be contained therein, and (D) the other filings made by Cohu or Xcerra with the SEC from time to time, which are available via the SEC’s website at www.sec.gov. Neither Cohu nor Xcerra can give any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June 21, 2018, Cohu filed with the SEC the Registration Statement containing the Joint Proxy Statement/Prospectus. The definitive Joint Proxy Statement/Prospectus will be delivered to the stockholders of Cohu and Xcerra after the Registration Statement is declared effective by the SEC. This communication is not a substitute for the Registration Statement, the definitive Joint Proxy Statement/Prospectus or any other documents that Cohu or Xcerra may file or may have filed with the SEC, or will send or have sent to stockholders in connection with the proposed transaction. INVESTORS AND SECURITY HOLDERS ARE URGED TO READ ALL RELEVANT DOCUMENTS FILED WITH THE SEC, INCLUDING THE DEFINITIVE JOINT PROXY STATEMENT/PROSPECTUS, CAREFULLY AND IN THEIR ENTIRETY BECAUSE THEY WILL CONTAIN IMPORTANT INFORMATION. Investors and security holders may obtain free copies of these documents and other documents filed by Cohu and Xcerra with the SEC at the SEC’s website at www.sec.gov. In addition, investors and security holders may obtain free copies of the documents filed with the SEC by visiting the Cohu Investor Relations page on its corporate website at https://cohu.gcs-web.com or by contacting Cohu Investor Relations by telephone at (858) 848-8106 or by mail at Cohu Corporate Headquarters, 12367 Crosthwaite Circle, Poway, CA 92064, attention Jeffrey D. Jones, or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Cohu stockholders or Xcerra stockholders generally, is set forth in the Joint Proxy Statement/Prospectus filed with the SEC. Information concerning Cohu’s directors and executive officers and their beneficial ownership of Cohu’s common stock is set forth in Cohu’s annual proxy statement on Schedule 14A filed with the SEC on April 3, 2018, and in its Annual Report on Form 10-K for the year ended December 31, 2017. These documents are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by visiting the Cohu Investor Relations page on its corporate website at </w:t>
      </w:r>
      <w:r>
        <w:rPr>
          <w:rFonts w:ascii="Arial" w:cs="Arial" w:eastAsia="Arial" w:hAnsi="Arial"/>
          <w:sz w:val="16"/>
          <w:szCs w:val="16"/>
          <w:u w:val="single" w:color="auto"/>
          <w:color w:val="auto"/>
        </w:rPr>
        <w:t>https://Cohu.gcs-web.com</w:t>
      </w:r>
      <w:r>
        <w:rPr>
          <w:rFonts w:ascii="Arial" w:cs="Arial" w:eastAsia="Arial" w:hAnsi="Arial"/>
          <w:sz w:val="16"/>
          <w:szCs w:val="16"/>
          <w:color w:val="auto"/>
        </w:rPr>
        <w:t xml:space="preserve">.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by visiting the Xcerra Investor Relations page on its corporate website at </w:t>
      </w:r>
      <w:r>
        <w:rPr>
          <w:rFonts w:ascii="Arial" w:cs="Arial" w:eastAsia="Arial" w:hAnsi="Arial"/>
          <w:sz w:val="16"/>
          <w:szCs w:val="16"/>
          <w:u w:val="single" w:color="auto"/>
          <w:color w:val="auto"/>
        </w:rPr>
        <w:t>https://Xcerra.com/investors</w:t>
      </w:r>
      <w:r>
        <w:rPr>
          <w:rFonts w:ascii="Arial" w:cs="Arial" w:eastAsia="Arial" w:hAnsi="Arial"/>
          <w:sz w:val="16"/>
          <w:szCs w:val="16"/>
          <w:color w:val="auto"/>
        </w:rPr>
        <w:t xml:space="preserve">.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t>
      </w:r>
      <w:r>
        <w:rPr>
          <w:rFonts w:ascii="Arial" w:cs="Arial" w:eastAsia="Arial" w:hAnsi="Arial"/>
          <w:sz w:val="16"/>
          <w:szCs w:val="16"/>
          <w:u w:val="single" w:color="auto"/>
          <w:color w:val="auto"/>
        </w:rPr>
        <w:t>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 w:name="page4"/>
    <w:bookmarkEnd w:id="3"/>
    <w:p>
      <w:pPr>
        <w:jc w:val="center"/>
        <w:ind w:right="-6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Date: June 26, 2018</w:t>
      </w:r>
      <w:r>
        <w:rPr>
          <w:sz w:val="20"/>
          <w:szCs w:val="20"/>
          <w:color w:val="auto"/>
        </w:rPr>
        <w:tab/>
      </w:r>
      <w:r>
        <w:rPr>
          <w:rFonts w:ascii="Arial" w:cs="Arial" w:eastAsia="Arial" w:hAnsi="Arial"/>
          <w:sz w:val="16"/>
          <w:szCs w:val="16"/>
          <w:color w:val="auto"/>
        </w:rPr>
        <w:t>Cohu, Inc.</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5715</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4" w:lineRule="exact"/>
        <w:rPr>
          <w:sz w:val="20"/>
          <w:szCs w:val="20"/>
          <w:color w:val="auto"/>
        </w:rPr>
      </w:pPr>
    </w:p>
    <w:p>
      <w:pPr>
        <w:ind w:left="5820"/>
        <w:spacing w:after="0"/>
        <w:tabs>
          <w:tab w:leader="none" w:pos="6520" w:val="left"/>
        </w:tabs>
        <w:rPr>
          <w:sz w:val="20"/>
          <w:szCs w:val="20"/>
          <w:color w:val="auto"/>
        </w:rPr>
      </w:pPr>
      <w:r>
        <w:rPr>
          <w:rFonts w:ascii="Arial" w:cs="Arial" w:eastAsia="Arial" w:hAnsi="Arial"/>
          <w:sz w:val="18"/>
          <w:szCs w:val="18"/>
          <w:color w:val="auto"/>
        </w:rPr>
        <w:t>Name:</w:t>
        <w:tab/>
        <w:t>Jeffrey D. Jones</w:t>
      </w:r>
    </w:p>
    <w:p>
      <w:pPr>
        <w:spacing w:after="0" w:line="225" w:lineRule="exact"/>
        <w:rPr>
          <w:sz w:val="20"/>
          <w:szCs w:val="20"/>
          <w:color w:val="auto"/>
        </w:rPr>
      </w:pPr>
    </w:p>
    <w:p>
      <w:pPr>
        <w:ind w:left="582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VP Finance and Chief Financial Officer</w:t>
      </w:r>
    </w:p>
    <w:sectPr>
      <w:pgSz w:w="11900" w:h="16838" w:orient="portrait"/>
      <w:cols w:equalWidth="0" w:num="1">
        <w:col w:w="10720"/>
      </w:cols>
      <w:pgMar w:left="240" w:top="58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2019-12-05T03:59:19Z</dcterms:created>
  <dcterms:modified xsi:type="dcterms:W3CDTF">2019-12-05T03:59:19Z</dcterms:modified>
</cp:coreProperties>
</file>